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681A3" w14:textId="114D7CC8" w:rsidR="003D07F7" w:rsidRPr="003D07F7" w:rsidRDefault="00BF0B52">
      <w:pPr>
        <w:jc w:val="center"/>
        <w:rPr>
          <w:b/>
          <w:sz w:val="36"/>
          <w:szCs w:val="36"/>
          <w:lang w:val="en-CA"/>
        </w:rPr>
      </w:pPr>
      <w:r>
        <w:rPr>
          <w:b/>
          <w:sz w:val="36"/>
          <w:szCs w:val="36"/>
          <w:lang w:val="en-CA"/>
        </w:rPr>
        <w:t>ECOLOGICAL CONTROLS ON SUCCESSIONAL PATTERNS IN BLOOM-FORMING CYANOBACTERIA</w:t>
      </w:r>
    </w:p>
    <w:p w14:paraId="31E81153" w14:textId="77777777" w:rsidR="00236E6D" w:rsidRDefault="00236E6D">
      <w:pPr>
        <w:jc w:val="center"/>
        <w:rPr>
          <w:sz w:val="36"/>
          <w:szCs w:val="36"/>
        </w:rPr>
      </w:pPr>
    </w:p>
    <w:p w14:paraId="2EED5F17" w14:textId="77777777" w:rsidR="00236E6D" w:rsidRDefault="00236E6D">
      <w:pPr>
        <w:jc w:val="center"/>
        <w:rPr>
          <w:sz w:val="36"/>
          <w:szCs w:val="36"/>
        </w:rPr>
      </w:pPr>
    </w:p>
    <w:p w14:paraId="6365C933" w14:textId="77777777" w:rsidR="00236E6D" w:rsidRDefault="00236E6D">
      <w:pPr>
        <w:jc w:val="center"/>
        <w:rPr>
          <w:sz w:val="36"/>
          <w:szCs w:val="36"/>
        </w:rPr>
      </w:pPr>
    </w:p>
    <w:p w14:paraId="52E48D2E" w14:textId="77777777" w:rsidR="00236E6D" w:rsidRDefault="00236E6D">
      <w:pPr>
        <w:jc w:val="center"/>
        <w:rPr>
          <w:sz w:val="36"/>
          <w:szCs w:val="36"/>
        </w:rPr>
      </w:pPr>
    </w:p>
    <w:p w14:paraId="25090DE1" w14:textId="77777777" w:rsidR="00236E6D" w:rsidRDefault="00236E6D">
      <w:pPr>
        <w:jc w:val="center"/>
        <w:rPr>
          <w:sz w:val="36"/>
          <w:szCs w:val="36"/>
        </w:rPr>
      </w:pPr>
    </w:p>
    <w:p w14:paraId="6766475A" w14:textId="77777777" w:rsidR="00236E6D" w:rsidRDefault="00236E6D">
      <w:pPr>
        <w:jc w:val="center"/>
        <w:rPr>
          <w:sz w:val="36"/>
          <w:szCs w:val="36"/>
        </w:rPr>
      </w:pPr>
    </w:p>
    <w:p w14:paraId="59CC46FF" w14:textId="77777777" w:rsidR="00236E6D" w:rsidRDefault="00236E6D">
      <w:pPr>
        <w:jc w:val="center"/>
        <w:rPr>
          <w:sz w:val="36"/>
          <w:szCs w:val="36"/>
        </w:rPr>
      </w:pPr>
    </w:p>
    <w:p w14:paraId="0CCC95C8" w14:textId="77777777" w:rsidR="00236E6D" w:rsidRDefault="00236E6D">
      <w:pPr>
        <w:jc w:val="center"/>
        <w:rPr>
          <w:sz w:val="36"/>
          <w:szCs w:val="36"/>
        </w:rPr>
      </w:pPr>
    </w:p>
    <w:p w14:paraId="1F9AD7C6" w14:textId="77777777" w:rsidR="00236E6D" w:rsidRDefault="00236E6D">
      <w:pPr>
        <w:jc w:val="center"/>
        <w:rPr>
          <w:sz w:val="36"/>
          <w:szCs w:val="36"/>
        </w:rPr>
      </w:pPr>
    </w:p>
    <w:p w14:paraId="125490AA" w14:textId="77777777" w:rsidR="00236E6D" w:rsidRDefault="009C755C">
      <w:pPr>
        <w:jc w:val="center"/>
        <w:rPr>
          <w:sz w:val="36"/>
          <w:szCs w:val="36"/>
        </w:rPr>
      </w:pPr>
      <w:r>
        <w:rPr>
          <w:sz w:val="36"/>
          <w:szCs w:val="36"/>
        </w:rPr>
        <w:t>A Thesis Presented for</w:t>
      </w:r>
      <w:r w:rsidR="008865B6">
        <w:rPr>
          <w:sz w:val="36"/>
          <w:szCs w:val="36"/>
        </w:rPr>
        <w:t xml:space="preserve"> the</w:t>
      </w:r>
    </w:p>
    <w:p w14:paraId="513E730B" w14:textId="77777777" w:rsidR="009C755C" w:rsidRDefault="009C755C">
      <w:pPr>
        <w:jc w:val="center"/>
        <w:rPr>
          <w:sz w:val="36"/>
          <w:szCs w:val="36"/>
        </w:rPr>
      </w:pPr>
      <w:r>
        <w:rPr>
          <w:sz w:val="36"/>
          <w:szCs w:val="36"/>
        </w:rPr>
        <w:t>Master of Science</w:t>
      </w:r>
    </w:p>
    <w:p w14:paraId="63D04A0E" w14:textId="77777777" w:rsidR="009C755C" w:rsidRDefault="009C755C">
      <w:pPr>
        <w:jc w:val="center"/>
        <w:rPr>
          <w:sz w:val="36"/>
          <w:szCs w:val="36"/>
        </w:rPr>
      </w:pPr>
      <w:r>
        <w:rPr>
          <w:sz w:val="36"/>
          <w:szCs w:val="36"/>
        </w:rPr>
        <w:t>Degree</w:t>
      </w:r>
    </w:p>
    <w:p w14:paraId="48B5EBDA" w14:textId="77777777" w:rsidR="009C755C" w:rsidRDefault="009C755C">
      <w:pPr>
        <w:jc w:val="center"/>
        <w:rPr>
          <w:sz w:val="36"/>
          <w:szCs w:val="36"/>
        </w:rPr>
      </w:pPr>
      <w:r>
        <w:rPr>
          <w:sz w:val="36"/>
          <w:szCs w:val="36"/>
        </w:rPr>
        <w:t>The University of Tennessee, Knoxville</w:t>
      </w:r>
    </w:p>
    <w:p w14:paraId="0625F233" w14:textId="77777777" w:rsidR="00236E6D" w:rsidRDefault="00236E6D">
      <w:pPr>
        <w:jc w:val="center"/>
        <w:rPr>
          <w:sz w:val="36"/>
          <w:szCs w:val="36"/>
        </w:rPr>
      </w:pPr>
    </w:p>
    <w:p w14:paraId="78C9467F" w14:textId="77777777" w:rsidR="00236E6D" w:rsidRDefault="00236E6D">
      <w:pPr>
        <w:jc w:val="center"/>
        <w:rPr>
          <w:sz w:val="36"/>
          <w:szCs w:val="36"/>
        </w:rPr>
      </w:pPr>
    </w:p>
    <w:p w14:paraId="5CA26A46" w14:textId="77777777" w:rsidR="00236E6D" w:rsidRDefault="00236E6D">
      <w:pPr>
        <w:jc w:val="center"/>
        <w:rPr>
          <w:sz w:val="36"/>
          <w:szCs w:val="36"/>
        </w:rPr>
      </w:pPr>
    </w:p>
    <w:p w14:paraId="5DD3EE3F" w14:textId="77777777" w:rsidR="00236E6D" w:rsidRDefault="00236E6D">
      <w:pPr>
        <w:jc w:val="center"/>
        <w:rPr>
          <w:sz w:val="36"/>
          <w:szCs w:val="36"/>
        </w:rPr>
      </w:pPr>
    </w:p>
    <w:p w14:paraId="2667D987" w14:textId="77777777" w:rsidR="00236E6D" w:rsidRDefault="00236E6D">
      <w:pPr>
        <w:jc w:val="center"/>
        <w:rPr>
          <w:sz w:val="36"/>
          <w:szCs w:val="36"/>
        </w:rPr>
      </w:pPr>
    </w:p>
    <w:p w14:paraId="7910E66F" w14:textId="77777777" w:rsidR="00236E6D" w:rsidRDefault="00236E6D">
      <w:pPr>
        <w:jc w:val="center"/>
        <w:rPr>
          <w:sz w:val="36"/>
          <w:szCs w:val="36"/>
        </w:rPr>
      </w:pPr>
    </w:p>
    <w:p w14:paraId="18651ABA" w14:textId="77777777" w:rsidR="00236E6D" w:rsidRDefault="00236E6D">
      <w:pPr>
        <w:jc w:val="center"/>
        <w:rPr>
          <w:sz w:val="36"/>
          <w:szCs w:val="36"/>
        </w:rPr>
      </w:pPr>
    </w:p>
    <w:p w14:paraId="79BF0258" w14:textId="77777777" w:rsidR="00236E6D" w:rsidRDefault="00236E6D">
      <w:pPr>
        <w:jc w:val="center"/>
        <w:rPr>
          <w:sz w:val="36"/>
          <w:szCs w:val="36"/>
        </w:rPr>
      </w:pPr>
    </w:p>
    <w:p w14:paraId="2FC9F3B0" w14:textId="77777777" w:rsidR="00236E6D" w:rsidRDefault="00236E6D">
      <w:pPr>
        <w:jc w:val="center"/>
        <w:rPr>
          <w:sz w:val="36"/>
          <w:szCs w:val="36"/>
        </w:rPr>
      </w:pPr>
    </w:p>
    <w:p w14:paraId="71967B61" w14:textId="77777777" w:rsidR="00236E6D" w:rsidRDefault="00236E6D">
      <w:pPr>
        <w:jc w:val="center"/>
        <w:rPr>
          <w:sz w:val="36"/>
          <w:szCs w:val="36"/>
        </w:rPr>
      </w:pPr>
    </w:p>
    <w:p w14:paraId="35082D47" w14:textId="77777777" w:rsidR="00236E6D" w:rsidRDefault="00236E6D">
      <w:pPr>
        <w:jc w:val="center"/>
        <w:rPr>
          <w:sz w:val="36"/>
          <w:szCs w:val="36"/>
        </w:rPr>
      </w:pPr>
    </w:p>
    <w:p w14:paraId="15BDCC25" w14:textId="6D6149AB" w:rsidR="00236E6D" w:rsidRDefault="00BB0F71">
      <w:pPr>
        <w:jc w:val="center"/>
        <w:rPr>
          <w:sz w:val="36"/>
          <w:szCs w:val="36"/>
        </w:rPr>
      </w:pPr>
      <w:r>
        <w:rPr>
          <w:sz w:val="36"/>
          <w:szCs w:val="36"/>
        </w:rPr>
        <w:t>Kyla L. Hooker</w:t>
      </w:r>
    </w:p>
    <w:p w14:paraId="34FCAAEC" w14:textId="0BE4DF2B" w:rsidR="00995252" w:rsidRDefault="00995252" w:rsidP="00995252">
      <w:pPr>
        <w:jc w:val="center"/>
        <w:rPr>
          <w:sz w:val="36"/>
          <w:szCs w:val="36"/>
        </w:rPr>
      </w:pPr>
      <w:r>
        <w:rPr>
          <w:sz w:val="36"/>
          <w:szCs w:val="36"/>
        </w:rPr>
        <w:t>May 202</w:t>
      </w:r>
      <w:r w:rsidR="008058FE">
        <w:rPr>
          <w:sz w:val="36"/>
          <w:szCs w:val="36"/>
        </w:rPr>
        <w:t>2</w:t>
      </w:r>
    </w:p>
    <w:p w14:paraId="5C35F381" w14:textId="77777777" w:rsidR="00995252" w:rsidRDefault="00995252" w:rsidP="00995252">
      <w:pPr>
        <w:jc w:val="center"/>
        <w:rPr>
          <w:sz w:val="36"/>
          <w:szCs w:val="36"/>
        </w:rPr>
      </w:pPr>
    </w:p>
    <w:p w14:paraId="1CCB788D" w14:textId="77777777" w:rsidR="00995252" w:rsidRDefault="00995252" w:rsidP="00995252">
      <w:pPr>
        <w:jc w:val="center"/>
        <w:rPr>
          <w:sz w:val="36"/>
          <w:szCs w:val="36"/>
        </w:rPr>
      </w:pPr>
    </w:p>
    <w:p w14:paraId="44DC8726" w14:textId="77777777" w:rsidR="00995252" w:rsidRDefault="00995252" w:rsidP="00995252">
      <w:pPr>
        <w:jc w:val="center"/>
        <w:rPr>
          <w:sz w:val="36"/>
          <w:szCs w:val="36"/>
        </w:rPr>
      </w:pPr>
    </w:p>
    <w:p w14:paraId="5B39930C" w14:textId="77777777" w:rsidR="00995252" w:rsidRDefault="00995252" w:rsidP="00995252">
      <w:pPr>
        <w:jc w:val="center"/>
        <w:rPr>
          <w:sz w:val="36"/>
          <w:szCs w:val="36"/>
        </w:rPr>
      </w:pPr>
    </w:p>
    <w:p w14:paraId="4ACB0FD2" w14:textId="77777777" w:rsidR="00995252" w:rsidRDefault="00995252" w:rsidP="00995252">
      <w:pPr>
        <w:jc w:val="center"/>
        <w:rPr>
          <w:sz w:val="36"/>
          <w:szCs w:val="36"/>
        </w:rPr>
      </w:pPr>
    </w:p>
    <w:p w14:paraId="6B2ACAAC" w14:textId="77777777" w:rsidR="00995252" w:rsidRDefault="00995252" w:rsidP="00995252">
      <w:pPr>
        <w:jc w:val="center"/>
        <w:rPr>
          <w:sz w:val="36"/>
          <w:szCs w:val="36"/>
        </w:rPr>
      </w:pPr>
    </w:p>
    <w:p w14:paraId="63AE0B17" w14:textId="77777777" w:rsidR="00995252" w:rsidRDefault="00995252" w:rsidP="00995252">
      <w:pPr>
        <w:jc w:val="center"/>
        <w:rPr>
          <w:sz w:val="36"/>
          <w:szCs w:val="36"/>
        </w:rPr>
      </w:pPr>
    </w:p>
    <w:p w14:paraId="26EC4CB2" w14:textId="77777777" w:rsidR="00995252" w:rsidRDefault="00995252" w:rsidP="00995252">
      <w:pPr>
        <w:jc w:val="center"/>
        <w:rPr>
          <w:sz w:val="36"/>
          <w:szCs w:val="36"/>
        </w:rPr>
      </w:pPr>
    </w:p>
    <w:p w14:paraId="52470C40" w14:textId="77777777" w:rsidR="00995252" w:rsidRDefault="00995252" w:rsidP="00995252">
      <w:pPr>
        <w:jc w:val="center"/>
        <w:rPr>
          <w:sz w:val="36"/>
          <w:szCs w:val="36"/>
        </w:rPr>
      </w:pPr>
    </w:p>
    <w:p w14:paraId="0AADC6F3" w14:textId="77777777" w:rsidR="00995252" w:rsidRDefault="00995252" w:rsidP="00995252">
      <w:pPr>
        <w:jc w:val="center"/>
        <w:rPr>
          <w:sz w:val="36"/>
          <w:szCs w:val="36"/>
        </w:rPr>
      </w:pPr>
    </w:p>
    <w:p w14:paraId="47B607A2" w14:textId="77777777" w:rsidR="00995252" w:rsidRDefault="00995252" w:rsidP="00995252">
      <w:pPr>
        <w:jc w:val="center"/>
        <w:rPr>
          <w:sz w:val="36"/>
          <w:szCs w:val="36"/>
        </w:rPr>
      </w:pPr>
    </w:p>
    <w:p w14:paraId="2D4FA3E6" w14:textId="77777777" w:rsidR="00995252" w:rsidRDefault="00995252" w:rsidP="00995252">
      <w:pPr>
        <w:jc w:val="center"/>
        <w:rPr>
          <w:sz w:val="36"/>
          <w:szCs w:val="36"/>
        </w:rPr>
      </w:pPr>
    </w:p>
    <w:p w14:paraId="634F846C" w14:textId="77777777" w:rsidR="00995252" w:rsidRDefault="00995252" w:rsidP="00995252">
      <w:pPr>
        <w:jc w:val="center"/>
        <w:rPr>
          <w:sz w:val="36"/>
          <w:szCs w:val="36"/>
        </w:rPr>
      </w:pPr>
    </w:p>
    <w:p w14:paraId="7C980337" w14:textId="77777777" w:rsidR="00995252" w:rsidRDefault="00995252" w:rsidP="00995252">
      <w:pPr>
        <w:jc w:val="center"/>
        <w:rPr>
          <w:sz w:val="36"/>
          <w:szCs w:val="36"/>
        </w:rPr>
      </w:pPr>
    </w:p>
    <w:p w14:paraId="6EC048F8" w14:textId="78D35902" w:rsidR="00995252" w:rsidRDefault="00995252" w:rsidP="00995252">
      <w:pPr>
        <w:jc w:val="center"/>
      </w:pPr>
      <w:r>
        <w:t>Copyright © 202</w:t>
      </w:r>
      <w:r w:rsidR="008058FE">
        <w:t>2</w:t>
      </w:r>
      <w:r>
        <w:t xml:space="preserve"> by Kyla L. Hooker.</w:t>
      </w:r>
    </w:p>
    <w:p w14:paraId="61BC32D3" w14:textId="77777777" w:rsidR="00995252" w:rsidRDefault="00995252" w:rsidP="00995252">
      <w:pPr>
        <w:jc w:val="center"/>
      </w:pPr>
      <w:r>
        <w:t>All rights reserved.</w:t>
      </w:r>
    </w:p>
    <w:p w14:paraId="0BF6B5AD" w14:textId="77777777" w:rsidR="00995252" w:rsidRDefault="00995252" w:rsidP="00995252">
      <w:pPr>
        <w:jc w:val="center"/>
      </w:pPr>
    </w:p>
    <w:p w14:paraId="12A46C57" w14:textId="77777777" w:rsidR="00995252" w:rsidRDefault="00995252" w:rsidP="00995252">
      <w:pPr>
        <w:jc w:val="center"/>
      </w:pPr>
    </w:p>
    <w:p w14:paraId="48DD0BD0" w14:textId="77777777" w:rsidR="00995252" w:rsidRDefault="00995252" w:rsidP="00995252">
      <w:pPr>
        <w:jc w:val="center"/>
      </w:pPr>
    </w:p>
    <w:p w14:paraId="631B0BF8" w14:textId="77777777" w:rsidR="00995252" w:rsidRDefault="00995252" w:rsidP="00995252">
      <w:pPr>
        <w:jc w:val="center"/>
      </w:pPr>
    </w:p>
    <w:p w14:paraId="1FA70808" w14:textId="77777777" w:rsidR="00995252" w:rsidRDefault="00995252" w:rsidP="00995252">
      <w:pPr>
        <w:jc w:val="center"/>
      </w:pPr>
    </w:p>
    <w:p w14:paraId="65EBD3B3" w14:textId="77777777" w:rsidR="00995252" w:rsidRDefault="00995252" w:rsidP="00995252">
      <w:pPr>
        <w:jc w:val="center"/>
      </w:pPr>
    </w:p>
    <w:p w14:paraId="23256E18" w14:textId="77777777" w:rsidR="00995252" w:rsidRDefault="00995252" w:rsidP="00995252">
      <w:pPr>
        <w:jc w:val="center"/>
      </w:pPr>
    </w:p>
    <w:p w14:paraId="6DFD500E" w14:textId="77777777" w:rsidR="00995252" w:rsidRDefault="00995252" w:rsidP="00995252">
      <w:pPr>
        <w:jc w:val="center"/>
      </w:pPr>
    </w:p>
    <w:p w14:paraId="29F511EA" w14:textId="77777777" w:rsidR="00995252" w:rsidRDefault="00995252" w:rsidP="00995252">
      <w:pPr>
        <w:jc w:val="center"/>
      </w:pPr>
    </w:p>
    <w:p w14:paraId="39BCF5FB" w14:textId="77777777" w:rsidR="00995252" w:rsidRDefault="00995252" w:rsidP="00995252">
      <w:pPr>
        <w:jc w:val="center"/>
      </w:pPr>
    </w:p>
    <w:p w14:paraId="21356BF6" w14:textId="77777777" w:rsidR="00995252" w:rsidRDefault="00995252" w:rsidP="00995252">
      <w:pPr>
        <w:jc w:val="center"/>
      </w:pPr>
    </w:p>
    <w:p w14:paraId="197B84AD" w14:textId="77777777" w:rsidR="00995252" w:rsidRDefault="00995252" w:rsidP="00995252">
      <w:pPr>
        <w:jc w:val="center"/>
      </w:pPr>
    </w:p>
    <w:p w14:paraId="329D9F30" w14:textId="77777777" w:rsidR="00995252" w:rsidRDefault="00995252" w:rsidP="00995252">
      <w:pPr>
        <w:jc w:val="center"/>
      </w:pPr>
    </w:p>
    <w:p w14:paraId="63F0D312" w14:textId="77777777" w:rsidR="00995252" w:rsidRDefault="00995252" w:rsidP="00995252">
      <w:pPr>
        <w:jc w:val="center"/>
      </w:pPr>
    </w:p>
    <w:p w14:paraId="27A1DA14" w14:textId="5F0AA9B8" w:rsidR="00373966" w:rsidRDefault="00995252" w:rsidP="008058FE">
      <w:pPr>
        <w:jc w:val="center"/>
      </w:pPr>
      <w:r>
        <w:rPr>
          <w:sz w:val="36"/>
          <w:szCs w:val="36"/>
        </w:rPr>
        <w:br w:type="page"/>
      </w:r>
    </w:p>
    <w:p w14:paraId="1C91FBFB" w14:textId="7E629959" w:rsidR="00236E6D" w:rsidRPr="00B91D02" w:rsidRDefault="00236E6D" w:rsidP="00995252">
      <w:pPr>
        <w:jc w:val="center"/>
        <w:rPr>
          <w:sz w:val="36"/>
          <w:szCs w:val="36"/>
        </w:rPr>
      </w:pPr>
      <w:r>
        <w:rPr>
          <w:b/>
          <w:bCs/>
          <w:sz w:val="28"/>
          <w:szCs w:val="28"/>
        </w:rPr>
        <w:lastRenderedPageBreak/>
        <w:t>ABSTRACT</w:t>
      </w:r>
    </w:p>
    <w:p w14:paraId="498605D6" w14:textId="5B2B609B" w:rsidR="00236E6D" w:rsidRDefault="00236E6D" w:rsidP="00782322"/>
    <w:p w14:paraId="6AB3548A" w14:textId="0DBD8D03" w:rsidR="00621022" w:rsidRPr="00CA0C51" w:rsidRDefault="0011269B" w:rsidP="00CA0C51">
      <w:pPr>
        <w:spacing w:line="480" w:lineRule="auto"/>
        <w:rPr>
          <w:i/>
          <w:iCs/>
        </w:rPr>
      </w:pPr>
      <w:r>
        <w:tab/>
        <w:t xml:space="preserve">Harmful algal blooms are widespread in lake ecosystems but the ecological factors underlying their formation and maintenance are poorly understood. We revisit classical ecological theories which characterize and evaluate contrasting bottom-up and top-down influences on the selection of phytoplankton groups, such as </w:t>
      </w:r>
      <w:r>
        <w:rPr>
          <w:i/>
          <w:iCs/>
        </w:rPr>
        <w:t>Microcystis aeruginosa</w:t>
      </w:r>
      <w:r>
        <w:t xml:space="preserve">. </w:t>
      </w:r>
      <w:r w:rsidR="001A0899">
        <w:t>We begin with a data compilation and analysis of environmental data from Lake Erie. This</w:t>
      </w:r>
      <w:r w:rsidR="00296520">
        <w:t xml:space="preserve"> data analysis of nutrient concentrations, pigment concentrations, and zooplankton biomasses helps us understand and interpret what is happening in the environment throughout the year. Thus, allowing us to build a mathematical model to test our hypothesis. </w:t>
      </w:r>
      <w:r>
        <w:t xml:space="preserve">Our </w:t>
      </w:r>
      <w:r w:rsidR="001A0899">
        <w:t xml:space="preserve">mathematical </w:t>
      </w:r>
      <w:r>
        <w:t>model asses</w:t>
      </w:r>
      <w:r w:rsidR="00633903">
        <w:t xml:space="preserve"> a community in which two producers compete for a resource, which is supplied at a high constant rate and a consumer which can feed on either producer. Raised nutrient input may enhance selective pressure for defensive groups when high cell densities lead to high contact rates between predators and prey. </w:t>
      </w:r>
      <w:r>
        <w:t xml:space="preserve">We report work which evaluates whether these idealized predictions hold in more complex models which account for non-equilibrium influences associated with variable resource supply and </w:t>
      </w:r>
      <w:r w:rsidR="007676DD">
        <w:t>temperature</w:t>
      </w:r>
      <w:r>
        <w:t>. Overall, we hypothesize that</w:t>
      </w:r>
      <w:r w:rsidR="00CA0C51">
        <w:t xml:space="preserve"> increases</w:t>
      </w:r>
      <w:r>
        <w:t xml:space="preserve"> in resource inflow </w:t>
      </w:r>
      <w:r w:rsidR="00CA0C51">
        <w:t xml:space="preserve">and temperature increase contact rates between predators and prey, shifting selection pressure toward defense against predation, which may be a major reason why </w:t>
      </w:r>
      <w:r w:rsidR="00CA0C51" w:rsidRPr="00CA0C51">
        <w:rPr>
          <w:i/>
          <w:iCs/>
        </w:rPr>
        <w:t>Microcystis aeruginosa</w:t>
      </w:r>
      <w:r w:rsidR="00CA0C51">
        <w:t xml:space="preserve"> are selected in hyper-eutrophic lakes.</w:t>
      </w:r>
    </w:p>
    <w:sdt>
      <w:sdtPr>
        <w:rPr>
          <w:b w:val="0"/>
          <w:caps w:val="0"/>
          <w:sz w:val="24"/>
        </w:rPr>
        <w:id w:val="607165129"/>
        <w:docPartObj>
          <w:docPartGallery w:val="Table of Contents"/>
          <w:docPartUnique/>
        </w:docPartObj>
      </w:sdtPr>
      <w:sdtEndPr>
        <w:rPr>
          <w:bCs/>
          <w:noProof/>
        </w:rPr>
      </w:sdtEndPr>
      <w:sdtContent>
        <w:p w14:paraId="22807445" w14:textId="77777777" w:rsidR="00CE4BD1" w:rsidRPr="007F5B61" w:rsidRDefault="00CE4BD1" w:rsidP="00CE4BD1">
          <w:pPr>
            <w:pStyle w:val="TOCHeading"/>
            <w:rPr>
              <w:szCs w:val="28"/>
            </w:rPr>
          </w:pPr>
          <w:r w:rsidRPr="007F5B61">
            <w:rPr>
              <w:szCs w:val="28"/>
            </w:rPr>
            <w:t>Table of Contents</w:t>
          </w:r>
        </w:p>
        <w:p w14:paraId="34F9507C" w14:textId="77777777" w:rsidR="00CE4BD1" w:rsidRPr="007F5B61" w:rsidRDefault="00CE4BD1" w:rsidP="00CE4BD1"/>
        <w:p w14:paraId="15716513" w14:textId="12092562" w:rsidR="00FB1BFB" w:rsidRDefault="00CE4BD1">
          <w:pPr>
            <w:pStyle w:val="TOC1"/>
            <w:tabs>
              <w:tab w:val="right" w:leader="dot" w:pos="8630"/>
            </w:tabs>
            <w:rPr>
              <w:rFonts w:asciiTheme="minorHAnsi" w:eastAsiaTheme="minorEastAsia" w:hAnsiTheme="minorHAnsi" w:cstheme="minorBidi"/>
              <w:noProof/>
            </w:rPr>
          </w:pPr>
          <w:r w:rsidRPr="007F5B61">
            <w:fldChar w:fldCharType="begin"/>
          </w:r>
          <w:r w:rsidRPr="007F5B61">
            <w:instrText xml:space="preserve"> TOC \o "1-3" \h \z \u </w:instrText>
          </w:r>
          <w:r w:rsidRPr="007F5B61">
            <w:fldChar w:fldCharType="separate"/>
          </w:r>
          <w:hyperlink w:anchor="_Toc98870939" w:history="1">
            <w:r w:rsidR="00FB1BFB" w:rsidRPr="00D547F7">
              <w:rPr>
                <w:rStyle w:val="Hyperlink"/>
                <w:noProof/>
              </w:rPr>
              <w:t>Chapter One: Introduction and General Information</w:t>
            </w:r>
            <w:r w:rsidR="00FB1BFB">
              <w:rPr>
                <w:noProof/>
                <w:webHidden/>
              </w:rPr>
              <w:tab/>
            </w:r>
            <w:r w:rsidR="00FB1BFB">
              <w:rPr>
                <w:noProof/>
                <w:webHidden/>
              </w:rPr>
              <w:fldChar w:fldCharType="begin"/>
            </w:r>
            <w:r w:rsidR="00FB1BFB">
              <w:rPr>
                <w:noProof/>
                <w:webHidden/>
              </w:rPr>
              <w:instrText xml:space="preserve"> PAGEREF _Toc98870939 \h </w:instrText>
            </w:r>
            <w:r w:rsidR="00FB1BFB">
              <w:rPr>
                <w:noProof/>
                <w:webHidden/>
              </w:rPr>
            </w:r>
            <w:r w:rsidR="00FB1BFB">
              <w:rPr>
                <w:noProof/>
                <w:webHidden/>
              </w:rPr>
              <w:fldChar w:fldCharType="separate"/>
            </w:r>
            <w:r w:rsidR="00FB1BFB">
              <w:rPr>
                <w:noProof/>
                <w:webHidden/>
              </w:rPr>
              <w:t>1</w:t>
            </w:r>
            <w:r w:rsidR="00FB1BFB">
              <w:rPr>
                <w:noProof/>
                <w:webHidden/>
              </w:rPr>
              <w:fldChar w:fldCharType="end"/>
            </w:r>
          </w:hyperlink>
        </w:p>
        <w:p w14:paraId="3A3F3AFC" w14:textId="2E061ECC" w:rsidR="00FB1BFB" w:rsidRDefault="00A9083D">
          <w:pPr>
            <w:pStyle w:val="TOC2"/>
            <w:tabs>
              <w:tab w:val="right" w:leader="dot" w:pos="8630"/>
            </w:tabs>
            <w:rPr>
              <w:rFonts w:asciiTheme="minorHAnsi" w:eastAsiaTheme="minorEastAsia" w:hAnsiTheme="minorHAnsi" w:cstheme="minorBidi"/>
              <w:noProof/>
            </w:rPr>
          </w:pPr>
          <w:hyperlink w:anchor="_Toc98870940" w:history="1">
            <w:r w:rsidR="00FB1BFB" w:rsidRPr="00D547F7">
              <w:rPr>
                <w:rStyle w:val="Hyperlink"/>
                <w:noProof/>
              </w:rPr>
              <w:t>Eutrophication</w:t>
            </w:r>
            <w:r w:rsidR="00FB1BFB">
              <w:rPr>
                <w:noProof/>
                <w:webHidden/>
              </w:rPr>
              <w:tab/>
            </w:r>
            <w:r w:rsidR="00FB1BFB">
              <w:rPr>
                <w:noProof/>
                <w:webHidden/>
              </w:rPr>
              <w:fldChar w:fldCharType="begin"/>
            </w:r>
            <w:r w:rsidR="00FB1BFB">
              <w:rPr>
                <w:noProof/>
                <w:webHidden/>
              </w:rPr>
              <w:instrText xml:space="preserve"> PAGEREF _Toc98870940 \h </w:instrText>
            </w:r>
            <w:r w:rsidR="00FB1BFB">
              <w:rPr>
                <w:noProof/>
                <w:webHidden/>
              </w:rPr>
            </w:r>
            <w:r w:rsidR="00FB1BFB">
              <w:rPr>
                <w:noProof/>
                <w:webHidden/>
              </w:rPr>
              <w:fldChar w:fldCharType="separate"/>
            </w:r>
            <w:r w:rsidR="00FB1BFB">
              <w:rPr>
                <w:noProof/>
                <w:webHidden/>
              </w:rPr>
              <w:t>1</w:t>
            </w:r>
            <w:r w:rsidR="00FB1BFB">
              <w:rPr>
                <w:noProof/>
                <w:webHidden/>
              </w:rPr>
              <w:fldChar w:fldCharType="end"/>
            </w:r>
          </w:hyperlink>
        </w:p>
        <w:p w14:paraId="26C69F0E" w14:textId="77681724" w:rsidR="00FB1BFB" w:rsidRDefault="00A9083D">
          <w:pPr>
            <w:pStyle w:val="TOC2"/>
            <w:tabs>
              <w:tab w:val="right" w:leader="dot" w:pos="8630"/>
            </w:tabs>
            <w:rPr>
              <w:rFonts w:asciiTheme="minorHAnsi" w:eastAsiaTheme="minorEastAsia" w:hAnsiTheme="minorHAnsi" w:cstheme="minorBidi"/>
              <w:noProof/>
            </w:rPr>
          </w:pPr>
          <w:hyperlink w:anchor="_Toc98870941" w:history="1">
            <w:r w:rsidR="00FB1BFB" w:rsidRPr="00D547F7">
              <w:rPr>
                <w:rStyle w:val="Hyperlink"/>
                <w:noProof/>
              </w:rPr>
              <w:t>Cyanobacteria</w:t>
            </w:r>
            <w:r w:rsidR="00FB1BFB">
              <w:rPr>
                <w:noProof/>
                <w:webHidden/>
              </w:rPr>
              <w:tab/>
            </w:r>
            <w:r w:rsidR="00FB1BFB">
              <w:rPr>
                <w:noProof/>
                <w:webHidden/>
              </w:rPr>
              <w:fldChar w:fldCharType="begin"/>
            </w:r>
            <w:r w:rsidR="00FB1BFB">
              <w:rPr>
                <w:noProof/>
                <w:webHidden/>
              </w:rPr>
              <w:instrText xml:space="preserve"> PAGEREF _Toc98870941 \h </w:instrText>
            </w:r>
            <w:r w:rsidR="00FB1BFB">
              <w:rPr>
                <w:noProof/>
                <w:webHidden/>
              </w:rPr>
            </w:r>
            <w:r w:rsidR="00FB1BFB">
              <w:rPr>
                <w:noProof/>
                <w:webHidden/>
              </w:rPr>
              <w:fldChar w:fldCharType="separate"/>
            </w:r>
            <w:r w:rsidR="00FB1BFB">
              <w:rPr>
                <w:noProof/>
                <w:webHidden/>
              </w:rPr>
              <w:t>3</w:t>
            </w:r>
            <w:r w:rsidR="00FB1BFB">
              <w:rPr>
                <w:noProof/>
                <w:webHidden/>
              </w:rPr>
              <w:fldChar w:fldCharType="end"/>
            </w:r>
          </w:hyperlink>
        </w:p>
        <w:p w14:paraId="2CD096D5" w14:textId="14D86D07" w:rsidR="00FB1BFB" w:rsidRDefault="00A9083D">
          <w:pPr>
            <w:pStyle w:val="TOC2"/>
            <w:tabs>
              <w:tab w:val="right" w:leader="dot" w:pos="8630"/>
            </w:tabs>
            <w:rPr>
              <w:rFonts w:asciiTheme="minorHAnsi" w:eastAsiaTheme="minorEastAsia" w:hAnsiTheme="minorHAnsi" w:cstheme="minorBidi"/>
              <w:noProof/>
            </w:rPr>
          </w:pPr>
          <w:hyperlink w:anchor="_Toc98870942" w:history="1">
            <w:r w:rsidR="00FB1BFB" w:rsidRPr="00D547F7">
              <w:rPr>
                <w:rStyle w:val="Hyperlink"/>
                <w:noProof/>
              </w:rPr>
              <w:t>Environmental Factors</w:t>
            </w:r>
            <w:r w:rsidR="00FB1BFB">
              <w:rPr>
                <w:noProof/>
                <w:webHidden/>
              </w:rPr>
              <w:tab/>
            </w:r>
            <w:r w:rsidR="00FB1BFB">
              <w:rPr>
                <w:noProof/>
                <w:webHidden/>
              </w:rPr>
              <w:fldChar w:fldCharType="begin"/>
            </w:r>
            <w:r w:rsidR="00FB1BFB">
              <w:rPr>
                <w:noProof/>
                <w:webHidden/>
              </w:rPr>
              <w:instrText xml:space="preserve"> PAGEREF _Toc98870942 \h </w:instrText>
            </w:r>
            <w:r w:rsidR="00FB1BFB">
              <w:rPr>
                <w:noProof/>
                <w:webHidden/>
              </w:rPr>
            </w:r>
            <w:r w:rsidR="00FB1BFB">
              <w:rPr>
                <w:noProof/>
                <w:webHidden/>
              </w:rPr>
              <w:fldChar w:fldCharType="separate"/>
            </w:r>
            <w:r w:rsidR="00FB1BFB">
              <w:rPr>
                <w:noProof/>
                <w:webHidden/>
              </w:rPr>
              <w:t>8</w:t>
            </w:r>
            <w:r w:rsidR="00FB1BFB">
              <w:rPr>
                <w:noProof/>
                <w:webHidden/>
              </w:rPr>
              <w:fldChar w:fldCharType="end"/>
            </w:r>
          </w:hyperlink>
        </w:p>
        <w:p w14:paraId="59372C70" w14:textId="4F1513BE" w:rsidR="00FB1BFB" w:rsidRDefault="00A9083D">
          <w:pPr>
            <w:pStyle w:val="TOC3"/>
            <w:tabs>
              <w:tab w:val="right" w:leader="dot" w:pos="8630"/>
            </w:tabs>
            <w:rPr>
              <w:rFonts w:asciiTheme="minorHAnsi" w:eastAsiaTheme="minorEastAsia" w:hAnsiTheme="minorHAnsi" w:cstheme="minorBidi"/>
              <w:noProof/>
            </w:rPr>
          </w:pPr>
          <w:hyperlink w:anchor="_Toc98870943" w:history="1">
            <w:r w:rsidR="00FB1BFB" w:rsidRPr="00D547F7">
              <w:rPr>
                <w:rStyle w:val="Hyperlink"/>
                <w:noProof/>
              </w:rPr>
              <w:t>Wind</w:t>
            </w:r>
            <w:r w:rsidR="00FB1BFB">
              <w:rPr>
                <w:noProof/>
                <w:webHidden/>
              </w:rPr>
              <w:tab/>
            </w:r>
            <w:r w:rsidR="00FB1BFB">
              <w:rPr>
                <w:noProof/>
                <w:webHidden/>
              </w:rPr>
              <w:fldChar w:fldCharType="begin"/>
            </w:r>
            <w:r w:rsidR="00FB1BFB">
              <w:rPr>
                <w:noProof/>
                <w:webHidden/>
              </w:rPr>
              <w:instrText xml:space="preserve"> PAGEREF _Toc98870943 \h </w:instrText>
            </w:r>
            <w:r w:rsidR="00FB1BFB">
              <w:rPr>
                <w:noProof/>
                <w:webHidden/>
              </w:rPr>
            </w:r>
            <w:r w:rsidR="00FB1BFB">
              <w:rPr>
                <w:noProof/>
                <w:webHidden/>
              </w:rPr>
              <w:fldChar w:fldCharType="separate"/>
            </w:r>
            <w:r w:rsidR="00FB1BFB">
              <w:rPr>
                <w:noProof/>
                <w:webHidden/>
              </w:rPr>
              <w:t>8</w:t>
            </w:r>
            <w:r w:rsidR="00FB1BFB">
              <w:rPr>
                <w:noProof/>
                <w:webHidden/>
              </w:rPr>
              <w:fldChar w:fldCharType="end"/>
            </w:r>
          </w:hyperlink>
        </w:p>
        <w:p w14:paraId="34B0B455" w14:textId="01118841" w:rsidR="00FB1BFB" w:rsidRDefault="00A9083D">
          <w:pPr>
            <w:pStyle w:val="TOC3"/>
            <w:tabs>
              <w:tab w:val="right" w:leader="dot" w:pos="8630"/>
            </w:tabs>
            <w:rPr>
              <w:rFonts w:asciiTheme="minorHAnsi" w:eastAsiaTheme="minorEastAsia" w:hAnsiTheme="minorHAnsi" w:cstheme="minorBidi"/>
              <w:noProof/>
            </w:rPr>
          </w:pPr>
          <w:hyperlink w:anchor="_Toc98870944" w:history="1">
            <w:r w:rsidR="00FB1BFB" w:rsidRPr="00D547F7">
              <w:rPr>
                <w:rStyle w:val="Hyperlink"/>
                <w:noProof/>
              </w:rPr>
              <w:t>Temperature and pH</w:t>
            </w:r>
            <w:r w:rsidR="00FB1BFB">
              <w:rPr>
                <w:noProof/>
                <w:webHidden/>
              </w:rPr>
              <w:tab/>
            </w:r>
            <w:r w:rsidR="00FB1BFB">
              <w:rPr>
                <w:noProof/>
                <w:webHidden/>
              </w:rPr>
              <w:fldChar w:fldCharType="begin"/>
            </w:r>
            <w:r w:rsidR="00FB1BFB">
              <w:rPr>
                <w:noProof/>
                <w:webHidden/>
              </w:rPr>
              <w:instrText xml:space="preserve"> PAGEREF _Toc98870944 \h </w:instrText>
            </w:r>
            <w:r w:rsidR="00FB1BFB">
              <w:rPr>
                <w:noProof/>
                <w:webHidden/>
              </w:rPr>
            </w:r>
            <w:r w:rsidR="00FB1BFB">
              <w:rPr>
                <w:noProof/>
                <w:webHidden/>
              </w:rPr>
              <w:fldChar w:fldCharType="separate"/>
            </w:r>
            <w:r w:rsidR="00FB1BFB">
              <w:rPr>
                <w:noProof/>
                <w:webHidden/>
              </w:rPr>
              <w:t>8</w:t>
            </w:r>
            <w:r w:rsidR="00FB1BFB">
              <w:rPr>
                <w:noProof/>
                <w:webHidden/>
              </w:rPr>
              <w:fldChar w:fldCharType="end"/>
            </w:r>
          </w:hyperlink>
        </w:p>
        <w:p w14:paraId="7A02ED14" w14:textId="5D4797B4" w:rsidR="00FB1BFB" w:rsidRDefault="00A9083D">
          <w:pPr>
            <w:pStyle w:val="TOC3"/>
            <w:tabs>
              <w:tab w:val="right" w:leader="dot" w:pos="8630"/>
            </w:tabs>
            <w:rPr>
              <w:rFonts w:asciiTheme="minorHAnsi" w:eastAsiaTheme="minorEastAsia" w:hAnsiTheme="minorHAnsi" w:cstheme="minorBidi"/>
              <w:noProof/>
            </w:rPr>
          </w:pPr>
          <w:hyperlink w:anchor="_Toc98870945" w:history="1">
            <w:r w:rsidR="00FB1BFB" w:rsidRPr="00D547F7">
              <w:rPr>
                <w:rStyle w:val="Hyperlink"/>
                <w:noProof/>
              </w:rPr>
              <w:t>Irradiance</w:t>
            </w:r>
            <w:r w:rsidR="00FB1BFB">
              <w:rPr>
                <w:noProof/>
                <w:webHidden/>
              </w:rPr>
              <w:tab/>
            </w:r>
            <w:r w:rsidR="00FB1BFB">
              <w:rPr>
                <w:noProof/>
                <w:webHidden/>
              </w:rPr>
              <w:fldChar w:fldCharType="begin"/>
            </w:r>
            <w:r w:rsidR="00FB1BFB">
              <w:rPr>
                <w:noProof/>
                <w:webHidden/>
              </w:rPr>
              <w:instrText xml:space="preserve"> PAGEREF _Toc98870945 \h </w:instrText>
            </w:r>
            <w:r w:rsidR="00FB1BFB">
              <w:rPr>
                <w:noProof/>
                <w:webHidden/>
              </w:rPr>
            </w:r>
            <w:r w:rsidR="00FB1BFB">
              <w:rPr>
                <w:noProof/>
                <w:webHidden/>
              </w:rPr>
              <w:fldChar w:fldCharType="separate"/>
            </w:r>
            <w:r w:rsidR="00FB1BFB">
              <w:rPr>
                <w:noProof/>
                <w:webHidden/>
              </w:rPr>
              <w:t>9</w:t>
            </w:r>
            <w:r w:rsidR="00FB1BFB">
              <w:rPr>
                <w:noProof/>
                <w:webHidden/>
              </w:rPr>
              <w:fldChar w:fldCharType="end"/>
            </w:r>
          </w:hyperlink>
        </w:p>
        <w:p w14:paraId="5D4E0E0D" w14:textId="7BD42238" w:rsidR="00FB1BFB" w:rsidRDefault="00A9083D">
          <w:pPr>
            <w:pStyle w:val="TOC2"/>
            <w:tabs>
              <w:tab w:val="right" w:leader="dot" w:pos="8630"/>
            </w:tabs>
            <w:rPr>
              <w:rFonts w:asciiTheme="minorHAnsi" w:eastAsiaTheme="minorEastAsia" w:hAnsiTheme="minorHAnsi" w:cstheme="minorBidi"/>
              <w:noProof/>
            </w:rPr>
          </w:pPr>
          <w:hyperlink w:anchor="_Toc98870946" w:history="1">
            <w:r w:rsidR="00FB1BFB" w:rsidRPr="00D547F7">
              <w:rPr>
                <w:rStyle w:val="Hyperlink"/>
                <w:noProof/>
              </w:rPr>
              <w:t>Competition: Eukaryotic Algae</w:t>
            </w:r>
            <w:r w:rsidR="00FB1BFB">
              <w:rPr>
                <w:noProof/>
                <w:webHidden/>
              </w:rPr>
              <w:tab/>
            </w:r>
            <w:r w:rsidR="00FB1BFB">
              <w:rPr>
                <w:noProof/>
                <w:webHidden/>
              </w:rPr>
              <w:fldChar w:fldCharType="begin"/>
            </w:r>
            <w:r w:rsidR="00FB1BFB">
              <w:rPr>
                <w:noProof/>
                <w:webHidden/>
              </w:rPr>
              <w:instrText xml:space="preserve"> PAGEREF _Toc98870946 \h </w:instrText>
            </w:r>
            <w:r w:rsidR="00FB1BFB">
              <w:rPr>
                <w:noProof/>
                <w:webHidden/>
              </w:rPr>
            </w:r>
            <w:r w:rsidR="00FB1BFB">
              <w:rPr>
                <w:noProof/>
                <w:webHidden/>
              </w:rPr>
              <w:fldChar w:fldCharType="separate"/>
            </w:r>
            <w:r w:rsidR="00FB1BFB">
              <w:rPr>
                <w:noProof/>
                <w:webHidden/>
              </w:rPr>
              <w:t>10</w:t>
            </w:r>
            <w:r w:rsidR="00FB1BFB">
              <w:rPr>
                <w:noProof/>
                <w:webHidden/>
              </w:rPr>
              <w:fldChar w:fldCharType="end"/>
            </w:r>
          </w:hyperlink>
        </w:p>
        <w:p w14:paraId="167DF73F" w14:textId="5BD84E99" w:rsidR="00FB1BFB" w:rsidRDefault="00A9083D">
          <w:pPr>
            <w:pStyle w:val="TOC2"/>
            <w:tabs>
              <w:tab w:val="right" w:leader="dot" w:pos="8630"/>
            </w:tabs>
            <w:rPr>
              <w:rFonts w:asciiTheme="minorHAnsi" w:eastAsiaTheme="minorEastAsia" w:hAnsiTheme="minorHAnsi" w:cstheme="minorBidi"/>
              <w:noProof/>
            </w:rPr>
          </w:pPr>
          <w:hyperlink w:anchor="_Toc98870947" w:history="1">
            <w:r w:rsidR="00FB1BFB" w:rsidRPr="00D547F7">
              <w:rPr>
                <w:rStyle w:val="Hyperlink"/>
                <w:noProof/>
              </w:rPr>
              <w:t>Predation: Zooplankton</w:t>
            </w:r>
            <w:r w:rsidR="00FB1BFB">
              <w:rPr>
                <w:noProof/>
                <w:webHidden/>
              </w:rPr>
              <w:tab/>
            </w:r>
            <w:r w:rsidR="00FB1BFB">
              <w:rPr>
                <w:noProof/>
                <w:webHidden/>
              </w:rPr>
              <w:fldChar w:fldCharType="begin"/>
            </w:r>
            <w:r w:rsidR="00FB1BFB">
              <w:rPr>
                <w:noProof/>
                <w:webHidden/>
              </w:rPr>
              <w:instrText xml:space="preserve"> PAGEREF _Toc98870947 \h </w:instrText>
            </w:r>
            <w:r w:rsidR="00FB1BFB">
              <w:rPr>
                <w:noProof/>
                <w:webHidden/>
              </w:rPr>
            </w:r>
            <w:r w:rsidR="00FB1BFB">
              <w:rPr>
                <w:noProof/>
                <w:webHidden/>
              </w:rPr>
              <w:fldChar w:fldCharType="separate"/>
            </w:r>
            <w:r w:rsidR="00FB1BFB">
              <w:rPr>
                <w:noProof/>
                <w:webHidden/>
              </w:rPr>
              <w:t>11</w:t>
            </w:r>
            <w:r w:rsidR="00FB1BFB">
              <w:rPr>
                <w:noProof/>
                <w:webHidden/>
              </w:rPr>
              <w:fldChar w:fldCharType="end"/>
            </w:r>
          </w:hyperlink>
        </w:p>
        <w:p w14:paraId="7982DC4A" w14:textId="10B8B869" w:rsidR="00FB1BFB" w:rsidRDefault="00A9083D">
          <w:pPr>
            <w:pStyle w:val="TOC2"/>
            <w:tabs>
              <w:tab w:val="right" w:leader="dot" w:pos="8630"/>
            </w:tabs>
            <w:rPr>
              <w:rFonts w:asciiTheme="minorHAnsi" w:eastAsiaTheme="minorEastAsia" w:hAnsiTheme="minorHAnsi" w:cstheme="minorBidi"/>
              <w:noProof/>
            </w:rPr>
          </w:pPr>
          <w:hyperlink w:anchor="_Toc98870948" w:history="1">
            <w:r w:rsidR="00FB1BFB" w:rsidRPr="00D547F7">
              <w:rPr>
                <w:rStyle w:val="Hyperlink"/>
                <w:noProof/>
              </w:rPr>
              <w:t>Modeling of Lake Ecosystems</w:t>
            </w:r>
            <w:r w:rsidR="00FB1BFB">
              <w:rPr>
                <w:noProof/>
                <w:webHidden/>
              </w:rPr>
              <w:tab/>
            </w:r>
            <w:r w:rsidR="00FB1BFB">
              <w:rPr>
                <w:noProof/>
                <w:webHidden/>
              </w:rPr>
              <w:fldChar w:fldCharType="begin"/>
            </w:r>
            <w:r w:rsidR="00FB1BFB">
              <w:rPr>
                <w:noProof/>
                <w:webHidden/>
              </w:rPr>
              <w:instrText xml:space="preserve"> PAGEREF _Toc98870948 \h </w:instrText>
            </w:r>
            <w:r w:rsidR="00FB1BFB">
              <w:rPr>
                <w:noProof/>
                <w:webHidden/>
              </w:rPr>
            </w:r>
            <w:r w:rsidR="00FB1BFB">
              <w:rPr>
                <w:noProof/>
                <w:webHidden/>
              </w:rPr>
              <w:fldChar w:fldCharType="separate"/>
            </w:r>
            <w:r w:rsidR="00FB1BFB">
              <w:rPr>
                <w:noProof/>
                <w:webHidden/>
              </w:rPr>
              <w:t>12</w:t>
            </w:r>
            <w:r w:rsidR="00FB1BFB">
              <w:rPr>
                <w:noProof/>
                <w:webHidden/>
              </w:rPr>
              <w:fldChar w:fldCharType="end"/>
            </w:r>
          </w:hyperlink>
        </w:p>
        <w:p w14:paraId="2C49E9C3" w14:textId="74D9EA2E" w:rsidR="00FB1BFB" w:rsidRDefault="00A9083D">
          <w:pPr>
            <w:pStyle w:val="TOC2"/>
            <w:tabs>
              <w:tab w:val="right" w:leader="dot" w:pos="8630"/>
            </w:tabs>
            <w:rPr>
              <w:rFonts w:asciiTheme="minorHAnsi" w:eastAsiaTheme="minorEastAsia" w:hAnsiTheme="minorHAnsi" w:cstheme="minorBidi"/>
              <w:noProof/>
            </w:rPr>
          </w:pPr>
          <w:hyperlink w:anchor="_Toc98870949" w:history="1">
            <w:r w:rsidR="00FB1BFB" w:rsidRPr="00D547F7">
              <w:rPr>
                <w:rStyle w:val="Hyperlink"/>
                <w:noProof/>
              </w:rPr>
              <w:t>Food-web Modeling</w:t>
            </w:r>
            <w:r w:rsidR="00FB1BFB">
              <w:rPr>
                <w:noProof/>
                <w:webHidden/>
              </w:rPr>
              <w:tab/>
            </w:r>
            <w:r w:rsidR="00FB1BFB">
              <w:rPr>
                <w:noProof/>
                <w:webHidden/>
              </w:rPr>
              <w:fldChar w:fldCharType="begin"/>
            </w:r>
            <w:r w:rsidR="00FB1BFB">
              <w:rPr>
                <w:noProof/>
                <w:webHidden/>
              </w:rPr>
              <w:instrText xml:space="preserve"> PAGEREF _Toc98870949 \h </w:instrText>
            </w:r>
            <w:r w:rsidR="00FB1BFB">
              <w:rPr>
                <w:noProof/>
                <w:webHidden/>
              </w:rPr>
            </w:r>
            <w:r w:rsidR="00FB1BFB">
              <w:rPr>
                <w:noProof/>
                <w:webHidden/>
              </w:rPr>
              <w:fldChar w:fldCharType="separate"/>
            </w:r>
            <w:r w:rsidR="00FB1BFB">
              <w:rPr>
                <w:noProof/>
                <w:webHidden/>
              </w:rPr>
              <w:t>14</w:t>
            </w:r>
            <w:r w:rsidR="00FB1BFB">
              <w:rPr>
                <w:noProof/>
                <w:webHidden/>
              </w:rPr>
              <w:fldChar w:fldCharType="end"/>
            </w:r>
          </w:hyperlink>
        </w:p>
        <w:p w14:paraId="2A99A074" w14:textId="6A2C8344" w:rsidR="00FB1BFB" w:rsidRDefault="00A9083D">
          <w:pPr>
            <w:pStyle w:val="TOC2"/>
            <w:tabs>
              <w:tab w:val="right" w:leader="dot" w:pos="8630"/>
            </w:tabs>
            <w:rPr>
              <w:rFonts w:asciiTheme="minorHAnsi" w:eastAsiaTheme="minorEastAsia" w:hAnsiTheme="minorHAnsi" w:cstheme="minorBidi"/>
              <w:noProof/>
            </w:rPr>
          </w:pPr>
          <w:hyperlink w:anchor="_Toc98870950" w:history="1">
            <w:r w:rsidR="00FB1BFB" w:rsidRPr="00D547F7">
              <w:rPr>
                <w:rStyle w:val="Hyperlink"/>
                <w:noProof/>
              </w:rPr>
              <w:t>Questions and Hypothesis</w:t>
            </w:r>
            <w:r w:rsidR="00FB1BFB">
              <w:rPr>
                <w:noProof/>
                <w:webHidden/>
              </w:rPr>
              <w:tab/>
            </w:r>
            <w:r w:rsidR="00FB1BFB">
              <w:rPr>
                <w:noProof/>
                <w:webHidden/>
              </w:rPr>
              <w:fldChar w:fldCharType="begin"/>
            </w:r>
            <w:r w:rsidR="00FB1BFB">
              <w:rPr>
                <w:noProof/>
                <w:webHidden/>
              </w:rPr>
              <w:instrText xml:space="preserve"> PAGEREF _Toc98870950 \h </w:instrText>
            </w:r>
            <w:r w:rsidR="00FB1BFB">
              <w:rPr>
                <w:noProof/>
                <w:webHidden/>
              </w:rPr>
            </w:r>
            <w:r w:rsidR="00FB1BFB">
              <w:rPr>
                <w:noProof/>
                <w:webHidden/>
              </w:rPr>
              <w:fldChar w:fldCharType="separate"/>
            </w:r>
            <w:r w:rsidR="00FB1BFB">
              <w:rPr>
                <w:noProof/>
                <w:webHidden/>
              </w:rPr>
              <w:t>16</w:t>
            </w:r>
            <w:r w:rsidR="00FB1BFB">
              <w:rPr>
                <w:noProof/>
                <w:webHidden/>
              </w:rPr>
              <w:fldChar w:fldCharType="end"/>
            </w:r>
          </w:hyperlink>
        </w:p>
        <w:p w14:paraId="62AD47F9" w14:textId="55535FFA" w:rsidR="00FB1BFB" w:rsidRDefault="00A9083D">
          <w:pPr>
            <w:pStyle w:val="TOC1"/>
            <w:tabs>
              <w:tab w:val="right" w:leader="dot" w:pos="8630"/>
            </w:tabs>
            <w:rPr>
              <w:rFonts w:asciiTheme="minorHAnsi" w:eastAsiaTheme="minorEastAsia" w:hAnsiTheme="minorHAnsi" w:cstheme="minorBidi"/>
              <w:noProof/>
            </w:rPr>
          </w:pPr>
          <w:hyperlink w:anchor="_Toc98870951" w:history="1">
            <w:r w:rsidR="00FB1BFB" w:rsidRPr="00D547F7">
              <w:rPr>
                <w:rStyle w:val="Hyperlink"/>
                <w:noProof/>
              </w:rPr>
              <w:t>Chapter Two: Environmental Data Analysis</w:t>
            </w:r>
            <w:r w:rsidR="00FB1BFB">
              <w:rPr>
                <w:noProof/>
                <w:webHidden/>
              </w:rPr>
              <w:tab/>
            </w:r>
            <w:r w:rsidR="00FB1BFB">
              <w:rPr>
                <w:noProof/>
                <w:webHidden/>
              </w:rPr>
              <w:fldChar w:fldCharType="begin"/>
            </w:r>
            <w:r w:rsidR="00FB1BFB">
              <w:rPr>
                <w:noProof/>
                <w:webHidden/>
              </w:rPr>
              <w:instrText xml:space="preserve"> PAGEREF _Toc98870951 \h </w:instrText>
            </w:r>
            <w:r w:rsidR="00FB1BFB">
              <w:rPr>
                <w:noProof/>
                <w:webHidden/>
              </w:rPr>
            </w:r>
            <w:r w:rsidR="00FB1BFB">
              <w:rPr>
                <w:noProof/>
                <w:webHidden/>
              </w:rPr>
              <w:fldChar w:fldCharType="separate"/>
            </w:r>
            <w:r w:rsidR="00FB1BFB">
              <w:rPr>
                <w:noProof/>
                <w:webHidden/>
              </w:rPr>
              <w:t>17</w:t>
            </w:r>
            <w:r w:rsidR="00FB1BFB">
              <w:rPr>
                <w:noProof/>
                <w:webHidden/>
              </w:rPr>
              <w:fldChar w:fldCharType="end"/>
            </w:r>
          </w:hyperlink>
        </w:p>
        <w:p w14:paraId="2CAF0063" w14:textId="6C72E684" w:rsidR="00FB1BFB" w:rsidRDefault="00A9083D">
          <w:pPr>
            <w:pStyle w:val="TOC2"/>
            <w:tabs>
              <w:tab w:val="right" w:leader="dot" w:pos="8630"/>
            </w:tabs>
            <w:rPr>
              <w:rFonts w:asciiTheme="minorHAnsi" w:eastAsiaTheme="minorEastAsia" w:hAnsiTheme="minorHAnsi" w:cstheme="minorBidi"/>
              <w:noProof/>
            </w:rPr>
          </w:pPr>
          <w:hyperlink w:anchor="_Toc98870952" w:history="1">
            <w:r w:rsidR="00FB1BFB" w:rsidRPr="00D547F7">
              <w:rPr>
                <w:rStyle w:val="Hyperlink"/>
                <w:noProof/>
              </w:rPr>
              <w:t>Lake Erie and Environmental Data</w:t>
            </w:r>
            <w:r w:rsidR="00FB1BFB">
              <w:rPr>
                <w:noProof/>
                <w:webHidden/>
              </w:rPr>
              <w:tab/>
            </w:r>
            <w:r w:rsidR="00FB1BFB">
              <w:rPr>
                <w:noProof/>
                <w:webHidden/>
              </w:rPr>
              <w:fldChar w:fldCharType="begin"/>
            </w:r>
            <w:r w:rsidR="00FB1BFB">
              <w:rPr>
                <w:noProof/>
                <w:webHidden/>
              </w:rPr>
              <w:instrText xml:space="preserve"> PAGEREF _Toc98870952 \h </w:instrText>
            </w:r>
            <w:r w:rsidR="00FB1BFB">
              <w:rPr>
                <w:noProof/>
                <w:webHidden/>
              </w:rPr>
            </w:r>
            <w:r w:rsidR="00FB1BFB">
              <w:rPr>
                <w:noProof/>
                <w:webHidden/>
              </w:rPr>
              <w:fldChar w:fldCharType="separate"/>
            </w:r>
            <w:r w:rsidR="00FB1BFB">
              <w:rPr>
                <w:noProof/>
                <w:webHidden/>
              </w:rPr>
              <w:t>17</w:t>
            </w:r>
            <w:r w:rsidR="00FB1BFB">
              <w:rPr>
                <w:noProof/>
                <w:webHidden/>
              </w:rPr>
              <w:fldChar w:fldCharType="end"/>
            </w:r>
          </w:hyperlink>
        </w:p>
        <w:p w14:paraId="50AEA324" w14:textId="54EBFC4B" w:rsidR="00FB1BFB" w:rsidRDefault="00A9083D">
          <w:pPr>
            <w:pStyle w:val="TOC2"/>
            <w:tabs>
              <w:tab w:val="right" w:leader="dot" w:pos="8630"/>
            </w:tabs>
            <w:rPr>
              <w:rFonts w:asciiTheme="minorHAnsi" w:eastAsiaTheme="minorEastAsia" w:hAnsiTheme="minorHAnsi" w:cstheme="minorBidi"/>
              <w:noProof/>
            </w:rPr>
          </w:pPr>
          <w:hyperlink w:anchor="_Toc98870953" w:history="1">
            <w:r w:rsidR="00FB1BFB" w:rsidRPr="00D547F7">
              <w:rPr>
                <w:rStyle w:val="Hyperlink"/>
                <w:noProof/>
              </w:rPr>
              <w:t>Inter-annual Data Analysis</w:t>
            </w:r>
            <w:r w:rsidR="00FB1BFB">
              <w:rPr>
                <w:noProof/>
                <w:webHidden/>
              </w:rPr>
              <w:tab/>
            </w:r>
            <w:r w:rsidR="00FB1BFB">
              <w:rPr>
                <w:noProof/>
                <w:webHidden/>
              </w:rPr>
              <w:fldChar w:fldCharType="begin"/>
            </w:r>
            <w:r w:rsidR="00FB1BFB">
              <w:rPr>
                <w:noProof/>
                <w:webHidden/>
              </w:rPr>
              <w:instrText xml:space="preserve"> PAGEREF _Toc98870953 \h </w:instrText>
            </w:r>
            <w:r w:rsidR="00FB1BFB">
              <w:rPr>
                <w:noProof/>
                <w:webHidden/>
              </w:rPr>
            </w:r>
            <w:r w:rsidR="00FB1BFB">
              <w:rPr>
                <w:noProof/>
                <w:webHidden/>
              </w:rPr>
              <w:fldChar w:fldCharType="separate"/>
            </w:r>
            <w:r w:rsidR="00FB1BFB">
              <w:rPr>
                <w:noProof/>
                <w:webHidden/>
              </w:rPr>
              <w:t>22</w:t>
            </w:r>
            <w:r w:rsidR="00FB1BFB">
              <w:rPr>
                <w:noProof/>
                <w:webHidden/>
              </w:rPr>
              <w:fldChar w:fldCharType="end"/>
            </w:r>
          </w:hyperlink>
        </w:p>
        <w:p w14:paraId="56B5795D" w14:textId="464CA096" w:rsidR="00FB1BFB" w:rsidRDefault="00A9083D">
          <w:pPr>
            <w:pStyle w:val="TOC2"/>
            <w:tabs>
              <w:tab w:val="right" w:leader="dot" w:pos="8630"/>
            </w:tabs>
            <w:rPr>
              <w:rFonts w:asciiTheme="minorHAnsi" w:eastAsiaTheme="minorEastAsia" w:hAnsiTheme="minorHAnsi" w:cstheme="minorBidi"/>
              <w:noProof/>
            </w:rPr>
          </w:pPr>
          <w:hyperlink w:anchor="_Toc98870954" w:history="1">
            <w:r w:rsidR="00FB1BFB" w:rsidRPr="00D547F7">
              <w:rPr>
                <w:rStyle w:val="Hyperlink"/>
                <w:noProof/>
              </w:rPr>
              <w:t>Intra-annual Variability</w:t>
            </w:r>
            <w:r w:rsidR="00FB1BFB">
              <w:rPr>
                <w:noProof/>
                <w:webHidden/>
              </w:rPr>
              <w:tab/>
            </w:r>
            <w:r w:rsidR="00FB1BFB">
              <w:rPr>
                <w:noProof/>
                <w:webHidden/>
              </w:rPr>
              <w:fldChar w:fldCharType="begin"/>
            </w:r>
            <w:r w:rsidR="00FB1BFB">
              <w:rPr>
                <w:noProof/>
                <w:webHidden/>
              </w:rPr>
              <w:instrText xml:space="preserve"> PAGEREF _Toc98870954 \h </w:instrText>
            </w:r>
            <w:r w:rsidR="00FB1BFB">
              <w:rPr>
                <w:noProof/>
                <w:webHidden/>
              </w:rPr>
            </w:r>
            <w:r w:rsidR="00FB1BFB">
              <w:rPr>
                <w:noProof/>
                <w:webHidden/>
              </w:rPr>
              <w:fldChar w:fldCharType="separate"/>
            </w:r>
            <w:r w:rsidR="00FB1BFB">
              <w:rPr>
                <w:noProof/>
                <w:webHidden/>
              </w:rPr>
              <w:t>25</w:t>
            </w:r>
            <w:r w:rsidR="00FB1BFB">
              <w:rPr>
                <w:noProof/>
                <w:webHidden/>
              </w:rPr>
              <w:fldChar w:fldCharType="end"/>
            </w:r>
          </w:hyperlink>
        </w:p>
        <w:p w14:paraId="0AFDC419" w14:textId="04621168" w:rsidR="00FB1BFB" w:rsidRDefault="00A9083D">
          <w:pPr>
            <w:pStyle w:val="TOC1"/>
            <w:tabs>
              <w:tab w:val="right" w:leader="dot" w:pos="8630"/>
            </w:tabs>
            <w:rPr>
              <w:rFonts w:asciiTheme="minorHAnsi" w:eastAsiaTheme="minorEastAsia" w:hAnsiTheme="minorHAnsi" w:cstheme="minorBidi"/>
              <w:noProof/>
            </w:rPr>
          </w:pPr>
          <w:hyperlink r:id="rId8" w:anchor="_Toc98870955" w:history="1">
            <w:r w:rsidR="00FB1BFB" w:rsidRPr="00D547F7">
              <w:rPr>
                <w:rStyle w:val="Hyperlink"/>
                <w:rFonts w:eastAsiaTheme="majorEastAsia" w:cstheme="majorBidi"/>
                <w:iCs/>
                <w:noProof/>
              </w:rPr>
              <w:t>Table 2.1: Concentrations Ratio Table</w:t>
            </w:r>
            <w:r w:rsidR="00FB1BFB">
              <w:rPr>
                <w:noProof/>
                <w:webHidden/>
              </w:rPr>
              <w:tab/>
            </w:r>
            <w:r w:rsidR="00FB1BFB">
              <w:rPr>
                <w:noProof/>
                <w:webHidden/>
              </w:rPr>
              <w:fldChar w:fldCharType="begin"/>
            </w:r>
            <w:r w:rsidR="00FB1BFB">
              <w:rPr>
                <w:noProof/>
                <w:webHidden/>
              </w:rPr>
              <w:instrText xml:space="preserve"> PAGEREF _Toc98870955 \h </w:instrText>
            </w:r>
            <w:r w:rsidR="00FB1BFB">
              <w:rPr>
                <w:noProof/>
                <w:webHidden/>
              </w:rPr>
            </w:r>
            <w:r w:rsidR="00FB1BFB">
              <w:rPr>
                <w:noProof/>
                <w:webHidden/>
              </w:rPr>
              <w:fldChar w:fldCharType="separate"/>
            </w:r>
            <w:r w:rsidR="00FB1BFB">
              <w:rPr>
                <w:noProof/>
                <w:webHidden/>
              </w:rPr>
              <w:t>29</w:t>
            </w:r>
            <w:r w:rsidR="00FB1BFB">
              <w:rPr>
                <w:noProof/>
                <w:webHidden/>
              </w:rPr>
              <w:fldChar w:fldCharType="end"/>
            </w:r>
          </w:hyperlink>
        </w:p>
        <w:p w14:paraId="4458A85B" w14:textId="5F8F9D6D" w:rsidR="00FB1BFB" w:rsidRDefault="00A9083D">
          <w:pPr>
            <w:pStyle w:val="TOC1"/>
            <w:tabs>
              <w:tab w:val="right" w:leader="dot" w:pos="8630"/>
            </w:tabs>
            <w:rPr>
              <w:rFonts w:asciiTheme="minorHAnsi" w:eastAsiaTheme="minorEastAsia" w:hAnsiTheme="minorHAnsi" w:cstheme="minorBidi"/>
              <w:noProof/>
            </w:rPr>
          </w:pPr>
          <w:hyperlink w:anchor="_Toc98870956" w:history="1">
            <w:r w:rsidR="00FB1BFB" w:rsidRPr="00D547F7">
              <w:rPr>
                <w:rStyle w:val="Hyperlink"/>
                <w:noProof/>
              </w:rPr>
              <w:t>Chapter Three: Theoretical Food-Web Modeling, Nutrient Concentration, and Temperature Study</w:t>
            </w:r>
            <w:r w:rsidR="00FB1BFB">
              <w:rPr>
                <w:noProof/>
                <w:webHidden/>
              </w:rPr>
              <w:tab/>
            </w:r>
            <w:r w:rsidR="00FB1BFB">
              <w:rPr>
                <w:noProof/>
                <w:webHidden/>
              </w:rPr>
              <w:fldChar w:fldCharType="begin"/>
            </w:r>
            <w:r w:rsidR="00FB1BFB">
              <w:rPr>
                <w:noProof/>
                <w:webHidden/>
              </w:rPr>
              <w:instrText xml:space="preserve"> PAGEREF _Toc98870956 \h </w:instrText>
            </w:r>
            <w:r w:rsidR="00FB1BFB">
              <w:rPr>
                <w:noProof/>
                <w:webHidden/>
              </w:rPr>
            </w:r>
            <w:r w:rsidR="00FB1BFB">
              <w:rPr>
                <w:noProof/>
                <w:webHidden/>
              </w:rPr>
              <w:fldChar w:fldCharType="separate"/>
            </w:r>
            <w:r w:rsidR="00FB1BFB">
              <w:rPr>
                <w:noProof/>
                <w:webHidden/>
              </w:rPr>
              <w:t>32</w:t>
            </w:r>
            <w:r w:rsidR="00FB1BFB">
              <w:rPr>
                <w:noProof/>
                <w:webHidden/>
              </w:rPr>
              <w:fldChar w:fldCharType="end"/>
            </w:r>
          </w:hyperlink>
        </w:p>
        <w:p w14:paraId="183F8A85" w14:textId="2D6D2127" w:rsidR="00FB1BFB" w:rsidRDefault="00A9083D">
          <w:pPr>
            <w:pStyle w:val="TOC2"/>
            <w:tabs>
              <w:tab w:val="right" w:leader="dot" w:pos="8630"/>
            </w:tabs>
            <w:rPr>
              <w:rFonts w:asciiTheme="minorHAnsi" w:eastAsiaTheme="minorEastAsia" w:hAnsiTheme="minorHAnsi" w:cstheme="minorBidi"/>
              <w:noProof/>
            </w:rPr>
          </w:pPr>
          <w:hyperlink w:anchor="_Toc98870957" w:history="1">
            <w:r w:rsidR="00FB1BFB" w:rsidRPr="00D547F7">
              <w:rPr>
                <w:rStyle w:val="Hyperlink"/>
                <w:noProof/>
              </w:rPr>
              <w:t>The Model</w:t>
            </w:r>
            <w:r w:rsidR="00FB1BFB">
              <w:rPr>
                <w:noProof/>
                <w:webHidden/>
              </w:rPr>
              <w:tab/>
            </w:r>
            <w:r w:rsidR="00FB1BFB">
              <w:rPr>
                <w:noProof/>
                <w:webHidden/>
              </w:rPr>
              <w:fldChar w:fldCharType="begin"/>
            </w:r>
            <w:r w:rsidR="00FB1BFB">
              <w:rPr>
                <w:noProof/>
                <w:webHidden/>
              </w:rPr>
              <w:instrText xml:space="preserve"> PAGEREF _Toc98870957 \h </w:instrText>
            </w:r>
            <w:r w:rsidR="00FB1BFB">
              <w:rPr>
                <w:noProof/>
                <w:webHidden/>
              </w:rPr>
            </w:r>
            <w:r w:rsidR="00FB1BFB">
              <w:rPr>
                <w:noProof/>
                <w:webHidden/>
              </w:rPr>
              <w:fldChar w:fldCharType="separate"/>
            </w:r>
            <w:r w:rsidR="00FB1BFB">
              <w:rPr>
                <w:noProof/>
                <w:webHidden/>
              </w:rPr>
              <w:t>32</w:t>
            </w:r>
            <w:r w:rsidR="00FB1BFB">
              <w:rPr>
                <w:noProof/>
                <w:webHidden/>
              </w:rPr>
              <w:fldChar w:fldCharType="end"/>
            </w:r>
          </w:hyperlink>
        </w:p>
        <w:p w14:paraId="58B1D387" w14:textId="27C0F81C" w:rsidR="00FB1BFB" w:rsidRDefault="00A9083D">
          <w:pPr>
            <w:pStyle w:val="TOC2"/>
            <w:tabs>
              <w:tab w:val="right" w:leader="dot" w:pos="8630"/>
            </w:tabs>
            <w:rPr>
              <w:rFonts w:asciiTheme="minorHAnsi" w:eastAsiaTheme="minorEastAsia" w:hAnsiTheme="minorHAnsi" w:cstheme="minorBidi"/>
              <w:noProof/>
            </w:rPr>
          </w:pPr>
          <w:hyperlink w:anchor="_Toc98870958" w:history="1">
            <w:r w:rsidR="00FB1BFB" w:rsidRPr="00D547F7">
              <w:rPr>
                <w:rStyle w:val="Hyperlink"/>
                <w:noProof/>
              </w:rPr>
              <w:t>Methods</w:t>
            </w:r>
            <w:r w:rsidR="00FB1BFB">
              <w:rPr>
                <w:noProof/>
                <w:webHidden/>
              </w:rPr>
              <w:tab/>
            </w:r>
            <w:r w:rsidR="00FB1BFB">
              <w:rPr>
                <w:noProof/>
                <w:webHidden/>
              </w:rPr>
              <w:fldChar w:fldCharType="begin"/>
            </w:r>
            <w:r w:rsidR="00FB1BFB">
              <w:rPr>
                <w:noProof/>
                <w:webHidden/>
              </w:rPr>
              <w:instrText xml:space="preserve"> PAGEREF _Toc98870958 \h </w:instrText>
            </w:r>
            <w:r w:rsidR="00FB1BFB">
              <w:rPr>
                <w:noProof/>
                <w:webHidden/>
              </w:rPr>
            </w:r>
            <w:r w:rsidR="00FB1BFB">
              <w:rPr>
                <w:noProof/>
                <w:webHidden/>
              </w:rPr>
              <w:fldChar w:fldCharType="separate"/>
            </w:r>
            <w:r w:rsidR="00FB1BFB">
              <w:rPr>
                <w:noProof/>
                <w:webHidden/>
              </w:rPr>
              <w:t>36</w:t>
            </w:r>
            <w:r w:rsidR="00FB1BFB">
              <w:rPr>
                <w:noProof/>
                <w:webHidden/>
              </w:rPr>
              <w:fldChar w:fldCharType="end"/>
            </w:r>
          </w:hyperlink>
        </w:p>
        <w:p w14:paraId="390CB943" w14:textId="73778C01" w:rsidR="00FB1BFB" w:rsidRDefault="00A9083D">
          <w:pPr>
            <w:pStyle w:val="TOC2"/>
            <w:tabs>
              <w:tab w:val="right" w:leader="dot" w:pos="8630"/>
            </w:tabs>
            <w:rPr>
              <w:rFonts w:asciiTheme="minorHAnsi" w:eastAsiaTheme="minorEastAsia" w:hAnsiTheme="minorHAnsi" w:cstheme="minorBidi"/>
              <w:noProof/>
            </w:rPr>
          </w:pPr>
          <w:hyperlink w:anchor="_Toc98870959" w:history="1">
            <w:r w:rsidR="00FB1BFB" w:rsidRPr="00D547F7">
              <w:rPr>
                <w:rStyle w:val="Hyperlink"/>
                <w:noProof/>
              </w:rPr>
              <w:t>Results and Discussions</w:t>
            </w:r>
            <w:r w:rsidR="00FB1BFB">
              <w:rPr>
                <w:noProof/>
                <w:webHidden/>
              </w:rPr>
              <w:tab/>
            </w:r>
            <w:r w:rsidR="00FB1BFB">
              <w:rPr>
                <w:noProof/>
                <w:webHidden/>
              </w:rPr>
              <w:fldChar w:fldCharType="begin"/>
            </w:r>
            <w:r w:rsidR="00FB1BFB">
              <w:rPr>
                <w:noProof/>
                <w:webHidden/>
              </w:rPr>
              <w:instrText xml:space="preserve"> PAGEREF _Toc98870959 \h </w:instrText>
            </w:r>
            <w:r w:rsidR="00FB1BFB">
              <w:rPr>
                <w:noProof/>
                <w:webHidden/>
              </w:rPr>
            </w:r>
            <w:r w:rsidR="00FB1BFB">
              <w:rPr>
                <w:noProof/>
                <w:webHidden/>
              </w:rPr>
              <w:fldChar w:fldCharType="separate"/>
            </w:r>
            <w:r w:rsidR="00FB1BFB">
              <w:rPr>
                <w:noProof/>
                <w:webHidden/>
              </w:rPr>
              <w:t>36</w:t>
            </w:r>
            <w:r w:rsidR="00FB1BFB">
              <w:rPr>
                <w:noProof/>
                <w:webHidden/>
              </w:rPr>
              <w:fldChar w:fldCharType="end"/>
            </w:r>
          </w:hyperlink>
        </w:p>
        <w:p w14:paraId="382C034D" w14:textId="35CB6DB3" w:rsidR="00FB1BFB" w:rsidRDefault="00A9083D">
          <w:pPr>
            <w:pStyle w:val="TOC2"/>
            <w:tabs>
              <w:tab w:val="right" w:leader="dot" w:pos="8630"/>
            </w:tabs>
            <w:rPr>
              <w:rFonts w:asciiTheme="minorHAnsi" w:eastAsiaTheme="minorEastAsia" w:hAnsiTheme="minorHAnsi" w:cstheme="minorBidi"/>
              <w:noProof/>
            </w:rPr>
          </w:pPr>
          <w:hyperlink w:anchor="_Toc98870960" w:history="1">
            <w:r w:rsidR="00FB1BFB" w:rsidRPr="00D547F7">
              <w:rPr>
                <w:rStyle w:val="Hyperlink"/>
                <w:noProof/>
              </w:rPr>
              <w:t>Temperature impacts</w:t>
            </w:r>
            <w:r w:rsidR="00FB1BFB">
              <w:rPr>
                <w:noProof/>
                <w:webHidden/>
              </w:rPr>
              <w:tab/>
            </w:r>
            <w:r w:rsidR="00FB1BFB">
              <w:rPr>
                <w:noProof/>
                <w:webHidden/>
              </w:rPr>
              <w:fldChar w:fldCharType="begin"/>
            </w:r>
            <w:r w:rsidR="00FB1BFB">
              <w:rPr>
                <w:noProof/>
                <w:webHidden/>
              </w:rPr>
              <w:instrText xml:space="preserve"> PAGEREF _Toc98870960 \h </w:instrText>
            </w:r>
            <w:r w:rsidR="00FB1BFB">
              <w:rPr>
                <w:noProof/>
                <w:webHidden/>
              </w:rPr>
            </w:r>
            <w:r w:rsidR="00FB1BFB">
              <w:rPr>
                <w:noProof/>
                <w:webHidden/>
              </w:rPr>
              <w:fldChar w:fldCharType="separate"/>
            </w:r>
            <w:r w:rsidR="00FB1BFB">
              <w:rPr>
                <w:noProof/>
                <w:webHidden/>
              </w:rPr>
              <w:t>43</w:t>
            </w:r>
            <w:r w:rsidR="00FB1BFB">
              <w:rPr>
                <w:noProof/>
                <w:webHidden/>
              </w:rPr>
              <w:fldChar w:fldCharType="end"/>
            </w:r>
          </w:hyperlink>
        </w:p>
        <w:p w14:paraId="0B877126" w14:textId="188ACF17" w:rsidR="00FB1BFB" w:rsidRDefault="00A9083D">
          <w:pPr>
            <w:pStyle w:val="TOC1"/>
            <w:tabs>
              <w:tab w:val="right" w:leader="dot" w:pos="8630"/>
            </w:tabs>
            <w:rPr>
              <w:rFonts w:asciiTheme="minorHAnsi" w:eastAsiaTheme="minorEastAsia" w:hAnsiTheme="minorHAnsi" w:cstheme="minorBidi"/>
              <w:noProof/>
            </w:rPr>
          </w:pPr>
          <w:hyperlink w:anchor="_Toc98870961" w:history="1">
            <w:r w:rsidR="00FB1BFB" w:rsidRPr="00D547F7">
              <w:rPr>
                <w:rStyle w:val="Hyperlink"/>
                <w:noProof/>
              </w:rPr>
              <w:t>Chapter Four: Discussion</w:t>
            </w:r>
            <w:r w:rsidR="00FB1BFB">
              <w:rPr>
                <w:noProof/>
                <w:webHidden/>
              </w:rPr>
              <w:tab/>
            </w:r>
            <w:r w:rsidR="00FB1BFB">
              <w:rPr>
                <w:noProof/>
                <w:webHidden/>
              </w:rPr>
              <w:fldChar w:fldCharType="begin"/>
            </w:r>
            <w:r w:rsidR="00FB1BFB">
              <w:rPr>
                <w:noProof/>
                <w:webHidden/>
              </w:rPr>
              <w:instrText xml:space="preserve"> PAGEREF _Toc98870961 \h </w:instrText>
            </w:r>
            <w:r w:rsidR="00FB1BFB">
              <w:rPr>
                <w:noProof/>
                <w:webHidden/>
              </w:rPr>
            </w:r>
            <w:r w:rsidR="00FB1BFB">
              <w:rPr>
                <w:noProof/>
                <w:webHidden/>
              </w:rPr>
              <w:fldChar w:fldCharType="separate"/>
            </w:r>
            <w:r w:rsidR="00FB1BFB">
              <w:rPr>
                <w:noProof/>
                <w:webHidden/>
              </w:rPr>
              <w:t>49</w:t>
            </w:r>
            <w:r w:rsidR="00FB1BFB">
              <w:rPr>
                <w:noProof/>
                <w:webHidden/>
              </w:rPr>
              <w:fldChar w:fldCharType="end"/>
            </w:r>
          </w:hyperlink>
        </w:p>
        <w:p w14:paraId="660C7FEA" w14:textId="4157FEBC" w:rsidR="00FB1BFB" w:rsidRDefault="00A9083D">
          <w:pPr>
            <w:pStyle w:val="TOC1"/>
            <w:tabs>
              <w:tab w:val="right" w:leader="dot" w:pos="8630"/>
            </w:tabs>
            <w:rPr>
              <w:rFonts w:asciiTheme="minorHAnsi" w:eastAsiaTheme="minorEastAsia" w:hAnsiTheme="minorHAnsi" w:cstheme="minorBidi"/>
              <w:noProof/>
            </w:rPr>
          </w:pPr>
          <w:hyperlink w:anchor="_Toc98870962" w:history="1">
            <w:r w:rsidR="00FB1BFB" w:rsidRPr="00D547F7">
              <w:rPr>
                <w:rStyle w:val="Hyperlink"/>
                <w:noProof/>
              </w:rPr>
              <w:t>List of References</w:t>
            </w:r>
            <w:r w:rsidR="00FB1BFB">
              <w:rPr>
                <w:noProof/>
                <w:webHidden/>
              </w:rPr>
              <w:tab/>
            </w:r>
            <w:r w:rsidR="00FB1BFB">
              <w:rPr>
                <w:noProof/>
                <w:webHidden/>
              </w:rPr>
              <w:fldChar w:fldCharType="begin"/>
            </w:r>
            <w:r w:rsidR="00FB1BFB">
              <w:rPr>
                <w:noProof/>
                <w:webHidden/>
              </w:rPr>
              <w:instrText xml:space="preserve"> PAGEREF _Toc98870962 \h </w:instrText>
            </w:r>
            <w:r w:rsidR="00FB1BFB">
              <w:rPr>
                <w:noProof/>
                <w:webHidden/>
              </w:rPr>
            </w:r>
            <w:r w:rsidR="00FB1BFB">
              <w:rPr>
                <w:noProof/>
                <w:webHidden/>
              </w:rPr>
              <w:fldChar w:fldCharType="separate"/>
            </w:r>
            <w:r w:rsidR="00FB1BFB">
              <w:rPr>
                <w:noProof/>
                <w:webHidden/>
              </w:rPr>
              <w:t>52</w:t>
            </w:r>
            <w:r w:rsidR="00FB1BFB">
              <w:rPr>
                <w:noProof/>
                <w:webHidden/>
              </w:rPr>
              <w:fldChar w:fldCharType="end"/>
            </w:r>
          </w:hyperlink>
        </w:p>
        <w:p w14:paraId="08942E4B" w14:textId="73DDD452" w:rsidR="00FB1BFB" w:rsidRDefault="00A9083D">
          <w:pPr>
            <w:pStyle w:val="TOC1"/>
            <w:tabs>
              <w:tab w:val="right" w:leader="dot" w:pos="8630"/>
            </w:tabs>
            <w:rPr>
              <w:rFonts w:asciiTheme="minorHAnsi" w:eastAsiaTheme="minorEastAsia" w:hAnsiTheme="minorHAnsi" w:cstheme="minorBidi"/>
              <w:noProof/>
            </w:rPr>
          </w:pPr>
          <w:hyperlink w:anchor="_Toc98870963" w:history="1">
            <w:r w:rsidR="00FB1BFB" w:rsidRPr="00D547F7">
              <w:rPr>
                <w:rStyle w:val="Hyperlink"/>
                <w:noProof/>
              </w:rPr>
              <w:t>Appendix</w:t>
            </w:r>
            <w:r w:rsidR="00FB1BFB">
              <w:rPr>
                <w:noProof/>
                <w:webHidden/>
              </w:rPr>
              <w:tab/>
            </w:r>
            <w:r w:rsidR="00FB1BFB">
              <w:rPr>
                <w:noProof/>
                <w:webHidden/>
              </w:rPr>
              <w:fldChar w:fldCharType="begin"/>
            </w:r>
            <w:r w:rsidR="00FB1BFB">
              <w:rPr>
                <w:noProof/>
                <w:webHidden/>
              </w:rPr>
              <w:instrText xml:space="preserve"> PAGEREF _Toc98870963 \h </w:instrText>
            </w:r>
            <w:r w:rsidR="00FB1BFB">
              <w:rPr>
                <w:noProof/>
                <w:webHidden/>
              </w:rPr>
            </w:r>
            <w:r w:rsidR="00FB1BFB">
              <w:rPr>
                <w:noProof/>
                <w:webHidden/>
              </w:rPr>
              <w:fldChar w:fldCharType="separate"/>
            </w:r>
            <w:r w:rsidR="00FB1BFB">
              <w:rPr>
                <w:noProof/>
                <w:webHidden/>
              </w:rPr>
              <w:t>61</w:t>
            </w:r>
            <w:r w:rsidR="00FB1BFB">
              <w:rPr>
                <w:noProof/>
                <w:webHidden/>
              </w:rPr>
              <w:fldChar w:fldCharType="end"/>
            </w:r>
          </w:hyperlink>
        </w:p>
        <w:p w14:paraId="37C0B782" w14:textId="077DC155" w:rsidR="00FB1BFB" w:rsidRDefault="00A9083D">
          <w:pPr>
            <w:pStyle w:val="TOC2"/>
            <w:tabs>
              <w:tab w:val="right" w:leader="dot" w:pos="8630"/>
            </w:tabs>
            <w:rPr>
              <w:rFonts w:asciiTheme="minorHAnsi" w:eastAsiaTheme="minorEastAsia" w:hAnsiTheme="minorHAnsi" w:cstheme="minorBidi"/>
              <w:noProof/>
            </w:rPr>
          </w:pPr>
          <w:hyperlink w:anchor="_Toc98870964" w:history="1">
            <w:r w:rsidR="00FB1BFB" w:rsidRPr="00D547F7">
              <w:rPr>
                <w:rStyle w:val="Hyperlink"/>
                <w:noProof/>
              </w:rPr>
              <w:t>Steady State Solutions</w:t>
            </w:r>
            <w:r w:rsidR="00FB1BFB">
              <w:rPr>
                <w:noProof/>
                <w:webHidden/>
              </w:rPr>
              <w:tab/>
            </w:r>
            <w:r w:rsidR="00FB1BFB">
              <w:rPr>
                <w:noProof/>
                <w:webHidden/>
              </w:rPr>
              <w:fldChar w:fldCharType="begin"/>
            </w:r>
            <w:r w:rsidR="00FB1BFB">
              <w:rPr>
                <w:noProof/>
                <w:webHidden/>
              </w:rPr>
              <w:instrText xml:space="preserve"> PAGEREF _Toc98870964 \h </w:instrText>
            </w:r>
            <w:r w:rsidR="00FB1BFB">
              <w:rPr>
                <w:noProof/>
                <w:webHidden/>
              </w:rPr>
            </w:r>
            <w:r w:rsidR="00FB1BFB">
              <w:rPr>
                <w:noProof/>
                <w:webHidden/>
              </w:rPr>
              <w:fldChar w:fldCharType="separate"/>
            </w:r>
            <w:r w:rsidR="00FB1BFB">
              <w:rPr>
                <w:noProof/>
                <w:webHidden/>
              </w:rPr>
              <w:t>63</w:t>
            </w:r>
            <w:r w:rsidR="00FB1BFB">
              <w:rPr>
                <w:noProof/>
                <w:webHidden/>
              </w:rPr>
              <w:fldChar w:fldCharType="end"/>
            </w:r>
          </w:hyperlink>
        </w:p>
        <w:p w14:paraId="774CBBE8" w14:textId="27B9278B" w:rsidR="00FB1BFB" w:rsidRDefault="00A9083D">
          <w:pPr>
            <w:pStyle w:val="TOC1"/>
            <w:tabs>
              <w:tab w:val="right" w:leader="dot" w:pos="8630"/>
            </w:tabs>
            <w:rPr>
              <w:rFonts w:asciiTheme="minorHAnsi" w:eastAsiaTheme="minorEastAsia" w:hAnsiTheme="minorHAnsi" w:cstheme="minorBidi"/>
              <w:noProof/>
            </w:rPr>
          </w:pPr>
          <w:hyperlink w:anchor="_Toc98870965" w:history="1">
            <w:r w:rsidR="00FB1BFB" w:rsidRPr="00D547F7">
              <w:rPr>
                <w:rStyle w:val="Hyperlink"/>
                <w:noProof/>
              </w:rPr>
              <w:t>Vita</w:t>
            </w:r>
            <w:r w:rsidR="00FB1BFB">
              <w:rPr>
                <w:noProof/>
                <w:webHidden/>
              </w:rPr>
              <w:tab/>
            </w:r>
            <w:r w:rsidR="00FB1BFB">
              <w:rPr>
                <w:noProof/>
                <w:webHidden/>
              </w:rPr>
              <w:fldChar w:fldCharType="begin"/>
            </w:r>
            <w:r w:rsidR="00FB1BFB">
              <w:rPr>
                <w:noProof/>
                <w:webHidden/>
              </w:rPr>
              <w:instrText xml:space="preserve"> PAGEREF _Toc98870965 \h </w:instrText>
            </w:r>
            <w:r w:rsidR="00FB1BFB">
              <w:rPr>
                <w:noProof/>
                <w:webHidden/>
              </w:rPr>
            </w:r>
            <w:r w:rsidR="00FB1BFB">
              <w:rPr>
                <w:noProof/>
                <w:webHidden/>
              </w:rPr>
              <w:fldChar w:fldCharType="separate"/>
            </w:r>
            <w:r w:rsidR="00FB1BFB">
              <w:rPr>
                <w:noProof/>
                <w:webHidden/>
              </w:rPr>
              <w:t>73</w:t>
            </w:r>
            <w:r w:rsidR="00FB1BFB">
              <w:rPr>
                <w:noProof/>
                <w:webHidden/>
              </w:rPr>
              <w:fldChar w:fldCharType="end"/>
            </w:r>
          </w:hyperlink>
        </w:p>
        <w:p w14:paraId="04ECEDB5" w14:textId="55D1B0A3" w:rsidR="00CE4BD1" w:rsidRDefault="00CE4BD1" w:rsidP="00CE4BD1">
          <w:pPr>
            <w:rPr>
              <w:bCs/>
              <w:noProof/>
            </w:rPr>
          </w:pPr>
          <w:r w:rsidRPr="007F5B61">
            <w:rPr>
              <w:b/>
              <w:bCs/>
              <w:noProof/>
            </w:rPr>
            <w:fldChar w:fldCharType="end"/>
          </w:r>
        </w:p>
      </w:sdtContent>
    </w:sdt>
    <w:p w14:paraId="56313154" w14:textId="1EB66824" w:rsidR="00373966" w:rsidRDefault="00621022" w:rsidP="00D248B3">
      <w:pPr>
        <w:pStyle w:val="TOCHeading"/>
        <w:jc w:val="left"/>
      </w:pPr>
      <w:r>
        <w:br w:type="page"/>
      </w:r>
    </w:p>
    <w:p w14:paraId="39F84131" w14:textId="03847E63" w:rsidR="00373966" w:rsidRDefault="00373966" w:rsidP="00373966">
      <w:pPr>
        <w:numPr>
          <w:ilvl w:val="12"/>
          <w:numId w:val="0"/>
        </w:numPr>
        <w:jc w:val="center"/>
        <w:rPr>
          <w:b/>
          <w:bCs/>
          <w:sz w:val="28"/>
          <w:szCs w:val="28"/>
        </w:rPr>
      </w:pPr>
      <w:r>
        <w:rPr>
          <w:b/>
          <w:bCs/>
          <w:sz w:val="28"/>
          <w:szCs w:val="28"/>
        </w:rPr>
        <w:lastRenderedPageBreak/>
        <w:t>LIST OF TABLES</w:t>
      </w:r>
    </w:p>
    <w:p w14:paraId="0CF15909" w14:textId="77777777" w:rsidR="00A94E86" w:rsidRDefault="00A94E86" w:rsidP="00373966">
      <w:pPr>
        <w:numPr>
          <w:ilvl w:val="12"/>
          <w:numId w:val="0"/>
        </w:numPr>
        <w:jc w:val="center"/>
      </w:pPr>
    </w:p>
    <w:p w14:paraId="6AFA3DB1" w14:textId="6D03497C" w:rsidR="00D231DB" w:rsidRDefault="00D231DB">
      <w:pPr>
        <w:pStyle w:val="TableofFigures"/>
        <w:tabs>
          <w:tab w:val="right" w:leader="dot" w:pos="8630"/>
        </w:tabs>
        <w:rPr>
          <w:rFonts w:asciiTheme="minorHAnsi" w:eastAsiaTheme="minorEastAsia" w:hAnsiTheme="minorHAnsi" w:cstheme="minorBidi"/>
          <w:noProof/>
        </w:rPr>
      </w:pPr>
      <w:r>
        <w:rPr>
          <w:b/>
          <w:bCs/>
          <w:sz w:val="28"/>
          <w:szCs w:val="28"/>
        </w:rPr>
        <w:fldChar w:fldCharType="begin"/>
      </w:r>
      <w:r>
        <w:rPr>
          <w:b/>
          <w:bCs/>
          <w:sz w:val="28"/>
          <w:szCs w:val="28"/>
        </w:rPr>
        <w:instrText xml:space="preserve"> TOC \t "Heading 4" \c </w:instrText>
      </w:r>
      <w:r>
        <w:rPr>
          <w:b/>
          <w:bCs/>
          <w:sz w:val="28"/>
          <w:szCs w:val="28"/>
        </w:rPr>
        <w:fldChar w:fldCharType="separate"/>
      </w:r>
      <w:r>
        <w:rPr>
          <w:noProof/>
        </w:rPr>
        <w:t>Table 2.1: Concentrations Ratio Table</w:t>
      </w:r>
      <w:r>
        <w:rPr>
          <w:noProof/>
        </w:rPr>
        <w:tab/>
      </w:r>
      <w:r>
        <w:rPr>
          <w:noProof/>
        </w:rPr>
        <w:fldChar w:fldCharType="begin"/>
      </w:r>
      <w:r>
        <w:rPr>
          <w:noProof/>
        </w:rPr>
        <w:instrText xml:space="preserve"> PAGEREF _Toc98705426 \h </w:instrText>
      </w:r>
      <w:r>
        <w:rPr>
          <w:noProof/>
        </w:rPr>
      </w:r>
      <w:r>
        <w:rPr>
          <w:noProof/>
        </w:rPr>
        <w:fldChar w:fldCharType="separate"/>
      </w:r>
      <w:r>
        <w:rPr>
          <w:noProof/>
        </w:rPr>
        <w:t>29</w:t>
      </w:r>
      <w:r>
        <w:rPr>
          <w:noProof/>
        </w:rPr>
        <w:fldChar w:fldCharType="end"/>
      </w:r>
    </w:p>
    <w:p w14:paraId="1D1D96EE" w14:textId="1FE729F1" w:rsidR="00D231DB" w:rsidRDefault="00D231DB">
      <w:pPr>
        <w:pStyle w:val="TableofFigures"/>
        <w:tabs>
          <w:tab w:val="right" w:leader="dot" w:pos="8630"/>
        </w:tabs>
        <w:rPr>
          <w:rFonts w:asciiTheme="minorHAnsi" w:eastAsiaTheme="minorEastAsia" w:hAnsiTheme="minorHAnsi" w:cstheme="minorBidi"/>
          <w:noProof/>
        </w:rPr>
      </w:pPr>
      <w:r>
        <w:rPr>
          <w:noProof/>
        </w:rPr>
        <w:t>Table 3.1: Table of Symbols</w:t>
      </w:r>
      <w:r>
        <w:rPr>
          <w:noProof/>
        </w:rPr>
        <w:tab/>
      </w:r>
      <w:r>
        <w:rPr>
          <w:noProof/>
        </w:rPr>
        <w:fldChar w:fldCharType="begin"/>
      </w:r>
      <w:r>
        <w:rPr>
          <w:noProof/>
        </w:rPr>
        <w:instrText xml:space="preserve"> PAGEREF _Toc98705427 \h </w:instrText>
      </w:r>
      <w:r>
        <w:rPr>
          <w:noProof/>
        </w:rPr>
      </w:r>
      <w:r>
        <w:rPr>
          <w:noProof/>
        </w:rPr>
        <w:fldChar w:fldCharType="separate"/>
      </w:r>
      <w:r>
        <w:rPr>
          <w:noProof/>
        </w:rPr>
        <w:t>35</w:t>
      </w:r>
      <w:r>
        <w:rPr>
          <w:noProof/>
        </w:rPr>
        <w:fldChar w:fldCharType="end"/>
      </w:r>
    </w:p>
    <w:p w14:paraId="1333E408" w14:textId="137866C4" w:rsidR="00D231DB" w:rsidRDefault="00D231DB">
      <w:pPr>
        <w:pStyle w:val="TableofFigures"/>
        <w:tabs>
          <w:tab w:val="right" w:leader="dot" w:pos="8630"/>
        </w:tabs>
        <w:rPr>
          <w:rFonts w:asciiTheme="minorHAnsi" w:eastAsiaTheme="minorEastAsia" w:hAnsiTheme="minorHAnsi" w:cstheme="minorBidi"/>
          <w:noProof/>
        </w:rPr>
      </w:pPr>
      <w:r>
        <w:rPr>
          <w:noProof/>
        </w:rPr>
        <w:t>Table 3.2: Table of Parameter Values</w:t>
      </w:r>
      <w:r>
        <w:rPr>
          <w:noProof/>
        </w:rPr>
        <w:tab/>
      </w:r>
      <w:r>
        <w:rPr>
          <w:noProof/>
        </w:rPr>
        <w:fldChar w:fldCharType="begin"/>
      </w:r>
      <w:r>
        <w:rPr>
          <w:noProof/>
        </w:rPr>
        <w:instrText xml:space="preserve"> PAGEREF _Toc98705428 \h </w:instrText>
      </w:r>
      <w:r>
        <w:rPr>
          <w:noProof/>
        </w:rPr>
      </w:r>
      <w:r>
        <w:rPr>
          <w:noProof/>
        </w:rPr>
        <w:fldChar w:fldCharType="separate"/>
      </w:r>
      <w:r>
        <w:rPr>
          <w:noProof/>
        </w:rPr>
        <w:t>37</w:t>
      </w:r>
      <w:r>
        <w:rPr>
          <w:noProof/>
        </w:rPr>
        <w:fldChar w:fldCharType="end"/>
      </w:r>
    </w:p>
    <w:p w14:paraId="3A6D600E" w14:textId="48BFC9E4" w:rsidR="007774F4" w:rsidRDefault="00D231DB" w:rsidP="00373966">
      <w:pPr>
        <w:spacing w:line="480" w:lineRule="auto"/>
        <w:jc w:val="both"/>
        <w:rPr>
          <w:b/>
          <w:bCs/>
          <w:sz w:val="28"/>
          <w:szCs w:val="28"/>
        </w:rPr>
      </w:pPr>
      <w:r>
        <w:rPr>
          <w:b/>
          <w:bCs/>
          <w:sz w:val="28"/>
          <w:szCs w:val="28"/>
        </w:rPr>
        <w:fldChar w:fldCharType="end"/>
      </w:r>
    </w:p>
    <w:p w14:paraId="72D2F123" w14:textId="77777777" w:rsidR="00025307" w:rsidRPr="00025307" w:rsidRDefault="00025307" w:rsidP="00025307">
      <w:pPr>
        <w:rPr>
          <w:sz w:val="28"/>
          <w:szCs w:val="28"/>
        </w:rPr>
      </w:pPr>
    </w:p>
    <w:p w14:paraId="59264164" w14:textId="77777777" w:rsidR="00025307" w:rsidRDefault="00025307" w:rsidP="00025307">
      <w:pPr>
        <w:rPr>
          <w:b/>
          <w:bCs/>
          <w:sz w:val="28"/>
          <w:szCs w:val="28"/>
        </w:rPr>
      </w:pPr>
    </w:p>
    <w:p w14:paraId="56B04A7F" w14:textId="368C9906" w:rsidR="00025307" w:rsidRDefault="00025307" w:rsidP="00025307">
      <w:pPr>
        <w:jc w:val="center"/>
        <w:rPr>
          <w:b/>
          <w:bCs/>
          <w:sz w:val="28"/>
          <w:szCs w:val="28"/>
        </w:rPr>
      </w:pPr>
      <w:r>
        <w:rPr>
          <w:b/>
          <w:bCs/>
          <w:sz w:val="28"/>
          <w:szCs w:val="28"/>
        </w:rPr>
        <w:br w:type="page"/>
      </w:r>
      <w:r>
        <w:rPr>
          <w:b/>
          <w:bCs/>
          <w:sz w:val="28"/>
          <w:szCs w:val="28"/>
        </w:rPr>
        <w:lastRenderedPageBreak/>
        <w:t>LIST OF FIGURES</w:t>
      </w:r>
    </w:p>
    <w:p w14:paraId="4AD73A32" w14:textId="3DE060CA" w:rsidR="00025307" w:rsidRDefault="00025307" w:rsidP="00025307">
      <w:pPr>
        <w:jc w:val="center"/>
        <w:rPr>
          <w:b/>
          <w:bCs/>
          <w:sz w:val="28"/>
          <w:szCs w:val="28"/>
        </w:rPr>
      </w:pPr>
    </w:p>
    <w:p w14:paraId="5AC22EA4" w14:textId="70CA2DEC" w:rsidR="00E03550" w:rsidRDefault="00E03550">
      <w:pPr>
        <w:pStyle w:val="TableofFigures"/>
        <w:tabs>
          <w:tab w:val="right" w:leader="dot" w:pos="8630"/>
        </w:tabs>
        <w:rPr>
          <w:rFonts w:asciiTheme="minorHAnsi" w:eastAsiaTheme="minorEastAsia" w:hAnsiTheme="minorHAnsi" w:cstheme="minorBidi"/>
          <w:noProof/>
        </w:rPr>
      </w:pPr>
      <w:r>
        <w:rPr>
          <w:b/>
          <w:bCs/>
          <w:sz w:val="28"/>
          <w:szCs w:val="28"/>
        </w:rPr>
        <w:fldChar w:fldCharType="begin"/>
      </w:r>
      <w:r>
        <w:rPr>
          <w:b/>
          <w:bCs/>
          <w:sz w:val="28"/>
          <w:szCs w:val="28"/>
        </w:rPr>
        <w:instrText xml:space="preserve"> TOC \t "Subtitle" \c </w:instrText>
      </w:r>
      <w:r>
        <w:rPr>
          <w:b/>
          <w:bCs/>
          <w:sz w:val="28"/>
          <w:szCs w:val="28"/>
        </w:rPr>
        <w:fldChar w:fldCharType="separate"/>
      </w:r>
      <w:r>
        <w:rPr>
          <w:noProof/>
        </w:rPr>
        <w:t>Figure 1: Chlorophyll a versus Phycocyanin</w:t>
      </w:r>
      <w:r>
        <w:rPr>
          <w:noProof/>
        </w:rPr>
        <w:tab/>
      </w:r>
      <w:r>
        <w:rPr>
          <w:noProof/>
        </w:rPr>
        <w:fldChar w:fldCharType="begin"/>
      </w:r>
      <w:r>
        <w:rPr>
          <w:noProof/>
        </w:rPr>
        <w:instrText xml:space="preserve"> PAGEREF _Toc98704963 \h </w:instrText>
      </w:r>
      <w:r>
        <w:rPr>
          <w:noProof/>
        </w:rPr>
      </w:r>
      <w:r>
        <w:rPr>
          <w:noProof/>
        </w:rPr>
        <w:fldChar w:fldCharType="separate"/>
      </w:r>
      <w:r>
        <w:rPr>
          <w:noProof/>
        </w:rPr>
        <w:t>6</w:t>
      </w:r>
      <w:r>
        <w:rPr>
          <w:noProof/>
        </w:rPr>
        <w:fldChar w:fldCharType="end"/>
      </w:r>
    </w:p>
    <w:p w14:paraId="668430E7" w14:textId="78A84586" w:rsidR="00E03550" w:rsidRDefault="00E03550">
      <w:pPr>
        <w:pStyle w:val="TableofFigures"/>
        <w:tabs>
          <w:tab w:val="right" w:leader="dot" w:pos="8630"/>
        </w:tabs>
        <w:rPr>
          <w:rFonts w:asciiTheme="minorHAnsi" w:eastAsiaTheme="minorEastAsia" w:hAnsiTheme="minorHAnsi" w:cstheme="minorBidi"/>
          <w:noProof/>
        </w:rPr>
      </w:pPr>
      <w:r>
        <w:rPr>
          <w:noProof/>
        </w:rPr>
        <w:t>Figure 2: Microcystin</w:t>
      </w:r>
      <w:r>
        <w:rPr>
          <w:noProof/>
        </w:rPr>
        <w:tab/>
      </w:r>
      <w:r>
        <w:rPr>
          <w:noProof/>
        </w:rPr>
        <w:fldChar w:fldCharType="begin"/>
      </w:r>
      <w:r>
        <w:rPr>
          <w:noProof/>
        </w:rPr>
        <w:instrText xml:space="preserve"> PAGEREF _Toc98704964 \h </w:instrText>
      </w:r>
      <w:r>
        <w:rPr>
          <w:noProof/>
        </w:rPr>
      </w:r>
      <w:r>
        <w:rPr>
          <w:noProof/>
        </w:rPr>
        <w:fldChar w:fldCharType="separate"/>
      </w:r>
      <w:r>
        <w:rPr>
          <w:noProof/>
        </w:rPr>
        <w:t>7</w:t>
      </w:r>
      <w:r>
        <w:rPr>
          <w:noProof/>
        </w:rPr>
        <w:fldChar w:fldCharType="end"/>
      </w:r>
    </w:p>
    <w:p w14:paraId="7854FA43" w14:textId="0F2E8097" w:rsidR="00E03550" w:rsidRDefault="00E03550">
      <w:pPr>
        <w:pStyle w:val="TableofFigures"/>
        <w:tabs>
          <w:tab w:val="right" w:leader="dot" w:pos="8630"/>
        </w:tabs>
        <w:rPr>
          <w:rFonts w:asciiTheme="minorHAnsi" w:eastAsiaTheme="minorEastAsia" w:hAnsiTheme="minorHAnsi" w:cstheme="minorBidi"/>
          <w:noProof/>
        </w:rPr>
      </w:pPr>
      <w:r>
        <w:rPr>
          <w:noProof/>
        </w:rPr>
        <w:t>Figure 4: Lake Erie Sampling Locations</w:t>
      </w:r>
      <w:r>
        <w:rPr>
          <w:noProof/>
        </w:rPr>
        <w:tab/>
      </w:r>
      <w:r>
        <w:rPr>
          <w:noProof/>
        </w:rPr>
        <w:fldChar w:fldCharType="begin"/>
      </w:r>
      <w:r>
        <w:rPr>
          <w:noProof/>
        </w:rPr>
        <w:instrText xml:space="preserve"> PAGEREF _Toc98704965 \h </w:instrText>
      </w:r>
      <w:r>
        <w:rPr>
          <w:noProof/>
        </w:rPr>
      </w:r>
      <w:r>
        <w:rPr>
          <w:noProof/>
        </w:rPr>
        <w:fldChar w:fldCharType="separate"/>
      </w:r>
      <w:r>
        <w:rPr>
          <w:noProof/>
        </w:rPr>
        <w:t>18</w:t>
      </w:r>
      <w:r>
        <w:rPr>
          <w:noProof/>
        </w:rPr>
        <w:fldChar w:fldCharType="end"/>
      </w:r>
    </w:p>
    <w:p w14:paraId="6F11CF34" w14:textId="3491E89F" w:rsidR="00E03550" w:rsidRDefault="00E03550">
      <w:pPr>
        <w:pStyle w:val="TableofFigures"/>
        <w:tabs>
          <w:tab w:val="right" w:leader="dot" w:pos="8630"/>
        </w:tabs>
        <w:rPr>
          <w:rFonts w:asciiTheme="minorHAnsi" w:eastAsiaTheme="minorEastAsia" w:hAnsiTheme="minorHAnsi" w:cstheme="minorBidi"/>
          <w:noProof/>
        </w:rPr>
      </w:pPr>
      <w:r>
        <w:rPr>
          <w:noProof/>
        </w:rPr>
        <w:t>Figure 3: Lake Taihu Data</w:t>
      </w:r>
      <w:r>
        <w:rPr>
          <w:noProof/>
        </w:rPr>
        <w:tab/>
      </w:r>
      <w:r>
        <w:rPr>
          <w:noProof/>
        </w:rPr>
        <w:fldChar w:fldCharType="begin"/>
      </w:r>
      <w:r>
        <w:rPr>
          <w:noProof/>
        </w:rPr>
        <w:instrText xml:space="preserve"> PAGEREF _Toc98704966 \h </w:instrText>
      </w:r>
      <w:r>
        <w:rPr>
          <w:noProof/>
        </w:rPr>
      </w:r>
      <w:r>
        <w:rPr>
          <w:noProof/>
        </w:rPr>
        <w:fldChar w:fldCharType="separate"/>
      </w:r>
      <w:r>
        <w:rPr>
          <w:noProof/>
        </w:rPr>
        <w:t>18</w:t>
      </w:r>
      <w:r>
        <w:rPr>
          <w:noProof/>
        </w:rPr>
        <w:fldChar w:fldCharType="end"/>
      </w:r>
    </w:p>
    <w:p w14:paraId="1946E944" w14:textId="6DD945A2" w:rsidR="00E03550" w:rsidRDefault="00E03550">
      <w:pPr>
        <w:pStyle w:val="TableofFigures"/>
        <w:tabs>
          <w:tab w:val="right" w:leader="dot" w:pos="8630"/>
        </w:tabs>
        <w:rPr>
          <w:rFonts w:asciiTheme="minorHAnsi" w:eastAsiaTheme="minorEastAsia" w:hAnsiTheme="minorHAnsi" w:cstheme="minorBidi"/>
          <w:noProof/>
        </w:rPr>
      </w:pPr>
      <w:r>
        <w:rPr>
          <w:noProof/>
        </w:rPr>
        <w:t>Figure 5: Lake Erie Nutrient and Pigment Concentrations</w:t>
      </w:r>
      <w:r>
        <w:rPr>
          <w:noProof/>
        </w:rPr>
        <w:tab/>
      </w:r>
      <w:r>
        <w:rPr>
          <w:noProof/>
        </w:rPr>
        <w:fldChar w:fldCharType="begin"/>
      </w:r>
      <w:r>
        <w:rPr>
          <w:noProof/>
        </w:rPr>
        <w:instrText xml:space="preserve"> PAGEREF _Toc98704967 \h </w:instrText>
      </w:r>
      <w:r>
        <w:rPr>
          <w:noProof/>
        </w:rPr>
      </w:r>
      <w:r>
        <w:rPr>
          <w:noProof/>
        </w:rPr>
        <w:fldChar w:fldCharType="separate"/>
      </w:r>
      <w:r>
        <w:rPr>
          <w:noProof/>
        </w:rPr>
        <w:t>20</w:t>
      </w:r>
      <w:r>
        <w:rPr>
          <w:noProof/>
        </w:rPr>
        <w:fldChar w:fldCharType="end"/>
      </w:r>
    </w:p>
    <w:p w14:paraId="506F946B" w14:textId="17B2C11E" w:rsidR="00E03550" w:rsidRDefault="00E03550">
      <w:pPr>
        <w:pStyle w:val="TableofFigures"/>
        <w:tabs>
          <w:tab w:val="right" w:leader="dot" w:pos="8630"/>
        </w:tabs>
        <w:rPr>
          <w:rFonts w:asciiTheme="minorHAnsi" w:eastAsiaTheme="minorEastAsia" w:hAnsiTheme="minorHAnsi" w:cstheme="minorBidi"/>
          <w:noProof/>
        </w:rPr>
      </w:pPr>
      <w:r>
        <w:rPr>
          <w:noProof/>
        </w:rPr>
        <w:t>Figure 6: Lake Erie Zooplankton Data</w:t>
      </w:r>
      <w:r>
        <w:rPr>
          <w:noProof/>
        </w:rPr>
        <w:tab/>
      </w:r>
      <w:r>
        <w:rPr>
          <w:noProof/>
        </w:rPr>
        <w:fldChar w:fldCharType="begin"/>
      </w:r>
      <w:r>
        <w:rPr>
          <w:noProof/>
        </w:rPr>
        <w:instrText xml:space="preserve"> PAGEREF _Toc98704968 \h </w:instrText>
      </w:r>
      <w:r>
        <w:rPr>
          <w:noProof/>
        </w:rPr>
      </w:r>
      <w:r>
        <w:rPr>
          <w:noProof/>
        </w:rPr>
        <w:fldChar w:fldCharType="separate"/>
      </w:r>
      <w:r>
        <w:rPr>
          <w:noProof/>
        </w:rPr>
        <w:t>21</w:t>
      </w:r>
      <w:r>
        <w:rPr>
          <w:noProof/>
        </w:rPr>
        <w:fldChar w:fldCharType="end"/>
      </w:r>
    </w:p>
    <w:p w14:paraId="639DA7FB" w14:textId="69E3487A" w:rsidR="00E03550" w:rsidRDefault="00E03550">
      <w:pPr>
        <w:pStyle w:val="TableofFigures"/>
        <w:tabs>
          <w:tab w:val="right" w:leader="dot" w:pos="8630"/>
        </w:tabs>
        <w:rPr>
          <w:rFonts w:asciiTheme="minorHAnsi" w:eastAsiaTheme="minorEastAsia" w:hAnsiTheme="minorHAnsi" w:cstheme="minorBidi"/>
          <w:noProof/>
        </w:rPr>
      </w:pPr>
      <w:r>
        <w:rPr>
          <w:noProof/>
        </w:rPr>
        <w:t>Figure 7: Secchi Depths</w:t>
      </w:r>
      <w:r>
        <w:rPr>
          <w:noProof/>
        </w:rPr>
        <w:tab/>
      </w:r>
      <w:r>
        <w:rPr>
          <w:noProof/>
        </w:rPr>
        <w:fldChar w:fldCharType="begin"/>
      </w:r>
      <w:r>
        <w:rPr>
          <w:noProof/>
        </w:rPr>
        <w:instrText xml:space="preserve"> PAGEREF _Toc98704969 \h </w:instrText>
      </w:r>
      <w:r>
        <w:rPr>
          <w:noProof/>
        </w:rPr>
      </w:r>
      <w:r>
        <w:rPr>
          <w:noProof/>
        </w:rPr>
        <w:fldChar w:fldCharType="separate"/>
      </w:r>
      <w:r>
        <w:rPr>
          <w:noProof/>
        </w:rPr>
        <w:t>21</w:t>
      </w:r>
      <w:r>
        <w:rPr>
          <w:noProof/>
        </w:rPr>
        <w:fldChar w:fldCharType="end"/>
      </w:r>
    </w:p>
    <w:p w14:paraId="32424397" w14:textId="6BD20D20" w:rsidR="00E03550" w:rsidRDefault="00E03550">
      <w:pPr>
        <w:pStyle w:val="TableofFigures"/>
        <w:tabs>
          <w:tab w:val="right" w:leader="dot" w:pos="8630"/>
        </w:tabs>
        <w:rPr>
          <w:rFonts w:asciiTheme="minorHAnsi" w:eastAsiaTheme="minorEastAsia" w:hAnsiTheme="minorHAnsi" w:cstheme="minorBidi"/>
          <w:noProof/>
        </w:rPr>
      </w:pPr>
      <w:r>
        <w:rPr>
          <w:noProof/>
        </w:rPr>
        <w:t>Figure 8: Interannual Secchi Depth</w:t>
      </w:r>
      <w:r>
        <w:rPr>
          <w:noProof/>
        </w:rPr>
        <w:tab/>
      </w:r>
      <w:r>
        <w:rPr>
          <w:noProof/>
        </w:rPr>
        <w:fldChar w:fldCharType="begin"/>
      </w:r>
      <w:r>
        <w:rPr>
          <w:noProof/>
        </w:rPr>
        <w:instrText xml:space="preserve"> PAGEREF _Toc98704970 \h </w:instrText>
      </w:r>
      <w:r>
        <w:rPr>
          <w:noProof/>
        </w:rPr>
      </w:r>
      <w:r>
        <w:rPr>
          <w:noProof/>
        </w:rPr>
        <w:fldChar w:fldCharType="separate"/>
      </w:r>
      <w:r>
        <w:rPr>
          <w:noProof/>
        </w:rPr>
        <w:t>23</w:t>
      </w:r>
      <w:r>
        <w:rPr>
          <w:noProof/>
        </w:rPr>
        <w:fldChar w:fldCharType="end"/>
      </w:r>
    </w:p>
    <w:p w14:paraId="3327D7EA" w14:textId="1D050375" w:rsidR="00E03550" w:rsidRDefault="00E03550">
      <w:pPr>
        <w:pStyle w:val="TableofFigures"/>
        <w:tabs>
          <w:tab w:val="right" w:leader="dot" w:pos="8630"/>
        </w:tabs>
        <w:rPr>
          <w:rFonts w:asciiTheme="minorHAnsi" w:eastAsiaTheme="minorEastAsia" w:hAnsiTheme="minorHAnsi" w:cstheme="minorBidi"/>
          <w:noProof/>
        </w:rPr>
      </w:pPr>
      <w:r>
        <w:rPr>
          <w:noProof/>
        </w:rPr>
        <w:t>Figure 9: Interannual Phycocyanin to Chlorophyll-a Ratio</w:t>
      </w:r>
      <w:r>
        <w:rPr>
          <w:noProof/>
        </w:rPr>
        <w:tab/>
      </w:r>
      <w:r>
        <w:rPr>
          <w:noProof/>
        </w:rPr>
        <w:fldChar w:fldCharType="begin"/>
      </w:r>
      <w:r>
        <w:rPr>
          <w:noProof/>
        </w:rPr>
        <w:instrText xml:space="preserve"> PAGEREF _Toc98704971 \h </w:instrText>
      </w:r>
      <w:r>
        <w:rPr>
          <w:noProof/>
        </w:rPr>
      </w:r>
      <w:r>
        <w:rPr>
          <w:noProof/>
        </w:rPr>
        <w:fldChar w:fldCharType="separate"/>
      </w:r>
      <w:r>
        <w:rPr>
          <w:noProof/>
        </w:rPr>
        <w:t>23</w:t>
      </w:r>
      <w:r>
        <w:rPr>
          <w:noProof/>
        </w:rPr>
        <w:fldChar w:fldCharType="end"/>
      </w:r>
    </w:p>
    <w:p w14:paraId="1A93009B" w14:textId="003852E1" w:rsidR="00E03550" w:rsidRDefault="00E03550">
      <w:pPr>
        <w:pStyle w:val="TableofFigures"/>
        <w:tabs>
          <w:tab w:val="right" w:leader="dot" w:pos="8630"/>
        </w:tabs>
        <w:rPr>
          <w:rFonts w:asciiTheme="minorHAnsi" w:eastAsiaTheme="minorEastAsia" w:hAnsiTheme="minorHAnsi" w:cstheme="minorBidi"/>
          <w:noProof/>
        </w:rPr>
      </w:pPr>
      <w:r>
        <w:rPr>
          <w:noProof/>
        </w:rPr>
        <w:t>Figure 10: Interannual Phosphorus Concentration</w:t>
      </w:r>
      <w:r>
        <w:rPr>
          <w:noProof/>
        </w:rPr>
        <w:tab/>
      </w:r>
      <w:r>
        <w:rPr>
          <w:noProof/>
        </w:rPr>
        <w:fldChar w:fldCharType="begin"/>
      </w:r>
      <w:r>
        <w:rPr>
          <w:noProof/>
        </w:rPr>
        <w:instrText xml:space="preserve"> PAGEREF _Toc98704972 \h </w:instrText>
      </w:r>
      <w:r>
        <w:rPr>
          <w:noProof/>
        </w:rPr>
      </w:r>
      <w:r>
        <w:rPr>
          <w:noProof/>
        </w:rPr>
        <w:fldChar w:fldCharType="separate"/>
      </w:r>
      <w:r>
        <w:rPr>
          <w:noProof/>
        </w:rPr>
        <w:t>24</w:t>
      </w:r>
      <w:r>
        <w:rPr>
          <w:noProof/>
        </w:rPr>
        <w:fldChar w:fldCharType="end"/>
      </w:r>
    </w:p>
    <w:p w14:paraId="148AF08F" w14:textId="18BA1A60" w:rsidR="00E03550" w:rsidRDefault="00E03550">
      <w:pPr>
        <w:pStyle w:val="TableofFigures"/>
        <w:tabs>
          <w:tab w:val="right" w:leader="dot" w:pos="8630"/>
        </w:tabs>
        <w:rPr>
          <w:rFonts w:asciiTheme="minorHAnsi" w:eastAsiaTheme="minorEastAsia" w:hAnsiTheme="minorHAnsi" w:cstheme="minorBidi"/>
          <w:noProof/>
        </w:rPr>
      </w:pPr>
      <w:r>
        <w:rPr>
          <w:noProof/>
        </w:rPr>
        <w:t>Figure 11: Interannual Nitrogen Concentration</w:t>
      </w:r>
      <w:r>
        <w:rPr>
          <w:noProof/>
        </w:rPr>
        <w:tab/>
      </w:r>
      <w:r>
        <w:rPr>
          <w:noProof/>
        </w:rPr>
        <w:fldChar w:fldCharType="begin"/>
      </w:r>
      <w:r>
        <w:rPr>
          <w:noProof/>
        </w:rPr>
        <w:instrText xml:space="preserve"> PAGEREF _Toc98704973 \h </w:instrText>
      </w:r>
      <w:r>
        <w:rPr>
          <w:noProof/>
        </w:rPr>
      </w:r>
      <w:r>
        <w:rPr>
          <w:noProof/>
        </w:rPr>
        <w:fldChar w:fldCharType="separate"/>
      </w:r>
      <w:r>
        <w:rPr>
          <w:noProof/>
        </w:rPr>
        <w:t>24</w:t>
      </w:r>
      <w:r>
        <w:rPr>
          <w:noProof/>
        </w:rPr>
        <w:fldChar w:fldCharType="end"/>
      </w:r>
    </w:p>
    <w:p w14:paraId="313B64E8" w14:textId="27AA697D" w:rsidR="00E03550" w:rsidRDefault="00E03550">
      <w:pPr>
        <w:pStyle w:val="TableofFigures"/>
        <w:tabs>
          <w:tab w:val="right" w:leader="dot" w:pos="8630"/>
        </w:tabs>
        <w:rPr>
          <w:rFonts w:asciiTheme="minorHAnsi" w:eastAsiaTheme="minorEastAsia" w:hAnsiTheme="minorHAnsi" w:cstheme="minorBidi"/>
          <w:noProof/>
        </w:rPr>
      </w:pPr>
      <w:r>
        <w:rPr>
          <w:noProof/>
        </w:rPr>
        <w:t>Figure 12: Intra-annual Pigment Data</w:t>
      </w:r>
      <w:r>
        <w:rPr>
          <w:noProof/>
        </w:rPr>
        <w:tab/>
      </w:r>
      <w:r>
        <w:rPr>
          <w:noProof/>
        </w:rPr>
        <w:fldChar w:fldCharType="begin"/>
      </w:r>
      <w:r>
        <w:rPr>
          <w:noProof/>
        </w:rPr>
        <w:instrText xml:space="preserve"> PAGEREF _Toc98704974 \h </w:instrText>
      </w:r>
      <w:r>
        <w:rPr>
          <w:noProof/>
        </w:rPr>
      </w:r>
      <w:r>
        <w:rPr>
          <w:noProof/>
        </w:rPr>
        <w:fldChar w:fldCharType="separate"/>
      </w:r>
      <w:r>
        <w:rPr>
          <w:noProof/>
        </w:rPr>
        <w:t>26</w:t>
      </w:r>
      <w:r>
        <w:rPr>
          <w:noProof/>
        </w:rPr>
        <w:fldChar w:fldCharType="end"/>
      </w:r>
    </w:p>
    <w:p w14:paraId="4E9AF2A5" w14:textId="49F87FD7" w:rsidR="00E03550" w:rsidRDefault="00E03550">
      <w:pPr>
        <w:pStyle w:val="TableofFigures"/>
        <w:tabs>
          <w:tab w:val="right" w:leader="dot" w:pos="8630"/>
        </w:tabs>
        <w:rPr>
          <w:rFonts w:asciiTheme="minorHAnsi" w:eastAsiaTheme="minorEastAsia" w:hAnsiTheme="minorHAnsi" w:cstheme="minorBidi"/>
          <w:noProof/>
        </w:rPr>
      </w:pPr>
      <w:r>
        <w:rPr>
          <w:noProof/>
        </w:rPr>
        <w:t>Figure 13: Intra-annual Median Pigment Concentration Comparison</w:t>
      </w:r>
      <w:r>
        <w:rPr>
          <w:noProof/>
        </w:rPr>
        <w:tab/>
      </w:r>
      <w:r>
        <w:rPr>
          <w:noProof/>
        </w:rPr>
        <w:fldChar w:fldCharType="begin"/>
      </w:r>
      <w:r>
        <w:rPr>
          <w:noProof/>
        </w:rPr>
        <w:instrText xml:space="preserve"> PAGEREF _Toc98704975 \h </w:instrText>
      </w:r>
      <w:r>
        <w:rPr>
          <w:noProof/>
        </w:rPr>
      </w:r>
      <w:r>
        <w:rPr>
          <w:noProof/>
        </w:rPr>
        <w:fldChar w:fldCharType="separate"/>
      </w:r>
      <w:r>
        <w:rPr>
          <w:noProof/>
        </w:rPr>
        <w:t>26</w:t>
      </w:r>
      <w:r>
        <w:rPr>
          <w:noProof/>
        </w:rPr>
        <w:fldChar w:fldCharType="end"/>
      </w:r>
    </w:p>
    <w:p w14:paraId="295B8008" w14:textId="75C92F50" w:rsidR="00E03550" w:rsidRDefault="00E03550">
      <w:pPr>
        <w:pStyle w:val="TableofFigures"/>
        <w:tabs>
          <w:tab w:val="right" w:leader="dot" w:pos="8630"/>
        </w:tabs>
        <w:rPr>
          <w:rFonts w:asciiTheme="minorHAnsi" w:eastAsiaTheme="minorEastAsia" w:hAnsiTheme="minorHAnsi" w:cstheme="minorBidi"/>
          <w:noProof/>
        </w:rPr>
      </w:pPr>
      <w:r>
        <w:rPr>
          <w:noProof/>
        </w:rPr>
        <w:t>Figure 14: Intra-annual Nutrient Concentrations</w:t>
      </w:r>
      <w:r>
        <w:rPr>
          <w:noProof/>
        </w:rPr>
        <w:tab/>
      </w:r>
      <w:r>
        <w:rPr>
          <w:noProof/>
        </w:rPr>
        <w:fldChar w:fldCharType="begin"/>
      </w:r>
      <w:r>
        <w:rPr>
          <w:noProof/>
        </w:rPr>
        <w:instrText xml:space="preserve"> PAGEREF _Toc98704976 \h </w:instrText>
      </w:r>
      <w:r>
        <w:rPr>
          <w:noProof/>
        </w:rPr>
      </w:r>
      <w:r>
        <w:rPr>
          <w:noProof/>
        </w:rPr>
        <w:fldChar w:fldCharType="separate"/>
      </w:r>
      <w:r>
        <w:rPr>
          <w:noProof/>
        </w:rPr>
        <w:t>29</w:t>
      </w:r>
      <w:r>
        <w:rPr>
          <w:noProof/>
        </w:rPr>
        <w:fldChar w:fldCharType="end"/>
      </w:r>
    </w:p>
    <w:p w14:paraId="364B6F73" w14:textId="78C27B27" w:rsidR="00E03550" w:rsidRDefault="00E03550">
      <w:pPr>
        <w:pStyle w:val="TableofFigures"/>
        <w:tabs>
          <w:tab w:val="right" w:leader="dot" w:pos="8630"/>
        </w:tabs>
        <w:rPr>
          <w:rFonts w:asciiTheme="minorHAnsi" w:eastAsiaTheme="minorEastAsia" w:hAnsiTheme="minorHAnsi" w:cstheme="minorBidi"/>
          <w:noProof/>
        </w:rPr>
      </w:pPr>
      <w:r>
        <w:rPr>
          <w:noProof/>
        </w:rPr>
        <w:t>Figure 15: Intra-annual Nitrogen to Phosphorus Ratio</w:t>
      </w:r>
      <w:r>
        <w:rPr>
          <w:noProof/>
        </w:rPr>
        <w:tab/>
      </w:r>
      <w:r>
        <w:rPr>
          <w:noProof/>
        </w:rPr>
        <w:fldChar w:fldCharType="begin"/>
      </w:r>
      <w:r>
        <w:rPr>
          <w:noProof/>
        </w:rPr>
        <w:instrText xml:space="preserve"> PAGEREF _Toc98704977 \h </w:instrText>
      </w:r>
      <w:r>
        <w:rPr>
          <w:noProof/>
        </w:rPr>
      </w:r>
      <w:r>
        <w:rPr>
          <w:noProof/>
        </w:rPr>
        <w:fldChar w:fldCharType="separate"/>
      </w:r>
      <w:r>
        <w:rPr>
          <w:noProof/>
        </w:rPr>
        <w:t>30</w:t>
      </w:r>
      <w:r>
        <w:rPr>
          <w:noProof/>
        </w:rPr>
        <w:fldChar w:fldCharType="end"/>
      </w:r>
    </w:p>
    <w:p w14:paraId="06FF5FA1" w14:textId="358ABD74" w:rsidR="00E03550" w:rsidRDefault="00E03550">
      <w:pPr>
        <w:pStyle w:val="TableofFigures"/>
        <w:tabs>
          <w:tab w:val="right" w:leader="dot" w:pos="8630"/>
        </w:tabs>
        <w:rPr>
          <w:rFonts w:asciiTheme="minorHAnsi" w:eastAsiaTheme="minorEastAsia" w:hAnsiTheme="minorHAnsi" w:cstheme="minorBidi"/>
          <w:noProof/>
        </w:rPr>
      </w:pPr>
      <w:r>
        <w:rPr>
          <w:noProof/>
        </w:rPr>
        <w:t>Figure 16: Intra-annual Zooplankton Biomass</w:t>
      </w:r>
      <w:r>
        <w:rPr>
          <w:noProof/>
        </w:rPr>
        <w:tab/>
      </w:r>
      <w:r>
        <w:rPr>
          <w:noProof/>
        </w:rPr>
        <w:fldChar w:fldCharType="begin"/>
      </w:r>
      <w:r>
        <w:rPr>
          <w:noProof/>
        </w:rPr>
        <w:instrText xml:space="preserve"> PAGEREF _Toc98704978 \h </w:instrText>
      </w:r>
      <w:r>
        <w:rPr>
          <w:noProof/>
        </w:rPr>
      </w:r>
      <w:r>
        <w:rPr>
          <w:noProof/>
        </w:rPr>
        <w:fldChar w:fldCharType="separate"/>
      </w:r>
      <w:r>
        <w:rPr>
          <w:noProof/>
        </w:rPr>
        <w:t>30</w:t>
      </w:r>
      <w:r>
        <w:rPr>
          <w:noProof/>
        </w:rPr>
        <w:fldChar w:fldCharType="end"/>
      </w:r>
    </w:p>
    <w:p w14:paraId="0E045698" w14:textId="2754CC8A" w:rsidR="00E03550" w:rsidRDefault="00E03550">
      <w:pPr>
        <w:pStyle w:val="TableofFigures"/>
        <w:tabs>
          <w:tab w:val="right" w:leader="dot" w:pos="8630"/>
        </w:tabs>
        <w:rPr>
          <w:rFonts w:asciiTheme="minorHAnsi" w:eastAsiaTheme="minorEastAsia" w:hAnsiTheme="minorHAnsi" w:cstheme="minorBidi"/>
          <w:noProof/>
        </w:rPr>
      </w:pPr>
      <w:r>
        <w:rPr>
          <w:noProof/>
        </w:rPr>
        <w:t>Figure 17: Intra-annual Phycocyanin to Chlorophyll-a Ratio</w:t>
      </w:r>
      <w:r>
        <w:rPr>
          <w:noProof/>
        </w:rPr>
        <w:tab/>
      </w:r>
      <w:r>
        <w:rPr>
          <w:noProof/>
        </w:rPr>
        <w:fldChar w:fldCharType="begin"/>
      </w:r>
      <w:r>
        <w:rPr>
          <w:noProof/>
        </w:rPr>
        <w:instrText xml:space="preserve"> PAGEREF _Toc98704979 \h </w:instrText>
      </w:r>
      <w:r>
        <w:rPr>
          <w:noProof/>
        </w:rPr>
      </w:r>
      <w:r>
        <w:rPr>
          <w:noProof/>
        </w:rPr>
        <w:fldChar w:fldCharType="separate"/>
      </w:r>
      <w:r>
        <w:rPr>
          <w:noProof/>
        </w:rPr>
        <w:t>31</w:t>
      </w:r>
      <w:r>
        <w:rPr>
          <w:noProof/>
        </w:rPr>
        <w:fldChar w:fldCharType="end"/>
      </w:r>
    </w:p>
    <w:p w14:paraId="577AB40C" w14:textId="450AFB55" w:rsidR="00E03550" w:rsidRDefault="00E03550">
      <w:pPr>
        <w:pStyle w:val="TableofFigures"/>
        <w:tabs>
          <w:tab w:val="right" w:leader="dot" w:pos="8630"/>
        </w:tabs>
        <w:rPr>
          <w:rFonts w:asciiTheme="minorHAnsi" w:eastAsiaTheme="minorEastAsia" w:hAnsiTheme="minorHAnsi" w:cstheme="minorBidi"/>
          <w:noProof/>
        </w:rPr>
      </w:pPr>
      <w:r>
        <w:rPr>
          <w:noProof/>
        </w:rPr>
        <w:t>Figure 18: Community Structure Diagrams</w:t>
      </w:r>
      <w:r>
        <w:rPr>
          <w:noProof/>
        </w:rPr>
        <w:tab/>
      </w:r>
      <w:r>
        <w:rPr>
          <w:noProof/>
        </w:rPr>
        <w:fldChar w:fldCharType="begin"/>
      </w:r>
      <w:r>
        <w:rPr>
          <w:noProof/>
        </w:rPr>
        <w:instrText xml:space="preserve"> PAGEREF _Toc98704980 \h </w:instrText>
      </w:r>
      <w:r>
        <w:rPr>
          <w:noProof/>
        </w:rPr>
      </w:r>
      <w:r>
        <w:rPr>
          <w:noProof/>
        </w:rPr>
        <w:fldChar w:fldCharType="separate"/>
      </w:r>
      <w:r>
        <w:rPr>
          <w:noProof/>
        </w:rPr>
        <w:t>34</w:t>
      </w:r>
      <w:r>
        <w:rPr>
          <w:noProof/>
        </w:rPr>
        <w:fldChar w:fldCharType="end"/>
      </w:r>
    </w:p>
    <w:p w14:paraId="195A1E5B" w14:textId="5A6B4B05" w:rsidR="00E03550" w:rsidRDefault="00E03550">
      <w:pPr>
        <w:pStyle w:val="TableofFigures"/>
        <w:tabs>
          <w:tab w:val="right" w:leader="dot" w:pos="8630"/>
        </w:tabs>
        <w:rPr>
          <w:rFonts w:asciiTheme="minorHAnsi" w:eastAsiaTheme="minorEastAsia" w:hAnsiTheme="minorHAnsi" w:cstheme="minorBidi"/>
          <w:noProof/>
        </w:rPr>
      </w:pPr>
      <w:r>
        <w:rPr>
          <w:noProof/>
        </w:rPr>
        <w:t>Figure 19: Nutrient Enrichment</w:t>
      </w:r>
      <w:r>
        <w:rPr>
          <w:noProof/>
        </w:rPr>
        <w:tab/>
      </w:r>
      <w:r>
        <w:rPr>
          <w:noProof/>
        </w:rPr>
        <w:fldChar w:fldCharType="begin"/>
      </w:r>
      <w:r>
        <w:rPr>
          <w:noProof/>
        </w:rPr>
        <w:instrText xml:space="preserve"> PAGEREF _Toc98704981 \h </w:instrText>
      </w:r>
      <w:r>
        <w:rPr>
          <w:noProof/>
        </w:rPr>
      </w:r>
      <w:r>
        <w:rPr>
          <w:noProof/>
        </w:rPr>
        <w:fldChar w:fldCharType="separate"/>
      </w:r>
      <w:r>
        <w:rPr>
          <w:noProof/>
        </w:rPr>
        <w:t>37</w:t>
      </w:r>
      <w:r>
        <w:rPr>
          <w:noProof/>
        </w:rPr>
        <w:fldChar w:fldCharType="end"/>
      </w:r>
    </w:p>
    <w:p w14:paraId="314B5569" w14:textId="1EB3171B" w:rsidR="00E03550" w:rsidRDefault="00E03550">
      <w:pPr>
        <w:pStyle w:val="TableofFigures"/>
        <w:tabs>
          <w:tab w:val="right" w:leader="dot" w:pos="8630"/>
        </w:tabs>
        <w:rPr>
          <w:rFonts w:asciiTheme="minorHAnsi" w:eastAsiaTheme="minorEastAsia" w:hAnsiTheme="minorHAnsi" w:cstheme="minorBidi"/>
          <w:noProof/>
        </w:rPr>
      </w:pPr>
      <w:r>
        <w:rPr>
          <w:noProof/>
        </w:rPr>
        <w:t>Figure 20: Resource Competition Model</w:t>
      </w:r>
      <w:r>
        <w:rPr>
          <w:noProof/>
        </w:rPr>
        <w:tab/>
      </w:r>
      <w:r>
        <w:rPr>
          <w:noProof/>
        </w:rPr>
        <w:fldChar w:fldCharType="begin"/>
      </w:r>
      <w:r>
        <w:rPr>
          <w:noProof/>
        </w:rPr>
        <w:instrText xml:space="preserve"> PAGEREF _Toc98704982 \h </w:instrText>
      </w:r>
      <w:r>
        <w:rPr>
          <w:noProof/>
        </w:rPr>
      </w:r>
      <w:r>
        <w:rPr>
          <w:noProof/>
        </w:rPr>
        <w:fldChar w:fldCharType="separate"/>
      </w:r>
      <w:r>
        <w:rPr>
          <w:noProof/>
        </w:rPr>
        <w:t>38</w:t>
      </w:r>
      <w:r>
        <w:rPr>
          <w:noProof/>
        </w:rPr>
        <w:fldChar w:fldCharType="end"/>
      </w:r>
    </w:p>
    <w:p w14:paraId="32187A82" w14:textId="116D67B9" w:rsidR="00E03550" w:rsidRDefault="00E03550">
      <w:pPr>
        <w:pStyle w:val="TableofFigures"/>
        <w:tabs>
          <w:tab w:val="right" w:leader="dot" w:pos="8630"/>
        </w:tabs>
        <w:rPr>
          <w:rFonts w:asciiTheme="minorHAnsi" w:eastAsiaTheme="minorEastAsia" w:hAnsiTheme="minorHAnsi" w:cstheme="minorBidi"/>
          <w:noProof/>
        </w:rPr>
      </w:pPr>
      <w:r>
        <w:rPr>
          <w:noProof/>
        </w:rPr>
        <w:t>Figure 22: Top-down Control Model</w:t>
      </w:r>
      <w:r>
        <w:rPr>
          <w:noProof/>
        </w:rPr>
        <w:tab/>
      </w:r>
      <w:r>
        <w:rPr>
          <w:noProof/>
        </w:rPr>
        <w:fldChar w:fldCharType="begin"/>
      </w:r>
      <w:r>
        <w:rPr>
          <w:noProof/>
        </w:rPr>
        <w:instrText xml:space="preserve"> PAGEREF _Toc98704983 \h </w:instrText>
      </w:r>
      <w:r>
        <w:rPr>
          <w:noProof/>
        </w:rPr>
      </w:r>
      <w:r>
        <w:rPr>
          <w:noProof/>
        </w:rPr>
        <w:fldChar w:fldCharType="separate"/>
      </w:r>
      <w:r>
        <w:rPr>
          <w:noProof/>
        </w:rPr>
        <w:t>40</w:t>
      </w:r>
      <w:r>
        <w:rPr>
          <w:noProof/>
        </w:rPr>
        <w:fldChar w:fldCharType="end"/>
      </w:r>
    </w:p>
    <w:p w14:paraId="70208D23" w14:textId="2EE31398" w:rsidR="00E03550" w:rsidRDefault="00E03550">
      <w:pPr>
        <w:pStyle w:val="TableofFigures"/>
        <w:tabs>
          <w:tab w:val="right" w:leader="dot" w:pos="8630"/>
        </w:tabs>
        <w:rPr>
          <w:rFonts w:asciiTheme="minorHAnsi" w:eastAsiaTheme="minorEastAsia" w:hAnsiTheme="minorHAnsi" w:cstheme="minorBidi"/>
          <w:noProof/>
        </w:rPr>
      </w:pPr>
      <w:r>
        <w:rPr>
          <w:noProof/>
        </w:rPr>
        <w:t>Figure 21: Numerical Solutions for Model 1A</w:t>
      </w:r>
      <w:r>
        <w:rPr>
          <w:noProof/>
        </w:rPr>
        <w:tab/>
      </w:r>
      <w:r>
        <w:rPr>
          <w:noProof/>
        </w:rPr>
        <w:fldChar w:fldCharType="begin"/>
      </w:r>
      <w:r>
        <w:rPr>
          <w:noProof/>
        </w:rPr>
        <w:instrText xml:space="preserve"> PAGEREF _Toc98704984 \h </w:instrText>
      </w:r>
      <w:r>
        <w:rPr>
          <w:noProof/>
        </w:rPr>
      </w:r>
      <w:r>
        <w:rPr>
          <w:noProof/>
        </w:rPr>
        <w:fldChar w:fldCharType="separate"/>
      </w:r>
      <w:r>
        <w:rPr>
          <w:noProof/>
        </w:rPr>
        <w:t>40</w:t>
      </w:r>
      <w:r>
        <w:rPr>
          <w:noProof/>
        </w:rPr>
        <w:fldChar w:fldCharType="end"/>
      </w:r>
    </w:p>
    <w:p w14:paraId="2BD37599" w14:textId="68407729" w:rsidR="00E03550" w:rsidRDefault="00E03550">
      <w:pPr>
        <w:pStyle w:val="TableofFigures"/>
        <w:tabs>
          <w:tab w:val="right" w:leader="dot" w:pos="8630"/>
        </w:tabs>
        <w:rPr>
          <w:rFonts w:asciiTheme="minorHAnsi" w:eastAsiaTheme="minorEastAsia" w:hAnsiTheme="minorHAnsi" w:cstheme="minorBidi"/>
          <w:noProof/>
        </w:rPr>
      </w:pPr>
      <w:r>
        <w:rPr>
          <w:noProof/>
        </w:rPr>
        <w:t>Figure 23: Numerical Solutions for Model 1B</w:t>
      </w:r>
      <w:r>
        <w:rPr>
          <w:noProof/>
        </w:rPr>
        <w:tab/>
      </w:r>
      <w:r>
        <w:rPr>
          <w:noProof/>
        </w:rPr>
        <w:fldChar w:fldCharType="begin"/>
      </w:r>
      <w:r>
        <w:rPr>
          <w:noProof/>
        </w:rPr>
        <w:instrText xml:space="preserve"> PAGEREF _Toc98704985 \h </w:instrText>
      </w:r>
      <w:r>
        <w:rPr>
          <w:noProof/>
        </w:rPr>
      </w:r>
      <w:r>
        <w:rPr>
          <w:noProof/>
        </w:rPr>
        <w:fldChar w:fldCharType="separate"/>
      </w:r>
      <w:r>
        <w:rPr>
          <w:noProof/>
        </w:rPr>
        <w:t>42</w:t>
      </w:r>
      <w:r>
        <w:rPr>
          <w:noProof/>
        </w:rPr>
        <w:fldChar w:fldCharType="end"/>
      </w:r>
    </w:p>
    <w:p w14:paraId="6A53280D" w14:textId="46AD3208" w:rsidR="00E03550" w:rsidRDefault="00E03550">
      <w:pPr>
        <w:pStyle w:val="TableofFigures"/>
        <w:tabs>
          <w:tab w:val="right" w:leader="dot" w:pos="8630"/>
        </w:tabs>
        <w:rPr>
          <w:rFonts w:asciiTheme="minorHAnsi" w:eastAsiaTheme="minorEastAsia" w:hAnsiTheme="minorHAnsi" w:cstheme="minorBidi"/>
          <w:noProof/>
        </w:rPr>
      </w:pPr>
      <w:r>
        <w:rPr>
          <w:noProof/>
        </w:rPr>
        <w:t>Figure 24: Steady-state Solutions</w:t>
      </w:r>
      <w:r>
        <w:rPr>
          <w:noProof/>
        </w:rPr>
        <w:tab/>
      </w:r>
      <w:r>
        <w:rPr>
          <w:noProof/>
        </w:rPr>
        <w:fldChar w:fldCharType="begin"/>
      </w:r>
      <w:r>
        <w:rPr>
          <w:noProof/>
        </w:rPr>
        <w:instrText xml:space="preserve"> PAGEREF _Toc98704986 \h </w:instrText>
      </w:r>
      <w:r>
        <w:rPr>
          <w:noProof/>
        </w:rPr>
      </w:r>
      <w:r>
        <w:rPr>
          <w:noProof/>
        </w:rPr>
        <w:fldChar w:fldCharType="separate"/>
      </w:r>
      <w:r>
        <w:rPr>
          <w:noProof/>
        </w:rPr>
        <w:t>42</w:t>
      </w:r>
      <w:r>
        <w:rPr>
          <w:noProof/>
        </w:rPr>
        <w:fldChar w:fldCharType="end"/>
      </w:r>
    </w:p>
    <w:p w14:paraId="133460C7" w14:textId="63975DBE" w:rsidR="00E03550" w:rsidRDefault="00E03550">
      <w:pPr>
        <w:pStyle w:val="TableofFigures"/>
        <w:tabs>
          <w:tab w:val="right" w:leader="dot" w:pos="8630"/>
        </w:tabs>
        <w:rPr>
          <w:rFonts w:asciiTheme="minorHAnsi" w:eastAsiaTheme="minorEastAsia" w:hAnsiTheme="minorHAnsi" w:cstheme="minorBidi"/>
          <w:noProof/>
        </w:rPr>
      </w:pPr>
      <w:r>
        <w:rPr>
          <w:noProof/>
        </w:rPr>
        <w:t>Figure 25: Numerical Simulation at Low Temperature</w:t>
      </w:r>
      <w:r>
        <w:rPr>
          <w:noProof/>
        </w:rPr>
        <w:tab/>
      </w:r>
      <w:r>
        <w:rPr>
          <w:noProof/>
        </w:rPr>
        <w:fldChar w:fldCharType="begin"/>
      </w:r>
      <w:r>
        <w:rPr>
          <w:noProof/>
        </w:rPr>
        <w:instrText xml:space="preserve"> PAGEREF _Toc98704987 \h </w:instrText>
      </w:r>
      <w:r>
        <w:rPr>
          <w:noProof/>
        </w:rPr>
      </w:r>
      <w:r>
        <w:rPr>
          <w:noProof/>
        </w:rPr>
        <w:fldChar w:fldCharType="separate"/>
      </w:r>
      <w:r>
        <w:rPr>
          <w:noProof/>
        </w:rPr>
        <w:t>44</w:t>
      </w:r>
      <w:r>
        <w:rPr>
          <w:noProof/>
        </w:rPr>
        <w:fldChar w:fldCharType="end"/>
      </w:r>
    </w:p>
    <w:p w14:paraId="5B7174E7" w14:textId="1AC98E33" w:rsidR="00E03550" w:rsidRDefault="00E03550">
      <w:pPr>
        <w:pStyle w:val="TableofFigures"/>
        <w:tabs>
          <w:tab w:val="right" w:leader="dot" w:pos="8630"/>
        </w:tabs>
        <w:rPr>
          <w:rFonts w:asciiTheme="minorHAnsi" w:eastAsiaTheme="minorEastAsia" w:hAnsiTheme="minorHAnsi" w:cstheme="minorBidi"/>
          <w:noProof/>
        </w:rPr>
      </w:pPr>
      <w:r>
        <w:rPr>
          <w:noProof/>
        </w:rPr>
        <w:t>Figure 26: Numerical Simulation at High Temperature</w:t>
      </w:r>
      <w:r>
        <w:rPr>
          <w:noProof/>
        </w:rPr>
        <w:tab/>
      </w:r>
      <w:r>
        <w:rPr>
          <w:noProof/>
        </w:rPr>
        <w:fldChar w:fldCharType="begin"/>
      </w:r>
      <w:r>
        <w:rPr>
          <w:noProof/>
        </w:rPr>
        <w:instrText xml:space="preserve"> PAGEREF _Toc98704988 \h </w:instrText>
      </w:r>
      <w:r>
        <w:rPr>
          <w:noProof/>
        </w:rPr>
      </w:r>
      <w:r>
        <w:rPr>
          <w:noProof/>
        </w:rPr>
        <w:fldChar w:fldCharType="separate"/>
      </w:r>
      <w:r>
        <w:rPr>
          <w:noProof/>
        </w:rPr>
        <w:t>44</w:t>
      </w:r>
      <w:r>
        <w:rPr>
          <w:noProof/>
        </w:rPr>
        <w:fldChar w:fldCharType="end"/>
      </w:r>
    </w:p>
    <w:p w14:paraId="2A9EAE1E" w14:textId="3A1D1A9C" w:rsidR="00E03550" w:rsidRDefault="00E03550">
      <w:pPr>
        <w:pStyle w:val="TableofFigures"/>
        <w:tabs>
          <w:tab w:val="right" w:leader="dot" w:pos="8630"/>
        </w:tabs>
        <w:rPr>
          <w:rFonts w:asciiTheme="minorHAnsi" w:eastAsiaTheme="minorEastAsia" w:hAnsiTheme="minorHAnsi" w:cstheme="minorBidi"/>
          <w:noProof/>
        </w:rPr>
      </w:pPr>
      <w:r>
        <w:rPr>
          <w:noProof/>
        </w:rPr>
        <w:t>Figure 27: Average Temperature Fluctuation</w:t>
      </w:r>
      <w:r>
        <w:rPr>
          <w:noProof/>
        </w:rPr>
        <w:tab/>
      </w:r>
      <w:r>
        <w:rPr>
          <w:noProof/>
        </w:rPr>
        <w:fldChar w:fldCharType="begin"/>
      </w:r>
      <w:r>
        <w:rPr>
          <w:noProof/>
        </w:rPr>
        <w:instrText xml:space="preserve"> PAGEREF _Toc98704989 \h </w:instrText>
      </w:r>
      <w:r>
        <w:rPr>
          <w:noProof/>
        </w:rPr>
      </w:r>
      <w:r>
        <w:rPr>
          <w:noProof/>
        </w:rPr>
        <w:fldChar w:fldCharType="separate"/>
      </w:r>
      <w:r>
        <w:rPr>
          <w:noProof/>
        </w:rPr>
        <w:t>47</w:t>
      </w:r>
      <w:r>
        <w:rPr>
          <w:noProof/>
        </w:rPr>
        <w:fldChar w:fldCharType="end"/>
      </w:r>
    </w:p>
    <w:p w14:paraId="248A7377" w14:textId="0391FB60" w:rsidR="00E03550" w:rsidRDefault="00E03550">
      <w:pPr>
        <w:pStyle w:val="TableofFigures"/>
        <w:tabs>
          <w:tab w:val="right" w:leader="dot" w:pos="8630"/>
        </w:tabs>
        <w:rPr>
          <w:rFonts w:asciiTheme="minorHAnsi" w:eastAsiaTheme="minorEastAsia" w:hAnsiTheme="minorHAnsi" w:cstheme="minorBidi"/>
          <w:noProof/>
        </w:rPr>
      </w:pPr>
      <w:r>
        <w:rPr>
          <w:noProof/>
        </w:rPr>
        <w:t>Figure 28: Numerical Simulation at Cycling Temperatures</w:t>
      </w:r>
      <w:r>
        <w:rPr>
          <w:noProof/>
        </w:rPr>
        <w:tab/>
      </w:r>
      <w:r>
        <w:rPr>
          <w:noProof/>
        </w:rPr>
        <w:fldChar w:fldCharType="begin"/>
      </w:r>
      <w:r>
        <w:rPr>
          <w:noProof/>
        </w:rPr>
        <w:instrText xml:space="preserve"> PAGEREF _Toc98704990 \h </w:instrText>
      </w:r>
      <w:r>
        <w:rPr>
          <w:noProof/>
        </w:rPr>
      </w:r>
      <w:r>
        <w:rPr>
          <w:noProof/>
        </w:rPr>
        <w:fldChar w:fldCharType="separate"/>
      </w:r>
      <w:r>
        <w:rPr>
          <w:noProof/>
        </w:rPr>
        <w:t>47</w:t>
      </w:r>
      <w:r>
        <w:rPr>
          <w:noProof/>
        </w:rPr>
        <w:fldChar w:fldCharType="end"/>
      </w:r>
    </w:p>
    <w:p w14:paraId="6E7C6967" w14:textId="5072ACB2" w:rsidR="00E03550" w:rsidRDefault="00E03550">
      <w:pPr>
        <w:pStyle w:val="TableofFigures"/>
        <w:tabs>
          <w:tab w:val="right" w:leader="dot" w:pos="8630"/>
        </w:tabs>
        <w:rPr>
          <w:rFonts w:asciiTheme="minorHAnsi" w:eastAsiaTheme="minorEastAsia" w:hAnsiTheme="minorHAnsi" w:cstheme="minorBidi"/>
          <w:noProof/>
        </w:rPr>
      </w:pPr>
      <w:r>
        <w:rPr>
          <w:noProof/>
        </w:rPr>
        <w:t>Figure 29: Comparison of Model and Environmental Data</w:t>
      </w:r>
      <w:r>
        <w:rPr>
          <w:noProof/>
        </w:rPr>
        <w:tab/>
      </w:r>
      <w:r>
        <w:rPr>
          <w:noProof/>
        </w:rPr>
        <w:fldChar w:fldCharType="begin"/>
      </w:r>
      <w:r>
        <w:rPr>
          <w:noProof/>
        </w:rPr>
        <w:instrText xml:space="preserve"> PAGEREF _Toc98704991 \h </w:instrText>
      </w:r>
      <w:r>
        <w:rPr>
          <w:noProof/>
        </w:rPr>
      </w:r>
      <w:r>
        <w:rPr>
          <w:noProof/>
        </w:rPr>
        <w:fldChar w:fldCharType="separate"/>
      </w:r>
      <w:r>
        <w:rPr>
          <w:noProof/>
        </w:rPr>
        <w:t>48</w:t>
      </w:r>
      <w:r>
        <w:rPr>
          <w:noProof/>
        </w:rPr>
        <w:fldChar w:fldCharType="end"/>
      </w:r>
    </w:p>
    <w:p w14:paraId="63EDE9F1" w14:textId="35E49811" w:rsidR="00025307" w:rsidRPr="00025307" w:rsidRDefault="00E03550" w:rsidP="00025307">
      <w:pPr>
        <w:jc w:val="center"/>
        <w:rPr>
          <w:b/>
          <w:bCs/>
          <w:sz w:val="28"/>
          <w:szCs w:val="28"/>
        </w:rPr>
      </w:pPr>
      <w:r>
        <w:rPr>
          <w:b/>
          <w:bCs/>
          <w:sz w:val="28"/>
          <w:szCs w:val="28"/>
        </w:rPr>
        <w:fldChar w:fldCharType="end"/>
      </w:r>
    </w:p>
    <w:p w14:paraId="0C0DF53D" w14:textId="7F2F0B30" w:rsidR="00025307" w:rsidRPr="00025307" w:rsidRDefault="00025307" w:rsidP="00025307">
      <w:pPr>
        <w:rPr>
          <w:sz w:val="28"/>
          <w:szCs w:val="28"/>
        </w:rPr>
        <w:sectPr w:rsidR="00025307" w:rsidRPr="00025307" w:rsidSect="008A4E30">
          <w:headerReference w:type="even" r:id="rId9"/>
          <w:headerReference w:type="default" r:id="rId10"/>
          <w:footerReference w:type="default" r:id="rId11"/>
          <w:pgSz w:w="12240" w:h="15840" w:code="1"/>
          <w:pgMar w:top="1440" w:right="1800" w:bottom="1872" w:left="1800" w:header="720" w:footer="1440" w:gutter="0"/>
          <w:pgNumType w:fmt="lowerRoman" w:start="1"/>
          <w:cols w:space="720"/>
          <w:noEndnote/>
          <w:titlePg/>
        </w:sectPr>
      </w:pPr>
    </w:p>
    <w:p w14:paraId="3E764071" w14:textId="4A96703B" w:rsidR="00236E6D" w:rsidRDefault="004D24C7" w:rsidP="003F1425">
      <w:pPr>
        <w:pStyle w:val="Heading1"/>
      </w:pPr>
      <w:bookmarkStart w:id="0" w:name="_Toc420995890"/>
      <w:bookmarkStart w:id="1" w:name="_Toc422997477"/>
      <w:bookmarkStart w:id="2" w:name="_Toc427156460"/>
      <w:bookmarkStart w:id="3" w:name="_Toc98870939"/>
      <w:r>
        <w:lastRenderedPageBreak/>
        <w:t>C</w:t>
      </w:r>
      <w:r w:rsidR="003F1425">
        <w:t>hapter One</w:t>
      </w:r>
      <w:r>
        <w:t xml:space="preserve">: </w:t>
      </w:r>
      <w:r w:rsidR="00EE334C" w:rsidRPr="005F2B0B">
        <w:t>Introduction and General Information</w:t>
      </w:r>
      <w:bookmarkEnd w:id="0"/>
      <w:bookmarkEnd w:id="1"/>
      <w:bookmarkEnd w:id="2"/>
      <w:bookmarkEnd w:id="3"/>
    </w:p>
    <w:p w14:paraId="4A0E821E" w14:textId="29A2913E" w:rsidR="000F796F" w:rsidRDefault="000F796F" w:rsidP="000F796F"/>
    <w:p w14:paraId="5CAAB0EB" w14:textId="241812D0" w:rsidR="000F796F" w:rsidRPr="00701364" w:rsidRDefault="000F796F" w:rsidP="00701364">
      <w:pPr>
        <w:spacing w:line="480" w:lineRule="auto"/>
        <w:ind w:firstLine="720"/>
        <w:rPr>
          <w:rFonts w:cstheme="minorHAnsi"/>
        </w:rPr>
      </w:pPr>
      <w:r w:rsidRPr="006530E4">
        <w:rPr>
          <w:rFonts w:cstheme="minorHAnsi"/>
        </w:rPr>
        <w:t xml:space="preserve">Eutrophication is a process in which bodies of water receive excess nutrients due to runoff from agricultural lands, animal manure, and factories </w:t>
      </w:r>
      <w:r w:rsidRPr="006530E4">
        <w:rPr>
          <w:rFonts w:cstheme="minorHAnsi"/>
        </w:rPr>
        <w:fldChar w:fldCharType="begin" w:fldLock="1"/>
      </w:r>
      <w:r w:rsidRPr="006530E4">
        <w:rPr>
          <w:rFonts w:cstheme="minorHAnsi"/>
        </w:rPr>
        <w:instrText>ADDIN CSL_CITATION {"citationItems":[{"id":"ITEM-1","itemData":{"DOI":"10.1002/(SICI)1099-1085(199602)10:2&lt;295::AID-HYP360&gt;3.0.CO;2-F","ISSN":"08856087","abstract":"Eutrophication is the natural ageing process of lakes. It is characterized by a geologically slow shift from in-lake biological production driven by allochthonous (external to the water body) loading of nutrients, to production driven by autochthonous (in-lake) processes. This shift typically is accompanied by changes in species and biotic community composition, as an aquatic ecosystem is ultimately transformed into a terrestrial biome. However, this typically slow process can be greatly accelerated by human intervention in the natural biogeochemical cycling of nutrients within a watershed; the resulting cultural eutrophication can create conditions inimical to the continued use of the water body for human-driven economic purposes. Excessive algal and rooted plant growth, degraded water quality, extensive deoxygenation of the bottom water layers and increased fish biomass accompanied by decreased harvest quality, are some features of this process. Following the Second World War, concern with cultural eutrophication achieved an intensity that spurred a significant research effort, culminating in the identification of phosphorus as the single most significant, and controllable, element involved in driving the eutrophication process. During the late 1960s and throughout the 1970s, much effort was devoted to reducing phosphorus in wastewater effluents, primarily in the developed countries of the temperate zone. These efforts generally resulted in the control of eutrophication in these countries, albeit with varying degrees of success. The present effort in the temperate zone, comprising mostly developed nations, has now shifted to the control of diffuse sources of a broader spectrum of contaminants that impact human water use. In the developing countries of the inter-tropical zone, however, rapidly expanding populations, a growing industrial economy and extensive urbanization have only recently reached an intensity at which cultural eutrophication can no longer be ignored. Further, initial attempts at applying temperate zone control measures in this region have been largely unsuccessful. Modification of the temperate zone eutrophication paradigm will be needed, especially to address the differing climatic and hydrological conditions, if cultural eutrophication is to be contained in this region, where eutrophication-related diseases continue to be a primary cause of human distress.","author":[{"dropping-particle":"","family":"Rast","given":"W.","non-dropping-particle":"","parse-names":false,"suffix":""},{"dropping-particle":"","family":"Thornton","given":"J.A.","non-dropping-particle":"","parse-names":false,"suffix":""}],"container-title":"Hydrological Processes","id":"ITEM-1","issued":{"date-parts":[["1996"]]},"page":"295-313","title":"Trends in eutrophication research and control","type":"article-journal","volume":"10"},"uris":["http://www.mendeley.com/documents/?uuid=d3a0c421-145c-4758-a430-1ad7ca639854"]}],"mendeley":{"formattedCitation":"(Rast &amp; Thornton, 1996)","plainTextFormattedCitation":"(Rast &amp; Thornton, 1996)","previouslyFormattedCitation":"(Rast &amp; Thornton, 1996)"},"properties":{"noteIndex":0},"schema":"https://github.com/citation-style-language/schema/raw/master/csl-citation.json"}</w:instrText>
      </w:r>
      <w:r w:rsidRPr="006530E4">
        <w:rPr>
          <w:rFonts w:cstheme="minorHAnsi"/>
        </w:rPr>
        <w:fldChar w:fldCharType="separate"/>
      </w:r>
      <w:r w:rsidRPr="006530E4">
        <w:rPr>
          <w:rFonts w:cstheme="minorHAnsi"/>
          <w:noProof/>
        </w:rPr>
        <w:t>(Rast &amp; Thornton, 1996)</w:t>
      </w:r>
      <w:r w:rsidRPr="006530E4">
        <w:rPr>
          <w:rFonts w:cstheme="minorHAnsi"/>
        </w:rPr>
        <w:fldChar w:fldCharType="end"/>
      </w:r>
      <w:r w:rsidRPr="006530E4">
        <w:rPr>
          <w:rFonts w:cstheme="minorHAnsi"/>
        </w:rPr>
        <w:t>. The</w:t>
      </w:r>
      <w:r>
        <w:rPr>
          <w:rFonts w:cstheme="minorHAnsi"/>
        </w:rPr>
        <w:t>se</w:t>
      </w:r>
      <w:r w:rsidRPr="006530E4">
        <w:rPr>
          <w:rFonts w:cstheme="minorHAnsi"/>
        </w:rPr>
        <w:t xml:space="preserve"> excess nutrients such as phosphorus and nitrogen cause an overgrowth in plant and algal life </w:t>
      </w:r>
      <w:r w:rsidRPr="006530E4">
        <w:rPr>
          <w:rFonts w:cstheme="minorHAnsi"/>
        </w:rPr>
        <w:fldChar w:fldCharType="begin" w:fldLock="1"/>
      </w:r>
      <w:r w:rsidRPr="006530E4">
        <w:rPr>
          <w:rFonts w:cstheme="minorHAnsi"/>
        </w:rPr>
        <w:instrText>ADDIN CSL_CITATION {"citationItems":[{"id":"ITEM-1","itemData":{"DOI":"10.1002/(SICI)1099-1085(199602)10:2&lt;295::AID-HYP360&gt;3.0.CO;2-F","ISSN":"08856087","abstract":"Eutrophication is the natural ageing process of lakes. It is characterized by a geologically slow shift from in-lake biological production driven by allochthonous (external to the water body) loading of nutrients, to production driven by autochthonous (in-lake) processes. This shift typically is accompanied by changes in species and biotic community composition, as an aquatic ecosystem is ultimately transformed into a terrestrial biome. However, this typically slow process can be greatly accelerated by human intervention in the natural biogeochemical cycling of nutrients within a watershed; the resulting cultural eutrophication can create conditions inimical to the continued use of the water body for human-driven economic purposes. Excessive algal and rooted plant growth, degraded water quality, extensive deoxygenation of the bottom water layers and increased fish biomass accompanied by decreased harvest quality, are some features of this process. Following the Second World War, concern with cultural eutrophication achieved an intensity that spurred a significant research effort, culminating in the identification of phosphorus as the single most significant, and controllable, element involved in driving the eutrophication process. During the late 1960s and throughout the 1970s, much effort was devoted to reducing phosphorus in wastewater effluents, primarily in the developed countries of the temperate zone. These efforts generally resulted in the control of eutrophication in these countries, albeit with varying degrees of success. The present effort in the temperate zone, comprising mostly developed nations, has now shifted to the control of diffuse sources of a broader spectrum of contaminants that impact human water use. In the developing countries of the inter-tropical zone, however, rapidly expanding populations, a growing industrial economy and extensive urbanization have only recently reached an intensity at which cultural eutrophication can no longer be ignored. Further, initial attempts at applying temperate zone control measures in this region have been largely unsuccessful. Modification of the temperate zone eutrophication paradigm will be needed, especially to address the differing climatic and hydrological conditions, if cultural eutrophication is to be contained in this region, where eutrophication-related diseases continue to be a primary cause of human distress.","author":[{"dropping-particle":"","family":"Rast","given":"W.","non-dropping-particle":"","parse-names":false,"suffix":""},{"dropping-particle":"","family":"Thornton","given":"J.A.","non-dropping-particle":"","parse-names":false,"suffix":""}],"container-title":"Hydrological Processes","id":"ITEM-1","issued":{"date-parts":[["1996"]]},"page":"295-313","title":"Trends in eutrophication research and control","type":"article-journal","volume":"10"},"uris":["http://www.mendeley.com/documents/?uuid=d3a0c421-145c-4758-a430-1ad7ca639854"]}],"mendeley":{"formattedCitation":"(Rast &amp; Thornton, 1996)","plainTextFormattedCitation":"(Rast &amp; Thornton, 1996)","previouslyFormattedCitation":"(Rast &amp; Thornton, 1996)"},"properties":{"noteIndex":0},"schema":"https://github.com/citation-style-language/schema/raw/master/csl-citation.json"}</w:instrText>
      </w:r>
      <w:r w:rsidRPr="006530E4">
        <w:rPr>
          <w:rFonts w:cstheme="minorHAnsi"/>
        </w:rPr>
        <w:fldChar w:fldCharType="separate"/>
      </w:r>
      <w:r w:rsidRPr="006530E4">
        <w:rPr>
          <w:rFonts w:cstheme="minorHAnsi"/>
          <w:noProof/>
        </w:rPr>
        <w:t>(Rast &amp; Thornton, 1996)</w:t>
      </w:r>
      <w:r w:rsidRPr="006530E4">
        <w:rPr>
          <w:rFonts w:cstheme="minorHAnsi"/>
        </w:rPr>
        <w:fldChar w:fldCharType="end"/>
      </w:r>
      <w:r w:rsidRPr="006530E4">
        <w:rPr>
          <w:rFonts w:cstheme="minorHAnsi"/>
        </w:rPr>
        <w:t xml:space="preserve">. </w:t>
      </w:r>
      <w:r>
        <w:rPr>
          <w:rFonts w:cstheme="minorHAnsi"/>
        </w:rPr>
        <w:t xml:space="preserve">Some of these seasonal algal blooms can be classified as harmful algal blooms (HABs) due to the release of toxins and contribution to anaerobic conditions </w:t>
      </w:r>
      <w:r w:rsidRPr="006530E4">
        <w:rPr>
          <w:rFonts w:cstheme="minorHAnsi"/>
        </w:rPr>
        <w:fldChar w:fldCharType="begin" w:fldLock="1"/>
      </w:r>
      <w:r w:rsidR="002A5C6A">
        <w:rPr>
          <w:rFonts w:cstheme="minorHAnsi"/>
        </w:rPr>
        <w:instrText>ADDIN CSL_CITATION {"citationItems":[{"id":"ITEM-1","itemData":{"DOI":"10.1038/scientificamerican0194-78","ISSN":"00368733","PMID":"8284661","author":[{"dropping-particle":"","family":"Carmichael","given":"W. W.","non-dropping-particle":"","parse-names":false,"suffix":""}],"container-title":"Scientific American","id":"ITEM-1","issued":{"date-parts":[["1994"]]},"page":"78-86","title":"The toxins of cyanobacteria.","type":"article","volume":"270"},"uris":["http://www.mendeley.com/documents/?uuid=58ad0cca-f33f-4df8-97c0-179d6a9c8695"]}],"mendeley":{"formattedCitation":"(Carmichael, 1994a)","plainTextFormattedCitation":"(Carmichael, 1994a)","previouslyFormattedCitation":"(Carmichael, 1994a)"},"properties":{"noteIndex":0},"schema":"https://github.com/citation-style-language/schema/raw/master/csl-citation.json"}</w:instrText>
      </w:r>
      <w:r w:rsidRPr="006530E4">
        <w:rPr>
          <w:rFonts w:cstheme="minorHAnsi"/>
        </w:rPr>
        <w:fldChar w:fldCharType="separate"/>
      </w:r>
      <w:r w:rsidR="00FA535B" w:rsidRPr="00FA535B">
        <w:rPr>
          <w:rFonts w:cstheme="minorHAnsi"/>
          <w:noProof/>
        </w:rPr>
        <w:t>(Carmichael, 1994a)</w:t>
      </w:r>
      <w:r w:rsidRPr="006530E4">
        <w:rPr>
          <w:rFonts w:cstheme="minorHAnsi"/>
        </w:rPr>
        <w:fldChar w:fldCharType="end"/>
      </w:r>
      <w:r w:rsidRPr="006530E4">
        <w:rPr>
          <w:rFonts w:cstheme="minorHAnsi"/>
        </w:rPr>
        <w:t>.</w:t>
      </w:r>
      <w:r>
        <w:rPr>
          <w:rFonts w:cstheme="minorHAnsi"/>
        </w:rPr>
        <w:t xml:space="preserve"> HABs of the single-celled cyanobacterium </w:t>
      </w:r>
      <w:r>
        <w:rPr>
          <w:rFonts w:cstheme="minorHAnsi"/>
          <w:i/>
          <w:iCs/>
        </w:rPr>
        <w:t>Microcystis aeruginosa</w:t>
      </w:r>
      <w:r>
        <w:rPr>
          <w:rFonts w:cstheme="minorHAnsi"/>
        </w:rPr>
        <w:t xml:space="preserve"> are increasing in shallow lakes globally </w:t>
      </w:r>
      <w:r>
        <w:rPr>
          <w:rFonts w:cstheme="minorHAnsi"/>
        </w:rPr>
        <w:fldChar w:fldCharType="begin" w:fldLock="1"/>
      </w:r>
      <w:r>
        <w:rPr>
          <w:rFonts w:cstheme="minorHAnsi"/>
        </w:rPr>
        <w:instrText>ADDIN CSL_CITATION {"citationItems":[{"id":"ITEM-1","itemData":{"DOI":"10.1128/MBIO.00529-20","ISSN":"21507511","PMID":"32605981","abstract":"Blooms of the toxin-producing cyanobacterium Microcystis are increasing globally, leading to the loss of ecosystem services, threats to human health, as well as the deaths of pets and husbandry animals. While nutrient availability is a well-known driver of algal biomass, the factors controlling “who” is present in fresh waters are more complicated. Microcystis possesses multiple strategies to adapt to temperature, light, changes in nutrient chemistry, herbivory, and parasitism that provide a selective advantage over its competitors. Moreover, its ability to alter ecosystem pH provides it a further advantage that helps exclude many of its planktonic competitors. While decades of nutrient monitoring have provided us with the tools to predict the accumulation of phytoplankton biomass, here, we point to factors on the horizon that may inform us why Microcystis is presently the dominant bloom former in freshwaters around the world.","author":[{"dropping-particle":"","family":"Wilhelm","given":"Steven W.","non-dropping-particle":"","parse-names":false,"suffix":""},{"dropping-particle":"","family":"Bullerjahn","given":"George S.","non-dropping-particle":"","parse-names":false,"suffix":""},{"dropping-particle":"","family":"McKay","given":"R. Michael L.","non-dropping-particle":"","parse-names":false,"suffix":""}],"container-title":"mBio","id":"ITEM-1","issued":{"date-parts":[["2020"]]},"page":"1-5","title":"The complicated and confusing ecology of microcystis blooms","type":"article-journal","volume":"11"},"uris":["http://www.mendeley.com/documents/?uuid=14713e05-7b27-4d3c-9a31-b9453fa42ae3"]}],"mendeley":{"formattedCitation":"(Wilhelm et al., 2020)","plainTextFormattedCitation":"(Wilhelm et al., 2020)","previouslyFormattedCitation":"(Wilhelm et al., 2020)"},"properties":{"noteIndex":0},"schema":"https://github.com/citation-style-language/schema/raw/master/csl-citation.json"}</w:instrText>
      </w:r>
      <w:r>
        <w:rPr>
          <w:rFonts w:cstheme="minorHAnsi"/>
        </w:rPr>
        <w:fldChar w:fldCharType="separate"/>
      </w:r>
      <w:r w:rsidRPr="00C82B2F">
        <w:rPr>
          <w:rFonts w:cstheme="minorHAnsi"/>
          <w:noProof/>
        </w:rPr>
        <w:t>(Wilhelm et al., 2020)</w:t>
      </w:r>
      <w:r>
        <w:rPr>
          <w:rFonts w:cstheme="minorHAnsi"/>
        </w:rPr>
        <w:fldChar w:fldCharType="end"/>
      </w:r>
      <w:r>
        <w:rPr>
          <w:rFonts w:cstheme="minorHAnsi"/>
        </w:rPr>
        <w:t xml:space="preserve">. However, the ecological and environmental contributions to these </w:t>
      </w:r>
      <w:r>
        <w:rPr>
          <w:rFonts w:cstheme="minorHAnsi"/>
          <w:i/>
          <w:iCs/>
        </w:rPr>
        <w:t>Microcystis</w:t>
      </w:r>
      <w:r>
        <w:rPr>
          <w:rFonts w:cstheme="minorHAnsi"/>
        </w:rPr>
        <w:t xml:space="preserve"> blooms are not fully understood. We want to investigate what mechanisms, drivers, and conditions </w:t>
      </w:r>
      <w:r w:rsidR="00633903">
        <w:rPr>
          <w:rFonts w:cstheme="minorHAnsi"/>
        </w:rPr>
        <w:t>favor</w:t>
      </w:r>
      <w:r>
        <w:rPr>
          <w:rFonts w:cstheme="minorHAnsi"/>
        </w:rPr>
        <w:t xml:space="preserve"> the growth of </w:t>
      </w:r>
      <w:r>
        <w:rPr>
          <w:rFonts w:cstheme="minorHAnsi"/>
          <w:i/>
          <w:iCs/>
        </w:rPr>
        <w:t>Microcystis</w:t>
      </w:r>
      <w:r>
        <w:rPr>
          <w:rFonts w:cstheme="minorHAnsi"/>
        </w:rPr>
        <w:t xml:space="preserve"> during the late summer blooms.</w:t>
      </w:r>
    </w:p>
    <w:p w14:paraId="59931554" w14:textId="410BE29E" w:rsidR="00236E6D" w:rsidRDefault="0011269B" w:rsidP="00240F72">
      <w:pPr>
        <w:pStyle w:val="Heading2"/>
      </w:pPr>
      <w:bookmarkStart w:id="4" w:name="_Toc98870940"/>
      <w:r>
        <w:t>Eutrophication</w:t>
      </w:r>
      <w:bookmarkEnd w:id="4"/>
    </w:p>
    <w:p w14:paraId="7AA60F07" w14:textId="77777777" w:rsidR="00236E6D" w:rsidRDefault="00236E6D">
      <w:pPr>
        <w:pStyle w:val="Footer"/>
        <w:numPr>
          <w:ilvl w:val="12"/>
          <w:numId w:val="0"/>
        </w:numPr>
        <w:tabs>
          <w:tab w:val="clear" w:pos="4320"/>
          <w:tab w:val="clear" w:pos="8640"/>
        </w:tabs>
      </w:pPr>
    </w:p>
    <w:p w14:paraId="460D6DB4" w14:textId="20082856" w:rsidR="00CA1FF4" w:rsidRDefault="00751A64" w:rsidP="007A6AFA">
      <w:pPr>
        <w:spacing w:line="480" w:lineRule="auto"/>
        <w:ind w:firstLine="720"/>
      </w:pPr>
      <w:r w:rsidRPr="00751A64">
        <w:t xml:space="preserve">In a healthy ecosystem, nitrogen and phosphorus </w:t>
      </w:r>
      <w:proofErr w:type="gramStart"/>
      <w:r w:rsidRPr="00751A64">
        <w:t>enter into</w:t>
      </w:r>
      <w:proofErr w:type="gramEnd"/>
      <w:r w:rsidRPr="00751A64">
        <w:t xml:space="preserve"> the water system at a rate</w:t>
      </w:r>
      <w:r w:rsidR="00767FE7">
        <w:t xml:space="preserve"> that sustains microorganisms without allowing for excessive growth</w:t>
      </w:r>
      <w:r w:rsidRPr="00751A64">
        <w:t xml:space="preserve">. Microscopic organisms, such as phytoplankton and bacteria, use these critical elements for primary productivity. The health of these microscopic communities is essential because they are the base of nearly all aquatic food-webs allowing for the healthy growth at higher trophic levels </w:t>
      </w:r>
      <w:r w:rsidRPr="00751A64">
        <w:fldChar w:fldCharType="begin" w:fldLock="1"/>
      </w:r>
      <w:r w:rsidRPr="00751A64">
        <w:instrText>ADDIN CSL_CITATION {"citationItems":[{"id":"ITEM-1","itemData":{"DOI":"10.1006/bulm.2001.0261","ISSN":"00928240","abstract":"We motivate and analyse a reaction-advection-diffusion model for the dynamics of a phytoplankton species. The reproductive rate of the phytoplankton is determined by the local light intensity. The light intensity decreases with depth due to absorption by water and phytoplankton. Phytoplankton is transported by turbulent diffusion in a water column of given depth. Furthermore, it might be sinking or buoyant depending on its specific density. Dimensional analysis allows the reduction of the full problem to a problem with four dimensionless parameters that is fully explored. We prove that the critical parameter regime for which a stationary phytoplankton bloom ceases to exist, can be analysed by a reduced linearized equation with particular boundary conditions. This problem is mapped exactly to a Bessel function problem, which is evaluated both numerically and by asymptotic expansions. A final transformation from dimensionless parameters back to laboratory parameters results in a complete set of predictions for the conditions that allow phytoplankton bloom development. Our results show that the conditions for phytoplankton bloom development can be captured by a critical depth, a compensation depth, and zero, one or two critical values of the vertical turbulent diffusion coefficient. These experimentally testable predictions take the form of similarity laws: every plankton-water-light-system characterized by the same dimensionless parameters will show the same dynamics. © 2001 Society for Mathematical Biology.","author":[{"dropping-particle":"","family":"Ebert","given":"U.","non-dropping-particle":"","parse-names":false,"suffix":""},{"dropping-particle":"","family":"Arrayás","given":"M.","non-dropping-particle":"","parse-names":false,"suffix":""},{"dropping-particle":"","family":"Temme","given":"N.","non-dropping-particle":"","parse-names":false,"suffix":""},{"dropping-particle":"","family":"Sommeijer","given":"B.","non-dropping-particle":"","parse-names":false,"suffix":""},{"dropping-particle":"","family":"Huisman","given":"J.","non-dropping-particle":"","parse-names":false,"suffix":""}],"container-title":"Bulletin of Mathematical Biology","id":"ITEM-1","issued":{"date-parts":[["2001"]]},"page":"1095-1124","title":"Critical conditions for phytoplankton blooms","type":"article-journal","volume":"63"},"uris":["http://www.mendeley.com/documents/?uuid=7dbfbf96-76b3-4c14-872b-2b338ec49b85"]}],"mendeley":{"formattedCitation":"(Ebert et al., 2001)","plainTextFormattedCitation":"(Ebert et al., 2001)","previouslyFormattedCitation":"(Ebert et al., 2001)"},"properties":{"noteIndex":0},"schema":"https://github.com/citation-style-language/schema/raw/master/csl-citation.json"}</w:instrText>
      </w:r>
      <w:r w:rsidRPr="00751A64">
        <w:fldChar w:fldCharType="separate"/>
      </w:r>
      <w:r w:rsidRPr="00751A64">
        <w:rPr>
          <w:noProof/>
        </w:rPr>
        <w:t>(Ebert et al., 2001)</w:t>
      </w:r>
      <w:r w:rsidRPr="00751A64">
        <w:fldChar w:fldCharType="end"/>
      </w:r>
      <w:r w:rsidRPr="00751A64">
        <w:t xml:space="preserve">. </w:t>
      </w:r>
      <w:r w:rsidR="00633903">
        <w:t>Predators such as microzooplankton grazers and viruses</w:t>
      </w:r>
      <w:r w:rsidRPr="00751A64">
        <w:t xml:space="preserve"> consume the photosynthetic microbes, which keeps the population size in check and allow</w:t>
      </w:r>
      <w:r w:rsidR="00633903">
        <w:t>s</w:t>
      </w:r>
      <w:r w:rsidRPr="00751A64">
        <w:t xml:space="preserve"> for </w:t>
      </w:r>
      <w:r w:rsidRPr="00751A64">
        <w:lastRenderedPageBreak/>
        <w:t>clear waters. Thus, sunlight can penetrate through the water column and give other photosynthetic plants the energy needed for photosynthesis</w:t>
      </w:r>
      <w:r w:rsidRPr="00751A64">
        <w:rPr>
          <w:b/>
          <w:bCs/>
        </w:rPr>
        <w:t>.</w:t>
      </w:r>
      <w:r w:rsidRPr="00751A64">
        <w:t xml:space="preserve"> </w:t>
      </w:r>
      <w:r w:rsidR="00A95121">
        <w:t>A</w:t>
      </w:r>
      <w:r w:rsidRPr="00751A64">
        <w:t xml:space="preserve">s more agricultural fields, factories, and concentrated feeding operations are created, these healthy ecosystems will take on more nutrients from runoff, causing eutrophic conditions </w:t>
      </w:r>
      <w:r w:rsidRPr="00751A64">
        <w:fldChar w:fldCharType="begin" w:fldLock="1"/>
      </w:r>
      <w:r w:rsidRPr="00751A64">
        <w:instrText>ADDIN CSL_CITATION {"citationItems":[{"id":"ITEM-1","itemData":{"DOI":"10.1016/j.ecohyd.2018.03.002","ISSN":"20803397","abstract":"Lake eutrophication is one of the major ecological concerns over the world in recent times. Most of the freshwater lakes and wetlands are facing the problem of water quality deterioration and ecological imbalance due to the increasing anthropogenic activities particularly in developing countries. The understanding of the mechanism and identification of the sources of eutrophication will be beneficial to mitigate the problem through proper management policy. Mechanism and effects of eutrophication described within various case studies all over the world, and the evolution of modelling approaches for their mitigation has been reviewed in this paper. With the advancement of ecosystem modeling, it has become feasible for the governmental bodies and policy makers to propose better lake control schemes and restoration programs, through their better predictive capacity. While prediction and control of eutrophication of lakes now has become easier than before, refinements are still going on owing to the ever-increased complexity and lake specific problems that require wider experience and more details. The current status of knowledge about lake eutrophication and advances in ecological and hydrodynamic modeling will be of great use for future research prospects.","author":[{"dropping-particle":"","family":"Bhagowati","given":"B.","non-dropping-particle":"","parse-names":false,"suffix":""},{"dropping-particle":"","family":"Ahamad","given":"K.","non-dropping-particle":"","parse-names":false,"suffix":""}],"container-title":"Ecohydrology and Hydrobiology","id":"ITEM-1","issue":"1","issued":{"date-parts":[["2019"]]},"page":"155-166","publisher":"European Regional Centre for Ecohydrology of the Polish Academy of Sciences","title":"A review on lake eutrophication dynamics and recent developments in lake modeling","type":"article-journal","volume":"19"},"uris":["http://www.mendeley.com/documents/?uuid=0383efe4-ee25-4d28-8e93-728951d132da"]}],"mendeley":{"formattedCitation":"(Bhagowati &amp; Ahamad, 2019a)","manualFormatting":"(Bhagowati &amp; Ahamad, 2019)","plainTextFormattedCitation":"(Bhagowati &amp; Ahamad, 2019a)","previouslyFormattedCitation":"(Bhagowati &amp; Ahamad, 2019a)"},"properties":{"noteIndex":0},"schema":"https://github.com/citation-style-language/schema/raw/master/csl-citation.json"}</w:instrText>
      </w:r>
      <w:r w:rsidRPr="00751A64">
        <w:fldChar w:fldCharType="separate"/>
      </w:r>
      <w:r w:rsidRPr="00751A64">
        <w:rPr>
          <w:noProof/>
        </w:rPr>
        <w:t>(Bhagowati &amp; Ahamad, 2019)</w:t>
      </w:r>
      <w:r w:rsidRPr="00751A64">
        <w:fldChar w:fldCharType="end"/>
      </w:r>
      <w:r w:rsidRPr="00751A64">
        <w:t xml:space="preserve">. Eutrophication is a process in which water bodies receive excess nutrients </w:t>
      </w:r>
      <w:r w:rsidRPr="00751A64">
        <w:fldChar w:fldCharType="begin" w:fldLock="1"/>
      </w:r>
      <w:r w:rsidRPr="00751A64">
        <w:instrText>ADDIN CSL_CITATION {"citationItems":[{"id":"ITEM-1","itemData":{"DOI":"10.1002/(SICI)1099-1085(199602)10:2&lt;295::AID-HYP360&gt;3.0.CO;2-F","ISSN":"08856087","abstract":"Eutrophication is the natural ageing process of lakes. It is characterized by a geologically slow shift from in-lake biological production driven by allochthonous (external to the water body) loading of nutrients, to production driven by autochthonous (in-lake) processes. This shift typically is accompanied by changes in species and biotic community composition, as an aquatic ecosystem is ultimately transformed into a terrestrial biome. However, this typically slow process can be greatly accelerated by human intervention in the natural biogeochemical cycling of nutrients within a watershed; the resulting cultural eutrophication can create conditions inimical to the continued use of the water body for human-driven economic purposes. Excessive algal and rooted plant growth, degraded water quality, extensive deoxygenation of the bottom water layers and increased fish biomass accompanied by decreased harvest quality, are some features of this process. Following the Second World War, concern with cultural eutrophication achieved an intensity that spurred a significant research effort, culminating in the identification of phosphorus as the single most significant, and controllable, element involved in driving the eutrophication process. During the late 1960s and throughout the 1970s, much effort was devoted to reducing phosphorus in wastewater effluents, primarily in the developed countries of the temperate zone. These efforts generally resulted in the control of eutrophication in these countries, albeit with varying degrees of success. The present effort in the temperate zone, comprising mostly developed nations, has now shifted to the control of diffuse sources of a broader spectrum of contaminants that impact human water use. In the developing countries of the inter-tropical zone, however, rapidly expanding populations, a growing industrial economy and extensive urbanization have only recently reached an intensity at which cultural eutrophication can no longer be ignored. Further, initial attempts at applying temperate zone control measures in this region have been largely unsuccessful. Modification of the temperate zone eutrophication paradigm will be needed, especially to address the differing climatic and hydrological conditions, if cultural eutrophication is to be contained in this region, where eutrophication-related diseases continue to be a primary cause of human distress.","author":[{"dropping-particle":"","family":"Rast","given":"W.","non-dropping-particle":"","parse-names":false,"suffix":""},{"dropping-particle":"","family":"Thornton","given":"J.A.","non-dropping-particle":"","parse-names":false,"suffix":""}],"container-title":"Hydrological Processes","id":"ITEM-1","issued":{"date-parts":[["1996"]]},"page":"295-313","title":"Trends in eutrophication research and control","type":"article-journal","volume":"10"},"uris":["http://www.mendeley.com/documents/?uuid=d3a0c421-145c-4758-a430-1ad7ca639854"]}],"mendeley":{"formattedCitation":"(Rast &amp; Thornton, 1996)","plainTextFormattedCitation":"(Rast &amp; Thornton, 1996)","previouslyFormattedCitation":"(Rast &amp; Thornton, 1996)"},"properties":{"noteIndex":0},"schema":"https://github.com/citation-style-language/schema/raw/master/csl-citation.json"}</w:instrText>
      </w:r>
      <w:r w:rsidRPr="00751A64">
        <w:fldChar w:fldCharType="separate"/>
      </w:r>
      <w:r w:rsidRPr="00751A64">
        <w:rPr>
          <w:noProof/>
        </w:rPr>
        <w:t>(Rast &amp; Thornton, 1996)</w:t>
      </w:r>
      <w:r w:rsidRPr="00751A64">
        <w:fldChar w:fldCharType="end"/>
      </w:r>
      <w:r w:rsidRPr="00751A64">
        <w:t xml:space="preserve">. The increase of nutrients can occur naturally in the environment or it can be accelerated by anthropogenic activities </w:t>
      </w:r>
      <w:r w:rsidRPr="00751A64">
        <w:fldChar w:fldCharType="begin" w:fldLock="1"/>
      </w:r>
      <w:r w:rsidRPr="00751A64">
        <w:instrText>ADDIN CSL_CITATION {"citationItems":[{"id":"ITEM-1","itemData":{"DOI":"10.1016/j.ecohyd.2018.03.002","ISSN":"20803397","abstract":"Lake eutrophication is one of the major ecological concerns over the world in recent times. Most of the freshwater lakes and wetlands are facing the problem of water quality deterioration and ecological imbalance due to the increasing anthropogenic activities particularly in developing countries. The understanding of the mechanism and identification of the sources of eutrophication will be beneficial to mitigate the problem through proper management policy. Mechanism and effects of eutrophication described within various case studies all over the world, and the evolution of modelling approaches for their mitigation has been reviewed in this paper. With the advancement of ecosystem modeling, it has become feasible for the governmental bodies and policy makers to propose better lake control schemes and restoration programs, through their better predictive capacity. While prediction and control of eutrophication of lakes now has become easier than before, refinements are still going on owing to the ever-increased complexity and lake specific problems that require wider experience and more details. The current status of knowledge about lake eutrophication and advances in ecological and hydrodynamic modeling will be of great use for future research prospects.","author":[{"dropping-particle":"","family":"Bhagowati","given":"B.","non-dropping-particle":"","parse-names":false,"suffix":""},{"dropping-particle":"","family":"Ahamad","given":"K.","non-dropping-particle":"","parse-names":false,"suffix":""}],"container-title":"Ecohydrology and Hydrobiology","id":"ITEM-1","issued":{"date-parts":[["2019"]]},"page":"155-166","title":"A review on lake eutrophication dynamics and recent developments in lake modeling","type":"article-journal","volume":"19"},"uris":["http://www.mendeley.com/documents/?uuid=1d02802d-b103-4e82-a79a-1f18de918183","http://www.mendeley.com/documents/?uuid=d20e40d0-80dc-4927-a272-7b774f1cac45"]}],"mendeley":{"formattedCitation":"(Bhagowati &amp; Ahamad, 2019b)","manualFormatting":"(Bhagowati &amp; Ahamad, 2019)","plainTextFormattedCitation":"(Bhagowati &amp; Ahamad, 2019b)","previouslyFormattedCitation":"(Bhagowati &amp; Ahamad, 2019b)"},"properties":{"noteIndex":0},"schema":"https://github.com/citation-style-language/schema/raw/master/csl-citation.json"}</w:instrText>
      </w:r>
      <w:r w:rsidRPr="00751A64">
        <w:fldChar w:fldCharType="separate"/>
      </w:r>
      <w:r w:rsidRPr="00751A64">
        <w:rPr>
          <w:noProof/>
        </w:rPr>
        <w:t>(Bhagowati &amp; Ahamad, 2019)</w:t>
      </w:r>
      <w:r w:rsidRPr="00751A64">
        <w:fldChar w:fldCharType="end"/>
      </w:r>
      <w:r w:rsidRPr="00751A64">
        <w:t>.</w:t>
      </w:r>
      <w:r w:rsidRPr="00751A64">
        <w:rPr>
          <w:vertAlign w:val="superscript"/>
        </w:rPr>
        <w:t xml:space="preserve"> </w:t>
      </w:r>
      <w:r w:rsidRPr="00751A64">
        <w:t xml:space="preserve">The excess nutrients such as phosphorus </w:t>
      </w:r>
      <w:r w:rsidR="00701364">
        <w:t xml:space="preserve">in concentrations of </w:t>
      </w:r>
      <w:r w:rsidRPr="00751A64">
        <w:t>30-100 micrograms/liter</w:t>
      </w:r>
      <w:r w:rsidR="00701364">
        <w:t xml:space="preserve"> </w:t>
      </w:r>
      <w:r w:rsidRPr="00751A64">
        <w:t>and nitrogen</w:t>
      </w:r>
      <w:r w:rsidR="00701364">
        <w:t xml:space="preserve"> in concentrations of 1</w:t>
      </w:r>
      <w:r w:rsidRPr="00751A64">
        <w:t>000-2000 micrograms/liter</w:t>
      </w:r>
      <w:r w:rsidR="00701364">
        <w:t xml:space="preserve"> </w:t>
      </w:r>
      <w:r w:rsidRPr="00751A64">
        <w:t>causes an overgrowth in algae life,</w:t>
      </w:r>
      <w:r w:rsidRPr="00751A64">
        <w:rPr>
          <w:vertAlign w:val="superscript"/>
        </w:rPr>
        <w:t xml:space="preserve"> </w:t>
      </w:r>
      <w:r w:rsidRPr="00751A64">
        <w:t xml:space="preserve">known as a bloom </w:t>
      </w:r>
      <w:r w:rsidRPr="00751A64">
        <w:fldChar w:fldCharType="begin" w:fldLock="1"/>
      </w:r>
      <w:r w:rsidRPr="00751A64">
        <w:instrText>ADDIN CSL_CITATION {"citationItems":[{"id":"ITEM-1","itemData":{"DOI":"10.1002/(SICI)1099-1085(199602)10:2&lt;295::AID-HYP360&gt;3.0.CO;2-F","ISSN":"08856087","abstract":"Eutrophication is the natural ageing process of lakes. It is characterized by a geologically slow shift from in-lake biological production driven by allochthonous (external to the water body) loading of nutrients, to production driven by autochthonous (in-lake) processes. This shift typically is accompanied by changes in species and biotic community composition, as an aquatic ecosystem is ultimately transformed into a terrestrial biome. However, this typically slow process can be greatly accelerated by human intervention in the natural biogeochemical cycling of nutrients within a watershed; the resulting cultural eutrophication can create conditions inimical to the continued use of the water body for human-driven economic purposes. Excessive algal and rooted plant growth, degraded water quality, extensive deoxygenation of the bottom water layers and increased fish biomass accompanied by decreased harvest quality, are some features of this process. Following the Second World War, concern with cultural eutrophication achieved an intensity that spurred a significant research effort, culminating in the identification of phosphorus as the single most significant, and controllable, element involved in driving the eutrophication process. During the late 1960s and throughout the 1970s, much effort was devoted to reducing phosphorus in wastewater effluents, primarily in the developed countries of the temperate zone. These efforts generally resulted in the control of eutrophication in these countries, albeit with varying degrees of success. The present effort in the temperate zone, comprising mostly developed nations, has now shifted to the control of diffuse sources of a broader spectrum of contaminants that impact human water use. In the developing countries of the inter-tropical zone, however, rapidly expanding populations, a growing industrial economy and extensive urbanization have only recently reached an intensity at which cultural eutrophication can no longer be ignored. Further, initial attempts at applying temperate zone control measures in this region have been largely unsuccessful. Modification of the temperate zone eutrophication paradigm will be needed, especially to address the differing climatic and hydrological conditions, if cultural eutrophication is to be contained in this region, where eutrophication-related diseases continue to be a primary cause of human distress.","author":[{"dropping-particle":"","family":"Rast","given":"W.","non-dropping-particle":"","parse-names":false,"suffix":""},{"dropping-particle":"","family":"Thornton","given":"J.A.","non-dropping-particle":"","parse-names":false,"suffix":""}],"container-title":"Hydrological Processes","id":"ITEM-1","issued":{"date-parts":[["1996"]]},"page":"295-313","title":"Trends in eutrophication research and control","type":"article-journal","volume":"10"},"uris":["http://www.mendeley.com/documents/?uuid=d3a0c421-145c-4758-a430-1ad7ca639854"]},{"id":"ITEM-2","itemData":{"DOI":"10.1016/j.ecohyd.2018.03.002","ISSN":"20803397","abstract":"Lake eutrophication is one of the major ecological concerns over the world in recent times. Most of the freshwater lakes and wetlands are facing the problem of water quality deterioration and ecological imbalance due to the increasing anthropogenic activities particularly in developing countries. The understanding of the mechanism and identification of the sources of eutrophication will be beneficial to mitigate the problem through proper management policy. Mechanism and effects of eutrophication described within various case studies all over the world, and the evolution of modelling approaches for their mitigation has been reviewed in this paper. With the advancement of ecosystem modeling, it has become feasible for the governmental bodies and policy makers to propose better lake control schemes and restoration programs, through their better predictive capacity. While prediction and control of eutrophication of lakes now has become easier than before, refinements are still going on owing to the ever-increased complexity and lake specific problems that require wider experience and more details. The current status of knowledge about lake eutrophication and advances in ecological and hydrodynamic modeling will be of great use for future research prospects.","author":[{"dropping-particle":"","family":"Bhagowati","given":"B.","non-dropping-particle":"","parse-names":false,"suffix":""},{"dropping-particle":"","family":"Ahamad","given":"K.","non-dropping-particle":"","parse-names":false,"suffix":""}],"container-title":"Ecohydrology and Hydrobiology","id":"ITEM-2","issue":"1","issued":{"date-parts":[["2019"]]},"page":"155-166","publisher":"European Regional Centre for Ecohydrology of the Polish Academy of Sciences","title":"A review on lake eutrophication dynamics and recent developments in lake modeling","type":"article-journal","volume":"19"},"uris":["http://www.mendeley.com/documents/?uuid=0383efe4-ee25-4d28-8e93-728951d132da"]}],"mendeley":{"formattedCitation":"(Bhagowati &amp; Ahamad, 2019a; Rast &amp; Thornton, 1996)","manualFormatting":"(Bhagowati &amp; Ahamad, 2019; Rast &amp; Thornton, 1996)","plainTextFormattedCitation":"(Bhagowati &amp; Ahamad, 2019a; Rast &amp; Thornton, 1996)","previouslyFormattedCitation":"(Bhagowati &amp; Ahamad, 2019a; Rast &amp; Thornton, 1996)"},"properties":{"noteIndex":0},"schema":"https://github.com/citation-style-language/schema/raw/master/csl-citation.json"}</w:instrText>
      </w:r>
      <w:r w:rsidRPr="00751A64">
        <w:fldChar w:fldCharType="separate"/>
      </w:r>
      <w:r w:rsidRPr="00751A64">
        <w:rPr>
          <w:noProof/>
        </w:rPr>
        <w:t>(Bhagowati &amp; Ahamad, 2019; Rast &amp; Thornton, 1996)</w:t>
      </w:r>
      <w:r w:rsidRPr="00751A64">
        <w:fldChar w:fldCharType="end"/>
      </w:r>
      <w:r w:rsidRPr="00751A64">
        <w:rPr>
          <w:b/>
          <w:bCs/>
        </w:rPr>
        <w:t xml:space="preserve">. </w:t>
      </w:r>
      <w:r w:rsidRPr="00751A64">
        <w:t xml:space="preserve">These surface-level blooms grow to such densities that they block sunlight in other primary producers lower down in the water column, thus </w:t>
      </w:r>
      <w:r w:rsidR="00F518B8">
        <w:t>reducing the</w:t>
      </w:r>
      <w:r w:rsidRPr="00751A64">
        <w:t xml:space="preserve"> produc</w:t>
      </w:r>
      <w:r w:rsidR="00F518B8">
        <w:t>tion of</w:t>
      </w:r>
      <w:r w:rsidRPr="00751A64">
        <w:t xml:space="preserve"> oxygen through photosynthesis. Eventually, the </w:t>
      </w:r>
      <w:r w:rsidR="008E3E37">
        <w:t>algal bloom</w:t>
      </w:r>
      <w:r w:rsidRPr="00751A64">
        <w:t xml:space="preserve"> die</w:t>
      </w:r>
      <w:r w:rsidR="008E3E37">
        <w:t>s</w:t>
      </w:r>
      <w:r w:rsidRPr="00751A64">
        <w:t xml:space="preserve"> off and </w:t>
      </w:r>
      <w:r w:rsidR="008E3E37">
        <w:t>is</w:t>
      </w:r>
      <w:r w:rsidRPr="00751A64">
        <w:t xml:space="preserve"> consumed by heterotrophic bacteria allowing them to overgrow. </w:t>
      </w:r>
      <w:r w:rsidR="00F518B8">
        <w:t xml:space="preserve">Heterotrophic bacteria feed on excessive organic matter build-up and through respiration are the primary driver of anaerobic conditions in the water column. </w:t>
      </w:r>
      <w:r w:rsidRPr="00751A64">
        <w:t xml:space="preserve">Therefore, through blocking photosynthesis </w:t>
      </w:r>
      <w:r w:rsidR="00F518B8">
        <w:t xml:space="preserve">by other phytoplankton and plants </w:t>
      </w:r>
      <w:r w:rsidRPr="00751A64">
        <w:t xml:space="preserve">and stimulating respiration rates </w:t>
      </w:r>
      <w:r w:rsidR="00F518B8">
        <w:t>by</w:t>
      </w:r>
      <w:r w:rsidRPr="00751A64">
        <w:t xml:space="preserve"> heterotroph</w:t>
      </w:r>
      <w:r w:rsidR="008E3E37">
        <w:t>ic</w:t>
      </w:r>
      <w:r w:rsidRPr="00751A64">
        <w:t xml:space="preserve"> populations, algal blooms cause extremely anaerobic conditions in water systems </w:t>
      </w:r>
      <w:r w:rsidRPr="00751A64">
        <w:fldChar w:fldCharType="begin" w:fldLock="1"/>
      </w:r>
      <w:r w:rsidRPr="00751A64">
        <w:instrText>ADDIN CSL_CITATION {"citationItems":[{"id":"ITEM-1","itemData":{"DOI":"10.1016/j.ecohyd.2018.03.002","ISSN":"20803397","abstract":"Lake eutrophication is one of the major ecological concerns over the world in recent times. Most of the freshwater lakes and wetlands are facing the problem of water quality deterioration and ecological imbalance due to the increasing anthropogenic activities particularly in developing countries. The understanding of the mechanism and identification of the sources of eutrophication will be beneficial to mitigate the problem through proper management policy. Mechanism and effects of eutrophication described within various case studies all over the world, and the evolution of modelling approaches for their mitigation has been reviewed in this paper. With the advancement of ecosystem modeling, it has become feasible for the governmental bodies and policy makers to propose better lake control schemes and restoration programs, through their better predictive capacity. While prediction and control of eutrophication of lakes now has become easier than before, refinements are still going on owing to the ever-increased complexity and lake specific problems that require wider experience and more details. The current status of knowledge about lake eutrophication and advances in ecological and hydrodynamic modeling will be of great use for future research prospects.","author":[{"dropping-particle":"","family":"Bhagowati","given":"B.","non-dropping-particle":"","parse-names":false,"suffix":""},{"dropping-particle":"","family":"Ahamad","given":"K.","non-dropping-particle":"","parse-names":false,"suffix":""}],"container-title":"Ecohydrology and Hydrobiology","id":"ITEM-1","issued":{"date-parts":[["2019"]]},"page":"155-166","title":"A review on lake eutrophication dynamics and recent developments in lake modeling","type":"article-journal","volume":"19"},"uris":["http://www.mendeley.com/documents/?uuid=1d02802d-b103-4e82-a79a-1f18de918183"]}],"mendeley":{"formattedCitation":"(Bhagowati &amp; Ahamad, 2019b)","manualFormatting":"(Bhagowati &amp; Ahamad, 2019)","plainTextFormattedCitation":"(Bhagowati &amp; Ahamad, 2019b)","previouslyFormattedCitation":"(Bhagowati &amp; Ahamad, 2019b)"},"properties":{"noteIndex":0},"schema":"https://github.com/citation-style-language/schema/raw/master/csl-citation.json"}</w:instrText>
      </w:r>
      <w:r w:rsidRPr="00751A64">
        <w:fldChar w:fldCharType="separate"/>
      </w:r>
      <w:r w:rsidRPr="00751A64">
        <w:rPr>
          <w:noProof/>
        </w:rPr>
        <w:t>(Bhagowati &amp; Ahamad, 2019)</w:t>
      </w:r>
      <w:r w:rsidRPr="00751A64">
        <w:fldChar w:fldCharType="end"/>
      </w:r>
      <w:r w:rsidRPr="00751A64">
        <w:t xml:space="preserve">.  </w:t>
      </w:r>
      <w:r w:rsidR="00434852">
        <w:t>There is a vast diversity of cyanobacteria and eukaryotic algae that cause harmful algal blooms (HABs)</w:t>
      </w:r>
      <w:r w:rsidR="00C512B0">
        <w:t xml:space="preserve"> in different </w:t>
      </w:r>
      <w:r w:rsidR="00C512B0">
        <w:lastRenderedPageBreak/>
        <w:t>locations. For</w:t>
      </w:r>
      <w:r w:rsidR="00434852">
        <w:t xml:space="preserve"> example, </w:t>
      </w:r>
      <w:r w:rsidR="00C512B0">
        <w:t>dinoflagellates cause red tide in Florida, freshwater diatoms cause winter blooms in rivers in Korea, and cyanobacteria dominate the HABs in Lake Erie of the Great Lakes</w:t>
      </w:r>
      <w:r w:rsidR="00D86575">
        <w:t xml:space="preserve"> </w:t>
      </w:r>
      <w:r w:rsidR="00D86575">
        <w:fldChar w:fldCharType="begin" w:fldLock="1"/>
      </w:r>
      <w:r w:rsidR="0074799C">
        <w:instrText>ADDIN CSL_CITATION {"citationItems":[{"id":"ITEM-1","itemData":{"DOI":"10.1016/j.jglr.2015.01.001","ISSN":"03801330","abstract":"Harmful algal blooms (HABs) are becoming increasingly common in freshwater ecosystems globally, raising complex questions about the factors that influence their initiation and growth. These questions have increasingly been answered through mechanistic and stochastic modeling efforts that rely on historical information about HABs in a given system for development, validation, and calibration. Therefore, understanding processes that control HABs is predicated on the ability to answer much more basic questions about what has actually occurred in a given system, namely questions of HAB occurrence, extent, intensity, and timing. Here we explore the state of the science in answering these basic questions; we use Lake Erie as a case study, where nearly two decades after the resurgence of HABs, a summer 2014 event caused a mandatory three day tap water ban for Toledo, Ohio. We find that, even for well-studied systems, unambiguous answers to basic questions about HAB occurrence are lacking, raising concerns about their use as a basis for addressing mechanistic questions about controlling factors. This ambiguity is found to be caused by differences in the methods used to track HABs, the specific harm being considered, the linkage to that harm (direct or indirect), the threshold defining harm, and spatiotemporal variability in sampling. Further work is therefore needed to integrate heterogeneous types of observations in order to better leverage existing and future monitoring programs, and to guide modeling efforts toward deeper understanding of HAB causes and consequences.","author":[{"dropping-particle":"","family":"Ho","given":"Jeff C.","non-dropping-particle":"","parse-names":false,"suffix":""},{"dropping-particle":"","family":"Michalak","given":"Anna M.","non-dropping-particle":"","parse-names":false,"suffix":""}],"container-title":"Journal of Great Lakes Research","id":"ITEM-1","issue":"2","issued":{"date-parts":[["2015"]]},"page":"317-325","publisher":"Elsevier B.V.","title":"Challenges in tracking harmful algal blooms: A synthesis of evidence from Lake Erie","type":"article-journal","volume":"41"},"uris":["http://www.mendeley.com/documents/?uuid=79386977-e535-41e7-874f-a524e297d86a"]},{"id":"ITEM-2","itemData":{"DOI":"10.1111/j.1365-2672.2008.03733.x","ISSN":"13645072","PMID":"18266701","abstract":"Aims: The study of an algicidal activity and mechanism of the isolated Pseudomonas fluorescens HYK0210-SK09 (SK09) against a winter bloomed harmful diatom, Stephanodiscus hantzschii. Methods and Results: SK09 was isolated from the Paldang reservoir, Korea and used to biological control of S. hantzschii. The inoculation of SK09 at the final density of 5 × 106 cells ml-1 caused degradation of &gt;90% of S. hantzschii cells within 5 days. The algal cell lysis was achieved by a direct attack of the bacteria to the diatom cells, and the algicidal compound was located in the cytoplasm of the cell. As SK09 did not suppress Microcystis aeruginosa, Anabaena cylindrica, Coelastrum astroideum or Cyclotella meneghiniana, it appeared to attack S. hantzschii in a species-specific manner. Testing in an indoor mesocosms confirmed that SK09 effectively reduced S. hantzschii cells by 88% within 9 days. Conclusions: This bacterium is useful in regulating blooms of S. hantzschii. However, it should be studied in the future that their impact in shaping phytoplankton community and their activity in natural environments. Significance and Impact of the Study: The bacterium enabled us to develop a new strategy, to understand the interaction for anthropogenic control of harmful algal blooms in nature. © 2008 The Authors.","author":[{"dropping-particle":"","family":"Jung","given":"S. W.","non-dropping-particle":"","parse-names":false,"suffix":""},{"dropping-particle":"","family":"Kim","given":"B. H.","non-dropping-particle":"","parse-names":false,"suffix":""},{"dropping-particle":"","family":"Katano","given":"T.","non-dropping-particle":"","parse-names":false,"suffix":""},{"dropping-particle":"","family":"Kong","given":"D. S.","non-dropping-particle":"","parse-names":false,"suffix":""},{"dropping-particle":"","family":"Han","given":"M. S.","non-dropping-particle":"","parse-names":false,"suffix":""}],"container-title":"Journal of Applied Microbiology","id":"ITEM-2","issue":"1","issued":{"date-parts":[["2008"]]},"page":"186-195","title":"Pseudomonas fluorescens HYK0210-SK09 offers species-specific biological control of winter algal blooms caused by freshwater diatom Stephanodiscus hantzschii","type":"article-journal","volume":"105"},"uris":["http://www.mendeley.com/documents/?uuid=6cc0435e-1102-4a18-8b23-0528f4de7f45"]},{"id":"ITEM-3","itemData":{"DOI":"10.1016/j.hal.2008.11.004","ISSN":"15689883","abstract":"The dinoflagellate Karenia brevis is responsible for nearly annual red tides in the Gulf of Mexico that cause extensive marine mortalities and human illness due to the production of brevetoxins. Although the mechanisms regulating its bloom dynamics and toxicity have received considerable attention, investigation into these processes at the cellular and molecular level has only begun in earnest during the past decade. This review provides an overview of the recent advances in our understanding of the cellular and molecular biology on K. brevis. Several molecular resources developed for K. brevis, including cDNA and genomic DNA libraries, DNA microarrays, metagenomic libraries, and probes for population genetics, have revolutionized our ability to investigate fundamental questions about K. brevis biology. Two cellular processes have received particular attention, the vegetative cell cycle and vertical migration behavior, which are of key importance due to their roles in the development of both surface populations that constitute blooms and subsurface cell aggregations that may serve to initiate them. High throughput sequencing of cDNA libraries has provided the first glimpse of the gene repertoire in K. brevis, with approximately 12,000 unique genes identified to date. Phylogenomic analysis of these genes has revealed a high rate of horizontal gene transfer in K. brevis, which has resulted in a chimeric chloroplast through the selective retention of genes of red, green, and haptophyte origin, whose adaptive significance is not yet clear. Gene expression studies using DNA microarrays have demonstrated a prevalence of post-transcriptional gene regulation in K. brevis and led to the discovery of an unusual spliced leader trans-splicing mechanism. Among the trans-spliced gene transcripts are type I polyketide synthases (PKSs), implicated in brevetoxin biosynthesis, which are unique among type I PKSs in that each transcript encodes an individual catalytic domain, suggesting a novel gene structure in this dinoflagellate. Clone libraries of 16S ribosomal DNA sequences developed from bloom waters have unveiled the temporal and spatial complexity of the microbial soup that coexists with K. brevis and its active involvement in both bloom growth and termination processes. Finally, the development and application of population genetic markers has revealed a surprisingly high genetic diversity in K. brevis blooms, long assumed to consist of essentially clonal populati…","author":[{"dropping-particle":"","family":"Dolah","given":"Frances M.","non-dropping-particle":"Van","parse-names":false,"suffix":""},{"dropping-particle":"","family":"Lidie","given":"Kristy B.","non-dropping-particle":"","parse-names":false,"suffix":""},{"dropping-particle":"","family":"Monroe","given":"Emily A.","non-dropping-particle":"","parse-names":false,"suffix":""},{"dropping-particle":"","family":"Bhattacharya","given":"Debashish","non-dropping-particle":"","parse-names":false,"suffix":""},{"dropping-particle":"","family":"Campbell","given":"Lisa","non-dropping-particle":"","parse-names":false,"suffix":""},{"dropping-particle":"","family":"Doucette","given":"Gregory J.","non-dropping-particle":"","parse-names":false,"suffix":""},{"dropping-particle":"","family":"Kamykowski","given":"Daniel","non-dropping-particle":"","parse-names":false,"suffix":""}],"container-title":"Harmful Algae","id":"ITEM-3","issue":"4","issued":{"date-parts":[["2009"]]},"page":"562-572","title":"The Florida red tide dinoflagellate Karenia brevis: New insights into cellular and molecular processes underlying bloom dynamics","type":"article-journal","volume":"8"},"uris":["http://www.mendeley.com/documents/?uuid=6fb264d7-539c-45a0-a11d-3b186b5e4afa"]}],"mendeley":{"formattedCitation":"(Ho &amp; Michalak, 2015; Jung et al., 2008; Van Dolah et al., 2009)","plainTextFormattedCitation":"(Ho &amp; Michalak, 2015; Jung et al., 2008; Van Dolah et al., 2009)","previouslyFormattedCitation":"(Ho &amp; Michalak, 2015; Jung et al., 2008; Van Dolah et al., 2009)"},"properties":{"noteIndex":0},"schema":"https://github.com/citation-style-language/schema/raw/master/csl-citation.json"}</w:instrText>
      </w:r>
      <w:r w:rsidR="00D86575">
        <w:fldChar w:fldCharType="separate"/>
      </w:r>
      <w:r w:rsidR="00D86575" w:rsidRPr="00D86575">
        <w:rPr>
          <w:noProof/>
        </w:rPr>
        <w:t>(Ho &amp; Michalak, 2015; Jung et al., 2008; Van Dolah et al., 2009)</w:t>
      </w:r>
      <w:r w:rsidR="00D86575">
        <w:fldChar w:fldCharType="end"/>
      </w:r>
      <w:r w:rsidR="00D86575">
        <w:t xml:space="preserve">. </w:t>
      </w:r>
      <w:r w:rsidR="00701364">
        <w:t>Here</w:t>
      </w:r>
      <w:r w:rsidR="00434852">
        <w:t>, we</w:t>
      </w:r>
      <w:r w:rsidRPr="00751A64">
        <w:t xml:space="preserve"> will concentrate on the cyanobacteria </w:t>
      </w:r>
      <w:r w:rsidRPr="00751A64">
        <w:rPr>
          <w:i/>
          <w:iCs/>
        </w:rPr>
        <w:t>Microcystis aeruginosa</w:t>
      </w:r>
      <w:r w:rsidRPr="00751A64">
        <w:t xml:space="preserve"> that wreak havoc on water systems in the US every year through eutrophication-related blooms </w:t>
      </w:r>
      <w:r w:rsidRPr="00751A64">
        <w:fldChar w:fldCharType="begin" w:fldLock="1"/>
      </w:r>
      <w:r w:rsidR="002A5C6A">
        <w:instrText>ADDIN CSL_CITATION {"citationItems":[{"id":"ITEM-1","itemData":{"author":[{"dropping-particle":"","family":"EPA","given":"United States Environmental Protection Agency","non-dropping-particle":"","parse-names":false,"suffix":""}],"id":"ITEM-1","issue":"June","issued":{"date-parts":[["2015"]]},"page":"1-75","title":"Drinking Water Health Advisory for the Cyanobacterial Microcystin Toxins - 2015","type":"article-journal"},"uris":["http://www.mendeley.com/documents/?uuid=f2ea57cc-3789-4935-a21c-68103e52e352"]}],"mendeley":{"formattedCitation":"(U. S. E. P. A. EPA, 2015)","plainTextFormattedCitation":"(U. S. E. P. A. EPA, 2015)","previouslyFormattedCitation":"(U. S. E. P. A. EPA, 2015)"},"properties":{"noteIndex":0},"schema":"https://github.com/citation-style-language/schema/raw/master/csl-citation.json"}</w:instrText>
      </w:r>
      <w:r w:rsidRPr="00751A64">
        <w:fldChar w:fldCharType="separate"/>
      </w:r>
      <w:r w:rsidR="00FA535B" w:rsidRPr="00FA535B">
        <w:rPr>
          <w:noProof/>
        </w:rPr>
        <w:t>(U. S. E. P. A. EPA, 2015)</w:t>
      </w:r>
      <w:r w:rsidRPr="00751A64">
        <w:fldChar w:fldCharType="end"/>
      </w:r>
      <w:r w:rsidRPr="00751A64">
        <w:t xml:space="preserve">. </w:t>
      </w:r>
    </w:p>
    <w:p w14:paraId="5C604021" w14:textId="01DD25F4" w:rsidR="00CA1FF4" w:rsidRDefault="00CA1FF4" w:rsidP="00240F72">
      <w:pPr>
        <w:pStyle w:val="Heading2"/>
      </w:pPr>
      <w:bookmarkStart w:id="5" w:name="_Toc98870941"/>
      <w:r>
        <w:t>Cyanobacteria</w:t>
      </w:r>
      <w:bookmarkEnd w:id="5"/>
    </w:p>
    <w:p w14:paraId="0962556C" w14:textId="77777777" w:rsidR="001F1DE3" w:rsidRPr="001F1DE3" w:rsidRDefault="001F1DE3" w:rsidP="001F1DE3"/>
    <w:p w14:paraId="07B72CAF" w14:textId="10250E6E" w:rsidR="009023DB" w:rsidRPr="00CA1FF4" w:rsidRDefault="006B074D" w:rsidP="009023DB">
      <w:pPr>
        <w:spacing w:line="480" w:lineRule="auto"/>
      </w:pPr>
      <w:r>
        <w:tab/>
      </w:r>
      <w:r w:rsidR="00645D99">
        <w:t xml:space="preserve">To begin we will review </w:t>
      </w:r>
      <w:r w:rsidR="009023DB">
        <w:t xml:space="preserve">background information about cyanobacteria </w:t>
      </w:r>
      <w:r w:rsidR="00713F80">
        <w:t>to</w:t>
      </w:r>
      <w:r w:rsidR="003E5F4C">
        <w:t xml:space="preserve"> gain understanding of the biological and </w:t>
      </w:r>
      <w:r w:rsidR="00713F80">
        <w:t xml:space="preserve">environmental drivers that impact the growth of </w:t>
      </w:r>
      <w:r w:rsidR="00713F80">
        <w:rPr>
          <w:i/>
          <w:iCs/>
        </w:rPr>
        <w:t xml:space="preserve">Microcystis. </w:t>
      </w:r>
      <w:r w:rsidR="0010543D">
        <w:t>Cyanobacteria</w:t>
      </w:r>
      <w:r w:rsidR="00713F80">
        <w:t>,</w:t>
      </w:r>
      <w:r w:rsidR="0010543D">
        <w:t xml:space="preserve"> including </w:t>
      </w:r>
      <w:r w:rsidR="0010543D" w:rsidRPr="00713F80">
        <w:rPr>
          <w:i/>
          <w:iCs/>
        </w:rPr>
        <w:t>Microcystis</w:t>
      </w:r>
      <w:r w:rsidR="00713F80">
        <w:t>,</w:t>
      </w:r>
      <w:r w:rsidR="0010543D">
        <w:t xml:space="preserve"> and other eukaryotic algae biomasses are measured by taking pigment concentrations which helps us understand the dominant phytoplankton group throughout the year. In addition, cyanobacter</w:t>
      </w:r>
      <w:r w:rsidR="001B28FE">
        <w:t>ia and eukaryotic algae</w:t>
      </w:r>
      <w:r w:rsidR="003E5F4C">
        <w:t xml:space="preserve"> are affected by environmental factors such as wind, temperature and pH, and irradiance. </w:t>
      </w:r>
      <w:r w:rsidR="002F6051">
        <w:t xml:space="preserve">These factors have an impact on the times of year that different phytoplankton groups dominate the environment. </w:t>
      </w:r>
    </w:p>
    <w:p w14:paraId="0923AD12" w14:textId="11AFA16D" w:rsidR="00CA1FF4" w:rsidRPr="00CA1FF4" w:rsidRDefault="00CA1FF4" w:rsidP="002F6051">
      <w:pPr>
        <w:spacing w:line="480" w:lineRule="auto"/>
        <w:ind w:firstLine="720"/>
      </w:pPr>
      <w:r w:rsidRPr="00CA1FF4">
        <w:t xml:space="preserve">Phytoplankton are a diverse group of microbial algae that serve as the base of nearly all aquatic food-webs </w:t>
      </w:r>
      <w:r w:rsidRPr="00CA1FF4">
        <w:fldChar w:fldCharType="begin" w:fldLock="1"/>
      </w:r>
      <w:r w:rsidRPr="00CA1FF4">
        <w:instrText>ADDIN CSL_CITATION {"citationItems":[{"id":"ITEM-1","itemData":{"DOI":"10.1006/bulm.2001.0261","ISSN":"00928240","abstract":"We motivate and analyse a reaction-advection-diffusion model for the dynamics of a phytoplankton species. The reproductive rate of the phytoplankton is determined by the local light intensity. The light intensity decreases with depth due to absorption by water and phytoplankton. Phytoplankton is transported by turbulent diffusion in a water column of given depth. Furthermore, it might be sinking or buoyant depending on its specific density. Dimensional analysis allows the reduction of the full problem to a problem with four dimensionless parameters that is fully explored. We prove that the critical parameter regime for which a stationary phytoplankton bloom ceases to exist, can be analysed by a reduced linearized equation with particular boundary conditions. This problem is mapped exactly to a Bessel function problem, which is evaluated both numerically and by asymptotic expansions. A final transformation from dimensionless parameters back to laboratory parameters results in a complete set of predictions for the conditions that allow phytoplankton bloom development. Our results show that the conditions for phytoplankton bloom development can be captured by a critical depth, a compensation depth, and zero, one or two critical values of the vertical turbulent diffusion coefficient. These experimentally testable predictions take the form of similarity laws: every plankton-water-light-system characterized by the same dimensionless parameters will show the same dynamics. © 2001 Society for Mathematical Biology.","author":[{"dropping-particle":"","family":"Ebert","given":"U.","non-dropping-particle":"","parse-names":false,"suffix":""},{"dropping-particle":"","family":"Arrayás","given":"M.","non-dropping-particle":"","parse-names":false,"suffix":""},{"dropping-particle":"","family":"Temme","given":"N.","non-dropping-particle":"","parse-names":false,"suffix":""},{"dropping-particle":"","family":"Sommeijer","given":"B.","non-dropping-particle":"","parse-names":false,"suffix":""},{"dropping-particle":"","family":"Huisman","given":"J.","non-dropping-particle":"","parse-names":false,"suffix":""}],"container-title":"Bulletin of Mathematical Biology","id":"ITEM-1","issued":{"date-parts":[["2001"]]},"page":"1095-1124","title":"Critical conditions for phytoplankton blooms","type":"article-journal","volume":"63"},"uris":["http://www.mendeley.com/documents/?uuid=7dbfbf96-76b3-4c14-872b-2b338ec49b85"]}],"mendeley":{"formattedCitation":"(Ebert et al., 2001)","plainTextFormattedCitation":"(Ebert et al., 2001)","previouslyFormattedCitation":"(Ebert et al., 2001)"},"properties":{"noteIndex":0},"schema":"https://github.com/citation-style-language/schema/raw/master/csl-citation.json"}</w:instrText>
      </w:r>
      <w:r w:rsidRPr="00CA1FF4">
        <w:fldChar w:fldCharType="separate"/>
      </w:r>
      <w:r w:rsidRPr="00CA1FF4">
        <w:rPr>
          <w:noProof/>
        </w:rPr>
        <w:t>(Ebert et al., 2001)</w:t>
      </w:r>
      <w:r w:rsidRPr="00CA1FF4">
        <w:fldChar w:fldCharType="end"/>
      </w:r>
      <w:r w:rsidRPr="00CA1FF4">
        <w:t>. Phytoplankton bloom when nutrients and light conditions are favorable for growth. Researchers measure primary productivity in these regions using chlorophyll-a</w:t>
      </w:r>
      <w:r w:rsidR="002F6051">
        <w:t xml:space="preserve"> (Figure 1)</w:t>
      </w:r>
      <w:r w:rsidRPr="00CA1FF4">
        <w:t xml:space="preserve">, which is synthesized by cyanobacteria and other primary producers during photosynthesis </w:t>
      </w:r>
      <w:r w:rsidRPr="00CA1FF4">
        <w:fldChar w:fldCharType="begin" w:fldLock="1"/>
      </w:r>
      <w:r w:rsidRPr="00CA1FF4">
        <w:instrText>ADDIN CSL_CITATION {"citationItems":[{"id":"ITEM-1","itemData":{"DOI":"10.1128/mmbr.62.3.667-683.1998","ISSN":"1092-2172","PMID":"9729605","abstract":"Cyanobacteria are ecologically important photosynthetic prokaryotes that also serve as popular model organisms for studies of photosynthesis and gene regulation. Both molecular and ecological studies of cyanobacteria benefit from real-time information on photosynthesis and acclimation. Monitoring in vivo chlorophyll fluorescence can provide noninvasive measures of photosynthetic physiology in a wide range of cyanobacteria and cyanolichens and requires only small samples. Cyanobacterial fluorescence patterns are distinct from those of plants, because of key structural and functional properties of cyanobacteria. These include significant fluorescence emission from the light-harvesting phycobiliproteins; large and rapid changes in fluorescence yield (state transitions) which depend on metabolic and environmental conditions; and flexible, overlapping respiratory and photosynthetic electron transport chains. The fluorescence parameters FV/FM, FV'/FM',qp,qN, NPQ, and phiPS II were originally developed to extract information from the fluorescence signals of higher plants. In this review, we consider how the special properties of cyanobacteria can be accommodated and used to extract biologically useful information from cyanobacterial in vivo chlorophyll fluorescence signals. We describe how the pattern of fluorescence yield versus light intensity can be used to predict the acclimated light level for a cyanobacterial population, giving information valuable for both laboratory and field studies of acclimation processes. The size of the change in fluorescence yield during dark-to-light transitions can provide information on respiration and the iron status of the cyanobacteria. Finally, fluorescence parameters can be used to estimate the electron transport rate at the acclimated growth light intensity.","author":[{"dropping-particle":"","family":"Campbell","given":"Douglas","non-dropping-particle":"","parse-names":false,"suffix":""},{"dropping-particle":"","family":"Hurry","given":"Vaughan","non-dropping-particle":"","parse-names":false,"suffix":""},{"dropping-particle":"","family":"Clarke","given":"Adrian K.","non-dropping-particle":"","parse-names":false,"suffix":""},{"dropping-particle":"","family":"Gustafsson","given":"Petter","non-dropping-particle":"","parse-names":false,"suffix":""},{"dropping-particle":"","family":"Öquist","given":"Gunnar","non-dropping-particle":"","parse-names":false,"suffix":""}],"container-title":"Microbiology and Molecular Biology Reviews","id":"ITEM-1","issue":"3","issued":{"date-parts":[["1998"]]},"page":"667-683","title":"Chlorophyll Fluorescence Analysis of Cyanobacterial Photosynthesis and Acclimation","type":"article-journal","volume":"62"},"uris":["http://www.mendeley.com/documents/?uuid=390b1b5d-4b69-4f2e-b726-cbcb96964331"]}],"mendeley":{"formattedCitation":"(Campbell et al., 1998)","plainTextFormattedCitation":"(Campbell et al., 1998)","previouslyFormattedCitation":"(Campbell et al., 1998)"},"properties":{"noteIndex":0},"schema":"https://github.com/citation-style-language/schema/raw/master/csl-citation.json"}</w:instrText>
      </w:r>
      <w:r w:rsidRPr="00CA1FF4">
        <w:fldChar w:fldCharType="separate"/>
      </w:r>
      <w:r w:rsidRPr="00CA1FF4">
        <w:rPr>
          <w:noProof/>
        </w:rPr>
        <w:t>(Campbell et al., 1998)</w:t>
      </w:r>
      <w:r w:rsidRPr="00CA1FF4">
        <w:fldChar w:fldCharType="end"/>
      </w:r>
      <w:r w:rsidRPr="00CA1FF4">
        <w:t>. Cyanobacteria also synthesize phycocyanin</w:t>
      </w:r>
      <w:r w:rsidR="002F6051">
        <w:t xml:space="preserve"> (Figure 1)</w:t>
      </w:r>
      <w:r w:rsidRPr="00CA1FF4">
        <w:t xml:space="preserve">. While chlorophyll-a is synthesized by numerous </w:t>
      </w:r>
      <w:r w:rsidRPr="00CA1FF4">
        <w:lastRenderedPageBreak/>
        <w:t xml:space="preserve">organisms, phycocyanin is only synthesized by cyanobacteria and Rhodophyta </w:t>
      </w:r>
      <w:r w:rsidRPr="00CA1FF4">
        <w:fldChar w:fldCharType="begin" w:fldLock="1"/>
      </w:r>
      <w:r w:rsidRPr="00CA1FF4">
        <w:instrText>ADDIN CSL_CITATION {"citationItems":[{"id":"ITEM-1","itemData":{"DOI":"10.1128/mmbr.62.3.667-683.1998","ISSN":"1092-2172","PMID":"9729605","abstract":"Cyanobacteria are ecologically important photosynthetic prokaryotes that also serve as popular model organisms for studies of photosynthesis and gene regulation. Both molecular and ecological studies of cyanobacteria benefit from real-time information on photosynthesis and acclimation. Monitoring in vivo chlorophyll fluorescence can provide noninvasive measures of photosynthetic physiology in a wide range of cyanobacteria and cyanolichens and requires only small samples. Cyanobacterial fluorescence patterns are distinct from those of plants, because of key structural and functional properties of cyanobacteria. These include significant fluorescence emission from the light-harvesting phycobiliproteins; large and rapid changes in fluorescence yield (state transitions) which depend on metabolic and environmental conditions; and flexible, overlapping respiratory and photosynthetic electron transport chains. The fluorescence parameters FV/FM, FV'/FM',qp,qN, NPQ, and phiPS II were originally developed to extract information from the fluorescence signals of higher plants. In this review, we consider how the special properties of cyanobacteria can be accommodated and used to extract biologically useful information from cyanobacterial in vivo chlorophyll fluorescence signals. We describe how the pattern of fluorescence yield versus light intensity can be used to predict the acclimated light level for a cyanobacterial population, giving information valuable for both laboratory and field studies of acclimation processes. The size of the change in fluorescence yield during dark-to-light transitions can provide information on respiration and the iron status of the cyanobacteria. Finally, fluorescence parameters can be used to estimate the electron transport rate at the acclimated growth light intensity.","author":[{"dropping-particle":"","family":"Campbell","given":"Douglas","non-dropping-particle":"","parse-names":false,"suffix":""},{"dropping-particle":"","family":"Hurry","given":"Vaughan","non-dropping-particle":"","parse-names":false,"suffix":""},{"dropping-particle":"","family":"Clarke","given":"Adrian K.","non-dropping-particle":"","parse-names":false,"suffix":""},{"dropping-particle":"","family":"Gustafsson","given":"Petter","non-dropping-particle":"","parse-names":false,"suffix":""},{"dropping-particle":"","family":"Öquist","given":"Gunnar","non-dropping-particle":"","parse-names":false,"suffix":""}],"container-title":"Microbiology and Molecular Biology Reviews","id":"ITEM-1","issue":"3","issued":{"date-parts":[["1998"]]},"page":"667-683","title":"Chlorophyll Fluorescence Analysis of Cyanobacterial Photosynthesis and Acclimation","type":"article-journal","volume":"62"},"uris":["http://www.mendeley.com/documents/?uuid=390b1b5d-4b69-4f2e-b726-cbcb96964331"]}],"mendeley":{"formattedCitation":"(Campbell et al., 1998)","plainTextFormattedCitation":"(Campbell et al., 1998)","previouslyFormattedCitation":"(Campbell et al., 1998)"},"properties":{"noteIndex":0},"schema":"https://github.com/citation-style-language/schema/raw/master/csl-citation.json"}</w:instrText>
      </w:r>
      <w:r w:rsidRPr="00CA1FF4">
        <w:fldChar w:fldCharType="separate"/>
      </w:r>
      <w:r w:rsidRPr="00CA1FF4">
        <w:rPr>
          <w:noProof/>
        </w:rPr>
        <w:t>(Campbell et al., 1998)</w:t>
      </w:r>
      <w:r w:rsidRPr="00CA1FF4">
        <w:fldChar w:fldCharType="end"/>
      </w:r>
      <w:r w:rsidRPr="00CA1FF4">
        <w:t xml:space="preserve">. Phycocyanin can be a great indicator of how many cyanobacterial cells are present in the environment. Chlorophyll-a and phycocyanin concentrations can be used to measure the estimated biomass of eukaryotic algae and cyanobacteria in the ecosystem. On average, a cyanobacterial cell synthesizes about four times the concentration of phycocyanin compared to that of chlorophyll-a </w:t>
      </w:r>
      <w:r w:rsidRPr="00CA1FF4">
        <w:fldChar w:fldCharType="begin" w:fldLock="1"/>
      </w:r>
      <w:r w:rsidR="00FA535B">
        <w:instrText>ADDIN CSL_CITATION {"citationItems":[{"id":"ITEM-1","itemData":{"DOI":"10.1007/s00343-018-7065-1","ISSN":"25233521","abstract":"Cyanobacterial blooms are a global problem, with their occurrence tightly tied to nutrient loading. We cultured Microcystis aeruginosa FACHB-905 in growth medium with either inorganic (orthophosphate) or organic (β-glycerophosphate or polyphosphate) phosphorus and at different N:P ratios with 50:1, 30:1, 16:1, 4:1 and 1:4, serving as the phosphorus source. Fluorescence parameters were measured to determine the response of cellular responses to nutrient stress. Scanning electron microscopy (SEM) and estimates of antioxidant activity were employed to examine potential mechanisms of physical change. The results demonstrate that inorganic phosphorus was more bioavailable to M. aeruginosa relative to organic phosphorus in culture. The highest cell concentration (2.21×106 cells/mL), chlorophyll-a (0.39 pg/cell) and phycocyanin (1.57 pg/cell) quotas and high levels of chlorophyll fluorescence parameters (rETR, Ek, α, φPS II and Fv / Fm) were obtained when phosphorus was supplied as K2HPO4 at a N:P ratio of 16–30. Organic sources of phosphorus (β-glycerophosphate and polyphosphate) were bioavailable to M. aeruginosa. In addition, too concentrated orthophosphate (N:P=1:4) resulted in the oxidative stress and lipid peroxidation of cell membrane (identified by the antioxidant system activity), and the photosynthetic activity declined consequently. This study has demonstrated the effects of different phosphorus chemistries and N:P ratios on the cyanobacterial growth, photosynthetic activity and cell physiology, which could be an effective tool for predicting cyanobacterial dominance or N-deficiency in natural lakes (due to the superior ability of cyanobacteria for dissolved N and fix atmospheric N in some cases).","author":[{"dropping-particle":"","family":"Peng","given":"G.","non-dropping-particle":"","parse-names":false,"suffix":""},{"dropping-particle":"","family":"Wilhelm","given":"S. W.","non-dropping-particle":"","parse-names":false,"suffix":""},{"dropping-particle":"","family":"Lin","given":"S.","non-dropping-particle":"","parse-names":false,"suffix":""},{"dropping-particle":"","family":"Wang","given":"X.","non-dropping-particle":"","parse-names":false,"suffix":""}],"container-title":"Journal of Oceanology and Limnology","id":"ITEM-1","issue":"4","issued":{"date-parts":[["2018"]]},"page":"1040-1052","title":"Response of Microcystis aeruginosa FACHB-905 to different nutrient ratios and changes in phosphorus chemistry","type":"article-journal","volume":"36"},"uris":["http://www.mendeley.com/documents/?uuid=9590142f-af05-4764-92ad-97f1ccc70d17"]}],"mendeley":{"formattedCitation":"(Peng et al., 2018)","plainTextFormattedCitation":"(Peng et al., 2018)","previouslyFormattedCitation":"(Peng et al., 2018)"},"properties":{"noteIndex":0},"schema":"https://github.com/citation-style-language/schema/raw/master/csl-citation.json"}</w:instrText>
      </w:r>
      <w:r w:rsidRPr="00CA1FF4">
        <w:fldChar w:fldCharType="separate"/>
      </w:r>
      <w:r w:rsidRPr="00CA1FF4">
        <w:rPr>
          <w:noProof/>
        </w:rPr>
        <w:t>(Peng et al., 2018)</w:t>
      </w:r>
      <w:r w:rsidRPr="00CA1FF4">
        <w:fldChar w:fldCharType="end"/>
      </w:r>
      <w:r w:rsidRPr="00CA1FF4">
        <w:t xml:space="preserve">. </w:t>
      </w:r>
    </w:p>
    <w:p w14:paraId="1921C0B0" w14:textId="77777777" w:rsidR="007A6AFA" w:rsidRDefault="002F6051" w:rsidP="00701364">
      <w:pPr>
        <w:spacing w:line="480" w:lineRule="auto"/>
        <w:ind w:firstLine="720"/>
      </w:pPr>
      <w:r w:rsidRPr="00CA1FF4">
        <w:t xml:space="preserve">Photosynthetic carbon fixation fuels aquatic ecosystems, but some blooms can become harmful when oxygen-consuming heterotrophic activity causes anaerobic conditions, as previously discussed </w:t>
      </w:r>
      <w:r w:rsidRPr="00CA1FF4">
        <w:fldChar w:fldCharType="begin" w:fldLock="1"/>
      </w:r>
      <w:r w:rsidRPr="00CA1FF4">
        <w:instrText>ADDIN CSL_CITATION {"citationItems":[{"id":"ITEM-1","itemData":{"DOI":"10.1007/978-0-387-75865-7_33","ISSN":"00652598","abstract":"Cyanobacteria become increasingly dominant as concentrations of TP and TN increase during eutrophication of lakes, rivers and estuaries. Temporal dynamics of cyanobacteria blooms are variable--in some systems persistent blooms occur in summer to fall, whereas in other systems blooms are more sporadic. Cyanobacteria blooms have a wide range of possible biological impacts including potential toxic effects on other algae, invertebrates and fish, impacts to plants and benthic algae due to shading, and impacts to food web function as large inedible algae produce a bottleneck to C and energy flow in the plankton food web. In lakes with dense blooms of cyanobacteria, accumulation of organic material in lake sediments and increased bacterial activity also may lead to anoxic conditions that alter the structure of benthic macro-invertebrates. Diffusive internal P loading may increase, and hypolimnetic anoxia may lead to a loss of piscivorous fish that require a summer cold water refuge in temperate lakes. Ecosystem changes associated with frequent blooms may result in delayed response of lakes, rivers and estuaries to external nutrient load reduction. Despite numerous case studies and a vast literature on species-specific responses, community level effects of cyanobacterial blooms are not well understood--in particular the realized impacts of toxins and changes in food web structure/function. These areas require additional research given the prevalence of toxic blooms in the nation's lakes, rivers and coastal waters--systems that provide a wide range of valued ecosystem services.","author":[{"dropping-particle":"","family":"Havens","given":"K.E.","non-dropping-particle":"","parse-names":false,"suffix":""}],"container-title":"Advances in experimental medicine and biology","id":"ITEM-1","issued":{"date-parts":[["2008"]]},"page":"733-747","title":"Cyanobacteria blooms: effects on aquatic ecosystems.","type":"article-journal","volume":"619"},"uris":["http://www.mendeley.com/documents/?uuid=aeb2f208-02f1-4f06-a716-862ee053c770"]}],"mendeley":{"formattedCitation":"(Havens, 2008)","plainTextFormattedCitation":"(Havens, 2008)","previouslyFormattedCitation":"(Havens, 2008)"},"properties":{"noteIndex":0},"schema":"https://github.com/citation-style-language/schema/raw/master/csl-citation.json"}</w:instrText>
      </w:r>
      <w:r w:rsidRPr="00CA1FF4">
        <w:fldChar w:fldCharType="separate"/>
      </w:r>
      <w:r w:rsidRPr="00CA1FF4">
        <w:rPr>
          <w:noProof/>
        </w:rPr>
        <w:t>(Havens, 2008)</w:t>
      </w:r>
      <w:r w:rsidRPr="00CA1FF4">
        <w:fldChar w:fldCharType="end"/>
      </w:r>
      <w:r w:rsidRPr="00CA1FF4">
        <w:t xml:space="preserve">. </w:t>
      </w:r>
      <w:r w:rsidRPr="00CA1FF4">
        <w:rPr>
          <w:i/>
          <w:iCs/>
        </w:rPr>
        <w:t xml:space="preserve">Microcystis aeruginosa </w:t>
      </w:r>
      <w:r w:rsidRPr="00CA1FF4">
        <w:t xml:space="preserve">is a dominant bloom-forming cyanobacterium that contributes to harmful algal blooms (HABs) </w:t>
      </w:r>
      <w:r w:rsidRPr="00CA1FF4">
        <w:fldChar w:fldCharType="begin" w:fldLock="1"/>
      </w:r>
      <w:r>
        <w:instrText>ADDIN CSL_CITATION {"citationItems":[{"id":"ITEM-1","itemData":{"DOI":"10.1038/scientificamerican0194-78","ISSN":"00368733","PMID":"8284661","author":[{"dropping-particle":"","family":"Carmichael","given":"W. W.","non-dropping-particle":"","parse-names":false,"suffix":""}],"container-title":"Scientific American","id":"ITEM-1","issued":{"date-parts":[["1994"]]},"page":"78-86","title":"The toxins of cyanobacteria.","type":"article-journal","volume":"270"},"uris":["http://www.mendeley.com/documents/?uuid=baf3de23-f551-438a-9001-eed0735a22da"]}],"mendeley":{"formattedCitation":"(Carmichael, 1994b)","plainTextFormattedCitation":"(Carmichael, 1994b)","previouslyFormattedCitation":"(Carmichael, 1994b)"},"properties":{"noteIndex":0},"schema":"https://github.com/citation-style-language/schema/raw/master/csl-citation.json"}</w:instrText>
      </w:r>
      <w:r w:rsidRPr="00CA1FF4">
        <w:fldChar w:fldCharType="separate"/>
      </w:r>
      <w:r w:rsidRPr="00FA535B">
        <w:rPr>
          <w:noProof/>
        </w:rPr>
        <w:t>(Carmichael, 1994b)</w:t>
      </w:r>
      <w:r w:rsidRPr="00CA1FF4">
        <w:fldChar w:fldCharType="end"/>
      </w:r>
      <w:r w:rsidRPr="00CA1FF4">
        <w:t xml:space="preserve">. These HABs not only result in anaerobic conditions but will also affect clean drinking water in nearby cities due to the release of a toxin, known as microcystin, at high concentrations by </w:t>
      </w:r>
      <w:r w:rsidRPr="00CA1FF4">
        <w:rPr>
          <w:i/>
          <w:iCs/>
        </w:rPr>
        <w:t xml:space="preserve">M. aeruginosa </w:t>
      </w:r>
      <w:r w:rsidRPr="00CA1FF4">
        <w:rPr>
          <w:i/>
          <w:iCs/>
        </w:rPr>
        <w:fldChar w:fldCharType="begin" w:fldLock="1"/>
      </w:r>
      <w:r w:rsidRPr="00CA1FF4">
        <w:rPr>
          <w:i/>
          <w:iCs/>
        </w:rPr>
        <w:instrText>ADDIN CSL_CITATION {"citationItems":[{"id":"ITEM-1","itemData":{"DOI":"10.1016/S0065-2296(08)60282-7","ISBN":"0120059274","ISSN":"00652296","author":[{"dropping-particle":"","family":"Carmichael","given":"W. W.","non-dropping-particle":"","parse-names":false,"suffix":""}],"container-title":"Advances in Botanical Research","id":"ITEM-1","issue":"C","issued":{"date-parts":[["1997"]]},"number-of-pages":"211-256","title":"The Cyanotoxins","type":"book","volume":"27"},"uris":["http://www.mendeley.com/documents/?uuid=3dcb3a94-5b17-4752-8f89-e4fce6da0d31"]}],"mendeley":{"formattedCitation":"(Carmichael, 1997)","plainTextFormattedCitation":"(Carmichael, 1997)","previouslyFormattedCitation":"(Carmichael, 1997)"},"properties":{"noteIndex":0},"schema":"https://github.com/citation-style-language/schema/raw/master/csl-citation.json"}</w:instrText>
      </w:r>
      <w:r w:rsidRPr="00CA1FF4">
        <w:rPr>
          <w:i/>
          <w:iCs/>
        </w:rPr>
        <w:fldChar w:fldCharType="separate"/>
      </w:r>
      <w:r w:rsidRPr="00CA1FF4">
        <w:rPr>
          <w:iCs/>
          <w:noProof/>
        </w:rPr>
        <w:t>(Carmichael, 1997)</w:t>
      </w:r>
      <w:r w:rsidRPr="00CA1FF4">
        <w:rPr>
          <w:i/>
          <w:iCs/>
        </w:rPr>
        <w:fldChar w:fldCharType="end"/>
      </w:r>
      <w:r w:rsidRPr="00CA1FF4">
        <w:t xml:space="preserve">. </w:t>
      </w:r>
      <w:proofErr w:type="spellStart"/>
      <w:r w:rsidRPr="00CA1FF4">
        <w:t>Microcystins</w:t>
      </w:r>
      <w:proofErr w:type="spellEnd"/>
      <w:r w:rsidRPr="00CA1FF4">
        <w:t xml:space="preserve"> are a cyclic group of hepatotoxins produced by cyanobacteria with two variable locations on the ring </w:t>
      </w:r>
      <w:r w:rsidRPr="00CA1FF4">
        <w:rPr>
          <w:b/>
          <w:bCs/>
        </w:rPr>
        <w:t>(</w:t>
      </w:r>
      <w:r>
        <w:rPr>
          <w:b/>
          <w:bCs/>
        </w:rPr>
        <w:t>Figure</w:t>
      </w:r>
      <w:r w:rsidRPr="00CA1FF4">
        <w:rPr>
          <w:b/>
          <w:bCs/>
        </w:rPr>
        <w:t xml:space="preserve"> 2) </w:t>
      </w:r>
      <w:r w:rsidRPr="00CA1FF4">
        <w:rPr>
          <w:b/>
          <w:bCs/>
        </w:rPr>
        <w:fldChar w:fldCharType="begin" w:fldLock="1"/>
      </w:r>
      <w:r w:rsidRPr="00CA1FF4">
        <w:rPr>
          <w:b/>
          <w:bCs/>
        </w:rPr>
        <w:instrText>ADDIN CSL_CITATION {"citationItems":[{"id":"ITEM-1","itemData":{"DOI":"10.3390/toxins6123354","ISSN":"20726651","PMID":"25514094","abstract":"Microcystins are secondary metabolites produced by cyanobacteria that act as hepatotoxins in higher organisms. These toxins can be altered through abiotic processes, such as photodegradation and adsorption, as well as through biological processes via metabolism and bacterial degradation. Some species of bacteria can degrade microcystins, and many other organisms metabolize microcystins into a series of conjugated products. There are toxicokinetic models used to examine microcystin uptake and elimination, which can be difficult to compare due to differences in compartmentalization and speciation. Metabolites of microcystins are formed as a detoxification mechanism, and little is known about how quickly these metabolites are formed. In summary, microcystins can undergo abiotic and biotic processes that alter the toxicity and structure of the microcystin molecule. The environmental impact and toxicity of these alterations and the metabolism of microcystins remains uncertain, making it difficult to establish guidelines for human health. Here, we present the current state of knowledge regarding the alterations microcystins can undergo in the environment.","author":[{"dropping-particle":"","family":"Schmidt","given":"Justine R.","non-dropping-particle":"","parse-names":false,"suffix":""},{"dropping-particle":"","family":"Wilhelm","given":"Steven W.","non-dropping-particle":"","parse-names":false,"suffix":""},{"dropping-particle":"","family":"Boyer","given":"Gregory L.","non-dropping-particle":"","parse-names":false,"suffix":""}],"container-title":"Toxins","id":"ITEM-1","issue":"12","issued":{"date-parts":[["2014"]]},"page":"3354-3387","title":"The fate of microcystins in the environment and challenges for monitoring","type":"article-journal","volume":"6"},"uris":["http://www.mendeley.com/documents/?uuid=25a73fe6-0d3f-4555-85e5-7f9f621d9db8"]}],"mendeley":{"formattedCitation":"(Schmidt et al., 2014)","plainTextFormattedCitation":"(Schmidt et al., 2014)","previouslyFormattedCitation":"(Schmidt et al., 2014)"},"properties":{"noteIndex":0},"schema":"https://github.com/citation-style-language/schema/raw/master/csl-citation.json"}</w:instrText>
      </w:r>
      <w:r w:rsidRPr="00CA1FF4">
        <w:rPr>
          <w:b/>
          <w:bCs/>
        </w:rPr>
        <w:fldChar w:fldCharType="separate"/>
      </w:r>
      <w:r w:rsidRPr="00CA1FF4">
        <w:rPr>
          <w:bCs/>
          <w:noProof/>
        </w:rPr>
        <w:t>(Schmidt et al., 2014)</w:t>
      </w:r>
      <w:r w:rsidRPr="00CA1FF4">
        <w:rPr>
          <w:b/>
          <w:bCs/>
        </w:rPr>
        <w:fldChar w:fldCharType="end"/>
      </w:r>
      <w:r w:rsidRPr="00CA1FF4">
        <w:t xml:space="preserve">. </w:t>
      </w:r>
      <w:r w:rsidRPr="00CA1FF4">
        <w:rPr>
          <w:i/>
          <w:iCs/>
        </w:rPr>
        <w:t xml:space="preserve">Microcystis aeruginosa </w:t>
      </w:r>
      <w:r w:rsidRPr="00CA1FF4">
        <w:t xml:space="preserve">produces the most common microcystin, microcystin-LR, which has leucine and arginine at the two variable sites </w:t>
      </w:r>
      <w:r w:rsidRPr="00CA1FF4">
        <w:rPr>
          <w:b/>
          <w:bCs/>
        </w:rPr>
        <w:t>(</w:t>
      </w:r>
      <w:r>
        <w:rPr>
          <w:b/>
          <w:bCs/>
        </w:rPr>
        <w:t>Figure 2</w:t>
      </w:r>
      <w:r w:rsidRPr="00CA1FF4">
        <w:rPr>
          <w:b/>
          <w:bCs/>
        </w:rPr>
        <w:t xml:space="preserve">) </w:t>
      </w:r>
      <w:r w:rsidRPr="00CA1FF4">
        <w:rPr>
          <w:b/>
          <w:bCs/>
        </w:rPr>
        <w:fldChar w:fldCharType="begin" w:fldLock="1"/>
      </w:r>
      <w:r w:rsidRPr="00CA1FF4">
        <w:rPr>
          <w:b/>
          <w:bCs/>
        </w:rPr>
        <w:instrText>ADDIN CSL_CITATION {"citationItems":[{"id":"ITEM-1","itemData":{"DOI":"10.3390/toxins6123354","ISSN":"20726651","PMID":"25514094","abstract":"Microcystins are secondary metabolites produced by cyanobacteria that act as hepatotoxins in higher organisms. These toxins can be altered through abiotic processes, such as photodegradation and adsorption, as well as through biological processes via metabolism and bacterial degradation. Some species of bacteria can degrade microcystins, and many other organisms metabolize microcystins into a series of conjugated products. There are toxicokinetic models used to examine microcystin uptake and elimination, which can be difficult to compare due to differences in compartmentalization and speciation. Metabolites of microcystins are formed as a detoxification mechanism, and little is known about how quickly these metabolites are formed. In summary, microcystins can undergo abiotic and biotic processes that alter the toxicity and structure of the microcystin molecule. The environmental impact and toxicity of these alterations and the metabolism of microcystins remains uncertain, making it difficult to establish guidelines for human health. Here, we present the current state of knowledge regarding the alterations microcystins can undergo in the environment.","author":[{"dropping-particle":"","family":"Schmidt","given":"Justine R.","non-dropping-particle":"","parse-names":false,"suffix":""},{"dropping-particle":"","family":"Wilhelm","given":"Steven W.","non-dropping-particle":"","parse-names":false,"suffix":""},{"dropping-particle":"","family":"Boyer","given":"Gregory L.","non-dropping-particle":"","parse-names":false,"suffix":""}],"container-title":"Toxins","id":"ITEM-1","issue":"12","issued":{"date-parts":[["2014"]]},"page":"3354-3387","title":"The fate of microcystins in the environment and challenges for monitoring","type":"article-journal","volume":"6"},"uris":["http://www.mendeley.com/documents/?uuid=25a73fe6-0d3f-4555-85e5-7f9f621d9db8"]}],"mendeley":{"formattedCitation":"(Schmidt et al., 2014)","plainTextFormattedCitation":"(Schmidt et al., 2014)","previouslyFormattedCitation":"(Schmidt et al., 2014)"},"properties":{"noteIndex":0},"schema":"https://github.com/citation-style-language/schema/raw/master/csl-citation.json"}</w:instrText>
      </w:r>
      <w:r w:rsidRPr="00CA1FF4">
        <w:rPr>
          <w:b/>
          <w:bCs/>
        </w:rPr>
        <w:fldChar w:fldCharType="separate"/>
      </w:r>
      <w:r w:rsidRPr="00CA1FF4">
        <w:rPr>
          <w:bCs/>
          <w:noProof/>
        </w:rPr>
        <w:t>(Schmidt et al., 2014)</w:t>
      </w:r>
      <w:r w:rsidRPr="00CA1FF4">
        <w:rPr>
          <w:b/>
          <w:bCs/>
        </w:rPr>
        <w:fldChar w:fldCharType="end"/>
      </w:r>
      <w:r w:rsidRPr="00CA1FF4">
        <w:t xml:space="preserve">. Microcystin is produced by a group of genes in </w:t>
      </w:r>
      <w:r w:rsidRPr="00CA1FF4">
        <w:rPr>
          <w:i/>
          <w:iCs/>
        </w:rPr>
        <w:t xml:space="preserve">M. aeruginosa </w:t>
      </w:r>
      <w:r w:rsidRPr="00CA1FF4">
        <w:t>known as the microcystin synthesis (</w:t>
      </w:r>
      <w:proofErr w:type="spellStart"/>
      <w:r w:rsidRPr="00CA1FF4">
        <w:rPr>
          <w:i/>
          <w:iCs/>
        </w:rPr>
        <w:t>mcy</w:t>
      </w:r>
      <w:proofErr w:type="spellEnd"/>
      <w:r w:rsidRPr="00CA1FF4">
        <w:rPr>
          <w:i/>
          <w:iCs/>
        </w:rPr>
        <w:t>)</w:t>
      </w:r>
      <w:r w:rsidRPr="00CA1FF4">
        <w:t xml:space="preserve"> genes </w:t>
      </w:r>
      <w:r w:rsidRPr="00CA1FF4">
        <w:fldChar w:fldCharType="begin" w:fldLock="1"/>
      </w:r>
      <w:r w:rsidRPr="00CA1FF4">
        <w:instrText>ADDIN CSL_CITATION {"citationItems":[{"id":"ITEM-1","itemData":{"DOI":"10.1073/pnas.86.3.770","ISSN":"00278424","PMID":"2492662","abstract":"Combined use of chemical degradation, derivatization, and tandem mass spectrometry for rapid structural characterization of toxic cyclic peptides from blue-green algae at the nanomole level is described. Previously, all blue-green algal toxins were thought to belong to a family of seven-residue cyclic peptides, having the general structure cyclo-D-Ala-L-Xaa-erythro-beta-methyl-D-isoaspartic acid-L-Yaa-Adda-D-isoglutamic acid-N-methyldehydroalanine, where Xaa and Yaa represent variable amino acids of the L configuration and Adda is 3-amino-9-methoxy-2,6,8-trimethyl-10-phenyl-deca-4,6-dienoic acid. Structural characterization of two additional toxins indicates that further variability can exist within this family of naturally occurring toxic cyclic peptides. Isoaspartic acid and dehydroalanine can substitute for beta-methylisoaspartic acid and N-methyldehydroalanine, respectively.","author":[{"dropping-particle":"","family":"Krishnamurthy","given":"T.","non-dropping-particle":"","parse-names":false,"suffix":""},{"dropping-particle":"","family":"Szafraniec","given":"L.","non-dropping-particle":"","parse-names":false,"suffix":""},{"dropping-particle":"","family":"Hunt","given":"D. F.","non-dropping-particle":"","parse-names":false,"suffix":""},{"dropping-particle":"","family":"Shabanowitz","given":"J.","non-dropping-particle":"","parse-names":false,"suffix":""},{"dropping-particle":"","family":"Yates","given":"J. R.","non-dropping-particle":"","parse-names":false,"suffix":""},{"dropping-particle":"","family":"Hauer","given":"C. R.","non-dropping-particle":"","parse-names":false,"suffix":""},{"dropping-particle":"","family":"Carmichael","given":"W. W.","non-dropping-particle":"","parse-names":false,"suffix":""},{"dropping-particle":"","family":"Skulberg","given":"O.","non-dropping-particle":"","parse-names":false,"suffix":""},{"dropping-particle":"","family":"Codd","given":"G. A.","non-dropping-particle":"","parse-names":false,"suffix":""},{"dropping-particle":"","family":"Missler","given":"S.","non-dropping-particle":"","parse-names":false,"suffix":""}],"container-title":"Proceedings of the National Academy of Sciences of the United States of America","id":"ITEM-1","issue":"3","issued":{"date-parts":[["1989"]]},"page":"770-774","title":"Structural characterization of toxic cyclic peptides from blue-green algae by tandem mass spectrometry.","type":"article-journal","volume":"86"},"uris":["http://www.mendeley.com/documents/?uuid=52cfa6b6-19e7-437e-a5e5-3add0e577bea"]}],"mendeley":{"formattedCitation":"(Krishnamurthy et al., 1989)","plainTextFormattedCitation":"(Krishnamurthy et al., 1989)","previouslyFormattedCitation":"(Krishnamurthy et al., 1989)"},"properties":{"noteIndex":0},"schema":"https://github.com/citation-style-language/schema/raw/master/csl-citation.json"}</w:instrText>
      </w:r>
      <w:r w:rsidRPr="00CA1FF4">
        <w:fldChar w:fldCharType="separate"/>
      </w:r>
      <w:r w:rsidRPr="00CA1FF4">
        <w:rPr>
          <w:noProof/>
        </w:rPr>
        <w:t>(Krishnamurthy et al., 1989)</w:t>
      </w:r>
      <w:r w:rsidRPr="00CA1FF4">
        <w:fldChar w:fldCharType="end"/>
      </w:r>
      <w:r w:rsidRPr="00CA1FF4">
        <w:t xml:space="preserve">. Mutation of these genes has previously been used to investigate how genetic differences and community composition impact </w:t>
      </w:r>
      <w:r w:rsidRPr="00CA1FF4">
        <w:lastRenderedPageBreak/>
        <w:t xml:space="preserve">distinctions between toxic and non-toxic strains of </w:t>
      </w:r>
      <w:r w:rsidRPr="00CA1FF4">
        <w:rPr>
          <w:i/>
          <w:iCs/>
        </w:rPr>
        <w:t xml:space="preserve">M. aeruginosa </w:t>
      </w:r>
      <w:r w:rsidRPr="00CA1FF4">
        <w:rPr>
          <w:i/>
          <w:iCs/>
        </w:rPr>
        <w:fldChar w:fldCharType="begin" w:fldLock="1"/>
      </w:r>
      <w:r w:rsidRPr="00CA1FF4">
        <w:rPr>
          <w:i/>
          <w:iCs/>
        </w:rPr>
        <w:instrText>ADDIN CSL_CITATION {"citationItems":[{"id":"ITEM-1","itemData":{"DOI":"10.1046/j.1365-2958.1997.6131982.x","ISSN":"0950382X","PMID":"9427407","abstract":"Several bloom-forming cyanobacterial genera produce potent inhibitors of eukaryotic protein phosphatases called microcystins. Microcystins are hepatotoxic cyclic heptapeptides and are presumed to be synthesized non-ribosomally by peptide synthetases. We identified putative peptide synthetase genes in the microcystin-producing strain Microcystis aeruginosa PCC 7806. Non-hepatotoxic strains of M. aeruginosa lack these genes. Strain PCC 7806 was transformed to chloramphenicol resistance. The antibiotic resistance cassette insertionally inactivated a peptide synthetase gene of strain PCC 7806 as revealed by Southern hybridization and DNA amplification. This is the first report of genetic transformation and mutation, by homologous recombination, of a bloom-forming cyanobacterium. Chemical and enzymatic analyses, including high-performance liquid chromatography (HPLC), mass spectrometry, amino acid activation, and protein phosphatase inhibition, revealed the inability of derived mutant cells to produce any variant of microcystin while maintaining their ability to synthesize other small peptides. The disrupted gene therefore encodes a peptide synthetase (microcystin synthetase) that is specifically involved in the biosynthesis of microcystins. Our results confirm that microcystins are synthesized non-ribosomally and that a basic difference between toxic and nontoxic strains of M. aeruginosa is the presence of one or more genes coding for microcystin synthetases.","author":[{"dropping-particle":"","family":"Dittmann","given":"Elke","non-dropping-particle":"","parse-names":false,"suffix":""},{"dropping-particle":"","family":"Neilan","given":"Brett A.","non-dropping-particle":"","parse-names":false,"suffix":""},{"dropping-particle":"","family":"Erhard","given":"Marcel","non-dropping-particle":"","parse-names":false,"suffix":""},{"dropping-particle":"","family":"Döhren","given":"Hans","non-dropping-particle":"Von","parse-names":false,"suffix":""},{"dropping-particle":"","family":"Börner","given":"Thomas","non-dropping-particle":"","parse-names":false,"suffix":""}],"container-title":"Molecular Microbiology","id":"ITEM-1","issue":"4","issued":{"date-parts":[["1997"]]},"page":"779-787","title":"Insertional mutagenesis of a peptide synthetase gene that is responsible for hepatotoxin production in the cyanobacterium Microcystis aeruginosa PCC 7806","type":"article-journal","volume":"26"},"uris":["http://www.mendeley.com/documents/?uuid=c8ffd16f-cf2f-4034-ae08-903284c1bc6c"]},{"id":"ITEM-2","itemData":{"DOI":"10.1007/s00343-019-7186-1","ISSN":"25233521","abstract":"Harmful cyanobacterial blooms, especially Microcystis blooms, occur worldwide and draw widespread attention. The dynamics of microcystin-producing Microcystis and competition between microcystin-producing Microcystis and non-microcystin-producing Microcystis are key to predicting and treating Microcystis blooms. Multiplex qPCR is a useful tool to assess such issues. In this study, we developed multiplex qPCR methods with newly-designed probes and primers for the microcystin-synthesis related genes mcyA and mcyE. We used seven toxic Microcystis strains and four non-toxic Microcystis strains to compare the differences in the ratios of toxic and non-toxic Microcystis in mixed cultures, which were calculated using abundances of the genes mcyA, mcyB, mcyD, mcyE and phycocyanin (PC). We also compared traditional cell counting and multiplex qPCR. Hierarchical clustering and principal component analysis indicated that mcyD was the most suitable mcy gene for quantification in laboratory experiments. mcyB abundances were always higher; we suggest that the amount of toxic Microcystis measured using mcyB might overestimate the actual percentages.","author":[{"dropping-particle":"","family":"Zuo","given":"Jun","non-dropping-particle":"","parse-names":false,"suffix":""},{"dropping-particle":"","family":"Chen","given":"Liting","non-dropping-particle":"","parse-names":false,"suffix":""},{"dropping-particle":"","family":"Shan","given":"Kun","non-dropping-particle":"","parse-names":false,"suffix":""},{"dropping-particle":"","family":"Hu","given":"Lili","non-dropping-particle":"","parse-names":false,"suffix":""},{"dropping-particle":"","family":"Song","given":"Lirong","non-dropping-particle":"","parse-names":false,"suffix":""},{"dropping-particle":"","family":"Gan","given":"Nanqin","non-dropping-particle":"","parse-names":false,"suffix":""}],"container-title":"Journal of Oceanology and Limnology","id":"ITEM-2","issue":"4","issued":{"date-parts":[["2018"]]},"page":"1132-1144","title":"Assessment of different mcy genes for detecting the toxic to non-toxic Microcystis ratio in the field by multiplex qPCR","type":"article-journal","volume":"36"},"uris":["http://www.mendeley.com/documents/?uuid=b72783dd-e96c-4108-abdd-906f9416ce04"]}],"mendeley":{"formattedCitation":"(Dittmann et al., 1997; Zuo et al., 2018)","plainTextFormattedCitation":"(Dittmann et al., 1997; Zuo et al., 2018)","previouslyFormattedCitation":"(Dittmann et al., 1997; Zuo et al., 2018)"},"properties":{"noteIndex":0},"schema":"https://github.com/citation-style-language/schema/raw/master/csl-citation.json"}</w:instrText>
      </w:r>
      <w:r w:rsidRPr="00CA1FF4">
        <w:rPr>
          <w:i/>
          <w:iCs/>
        </w:rPr>
        <w:fldChar w:fldCharType="separate"/>
      </w:r>
      <w:r w:rsidRPr="00CA1FF4">
        <w:rPr>
          <w:iCs/>
          <w:noProof/>
        </w:rPr>
        <w:t>(Dittmann et al., 1997; Zuo et al., 2018)</w:t>
      </w:r>
      <w:r w:rsidRPr="00CA1FF4">
        <w:rPr>
          <w:i/>
          <w:iCs/>
        </w:rPr>
        <w:fldChar w:fldCharType="end"/>
      </w:r>
      <w:r w:rsidRPr="00CA1FF4">
        <w:rPr>
          <w:i/>
          <w:iCs/>
        </w:rPr>
        <w:t>.</w:t>
      </w:r>
      <w:r>
        <w:t xml:space="preserve"> </w:t>
      </w:r>
      <w:r w:rsidRPr="00CA1FF4">
        <w:t xml:space="preserve">There are naturally occurring non-toxic strains of </w:t>
      </w:r>
      <w:r w:rsidRPr="00CA1FF4">
        <w:rPr>
          <w:i/>
          <w:iCs/>
        </w:rPr>
        <w:t xml:space="preserve">M. aeruginosa </w:t>
      </w:r>
      <w:r w:rsidRPr="00CA1FF4">
        <w:t xml:space="preserve">as well. Microcystin is an intracellular compound and is released into the environment only during cell death throughout a bloom period </w:t>
      </w:r>
      <w:r w:rsidRPr="00CA1FF4">
        <w:fldChar w:fldCharType="begin" w:fldLock="1"/>
      </w:r>
      <w:r w:rsidRPr="00CA1FF4">
        <w:instrText>ADDIN CSL_CITATION {"citationItems":[{"id":"ITEM-1","itemData":{"DOI":"10.3390/toxins11120706","ISSN":"20726651","PMID":"31817272","abstract":"Microcystis is the most common freshwater bloom-forming cyanobacterium. Its massive blooms not only adversely affect the functionality of aquatic ecosystems, but are also associated with the production of microcystins (MCs), a group of potent toxins that become a threat to public health when cell-bound MCs are significantly released from the dying Microcystis into the water column. Managing Microcystis blooms thus requires sufficient knowledge regarding both the cell death modes and the release of toxins. Recently, more and more studies have demonstrated the occurrence of programmed cell death-like (or apoptosis-like) events in laboratory and field samples of Microcystis. Apoptosis is a genetically controlled process that is essential for the development and survival of metazoa; however, it has been gradually realized to be an existing phenomenon playing important ecological roles in unicellular microorganisms. Here, we review the current progress and the existing knowledge gap regarding apoptosis-like death in Microcystis. Specifically, we focus first on the tools utilized to characterize the apoptosis-related biochemical and morphological features in Microcystis. We further outline various stressful stimuli that trigger the occurrence of apoptosis and discuss the potential mechanisms of apoptosis in Microcystis. We then propose a conceptual model to describe the functional coupling of apoptosis and MC in Microcystis. This model could be useful for understanding both roles of MC and apoptosis in this species. Lastly, we conclude the review by highlighting the current knowledge gap and considering the direction of future research. Overall, this review provides a recent update with respect to the knowledge of apoptosis in Microcystis and also offers a guide for future investigations of its ecology and survival strategies.","author":[{"dropping-particle":"","family":"Hu","given":"Chenlin","non-dropping-particle":"","parse-names":false,"suffix":""},{"dropping-particle":"","family":"Rzymski","given":"Piotr","non-dropping-particle":"","parse-names":false,"suffix":""}],"container-title":"Toxins","id":"ITEM-1","issue":"12","issued":{"date-parts":[["2019"]]},"page":"1-19","title":"Programmed cell death-like and accompanying release of microcystin in freshwater bloom-forming cyanobacterium microcystis: From identification to ecological relevance","type":"article-journal","volume":"11"},"uris":["http://www.mendeley.com/documents/?uuid=2e607355-46c6-4c99-9218-79a7c744713e"]}],"mendeley":{"formattedCitation":"(Hu &amp; Rzymski, 2019)","plainTextFormattedCitation":"(Hu &amp; Rzymski, 2019)","previouslyFormattedCitation":"(Hu &amp; Rzymski, 2019)"},"properties":{"noteIndex":0},"schema":"https://github.com/citation-style-language/schema/raw/master/csl-citation.json"}</w:instrText>
      </w:r>
      <w:r w:rsidRPr="00CA1FF4">
        <w:fldChar w:fldCharType="separate"/>
      </w:r>
      <w:r w:rsidRPr="00CA1FF4">
        <w:rPr>
          <w:noProof/>
        </w:rPr>
        <w:t>(Hu &amp; Rzymski, 2019)</w:t>
      </w:r>
      <w:r w:rsidRPr="00CA1FF4">
        <w:fldChar w:fldCharType="end"/>
      </w:r>
      <w:r w:rsidRPr="00CA1FF4">
        <w:t xml:space="preserve">. The microcystin molecule is resistant to harsh conditions; thus, removing it from potable water is challenging and expensive </w:t>
      </w:r>
      <w:r w:rsidRPr="00CA1FF4">
        <w:fldChar w:fldCharType="begin" w:fldLock="1"/>
      </w:r>
      <w:r w:rsidRPr="00CA1FF4">
        <w:instrText>ADDIN CSL_CITATION {"citationItems":[{"id":"ITEM-1","itemData":{"DOI":"10.3390/toxins11120706","ISSN":"20726651","PMID":"31817272","abstract":"Microcystis is the most common freshwater bloom-forming cyanobacterium. Its massive blooms not only adversely affect the functionality of aquatic ecosystems, but are also associated with the production of microcystins (MCs), a group of potent toxins that become a threat to public health when cell-bound MCs are significantly released from the dying Microcystis into the water column. Managing Microcystis blooms thus requires sufficient knowledge regarding both the cell death modes and the release of toxins. Recently, more and more studies have demonstrated the occurrence of programmed cell death-like (or apoptosis-like) events in laboratory and field samples of Microcystis. Apoptosis is a genetically controlled process that is essential for the development and survival of metazoa; however, it has been gradually realized to be an existing phenomenon playing important ecological roles in unicellular microorganisms. Here, we review the current progress and the existing knowledge gap regarding apoptosis-like death in Microcystis. Specifically, we focus first on the tools utilized to characterize the apoptosis-related biochemical and morphological features in Microcystis. We further outline various stressful stimuli that trigger the occurrence of apoptosis and discuss the potential mechanisms of apoptosis in Microcystis. We then propose a conceptual model to describe the functional coupling of apoptosis and MC in Microcystis. This model could be useful for understanding both roles of MC and apoptosis in this species. Lastly, we conclude the review by highlighting the current knowledge gap and considering the direction of future research. Overall, this review provides a recent update with respect to the knowledge of apoptosis in Microcystis and also offers a guide for future investigations of its ecology and survival strategies.","author":[{"dropping-particle":"","family":"Hu","given":"Chenlin","non-dropping-particle":"","parse-names":false,"suffix":""},{"dropping-particle":"","family":"Rzymski","given":"Piotr","non-dropping-particle":"","parse-names":false,"suffix":""}],"container-title":"Toxins","id":"ITEM-1","issue":"12","issued":{"date-parts":[["2019"]]},"page":"1-19","title":"Programmed cell death-like and accompanying release of microcystin in freshwater bloom-forming cyanobacterium microcystis: From identification to ecological relevance","type":"article-journal","volume":"11"},"uris":["http://www.mendeley.com/documents/?uuid=2e607355-46c6-4c99-9218-79a7c744713e"]}],"mendeley":{"formattedCitation":"(Hu &amp; Rzymski, 2019)","plainTextFormattedCitation":"(Hu &amp; Rzymski, 2019)","previouslyFormattedCitation":"(Hu &amp; Rzymski, 2019)"},"properties":{"noteIndex":0},"schema":"https://github.com/citation-style-language/schema/raw/master/csl-citation.json"}</w:instrText>
      </w:r>
      <w:r w:rsidRPr="00CA1FF4">
        <w:fldChar w:fldCharType="separate"/>
      </w:r>
      <w:r w:rsidRPr="00CA1FF4">
        <w:rPr>
          <w:noProof/>
        </w:rPr>
        <w:t>(Hu &amp; Rzymski, 2019)</w:t>
      </w:r>
      <w:r w:rsidRPr="00CA1FF4">
        <w:fldChar w:fldCharType="end"/>
      </w:r>
      <w:r w:rsidRPr="00CA1FF4">
        <w:t xml:space="preserve">. These hepatotoxins can make their way up the trophic levels to affect humans and animals in numerous ways </w:t>
      </w:r>
      <w:r w:rsidRPr="00CA1FF4">
        <w:fldChar w:fldCharType="begin" w:fldLock="1"/>
      </w:r>
      <w:r w:rsidRPr="00CA1FF4">
        <w:instrText>ADDIN CSL_CITATION {"citationItems":[{"id":"ITEM-1","itemData":{"DOI":"10.3390/toxins6123354","ISSN":"20726651","PMID":"25514094","abstract":"Microcystins are secondary metabolites produced by cyanobacteria that act as hepatotoxins in higher organisms. These toxins can be altered through abiotic processes, such as photodegradation and adsorption, as well as through biological processes via metabolism and bacterial degradation. Some species of bacteria can degrade microcystins, and many other organisms metabolize microcystins into a series of conjugated products. There are toxicokinetic models used to examine microcystin uptake and elimination, which can be difficult to compare due to differences in compartmentalization and speciation. Metabolites of microcystins are formed as a detoxification mechanism, and little is known about how quickly these metabolites are formed. In summary, microcystins can undergo abiotic and biotic processes that alter the toxicity and structure of the microcystin molecule. The environmental impact and toxicity of these alterations and the metabolism of microcystins remains uncertain, making it difficult to establish guidelines for human health. Here, we present the current state of knowledge regarding the alterations microcystins can undergo in the environment.","author":[{"dropping-particle":"","family":"Schmidt","given":"Justine R.","non-dropping-particle":"","parse-names":false,"suffix":""},{"dropping-particle":"","family":"Wilhelm","given":"Steven W.","non-dropping-particle":"","parse-names":false,"suffix":""},{"dropping-particle":"","family":"Boyer","given":"Gregory L.","non-dropping-particle":"","parse-names":false,"suffix":""}],"container-title":"Toxins","id":"ITEM-1","issue":"12","issued":{"date-parts":[["2014"]]},"page":"3354-3387","title":"The fate of microcystins in the environment and challenges for monitoring","type":"article-journal","volume":"6"},"uris":["http://www.mendeley.com/documents/?uuid=25a73fe6-0d3f-4555-85e5-7f9f621d9db8"]}],"mendeley":{"formattedCitation":"(Schmidt et al., 2014)","plainTextFormattedCitation":"(Schmidt et al., 2014)","previouslyFormattedCitation":"(Schmidt et al., 2014)"},"properties":{"noteIndex":0},"schema":"https://github.com/citation-style-language/schema/raw/master/csl-citation.json"}</w:instrText>
      </w:r>
      <w:r w:rsidRPr="00CA1FF4">
        <w:fldChar w:fldCharType="separate"/>
      </w:r>
      <w:r w:rsidRPr="00CA1FF4">
        <w:rPr>
          <w:noProof/>
        </w:rPr>
        <w:t>(Schmidt et al., 2014)</w:t>
      </w:r>
      <w:r w:rsidRPr="00CA1FF4">
        <w:fldChar w:fldCharType="end"/>
      </w:r>
      <w:r w:rsidRPr="00CA1FF4">
        <w:t xml:space="preserve">. Chronic exposure to this toxin can cause non-alcoholic fatty liver disease, liver inflammation and hemorrhage, and cancer </w:t>
      </w:r>
      <w:r w:rsidRPr="00CA1FF4">
        <w:fldChar w:fldCharType="begin" w:fldLock="1"/>
      </w:r>
      <w:r>
        <w:instrText>ADDIN CSL_CITATION {"citationItems":[{"id":"ITEM-1","itemData":{"author":[{"dropping-particle":"","family":"EPA","given":"United States Environmental Protection Agency","non-dropping-particle":"","parse-names":false,"suffix":""}],"id":"ITEM-1","issue":"June","issued":{"date-parts":[["2015"]]},"page":"1-75","title":"Drinking Water Health Advisory for the Cyanobacterial Microcystin Toxins - 2015","type":"article-journal"},"uris":["http://www.mendeley.com/documents/?uuid=f2ea57cc-3789-4935-a21c-68103e52e352"]}],"mendeley":{"formattedCitation":"(U. S. E. P. A. EPA, 2015)","plainTextFormattedCitation":"(U. S. E. P. A. EPA, 2015)","previouslyFormattedCitation":"(U. S. E. P. A. EPA, 2015)"},"properties":{"noteIndex":0},"schema":"https://github.com/citation-style-language/schema/raw/master/csl-citation.json"}</w:instrText>
      </w:r>
      <w:r w:rsidRPr="00CA1FF4">
        <w:fldChar w:fldCharType="separate"/>
      </w:r>
      <w:r w:rsidRPr="00FA535B">
        <w:rPr>
          <w:noProof/>
        </w:rPr>
        <w:t>(U. S. E. P. A. EPA, 2015)</w:t>
      </w:r>
      <w:r w:rsidRPr="00CA1FF4">
        <w:fldChar w:fldCharType="end"/>
      </w:r>
      <w:r w:rsidRPr="00CA1FF4">
        <w:t xml:space="preserve">. The World Health Organization (WHO) recommends the guideline for intake or consumption of microcystin-LR be 1.0 microgram/liter or less </w:t>
      </w:r>
      <w:r w:rsidRPr="00CA1FF4">
        <w:fldChar w:fldCharType="begin" w:fldLock="1"/>
      </w:r>
      <w:r>
        <w:instrText>ADDIN CSL_CITATION {"citationItems":[{"id":"ITEM-1","itemData":{"author":[{"dropping-particle":"","family":"EPA","given":"United States Environmental Protection Agency","non-dropping-particle":"","parse-names":false,"suffix":""}],"id":"ITEM-1","issue":"June","issued":{"date-parts":[["2015"]]},"page":"1-75","title":"Drinking Water Health Advisory for the Cyanobacterial Microcystin Toxins - 2015","type":"article-journal"},"uris":["http://www.mendeley.com/documents/?uuid=f2ea57cc-3789-4935-a21c-68103e52e352"]}],"mendeley":{"formattedCitation":"(U. S. E. P. A. EPA, 2015)","plainTextFormattedCitation":"(U. S. E. P. A. EPA, 2015)","previouslyFormattedCitation":"(U. S. E. P. A. EPA, 2015)"},"properties":{"noteIndex":0},"schema":"https://github.com/citation-style-language/schema/raw/master/csl-citation.json"}</w:instrText>
      </w:r>
      <w:r w:rsidRPr="00CA1FF4">
        <w:fldChar w:fldCharType="separate"/>
      </w:r>
      <w:r w:rsidRPr="00FA535B">
        <w:rPr>
          <w:noProof/>
        </w:rPr>
        <w:t>(U. S. E. P. A. EPA, 2015)</w:t>
      </w:r>
      <w:r w:rsidRPr="00CA1FF4">
        <w:fldChar w:fldCharType="end"/>
      </w:r>
      <w:r w:rsidRPr="00CA1FF4">
        <w:t>.</w:t>
      </w:r>
    </w:p>
    <w:p w14:paraId="3A742DB4" w14:textId="3EE9DF67" w:rsidR="002F6051" w:rsidRDefault="002F6051" w:rsidP="007A6AFA">
      <w:pPr>
        <w:spacing w:line="480" w:lineRule="auto"/>
        <w:ind w:firstLine="720"/>
      </w:pPr>
      <w:r w:rsidRPr="00CA1FF4">
        <w:t xml:space="preserve">Although the structure and impacts of microcystin-LR have been studied, their function remains unclear. Previous studies have attempted to determine the reason for microcystin production by </w:t>
      </w:r>
      <w:r w:rsidRPr="00CA1FF4">
        <w:rPr>
          <w:i/>
          <w:iCs/>
        </w:rPr>
        <w:t xml:space="preserve">M. aeruginosa </w:t>
      </w:r>
      <w:r w:rsidRPr="00CA1FF4">
        <w:rPr>
          <w:i/>
          <w:iCs/>
        </w:rPr>
        <w:fldChar w:fldCharType="begin" w:fldLock="1"/>
      </w:r>
      <w:r w:rsidRPr="00CA1FF4">
        <w:rPr>
          <w:i/>
          <w:iCs/>
        </w:rPr>
        <w:instrText>ADDIN CSL_CITATION {"citationItems":[{"id":"ITEM-1","itemData":{"DOI":"10.1016/j.aquatox.2006.02.007","ISSN":"0166445X","PMID":"16580745","abstract":"An unprecedented bloom of the cyanobacterium Microcystis aeruginosa Kütz. occurred in the St. Lucie Estuary, FL in the summer of 2005. Samples were analyzed for toxicity by ELISA and by use of the polymerase chain reaction (PCR) with specific oligonucleotide primers for the mcyB gene that has previously been correlated with the biosynthesis of toxic microcystins. Despite the fact that secreted toxin levels were relatively low in dense natural assemblages (3.5 μg l-1), detectable toxin levels increased by 90% when M. aeruginosa was stressed by an increase in salinity, physical injury, application of the chemical herbicide paraquat, or UV irradiation. The application of the same stressors caused a three-fold increase in the production of H2O2 when compared to non-stressed cells. The application of micromolar concentrations of H2O2 induced programmed cell death (PCD) as measured by a caspase protease assay. Catalase was capable of inhibiting PCD, implicating H2O2 as the inducing oxidative species. Our results indicate that physical stressors induce oxidative stress, which results in PCD and a concomitant release of toxin into the surrounding media. Remediation strategies that induce cellular stress should be approached with caution since these protocols are capable of releasing elevated levels of microcystins into the environment. © 2006 Elsevier B.V. All rights reserved.","author":[{"dropping-particle":"","family":"Ross","given":"Cliff","non-dropping-particle":"","parse-names":false,"suffix":""},{"dropping-particle":"","family":"Santiago-Vázquez","given":"Lory","non-dropping-particle":"","parse-names":false,"suffix":""},{"dropping-particle":"","family":"Paul","given":"Valerie","non-dropping-particle":"","parse-names":false,"suffix":""}],"container-title":"Aquatic Toxicology","id":"ITEM-1","issue":"1","issued":{"date-parts":[["2006"]]},"page":"66-73","title":"Toxin release in response to oxidative stress and programmed cell death in the cyanobacterium Microcystis aeruginosa","type":"article-journal","volume":"78"},"uris":["http://www.mendeley.com/documents/?uuid=98b65a25-cdc8-4950-9d31-deae2d5eb153"]},{"id":"ITEM-2","itemData":{"DOI":"10.3389/fmicb.2020.01201","ISSN":"1664302X","abstract":"There is increasing evidence that programmed cell death (PCD) in cyanobacteria is triggered by oxidative stress and that it contributes to the survival of the cyanobacterial population such as Microcystis aeruginosa. At the same time, microcystins (MCs) released during cell lysis have been implicated in colony formation (enabled by the release of polysaccharides) in M. aeruginosa – a strategy that allows the effect of a stressor, including grazing to be avoided or decreased. This experimental research has explored whether extracts of Daphnia magna and Daphnia cucullata (corresponding to 5, 25, 50, and 100 individuals per liter) reveal the effect on the growth, intracellular reactive oxygen species (ROS) content, lipid peroxidation, PCD, MC-LR release, and bound exopolysaccharide (EPS) level in M. aeruginosa during 7 days of exposure. As demonstrated, extracts of both daphnids induced dose-dependent growth inhibition, increase in ROS levels, lipid peroxidation, and PCD. Moreover, the release of MC-LR and an increase in the bound EPS fraction were observed in treated cultures. Generally, the greatest effects were observed under the influence of D. magna extracts. The study indicates that grazer presence can potentially trigger a series of events in the Microcystis population, with cells undergoing oxidative stress-induced PCD associated with MC release, which in turn increases EPS production by intact cells. As argued, this strategy is likely to have evolved in response to abiotic stressors, since both PCD and synthesis of MC in cyanobacteria predate the metazoan lineage. Nevertheless, it may still provide a benefit for the survival of the MC-producing M. aeruginosa population under grazer pressure.","author":[{"dropping-particle":"","family":"Rzymski","given":"Piotr","non-dropping-particle":"","parse-names":false,"suffix":""},{"dropping-particle":"","family":"Klimaszyk","given":"Piotr","non-dropping-particle":"","parse-names":false,"suffix":""},{"dropping-particle":"","family":"Jurczak","given":"Tomasz","non-dropping-particle":"","parse-names":false,"suffix":""},{"dropping-particle":"","family":"Poniedziałek","given":"Barbara","non-dropping-particle":"","parse-names":false,"suffix":""}],"container-title":"Frontiers in Microbiology","id":"ITEM-2","issue":"June","issued":{"date-parts":[["2020"]]},"title":"Oxidative Stress, Programmed Cell Death and Microcystin Release in Microcystis aeruginosa in Response to Daphnia Grazers","type":"article-journal","volume":"11"},"uris":["http://www.mendeley.com/documents/?uuid=3049e1e4-749e-4506-967b-37c3652f57d0"]}],"mendeley":{"formattedCitation":"(Ross et al., 2006; Rzymski et al., 2020)","plainTextFormattedCitation":"(Ross et al., 2006; Rzymski et al., 2020)","previouslyFormattedCitation":"(Ross et al., 2006; Rzymski et al., 2020)"},"properties":{"noteIndex":0},"schema":"https://github.com/citation-style-language/schema/raw/master/csl-citation.json"}</w:instrText>
      </w:r>
      <w:r w:rsidRPr="00CA1FF4">
        <w:rPr>
          <w:i/>
          <w:iCs/>
        </w:rPr>
        <w:fldChar w:fldCharType="separate"/>
      </w:r>
      <w:r w:rsidRPr="00CA1FF4">
        <w:rPr>
          <w:iCs/>
          <w:noProof/>
        </w:rPr>
        <w:t>(Ross et al., 2006; Rzymski et al., 2020)</w:t>
      </w:r>
      <w:r w:rsidRPr="00CA1FF4">
        <w:rPr>
          <w:i/>
          <w:iCs/>
        </w:rPr>
        <w:fldChar w:fldCharType="end"/>
      </w:r>
      <w:r w:rsidRPr="00CA1FF4">
        <w:rPr>
          <w:i/>
          <w:iCs/>
        </w:rPr>
        <w:t>.</w:t>
      </w:r>
      <w:r w:rsidRPr="00CA1FF4">
        <w:rPr>
          <w:vertAlign w:val="superscript"/>
        </w:rPr>
        <w:t xml:space="preserve"> </w:t>
      </w:r>
      <w:r w:rsidRPr="00CA1FF4">
        <w:t xml:space="preserve">However, these studies arrived at different hypotheses, one believed it was an antioxidant </w:t>
      </w:r>
      <w:r w:rsidRPr="00CA1FF4">
        <w:fldChar w:fldCharType="begin" w:fldLock="1"/>
      </w:r>
      <w:r w:rsidRPr="00CA1FF4">
        <w:instrText>ADDIN CSL_CITATION {"citationItems":[{"id":"ITEM-1","itemData":{"DOI":"10.3389/fmicb.2020.01201","ISSN":"1664302X","abstract":"There is increasing evidence that programmed cell death (PCD) in cyanobacteria is triggered by oxidative stress and that it contributes to the survival of the cyanobacterial population such as Microcystis aeruginosa. At the same time, microcystins (MCs) released during cell lysis have been implicated in colony formation (enabled by the release of polysaccharides) in M. aeruginosa – a strategy that allows the effect of a stressor, including grazing to be avoided or decreased. This experimental research has explored whether extracts of Daphnia magna and Daphnia cucullata (corresponding to 5, 25, 50, and 100 individuals per liter) reveal the effect on the growth, intracellular reactive oxygen species (ROS) content, lipid peroxidation, PCD, MC-LR release, and bound exopolysaccharide (EPS) level in M. aeruginosa during 7 days of exposure. As demonstrated, extracts of both daphnids induced dose-dependent growth inhibition, increase in ROS levels, lipid peroxidation, and PCD. Moreover, the release of MC-LR and an increase in the bound EPS fraction were observed in treated cultures. Generally, the greatest effects were observed under the influence of D. magna extracts. The study indicates that grazer presence can potentially trigger a series of events in the Microcystis population, with cells undergoing oxidative stress-induced PCD associated with MC release, which in turn increases EPS production by intact cells. As argued, this strategy is likely to have evolved in response to abiotic stressors, since both PCD and synthesis of MC in cyanobacteria predate the metazoan lineage. Nevertheless, it may still provide a benefit for the survival of the MC-producing M. aeruginosa population under grazer pressure.","author":[{"dropping-particle":"","family":"Rzymski","given":"Piotr","non-dropping-particle":"","parse-names":false,"suffix":""},{"dropping-particle":"","family":"Klimaszyk","given":"Piotr","non-dropping-particle":"","parse-names":false,"suffix":""},{"dropping-particle":"","family":"Jurczak","given":"Tomasz","non-dropping-particle":"","parse-names":false,"suffix":""},{"dropping-particle":"","family":"Poniedziałek","given":"Barbara","non-dropping-particle":"","parse-names":false,"suffix":""}],"container-title":"Frontiers in Microbiology","id":"ITEM-1","issue":"June","issued":{"date-parts":[["2020"]]},"title":"Oxidative Stress, Programmed Cell Death and Microcystin Release in Microcystis aeruginosa in Response to Daphnia Grazers","type":"article-journal","volume":"11"},"uris":["http://www.mendeley.com/documents/?uuid=3049e1e4-749e-4506-967b-37c3652f57d0"]}],"mendeley":{"formattedCitation":"(Rzymski et al., 2020)","plainTextFormattedCitation":"(Rzymski et al., 2020)","previouslyFormattedCitation":"(Rzymski et al., 2020)"},"properties":{"noteIndex":0},"schema":"https://github.com/citation-style-language/schema/raw/master/csl-citation.json"}</w:instrText>
      </w:r>
      <w:r w:rsidRPr="00CA1FF4">
        <w:fldChar w:fldCharType="separate"/>
      </w:r>
      <w:r w:rsidRPr="00CA1FF4">
        <w:rPr>
          <w:noProof/>
        </w:rPr>
        <w:t>(Rzymski et al., 2020)</w:t>
      </w:r>
      <w:r w:rsidRPr="00CA1FF4">
        <w:fldChar w:fldCharType="end"/>
      </w:r>
      <w:r w:rsidRPr="00CA1FF4">
        <w:t xml:space="preserve"> and the other a defense</w:t>
      </w:r>
      <w:r>
        <w:t xml:space="preserve"> </w:t>
      </w:r>
      <w:r w:rsidRPr="00CA1FF4">
        <w:t>mechanism</w:t>
      </w:r>
      <w:r w:rsidR="0052775F">
        <w:t xml:space="preserve"> against predation</w:t>
      </w:r>
      <w:r w:rsidRPr="00CA1FF4">
        <w:t xml:space="preserve"> </w:t>
      </w:r>
      <w:r w:rsidRPr="00CA1FF4">
        <w:fldChar w:fldCharType="begin" w:fldLock="1"/>
      </w:r>
      <w:r w:rsidRPr="00CA1FF4">
        <w:instrText>ADDIN CSL_CITATION {"citationItems":[{"id":"ITEM-1","itemData":{"DOI":"10.1016/j.aquatox.2006.02.007","ISSN":"0166445X","PMID":"16580745","abstract":"An unprecedented bloom of the cyanobacterium Microcystis aeruginosa Kütz. occurred in the St. Lucie Estuary, FL in the summer of 2005. Samples were analyzed for toxicity by ELISA and by use of the polymerase chain reaction (PCR) with specific oligonucleotide primers for the mcyB gene that has previously been correlated with the biosynthesis of toxic microcystins. Despite the fact that secreted toxin levels were relatively low in dense natural assemblages (3.5 μg l-1), detectable toxin levels increased by 90% when M. aeruginosa was stressed by an increase in salinity, physical injury, application of the chemical herbicide paraquat, or UV irradiation. The application of the same stressors caused a three-fold increase in the production of H2O2 when compared to non-stressed cells. The application of micromolar concentrations of H2O2 induced programmed cell death (PCD) as measured by a caspase protease assay. Catalase was capable of inhibiting PCD, implicating H2O2 as the inducing oxidative species. Our results indicate that physical stressors induce oxidative stress, which results in PCD and a concomitant release of toxin into the surrounding media. Remediation strategies that induce cellular stress should be approached with caution since these protocols are capable of releasing elevated levels of microcystins into the environment. © 2006 Elsevier B.V. All rights reserved.","author":[{"dropping-particle":"","family":"Ross","given":"Cliff","non-dropping-particle":"","parse-names":false,"suffix":""},{"dropping-particle":"","family":"Santiago-Vázquez","given":"Lory","non-dropping-particle":"","parse-names":false,"suffix":""},{"dropping-particle":"","family":"Paul","given":"Valerie","non-dropping-particle":"","parse-names":false,"suffix":""}],"container-title":"Aquatic Toxicology","id":"ITEM-1","issue":"1","issued":{"date-parts":[["2006"]]},"page":"66-73","title":"Toxin release in response to oxidative stress and programmed cell death in the cyanobacterium Microcystis aeruginosa","type":"article-journal","volume":"78"},"uris":["http://www.mendeley.com/documents/?uuid=98b65a25-cdc8-4950-9d31-deae2d5eb153"]},{"id":"ITEM-2","itemData":{"DOI":"10.3389/fmicb.2020.01201","ISSN":"1664302X","abstract":"There is increasing evidence that programmed cell death (PCD) in cyanobacteria is triggered by oxidative stress and that it contributes to the survival of the cyanobacterial population such as Microcystis aeruginosa. At the same time, microcystins (MCs) released during cell lysis have been implicated in colony formation (enabled by the release of polysaccharides) in M. aeruginosa – a strategy that allows the effect of a stressor, including grazing to be avoided or decreased. This experimental research has explored whether extracts of Daphnia magna and Daphnia cucullata (corresponding to 5, 25, 50, and 100 individuals per liter) reveal the effect on the growth, intracellular reactive oxygen species (ROS) content, lipid peroxidation, PCD, MC-LR release, and bound exopolysaccharide (EPS) level in M. aeruginosa during 7 days of exposure. As demonstrated, extracts of both daphnids induced dose-dependent growth inhibition, increase in ROS levels, lipid peroxidation, and PCD. Moreover, the release of MC-LR and an increase in the bound EPS fraction were observed in treated cultures. Generally, the greatest effects were observed under the influence of D. magna extracts. The study indicates that grazer presence can potentially trigger a series of events in the Microcystis population, with cells undergoing oxidative stress-induced PCD associated with MC release, which in turn increases EPS production by intact cells. As argued, this strategy is likely to have evolved in response to abiotic stressors, since both PCD and synthesis of MC in cyanobacteria predate the metazoan lineage. Nevertheless, it may still provide a benefit for the survival of the MC-producing M. aeruginosa population under grazer pressure.","author":[{"dropping-particle":"","family":"Rzymski","given":"Piotr","non-dropping-particle":"","parse-names":false,"suffix":""},{"dropping-particle":"","family":"Klimaszyk","given":"Piotr","non-dropping-particle":"","parse-names":false,"suffix":""},{"dropping-particle":"","family":"Jurczak","given":"Tomasz","non-dropping-particle":"","parse-names":false,"suffix":""},{"dropping-particle":"","family":"Poniedziałek","given":"Barbara","non-dropping-particle":"","parse-names":false,"suffix":""}],"container-title":"Frontiers in Microbiology","id":"ITEM-2","issue":"June","issued":{"date-parts":[["2020"]]},"title":"Oxidative Stress, Programmed Cell Death and Microcystin Release in Microcystis aeruginosa in Response to Daphnia Grazers","type":"article-journal","volume":"11"},"uris":["http://www.mendeley.com/documents/?uuid=3049e1e4-749e-4506-967b-37c3652f57d0"]}],"mendeley":{"formattedCitation":"(Ross et al., 2006; Rzymski et al., 2020)","manualFormatting":"(Ross et al., 2006)","plainTextFormattedCitation":"(Ross et al., 2006; Rzymski et al., 2020)","previouslyFormattedCitation":"(Ross et al., 2006; Rzymski et al., 2020)"},"properties":{"noteIndex":0},"schema":"https://github.com/citation-style-language/schema/raw/master/csl-citation.json"}</w:instrText>
      </w:r>
      <w:r w:rsidRPr="00CA1FF4">
        <w:fldChar w:fldCharType="separate"/>
      </w:r>
      <w:r w:rsidRPr="00CA1FF4">
        <w:rPr>
          <w:noProof/>
        </w:rPr>
        <w:t>(Ross et al., 2006)</w:t>
      </w:r>
      <w:r w:rsidRPr="00CA1FF4">
        <w:fldChar w:fldCharType="end"/>
      </w:r>
      <w:r w:rsidRPr="00CA1FF4">
        <w:t>. More research is needed to illuminate the use of</w:t>
      </w:r>
      <w:r>
        <w:t xml:space="preserve"> microcystin.</w:t>
      </w:r>
      <w:r w:rsidR="00701364">
        <w:t xml:space="preserve"> In this thesis, we will not investigate the factors that promote microcystin production. Nevertheless, we hope to contribute to the understanding of its production by exploring mechanisms promoting the growth of the cyanobacteria that produce microcystin.</w:t>
      </w:r>
    </w:p>
    <w:p w14:paraId="52F837C8" w14:textId="16894CEA" w:rsidR="00CA71B1" w:rsidRDefault="002F6051" w:rsidP="00C206FF">
      <w:pPr>
        <w:spacing w:line="480" w:lineRule="auto"/>
        <w:ind w:firstLine="720"/>
      </w:pPr>
      <w:r w:rsidRPr="00CA1FF4">
        <w:rPr>
          <w:noProof/>
        </w:rPr>
        <w:lastRenderedPageBreak/>
        <mc:AlternateContent>
          <mc:Choice Requires="wps">
            <w:drawing>
              <wp:anchor distT="0" distB="0" distL="114300" distR="114300" simplePos="0" relativeHeight="251658240" behindDoc="0" locked="0" layoutInCell="1" allowOverlap="1" wp14:anchorId="79149DE4" wp14:editId="29FA912D">
                <wp:simplePos x="0" y="0"/>
                <wp:positionH relativeFrom="column">
                  <wp:posOffset>157480</wp:posOffset>
                </wp:positionH>
                <wp:positionV relativeFrom="paragraph">
                  <wp:posOffset>0</wp:posOffset>
                </wp:positionV>
                <wp:extent cx="5259705" cy="74047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259705" cy="7404735"/>
                        </a:xfrm>
                        <a:prstGeom prst="rect">
                          <a:avLst/>
                        </a:prstGeom>
                        <a:solidFill>
                          <a:schemeClr val="lt1"/>
                        </a:solidFill>
                        <a:ln w="6350">
                          <a:noFill/>
                        </a:ln>
                      </wps:spPr>
                      <wps:txbx>
                        <w:txbxContent>
                          <w:p w14:paraId="524796BE" w14:textId="197ADC13" w:rsidR="00CA1FF4" w:rsidRDefault="00CA1FF4" w:rsidP="00CA1FF4">
                            <w:pPr>
                              <w:rPr>
                                <w:sz w:val="22"/>
                                <w:szCs w:val="22"/>
                              </w:rPr>
                            </w:pPr>
                            <w:r>
                              <w:rPr>
                                <w:noProof/>
                                <w:sz w:val="22"/>
                                <w:szCs w:val="22"/>
                              </w:rPr>
                              <w:drawing>
                                <wp:inline distT="0" distB="0" distL="0" distR="0" wp14:anchorId="7E445A19" wp14:editId="1F416C0B">
                                  <wp:extent cx="4399984" cy="2216247"/>
                                  <wp:effectExtent l="0" t="0" r="0" b="6350"/>
                                  <wp:docPr id="135" name="Picture 135"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polyg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08003" cy="2220286"/>
                                          </a:xfrm>
                                          <a:prstGeom prst="rect">
                                            <a:avLst/>
                                          </a:prstGeom>
                                        </pic:spPr>
                                      </pic:pic>
                                    </a:graphicData>
                                  </a:graphic>
                                </wp:inline>
                              </w:drawing>
                            </w:r>
                          </w:p>
                          <w:p w14:paraId="74E23CBE" w14:textId="08B383C0" w:rsidR="00CA1FF4" w:rsidRDefault="00CA1FF4" w:rsidP="00CA1FF4">
                            <w:pPr>
                              <w:rPr>
                                <w:sz w:val="22"/>
                                <w:szCs w:val="22"/>
                              </w:rPr>
                            </w:pPr>
                            <w:r>
                              <w:rPr>
                                <w:noProof/>
                              </w:rPr>
                              <w:drawing>
                                <wp:inline distT="0" distB="0" distL="0" distR="0" wp14:anchorId="69D21312" wp14:editId="3B328DD4">
                                  <wp:extent cx="4146487" cy="3210560"/>
                                  <wp:effectExtent l="0" t="0" r="0" b="2540"/>
                                  <wp:docPr id="136" name="Picture 1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166410" cy="3225986"/>
                                          </a:xfrm>
                                          <a:prstGeom prst="rect">
                                            <a:avLst/>
                                          </a:prstGeom>
                                        </pic:spPr>
                                      </pic:pic>
                                    </a:graphicData>
                                  </a:graphic>
                                </wp:inline>
                              </w:drawing>
                            </w:r>
                          </w:p>
                          <w:p w14:paraId="703A1937" w14:textId="77777777" w:rsidR="0074799C" w:rsidRDefault="002F6051" w:rsidP="002E54F4">
                            <w:pPr>
                              <w:pStyle w:val="Subtitle"/>
                            </w:pPr>
                            <w:bookmarkStart w:id="6" w:name="_Toc98704963"/>
                            <w:r>
                              <w:t>Figure</w:t>
                            </w:r>
                            <w:r w:rsidRPr="00CA1FF4">
                              <w:t xml:space="preserve"> 1: Chlorophyll a versus Phycocyanin</w:t>
                            </w:r>
                            <w:bookmarkEnd w:id="6"/>
                            <w:r w:rsidRPr="00CA1FF4">
                              <w:t xml:space="preserve"> </w:t>
                            </w:r>
                          </w:p>
                          <w:p w14:paraId="2D6A2070" w14:textId="716416F8" w:rsidR="002F6051" w:rsidRPr="00CA1FF4" w:rsidRDefault="002F6051" w:rsidP="0074799C">
                            <w:r w:rsidRPr="00CA1FF4">
                              <w:t>Chlorophyll a is synthesized by all photosynthetic organisms while phycocyanin is synthesized by cyanobacteria. Thus, measurements of the concentrations present in the environment can give insight into the biomass of the organisms present in the community. The chemical structure in the red dashed line box is phycocyanin. The chemical structure in the green solid line box is chlorophyll a. The R group on the chlorophyll a is a long hydrophobic tail</w:t>
                            </w:r>
                            <w:r w:rsidR="0074799C">
                              <w:t xml:space="preserve"> </w:t>
                            </w:r>
                            <w:r w:rsidR="0074799C">
                              <w:fldChar w:fldCharType="begin" w:fldLock="1"/>
                            </w:r>
                            <w:r w:rsidR="002E54F4">
                              <w:instrText>ADDIN CSL_CITATION {"citationItems":[{"id":"ITEM-1","itemData":{"DOI":"10.1016/j.jff.2014.10.011","ISSN":"17564646","abstract":"Phycocyanin (PC) is one of the main pigments of the algae Spirulina, which is used as a dietary supplement due to its high protein content. PC is a protein from the phycobiliprotein family characterized by its intense blue color and its structure consists of a protein and non-protein components known as phycocyanobilin. PC scavenges reactive oxygen and nitrogen species (ROS and RNS, respectively) and prevents oxidative damage that may explain, at least in part, its beneficial effects. This review focuses on the beneficial characteristics and properties of PC emphasizing the antioxidant activity on in vitro and in vivo models. The use of PC in clinical trials is warranted.","author":[{"dropping-particle":"","family":"Fernández-Rojas","given":"Berenice","non-dropping-particle":"","parse-names":false,"suffix":""},{"dropping-particle":"","family":"Hernández-Juárez","given":"Jesús","non-dropping-particle":"","parse-names":false,"suffix":""},{"dropping-particle":"","family":"Pedraza-Chaverri","given":"José","non-dropping-particle":"","parse-names":false,"suffix":""}],"container-title":"Journal of Functional Foods","id":"ITEM-1","issue":"C","issued":{"date-parts":[["2014"]]},"page":"375-392","publisher":"Elsevier Ltd","title":"Nutraceutical properties of phycocyanin","type":"article-journal","volume":"11"},"uris":["http://www.mendeley.com/documents/?uuid=cb559ab1-cdce-4e71-9129-bbb89ba0bbd0"]}],"mendeley":{"formattedCitation":"(Fernández-Rojas et al., 2014)","manualFormatting":"(Fernández-Rojas et al., 2014, Björn et al., 2009)","plainTextFormattedCitation":"(Fernández-Rojas et al., 2014)","previouslyFormattedCitation":"(Fernández-Rojas et al., 2014)"},"properties":{"noteIndex":0},"schema":"https://github.com/citation-style-language/schema/raw/master/csl-citation.json"}</w:instrText>
                            </w:r>
                            <w:r w:rsidR="0074799C">
                              <w:fldChar w:fldCharType="separate"/>
                            </w:r>
                            <w:r w:rsidR="0074799C" w:rsidRPr="0074799C">
                              <w:rPr>
                                <w:noProof/>
                              </w:rPr>
                              <w:t>(Fernández-Rojas et al., 2014</w:t>
                            </w:r>
                            <w:r w:rsidR="002E54F4">
                              <w:rPr>
                                <w:noProof/>
                              </w:rPr>
                              <w:t xml:space="preserve">, </w:t>
                            </w:r>
                            <w:r w:rsidR="002E54F4" w:rsidRPr="002E54F4">
                              <w:rPr>
                                <w:noProof/>
                              </w:rPr>
                              <w:t>Björn et al., 2009</w:t>
                            </w:r>
                            <w:r w:rsidR="0074799C" w:rsidRPr="0074799C">
                              <w:rPr>
                                <w:noProof/>
                              </w:rPr>
                              <w:t>)</w:t>
                            </w:r>
                            <w:r w:rsidR="0074799C">
                              <w:fldChar w:fldCharType="end"/>
                            </w:r>
                            <w:r w:rsidR="00F91B57">
                              <w:t>.</w:t>
                            </w:r>
                          </w:p>
                          <w:p w14:paraId="2C327999" w14:textId="35517C77" w:rsidR="00CA1FF4" w:rsidRDefault="00CA1FF4" w:rsidP="0074799C">
                            <w:pPr>
                              <w:rPr>
                                <w:sz w:val="22"/>
                                <w:szCs w:val="22"/>
                              </w:rPr>
                            </w:pPr>
                          </w:p>
                          <w:p w14:paraId="276FA08D" w14:textId="1220A951" w:rsidR="00CA1FF4" w:rsidRDefault="00CA1FF4" w:rsidP="007479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149DE4" id="_x0000_t202" coordsize="21600,21600" o:spt="202" path="m,l,21600r21600,l21600,xe">
                <v:stroke joinstyle="miter"/>
                <v:path gradientshapeok="t" o:connecttype="rect"/>
              </v:shapetype>
              <v:shape id="Text Box 4" o:spid="_x0000_s1026" type="#_x0000_t202" style="position:absolute;left:0;text-align:left;margin-left:12.4pt;margin-top:0;width:414.15pt;height:583.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" fillcolor="white [3201]" stroked="f" strokeweight=".5pt">
                <v:textbox>
                  <w:txbxContent>
                    <w:p w14:paraId="524796BE" w14:textId="197ADC13" w:rsidR="00CA1FF4" w:rsidRDefault="00CA1FF4" w:rsidP="00CA1FF4">
                      <w:pPr>
                        <w:rPr>
                          <w:sz w:val="22"/>
                          <w:szCs w:val="22"/>
                        </w:rPr>
                      </w:pPr>
                      <w:r>
                        <w:rPr>
                          <w:noProof/>
                          <w:sz w:val="22"/>
                          <w:szCs w:val="22"/>
                        </w:rPr>
                        <w:drawing>
                          <wp:inline distT="0" distB="0" distL="0" distR="0" wp14:anchorId="7E445A19" wp14:editId="1F416C0B">
                            <wp:extent cx="4399984" cy="2216247"/>
                            <wp:effectExtent l="0" t="0" r="0" b="6350"/>
                            <wp:docPr id="135" name="Picture 135"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polyg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08003" cy="2220286"/>
                                    </a:xfrm>
                                    <a:prstGeom prst="rect">
                                      <a:avLst/>
                                    </a:prstGeom>
                                  </pic:spPr>
                                </pic:pic>
                              </a:graphicData>
                            </a:graphic>
                          </wp:inline>
                        </w:drawing>
                      </w:r>
                    </w:p>
                    <w:p w14:paraId="74E23CBE" w14:textId="08B383C0" w:rsidR="00CA1FF4" w:rsidRDefault="00CA1FF4" w:rsidP="00CA1FF4">
                      <w:pPr>
                        <w:rPr>
                          <w:sz w:val="22"/>
                          <w:szCs w:val="22"/>
                        </w:rPr>
                      </w:pPr>
                      <w:r>
                        <w:rPr>
                          <w:noProof/>
                        </w:rPr>
                        <w:drawing>
                          <wp:inline distT="0" distB="0" distL="0" distR="0" wp14:anchorId="69D21312" wp14:editId="3B328DD4">
                            <wp:extent cx="4146487" cy="3210560"/>
                            <wp:effectExtent l="0" t="0" r="0" b="2540"/>
                            <wp:docPr id="136" name="Picture 1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166410" cy="3225986"/>
                                    </a:xfrm>
                                    <a:prstGeom prst="rect">
                                      <a:avLst/>
                                    </a:prstGeom>
                                  </pic:spPr>
                                </pic:pic>
                              </a:graphicData>
                            </a:graphic>
                          </wp:inline>
                        </w:drawing>
                      </w:r>
                    </w:p>
                    <w:p w14:paraId="703A1937" w14:textId="77777777" w:rsidR="0074799C" w:rsidRDefault="002F6051" w:rsidP="002E54F4">
                      <w:pPr>
                        <w:pStyle w:val="Subtitle"/>
                      </w:pPr>
                      <w:bookmarkStart w:id="7" w:name="_Toc98704963"/>
                      <w:r>
                        <w:t>Figure</w:t>
                      </w:r>
                      <w:r w:rsidRPr="00CA1FF4">
                        <w:t xml:space="preserve"> 1: Chlorophyll a versus Phycocyanin</w:t>
                      </w:r>
                      <w:bookmarkEnd w:id="7"/>
                      <w:r w:rsidRPr="00CA1FF4">
                        <w:t xml:space="preserve"> </w:t>
                      </w:r>
                    </w:p>
                    <w:p w14:paraId="2D6A2070" w14:textId="716416F8" w:rsidR="002F6051" w:rsidRPr="00CA1FF4" w:rsidRDefault="002F6051" w:rsidP="0074799C">
                      <w:r w:rsidRPr="00CA1FF4">
                        <w:t>Chlorophyll a is synthesized by all photosynthetic organisms while phycocyanin is synthesized by cyanobacteria. Thus, measurements of the concentrations present in the environment can give insight into the biomass of the organisms present in the community. The chemical structure in the red dashed line box is phycocyanin. The chemical structure in the green solid line box is chlorophyll a. The R group on the chlorophyll a is a long hydrophobic tail</w:t>
                      </w:r>
                      <w:r w:rsidR="0074799C">
                        <w:t xml:space="preserve"> </w:t>
                      </w:r>
                      <w:r w:rsidR="0074799C">
                        <w:fldChar w:fldCharType="begin" w:fldLock="1"/>
                      </w:r>
                      <w:r w:rsidR="002E54F4">
                        <w:instrText>ADDIN CSL_CITATION {"citationItems":[{"id":"ITEM-1","itemData":{"DOI":"10.1016/j.jff.2014.10.011","ISSN":"17564646","abstract":"Phycocyanin (PC) is one of the main pigments of the algae Spirulina, which is used as a dietary supplement due to its high protein content. PC is a protein from the phycobiliprotein family characterized by its intense blue color and its structure consists of a protein and non-protein components known as phycocyanobilin. PC scavenges reactive oxygen and nitrogen species (ROS and RNS, respectively) and prevents oxidative damage that may explain, at least in part, its beneficial effects. This review focuses on the beneficial characteristics and properties of PC emphasizing the antioxidant activity on in vitro and in vivo models. The use of PC in clinical trials is warranted.","author":[{"dropping-particle":"","family":"Fernández-Rojas","given":"Berenice","non-dropping-particle":"","parse-names":false,"suffix":""},{"dropping-particle":"","family":"Hernández-Juárez","given":"Jesús","non-dropping-particle":"","parse-names":false,"suffix":""},{"dropping-particle":"","family":"Pedraza-Chaverri","given":"José","non-dropping-particle":"","parse-names":false,"suffix":""}],"container-title":"Journal of Functional Foods","id":"ITEM-1","issue":"C","issued":{"date-parts":[["2014"]]},"page":"375-392","publisher":"Elsevier Ltd","title":"Nutraceutical properties of phycocyanin","type":"article-journal","volume":"11"},"uris":["http://www.mendeley.com/documents/?uuid=cb559ab1-cdce-4e71-9129-bbb89ba0bbd0"]}],"mendeley":{"formattedCitation":"(Fernández-Rojas et al., 2014)","manualFormatting":"(Fernández-Rojas et al., 2014, Björn et al., 2009)","plainTextFormattedCitation":"(Fernández-Rojas et al., 2014)","previouslyFormattedCitation":"(Fernández-Rojas et al., 2014)"},"properties":{"noteIndex":0},"schema":"https://github.com/citation-style-language/schema/raw/master/csl-citation.json"}</w:instrText>
                      </w:r>
                      <w:r w:rsidR="0074799C">
                        <w:fldChar w:fldCharType="separate"/>
                      </w:r>
                      <w:r w:rsidR="0074799C" w:rsidRPr="0074799C">
                        <w:rPr>
                          <w:noProof/>
                        </w:rPr>
                        <w:t>(Fernández-Rojas et al., 2014</w:t>
                      </w:r>
                      <w:r w:rsidR="002E54F4">
                        <w:rPr>
                          <w:noProof/>
                        </w:rPr>
                        <w:t xml:space="preserve">, </w:t>
                      </w:r>
                      <w:r w:rsidR="002E54F4" w:rsidRPr="002E54F4">
                        <w:rPr>
                          <w:noProof/>
                        </w:rPr>
                        <w:t>Björn et al., 2009</w:t>
                      </w:r>
                      <w:r w:rsidR="0074799C" w:rsidRPr="0074799C">
                        <w:rPr>
                          <w:noProof/>
                        </w:rPr>
                        <w:t>)</w:t>
                      </w:r>
                      <w:r w:rsidR="0074799C">
                        <w:fldChar w:fldCharType="end"/>
                      </w:r>
                      <w:r w:rsidR="00F91B57">
                        <w:t>.</w:t>
                      </w:r>
                    </w:p>
                    <w:p w14:paraId="2C327999" w14:textId="35517C77" w:rsidR="00CA1FF4" w:rsidRDefault="00CA1FF4" w:rsidP="0074799C">
                      <w:pPr>
                        <w:rPr>
                          <w:sz w:val="22"/>
                          <w:szCs w:val="22"/>
                        </w:rPr>
                      </w:pPr>
                    </w:p>
                    <w:p w14:paraId="276FA08D" w14:textId="1220A951" w:rsidR="00CA1FF4" w:rsidRDefault="00CA1FF4" w:rsidP="0074799C"/>
                  </w:txbxContent>
                </v:textbox>
                <w10:wrap type="topAndBottom"/>
              </v:shape>
            </w:pict>
          </mc:Fallback>
        </mc:AlternateContent>
      </w:r>
    </w:p>
    <w:p w14:paraId="5A9B86D4" w14:textId="3049533C" w:rsidR="00A954E1" w:rsidRDefault="002F6051" w:rsidP="002F6051">
      <w:pPr>
        <w:spacing w:line="480" w:lineRule="auto"/>
      </w:pPr>
      <w:r w:rsidRPr="00CA1FF4">
        <w:rPr>
          <w:b/>
          <w:bCs/>
          <w:i/>
          <w:iCs/>
          <w:noProof/>
        </w:rPr>
        <w:lastRenderedPageBreak/>
        <mc:AlternateContent>
          <mc:Choice Requires="wps">
            <w:drawing>
              <wp:anchor distT="0" distB="0" distL="114300" distR="114300" simplePos="0" relativeHeight="251657216" behindDoc="0" locked="0" layoutInCell="1" allowOverlap="1" wp14:anchorId="66EA513E" wp14:editId="0CA03AC6">
                <wp:simplePos x="0" y="0"/>
                <wp:positionH relativeFrom="column">
                  <wp:posOffset>-203200</wp:posOffset>
                </wp:positionH>
                <wp:positionV relativeFrom="paragraph">
                  <wp:posOffset>0</wp:posOffset>
                </wp:positionV>
                <wp:extent cx="5685155" cy="4236720"/>
                <wp:effectExtent l="0" t="0" r="4445" b="5080"/>
                <wp:wrapTopAndBottom/>
                <wp:docPr id="5" name="Text Box 5"/>
                <wp:cNvGraphicFramePr/>
                <a:graphic xmlns:a="http://schemas.openxmlformats.org/drawingml/2006/main">
                  <a:graphicData uri="http://schemas.microsoft.com/office/word/2010/wordprocessingShape">
                    <wps:wsp>
                      <wps:cNvSpPr txBox="1"/>
                      <wps:spPr>
                        <a:xfrm>
                          <a:off x="0" y="0"/>
                          <a:ext cx="5685155" cy="4236720"/>
                        </a:xfrm>
                        <a:prstGeom prst="rect">
                          <a:avLst/>
                        </a:prstGeom>
                        <a:solidFill>
                          <a:schemeClr val="lt1"/>
                        </a:solidFill>
                        <a:ln w="6350">
                          <a:noFill/>
                        </a:ln>
                      </wps:spPr>
                      <wps:txbx>
                        <w:txbxContent>
                          <w:p w14:paraId="1424FB71" w14:textId="010EE318" w:rsidR="00CA1FF4" w:rsidRDefault="00CA1FF4" w:rsidP="00CA1FF4">
                            <w:r>
                              <w:rPr>
                                <w:noProof/>
                              </w:rPr>
                              <w:drawing>
                                <wp:inline distT="0" distB="0" distL="0" distR="0" wp14:anchorId="4225CD3A" wp14:editId="0866CDEC">
                                  <wp:extent cx="5495925" cy="3019425"/>
                                  <wp:effectExtent l="0" t="0" r="3175" b="3175"/>
                                  <wp:docPr id="137" name="Picture 1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95925" cy="3019425"/>
                                          </a:xfrm>
                                          <a:prstGeom prst="rect">
                                            <a:avLst/>
                                          </a:prstGeom>
                                        </pic:spPr>
                                      </pic:pic>
                                    </a:graphicData>
                                  </a:graphic>
                                </wp:inline>
                              </w:drawing>
                            </w:r>
                          </w:p>
                          <w:p w14:paraId="3F8247AA" w14:textId="77777777" w:rsidR="002E54F4" w:rsidRDefault="002F6051" w:rsidP="002E54F4">
                            <w:pPr>
                              <w:pStyle w:val="Subtitle"/>
                            </w:pPr>
                            <w:bookmarkStart w:id="7" w:name="_Toc98704964"/>
                            <w:r>
                              <w:t>Figure</w:t>
                            </w:r>
                            <w:r w:rsidRPr="00CA1FF4">
                              <w:t xml:space="preserve"> 2: Microcystin</w:t>
                            </w:r>
                            <w:bookmarkEnd w:id="7"/>
                            <w:r w:rsidRPr="00CA1FF4">
                              <w:t xml:space="preserve"> </w:t>
                            </w:r>
                            <w:r>
                              <w:t xml:space="preserve"> </w:t>
                            </w:r>
                          </w:p>
                          <w:p w14:paraId="7440B7E1" w14:textId="046200BB" w:rsidR="002E54F4" w:rsidRDefault="002F6051" w:rsidP="002E54F4">
                            <w:r>
                              <w:t>The below figure is of microcystin-LR. In the solid red circle is arginine and in the dashed green circle is leucine. These two amino acids can be switched out with other amino acids making other types of microcystin. These other microcystin types are less toxic to other organisms</w:t>
                            </w:r>
                            <w:r w:rsidR="002E54F4">
                              <w:t xml:space="preserve"> </w:t>
                            </w:r>
                            <w:r w:rsidR="002E54F4" w:rsidRPr="002E54F4">
                              <w:fldChar w:fldCharType="begin" w:fldLock="1"/>
                            </w:r>
                            <w:r w:rsidR="00BB0056">
                              <w:instrText>ADDIN CSL_CITATION {"citationItems":[{"id":"ITEM-1","itemData":{"DOI":"10.1016/S1074-5521(00)00021-1","ISSN":"10745521","PMID":"11033079","abstract":"Background: Blooms of toxic cyanobacteria (blue-green algae) have become increasingly common in the surface waters of the world. Of the known toxins produced by cyanobacteria, the microcystins are the most significant threat to human and animal health. These cyclic peptides are potent inhibitors of eukaryotic protein phosphatases type 1 and 2A. Synthesized nonribosomally, the microcystins contain a number of unusual amino acid residues including the β-amino polyketide moiety Adda (3-amino-9-methoxy-2,6,8-trimethyl-10-phenyl-4,6-decadienoic acid). We have characterized the microcystin biosynthetic gene cluster from Microcystis aeruginosa PCC7806. Results: A cluster spanning 55 kb, composed of 10 bidirectionally transcribed open reading frames arranged in two putative operons (mcyA-C and mcyD-J), has been correlated with microcystin formation by gene disruption and mutant analysis. Of the 48 sequential catalytic reactions involved in microcystin synthesis, 45 have been assigned to catalytic domains within six large multienzyme synthases/synthetases (McyA-E, G), which incorporate the precursors phenylacetate, malonyl-CoA, S-adenosyl-L-methionine, glutamate, serine, alanine, leucine, D-methyl-isoaspartate, and arginine. The additional four monofunctional proteins are putatively involved in O-methylation (McyJ), epimerization (McyF), dehydration (Mcyl), and localization (McyH). The unusual polyketide amino acid Adda is formed by transamination of a polyketide precursor as enzyme-bound intermediate, and not released during the process. Conclusions: This report is the first complete description of the biosynthesis pathway of a complex cyanobacterial metabolite. The enzymatic organization of the microcystin assembly represents an integrated polyketide-peptide biosynthetic pathway with a number of unusual structural and enzymatic features. These include the integrated synthesis of a β-amino-pentaketide precursor and the formation of β- and γ-carboxyl-peptide bonds, respectively. Other features of this complex system also observed in diverse related biosynthetic clusters are integrated C- and N-methyltransferases, an integrated aminotransferase, and an associated O-methyltransferase and a racemase acting on acidic amino acids.","author":[{"dropping-particle":"","family":"Tillett","given":"Daniel","non-dropping-particle":"","parse-names":false,"suffix":""},{"dropping-particle":"","family":"Dittmann","given":"Elke","non-dropping-particle":"","parse-names":false,"suffix":""},{"dropping-particle":"","family":"Erhard","given":"Marcel","non-dropping-particle":"","parse-names":false,"suffix":""},{"dropping-particle":"","family":"Döhren","given":"Hans","non-dropping-particle":"Von","parse-names":false,"suffix":""},{"dropping-particle":"","family":"Börner","given":"Thomas","non-dropping-particle":"","parse-names":false,"suffix":""},{"dropping-particle":"","family":"Neilan","given":"Brett A.","non-dropping-particle":"","parse-names":false,"suffix":""}],"container-title":"Chemistry and Biology","id":"ITEM-1","issue":"10","issued":{"date-parts":[["2000"]]},"page":"753-764","title":"Structural organization of microcystin biosynthesis in Microcystis aeruginosa PCC7806: An integrated peptide-polyketide synthetase system","type":"article-journal","volume":"7"},"uris":["http://www.mendeley.com/documents/?uuid=292a7e8b-9cf0-46e2-8139-be337c603cd0"]}],"mendeley":{"formattedCitation":"(Tillett et al., 2000)","plainTextFormattedCitation":"(Tillett et al., 2000)","previouslyFormattedCitation":"(Tillett et al., 2000)"},"properties":{"noteIndex":0},"schema":"https://github.com/citation-style-language/schema/raw/master/csl-citation.json"}</w:instrText>
                            </w:r>
                            <w:r w:rsidR="002E54F4" w:rsidRPr="002E54F4">
                              <w:fldChar w:fldCharType="separate"/>
                            </w:r>
                            <w:r w:rsidR="002E54F4" w:rsidRPr="002E54F4">
                              <w:rPr>
                                <w:noProof/>
                              </w:rPr>
                              <w:t>(Tillett et al., 2000)</w:t>
                            </w:r>
                            <w:r w:rsidR="002E54F4" w:rsidRPr="002E54F4">
                              <w:fldChar w:fldCharType="end"/>
                            </w:r>
                            <w:r w:rsidR="002E54F4" w:rsidRPr="002E54F4">
                              <w:t>.</w:t>
                            </w:r>
                          </w:p>
                          <w:p w14:paraId="0A194C25" w14:textId="53524A04" w:rsidR="002F6051" w:rsidRDefault="002F6051" w:rsidP="002F6051"/>
                          <w:p w14:paraId="332AC020" w14:textId="77777777" w:rsidR="002F6051" w:rsidRPr="008C7E86" w:rsidRDefault="002F6051" w:rsidP="00CA1F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EA513E" id="Text Box 5" o:spid="_x0000_s1027" type="#_x0000_t202" style="position:absolute;margin-left:-16pt;margin-top:0;width:447.65pt;height:333.6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" fillcolor="white [3201]" stroked="f" strokeweight=".5pt">
                <v:textbox>
                  <w:txbxContent>
                    <w:p w14:paraId="1424FB71" w14:textId="010EE318" w:rsidR="00CA1FF4" w:rsidRDefault="00CA1FF4" w:rsidP="00CA1FF4">
                      <w:r>
                        <w:rPr>
                          <w:noProof/>
                        </w:rPr>
                        <w:drawing>
                          <wp:inline distT="0" distB="0" distL="0" distR="0" wp14:anchorId="4225CD3A" wp14:editId="0866CDEC">
                            <wp:extent cx="5495925" cy="3019425"/>
                            <wp:effectExtent l="0" t="0" r="3175" b="3175"/>
                            <wp:docPr id="137" name="Picture 1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95925" cy="3019425"/>
                                    </a:xfrm>
                                    <a:prstGeom prst="rect">
                                      <a:avLst/>
                                    </a:prstGeom>
                                  </pic:spPr>
                                </pic:pic>
                              </a:graphicData>
                            </a:graphic>
                          </wp:inline>
                        </w:drawing>
                      </w:r>
                    </w:p>
                    <w:p w14:paraId="3F8247AA" w14:textId="77777777" w:rsidR="002E54F4" w:rsidRDefault="002F6051" w:rsidP="002E54F4">
                      <w:pPr>
                        <w:pStyle w:val="Subtitle"/>
                      </w:pPr>
                      <w:bookmarkStart w:id="9" w:name="_Toc98704964"/>
                      <w:r>
                        <w:t>Figure</w:t>
                      </w:r>
                      <w:r w:rsidRPr="00CA1FF4">
                        <w:t xml:space="preserve"> 2: Microcystin</w:t>
                      </w:r>
                      <w:bookmarkEnd w:id="9"/>
                      <w:r w:rsidRPr="00CA1FF4">
                        <w:t xml:space="preserve"> </w:t>
                      </w:r>
                      <w:r>
                        <w:t xml:space="preserve"> </w:t>
                      </w:r>
                    </w:p>
                    <w:p w14:paraId="7440B7E1" w14:textId="046200BB" w:rsidR="002E54F4" w:rsidRDefault="002F6051" w:rsidP="002E54F4">
                      <w:r>
                        <w:t>The below figure is of microcystin-LR. In the solid red circle is arginine and in the dashed green circle is leucine. These two amino acids can be switched out with other amino acids making other types of microcystin. These other microcystin types are less toxic to other organisms</w:t>
                      </w:r>
                      <w:r w:rsidR="002E54F4">
                        <w:t xml:space="preserve"> </w:t>
                      </w:r>
                      <w:r w:rsidR="002E54F4" w:rsidRPr="002E54F4">
                        <w:fldChar w:fldCharType="begin" w:fldLock="1"/>
                      </w:r>
                      <w:r w:rsidR="00BB0056">
                        <w:instrText>ADDIN CSL_CITATION {"citationItems":[{"id":"ITEM-1","itemData":{"DOI":"10.1016/S1074-5521(00)00021-1","ISSN":"10745521","PMID":"11033079","abstract":"Background: Blooms of toxic cyanobacteria (blue-green algae) have become increasingly common in the surface waters of the world. Of the known toxins produced by cyanobacteria, the microcystins are the most significant threat to human and animal health. These cyclic peptides are potent inhibitors of eukaryotic protein phosphatases type 1 and 2A. Synthesized nonribosomally, the microcystins contain a number of unusual amino acid residues including the β-amino polyketide moiety Adda (3-amino-9-methoxy-2,6,8-trimethyl-10-phenyl-4,6-decadienoic acid). We have characterized the microcystin biosynthetic gene cluster from Microcystis aeruginosa PCC7806. Results: A cluster spanning 55 kb, composed of 10 bidirectionally transcribed open reading frames arranged in two putative operons (mcyA-C and mcyD-J), has been correlated with microcystin formation by gene disruption and mutant analysis. Of the 48 sequential catalytic reactions involved in microcystin synthesis, 45 have been assigned to catalytic domains within six large multienzyme synthases/synthetases (McyA-E, G), which incorporate the precursors phenylacetate, malonyl-CoA, S-adenosyl-L-methionine, glutamate, serine, alanine, leucine, D-methyl-isoaspartate, and arginine. The additional four monofunctional proteins are putatively involved in O-methylation (McyJ), epimerization (McyF), dehydration (Mcyl), and localization (McyH). The unusual polyketide amino acid Adda is formed by transamination of a polyketide precursor as enzyme-bound intermediate, and not released during the process. Conclusions: This report is the first complete description of the biosynthesis pathway of a complex cyanobacterial metabolite. The enzymatic organization of the microcystin assembly represents an integrated polyketide-peptide biosynthetic pathway with a number of unusual structural and enzymatic features. These include the integrated synthesis of a β-amino-pentaketide precursor and the formation of β- and γ-carboxyl-peptide bonds, respectively. Other features of this complex system also observed in diverse related biosynthetic clusters are integrated C- and N-methyltransferases, an integrated aminotransferase, and an associated O-methyltransferase and a racemase acting on acidic amino acids.","author":[{"dropping-particle":"","family":"Tillett","given":"Daniel","non-dropping-particle":"","parse-names":false,"suffix":""},{"dropping-particle":"","family":"Dittmann","given":"Elke","non-dropping-particle":"","parse-names":false,"suffix":""},{"dropping-particle":"","family":"Erhard","given":"Marcel","non-dropping-particle":"","parse-names":false,"suffix":""},{"dropping-particle":"","family":"Döhren","given":"Hans","non-dropping-particle":"Von","parse-names":false,"suffix":""},{"dropping-particle":"","family":"Börner","given":"Thomas","non-dropping-particle":"","parse-names":false,"suffix":""},{"dropping-particle":"","family":"Neilan","given":"Brett A.","non-dropping-particle":"","parse-names":false,"suffix":""}],"container-title":"Chemistry and Biology","id":"ITEM-1","issue":"10","issued":{"date-parts":[["2000"]]},"page":"753-764","title":"Structural organization of microcystin biosynthesis in Microcystis aeruginosa PCC7806: An integrated peptide-polyketide synthetase system","type":"article-journal","volume":"7"},"uris":["http://www.mendeley.com/documents/?uuid=292a7e8b-9cf0-46e2-8139-be337c603cd0"]}],"mendeley":{"formattedCitation":"(Tillett et al., 2000)","plainTextFormattedCitation":"(Tillett et al., 2000)","previouslyFormattedCitation":"(Tillett et al., 2000)"},"properties":{"noteIndex":0},"schema":"https://github.com/citation-style-language/schema/raw/master/csl-citation.json"}</w:instrText>
                      </w:r>
                      <w:r w:rsidR="002E54F4" w:rsidRPr="002E54F4">
                        <w:fldChar w:fldCharType="separate"/>
                      </w:r>
                      <w:r w:rsidR="002E54F4" w:rsidRPr="002E54F4">
                        <w:rPr>
                          <w:noProof/>
                        </w:rPr>
                        <w:t>(Tillett et al., 2000)</w:t>
                      </w:r>
                      <w:r w:rsidR="002E54F4" w:rsidRPr="002E54F4">
                        <w:fldChar w:fldCharType="end"/>
                      </w:r>
                      <w:r w:rsidR="002E54F4" w:rsidRPr="002E54F4">
                        <w:t>.</w:t>
                      </w:r>
                    </w:p>
                    <w:p w14:paraId="0A194C25" w14:textId="53524A04" w:rsidR="002F6051" w:rsidRDefault="002F6051" w:rsidP="002F6051"/>
                    <w:p w14:paraId="332AC020" w14:textId="77777777" w:rsidR="002F6051" w:rsidRPr="008C7E86" w:rsidRDefault="002F6051" w:rsidP="00CA1FF4"/>
                  </w:txbxContent>
                </v:textbox>
                <w10:wrap type="topAndBottom"/>
              </v:shape>
            </w:pict>
          </mc:Fallback>
        </mc:AlternateContent>
      </w:r>
    </w:p>
    <w:p w14:paraId="2EB9F15C" w14:textId="77777777" w:rsidR="002F6051" w:rsidRDefault="002F6051" w:rsidP="00240F72">
      <w:pPr>
        <w:pStyle w:val="Heading2"/>
      </w:pPr>
    </w:p>
    <w:p w14:paraId="2F2FE2FD" w14:textId="297A32CA" w:rsidR="002F6051" w:rsidRDefault="002F6051">
      <w:pPr>
        <w:rPr>
          <w:b/>
          <w:bCs/>
          <w:iCs/>
          <w:sz w:val="28"/>
          <w:szCs w:val="28"/>
        </w:rPr>
      </w:pPr>
      <w:r>
        <w:br w:type="page"/>
      </w:r>
    </w:p>
    <w:p w14:paraId="794FAE1E" w14:textId="4200AE6A" w:rsidR="0098795C" w:rsidRDefault="0098795C" w:rsidP="00240F72">
      <w:pPr>
        <w:pStyle w:val="Heading2"/>
      </w:pPr>
      <w:bookmarkStart w:id="8" w:name="_Toc98870942"/>
      <w:r>
        <w:lastRenderedPageBreak/>
        <w:t>Environmental Factors</w:t>
      </w:r>
      <w:bookmarkEnd w:id="8"/>
    </w:p>
    <w:p w14:paraId="00D7B10F" w14:textId="1C73D70B" w:rsidR="0098795C" w:rsidRDefault="0098795C" w:rsidP="00FA5108">
      <w:pPr>
        <w:pStyle w:val="Heading3"/>
      </w:pPr>
      <w:bookmarkStart w:id="9" w:name="_Toc98704940"/>
      <w:bookmarkStart w:id="10" w:name="_Toc98870943"/>
      <w:r>
        <w:t>Wind</w:t>
      </w:r>
      <w:bookmarkEnd w:id="9"/>
      <w:bookmarkEnd w:id="10"/>
    </w:p>
    <w:p w14:paraId="230D8D6D" w14:textId="77777777" w:rsidR="001F1DE3" w:rsidRPr="001F1DE3" w:rsidRDefault="001F1DE3" w:rsidP="001F1DE3"/>
    <w:p w14:paraId="6DB03F2C" w14:textId="72DA00CF" w:rsidR="0098795C" w:rsidRDefault="0098795C" w:rsidP="0098795C">
      <w:pPr>
        <w:spacing w:line="480" w:lineRule="auto"/>
        <w:ind w:firstLine="720"/>
      </w:pPr>
      <w:r w:rsidRPr="007F79DB">
        <w:rPr>
          <w:i/>
          <w:iCs/>
        </w:rPr>
        <w:t xml:space="preserve">Microcystis aeruginosa </w:t>
      </w:r>
      <w:r w:rsidRPr="007F79DB">
        <w:t xml:space="preserve">has a gas vacuole that allows for the cell's movement up and down through the water column </w:t>
      </w:r>
      <w:r w:rsidRPr="007F79DB">
        <w:fldChar w:fldCharType="begin" w:fldLock="1"/>
      </w:r>
      <w:r w:rsidRPr="007F79DB">
        <w:instrText>ADDIN CSL_CITATION {"citationItems":[{"id":"ITEM-1","itemData":{"DOI":"10.1051/limn/2019011","ISSN":"2100000X","abstract":"Mixing is an integral environmental factor that affects lake ecosystems. For the cyanobacterium Microcystis, colony size is important with respects to migration velocity, how cells respond to grazing pressure, light attenuation, nutrient uptake and growth. To understand how mixing shapes colony size and the growth of Microcystis, we measured the effects of different current velocities (0, 0.16, 0.32, 0.64, and 1.28 m s1) on M. aeruginosa in Lake Taihu. After 24 h of continuous mixing, the mean colony sizes of M. aeruginosa in the controls, 0.16, 0.32, 0.64, and 1.28 m s1 groups were 23.6, 50.1, 92.9, 67.8, and 37.3 mm, respectively. Colony sizes of M. aeruginosa in all treatment groups were significantly larger than those in controls. As well, the concentration of soluble extracellular polysaccharide and bound extracellular polysaccharides of M. aeruginosa in all treatment groups were significantly higher than those in controls. Except for the highest level of mixing (1.28 m s1), the growth rate of M. aeruginosa was significantly higher than that in controls. This study suggested that mixing intensity over short time periods can significantly influence colony size and the growth of M. aeruginosa.","author":[{"dropping-particle":"","family":"Chunni","given":"Zhong","non-dropping-particle":"","parse-names":false,"suffix":""},{"dropping-particle":"","family":"Guijun","given":"Yang","non-dropping-particle":"","parse-names":false,"suffix":""},{"dropping-particle":"","family":"Boqiang","given":"Qin","non-dropping-particle":"","parse-names":false,"suffix":""},{"dropping-particle":"","family":"Wilhelm","given":"Steven W.","non-dropping-particle":"","parse-names":false,"suffix":""},{"dropping-particle":"","family":"Yu","given":"Liu","non-dropping-particle":"","parse-names":false,"suffix":""},{"dropping-particle":"","family":"Lihua","given":"Han","non-dropping-particle":"","parse-names":false,"suffix":""},{"dropping-particle":"","family":"Zheng","given":"Rui","non-dropping-particle":"","parse-names":false,"suffix":""},{"dropping-particle":"","family":"Hongwei","given":"Yang","non-dropping-particle":"","parse-names":false,"suffix":""},{"dropping-particle":"","family":"Zhou","given":"Zhang","non-dropping-particle":"","parse-names":false,"suffix":""}],"container-title":"Annales de Limnologie","id":"ITEM-1","issued":{"date-parts":[["2019"]]},"title":"Effects of mixing intensity on colony size and growth of Microcystis aeruginosa","type":"article-journal","volume":"55"},"uris":["http://www.mendeley.com/documents/?uuid=bf7394c9-f85b-40d3-93b5-0e11255f2a25"]}],"mendeley":{"formattedCitation":"(Chunni et al., 2019)","plainTextFormattedCitation":"(Chunni et al., 2019)","previouslyFormattedCitation":"(Chunni et al., 2019)"},"properties":{"noteIndex":0},"schema":"https://github.com/citation-style-language/schema/raw/master/csl-citation.json"}</w:instrText>
      </w:r>
      <w:r w:rsidRPr="007F79DB">
        <w:fldChar w:fldCharType="separate"/>
      </w:r>
      <w:r w:rsidRPr="007F79DB">
        <w:rPr>
          <w:noProof/>
        </w:rPr>
        <w:t>(Chunni et al., 2019)</w:t>
      </w:r>
      <w:r w:rsidRPr="007F79DB">
        <w:fldChar w:fldCharType="end"/>
      </w:r>
      <w:r w:rsidRPr="007F79DB">
        <w:t xml:space="preserve">. This enables the cell to move to locations in the water column that have optimal light and nutrients for maximum growth. However, studies have shown that strong winds can cause mass mixing of the water column especially in shallow lakes </w:t>
      </w:r>
      <w:r w:rsidRPr="007F79DB">
        <w:fldChar w:fldCharType="begin" w:fldLock="1"/>
      </w:r>
      <w:r w:rsidRPr="007F79DB">
        <w:instrText>ADDIN CSL_CITATION {"citationItems":[{"id":"ITEM-1","itemData":{"DOI":"10.1051/limn/2019011","ISSN":"2100000X","abstract":"Mixing is an integral environmental factor that affects lake ecosystems. For the cyanobacterium Microcystis, colony size is important with respects to migration velocity, how cells respond to grazing pressure, light attenuation, nutrient uptake and growth. To understand how mixing shapes colony size and the growth of Microcystis, we measured the effects of different current velocities (0, 0.16, 0.32, 0.64, and 1.28 m s1) on M. aeruginosa in Lake Taihu. After 24 h of continuous mixing, the mean colony sizes of M. aeruginosa in the controls, 0.16, 0.32, 0.64, and 1.28 m s1 groups were 23.6, 50.1, 92.9, 67.8, and 37.3 mm, respectively. Colony sizes of M. aeruginosa in all treatment groups were significantly larger than those in controls. As well, the concentration of soluble extracellular polysaccharide and bound extracellular polysaccharides of M. aeruginosa in all treatment groups were significantly higher than those in controls. Except for the highest level of mixing (1.28 m s1), the growth rate of M. aeruginosa was significantly higher than that in controls. This study suggested that mixing intensity over short time periods can significantly influence colony size and the growth of M. aeruginosa.","author":[{"dropping-particle":"","family":"Chunni","given":"Zhong","non-dropping-particle":"","parse-names":false,"suffix":""},{"dropping-particle":"","family":"Guijun","given":"Yang","non-dropping-particle":"","parse-names":false,"suffix":""},{"dropping-particle":"","family":"Boqiang","given":"Qin","non-dropping-particle":"","parse-names":false,"suffix":""},{"dropping-particle":"","family":"Wilhelm","given":"Steven W.","non-dropping-particle":"","parse-names":false,"suffix":""},{"dropping-particle":"","family":"Yu","given":"Liu","non-dropping-particle":"","parse-names":false,"suffix":""},{"dropping-particle":"","family":"Lihua","given":"Han","non-dropping-particle":"","parse-names":false,"suffix":""},{"dropping-particle":"","family":"Zheng","given":"Rui","non-dropping-particle":"","parse-names":false,"suffix":""},{"dropping-particle":"","family":"Hongwei","given":"Yang","non-dropping-particle":"","parse-names":false,"suffix":""},{"dropping-particle":"","family":"Zhou","given":"Zhang","non-dropping-particle":"","parse-names":false,"suffix":""}],"container-title":"Annales de Limnologie","id":"ITEM-1","issued":{"date-parts":[["2019"]]},"title":"Effects of mixing intensity on colony size and growth of Microcystis aeruginosa","type":"article-journal","volume":"55"},"uris":["http://www.mendeley.com/documents/?uuid=bf7394c9-f85b-40d3-93b5-0e11255f2a25"]}],"mendeley":{"formattedCitation":"(Chunni et al., 2019)","plainTextFormattedCitation":"(Chunni et al., 2019)","previouslyFormattedCitation":"(Chunni et al., 2019)"},"properties":{"noteIndex":0},"schema":"https://github.com/citation-style-language/schema/raw/master/csl-citation.json"}</w:instrText>
      </w:r>
      <w:r w:rsidRPr="007F79DB">
        <w:fldChar w:fldCharType="separate"/>
      </w:r>
      <w:r w:rsidRPr="007F79DB">
        <w:rPr>
          <w:noProof/>
        </w:rPr>
        <w:t>(Chunni et al., 2019)</w:t>
      </w:r>
      <w:r w:rsidRPr="007F79DB">
        <w:fldChar w:fldCharType="end"/>
      </w:r>
      <w:r w:rsidRPr="007F79DB">
        <w:t xml:space="preserve">. Winds speeds as low as 3 meters per second can cause significant near-surface mixing and surface roughness in these shallow lakes </w:t>
      </w:r>
      <w:r w:rsidRPr="007F79DB">
        <w:fldChar w:fldCharType="begin" w:fldLock="1"/>
      </w:r>
      <w:r w:rsidRPr="007F79DB">
        <w:instrText>ADDIN CSL_CITATION {"citationItems":[{"id":"ITEM-1","itemData":{"DOI":"10.1080/02705060.2006.9664991","ISSN":"21566941","abstract":"Effects of wind and wind-induced waves on vertical phytoplankton distribution and Microcystis aeruginosa bloom formation were studied in Meiliang Bay of Lake Taihu from September 5 to 9, 2004. Concentrations of chlorophyll a, b, and phycocyanin in the water column were used to represent the abundance of total phytoplankton, chlorophytes, and cyanobacteria, respectively. Water samples were taken under different wind and wind-induced wave conditions. Ca. 90% of Microcystis aeruginosa had densities less than that of lake water and were thereby positively buoyant. Vertical distributions of total phytoplankton, chlorophytes, and cyanobacteria were markedly affected by wind and waves, with coefficients of variation of pigment concentrations throughout the water column showing a negative correlation with increasing wind and waves. Surface proportions of M. aeruginosa versus total amounts in the water column also closely correlated with wind and waves, which demonstrated that wind and waves directly influenced surface M. aeruginosa blooms in Lake Taihu. A less significant correlation was found for total phytoplankton, but there was no correlation for chlorophytes in the water column. © 2006, Copyright Taylor &amp; Francis Group, LLC.","author":[{"dropping-particle":"","family":"Cao","given":"H. S.","non-dropping-particle":"","parse-names":false,"suffix":""},{"dropping-particle":"","family":"Kong","given":"F. X.","non-dropping-particle":"","parse-names":false,"suffix":""},{"dropping-particle":"","family":"Luo","given":"L. C.","non-dropping-particle":"","parse-names":false,"suffix":""},{"dropping-particle":"","family":"Shi","given":"X. L.","non-dropping-particle":"","parse-names":false,"suffix":""},{"dropping-particle":"","family":"Yang","given":"Z.","non-dropping-particle":"","parse-names":false,"suffix":""},{"dropping-particle":"","family":"Zhang","given":"Xi. F.","non-dropping-particle":"","parse-names":false,"suffix":""},{"dropping-particle":"","family":"Tao","given":"Y.","non-dropping-particle":"","parse-names":false,"suffix":""}],"container-title":"Journal of Freshwater Ecology","id":"ITEM-1","issue":"2","issued":{"date-parts":[["2006"]]},"page":"231-238","title":"Effects of wind and wind-induced waves on vertical phytoplankton distribution and surface blooms of microcystis aeruginosa in lake taihu","type":"article-journal","volume":"21"},"uris":["http://www.mendeley.com/documents/?uuid=b22a6d31-7275-4ed9-8f67-738814873be1"]}],"mendeley":{"formattedCitation":"(Cao et al., 2006)","plainTextFormattedCitation":"(Cao et al., 2006)","previouslyFormattedCitation":"(Cao et al., 2006)"},"properties":{"noteIndex":0},"schema":"https://github.com/citation-style-language/schema/raw/master/csl-citation.json"}</w:instrText>
      </w:r>
      <w:r w:rsidRPr="007F79DB">
        <w:fldChar w:fldCharType="separate"/>
      </w:r>
      <w:r w:rsidRPr="007F79DB">
        <w:rPr>
          <w:noProof/>
        </w:rPr>
        <w:t>(Cao et al., 2006)</w:t>
      </w:r>
      <w:r w:rsidRPr="007F79DB">
        <w:fldChar w:fldCharType="end"/>
      </w:r>
      <w:r w:rsidRPr="007F79DB">
        <w:t xml:space="preserve">. Thus, affecting the cyanobacterial cell's gas vacuole. </w:t>
      </w:r>
      <w:r w:rsidRPr="007F79DB">
        <w:rPr>
          <w:i/>
          <w:iCs/>
        </w:rPr>
        <w:t>Microcystis aeruginosa</w:t>
      </w:r>
      <w:r w:rsidRPr="007F79DB">
        <w:t xml:space="preserve"> regulate the gas vacuole by modifying the gas vacuolation or by changing the amount of dense components in the cell such as carbohydrates and proteins </w:t>
      </w:r>
      <w:r w:rsidRPr="007F79DB">
        <w:fldChar w:fldCharType="begin" w:fldLock="1"/>
      </w:r>
      <w:r w:rsidRPr="007F79DB">
        <w:instrText>ADDIN CSL_CITATION {"citationItems":[{"id":"ITEM-1","itemData":{"DOI":"10.1080/02705060.2006.9664991","ISSN":"21566941","abstract":"Effects of wind and wind-induced waves on vertical phytoplankton distribution and Microcystis aeruginosa bloom formation were studied in Meiliang Bay of Lake Taihu from September 5 to 9, 2004. Concentrations of chlorophyll a, b, and phycocyanin in the water column were used to represent the abundance of total phytoplankton, chlorophytes, and cyanobacteria, respectively. Water samples were taken under different wind and wind-induced wave conditions. Ca. 90% of Microcystis aeruginosa had densities less than that of lake water and were thereby positively buoyant. Vertical distributions of total phytoplankton, chlorophytes, and cyanobacteria were markedly affected by wind and waves, with coefficients of variation of pigment concentrations throughout the water column showing a negative correlation with increasing wind and waves. Surface proportions of M. aeruginosa versus total amounts in the water column also closely correlated with wind and waves, which demonstrated that wind and waves directly influenced surface M. aeruginosa blooms in Lake Taihu. A less significant correlation was found for total phytoplankton, but there was no correlation for chlorophytes in the water column. © 2006, Copyright Taylor &amp; Francis Group, LLC.","author":[{"dropping-particle":"","family":"Cao","given":"H. S.","non-dropping-particle":"","parse-names":false,"suffix":""},{"dropping-particle":"","family":"Kong","given":"F. X.","non-dropping-particle":"","parse-names":false,"suffix":""},{"dropping-particle":"","family":"Luo","given":"L. C.","non-dropping-particle":"","parse-names":false,"suffix":""},{"dropping-particle":"","family":"Shi","given":"X. L.","non-dropping-particle":"","parse-names":false,"suffix":""},{"dropping-particle":"","family":"Yang","given":"Z.","non-dropping-particle":"","parse-names":false,"suffix":""},{"dropping-particle":"","family":"Zhang","given":"Xi. F.","non-dropping-particle":"","parse-names":false,"suffix":""},{"dropping-particle":"","family":"Tao","given":"Y.","non-dropping-particle":"","parse-names":false,"suffix":""}],"container-title":"Journal of Freshwater Ecology","id":"ITEM-1","issue":"2","issued":{"date-parts":[["2006"]]},"page":"231-238","title":"Effects of wind and wind-induced waves on vertical phytoplankton distribution and surface blooms of microcystis aeruginosa in lake taihu","type":"article-journal","volume":"21"},"uris":["http://www.mendeley.com/documents/?uuid=b22a6d31-7275-4ed9-8f67-738814873be1"]}],"mendeley":{"formattedCitation":"(Cao et al., 2006)","plainTextFormattedCitation":"(Cao et al., 2006)","previouslyFormattedCitation":"(Cao et al., 2006)"},"properties":{"noteIndex":0},"schema":"https://github.com/citation-style-language/schema/raw/master/csl-citation.json"}</w:instrText>
      </w:r>
      <w:r w:rsidRPr="007F79DB">
        <w:fldChar w:fldCharType="separate"/>
      </w:r>
      <w:r w:rsidRPr="007F79DB">
        <w:rPr>
          <w:noProof/>
        </w:rPr>
        <w:t>(Cao et al., 2006)</w:t>
      </w:r>
      <w:r w:rsidRPr="007F79DB">
        <w:fldChar w:fldCharType="end"/>
      </w:r>
      <w:r w:rsidRPr="007F79DB">
        <w:t xml:space="preserve">. </w:t>
      </w:r>
      <w:r w:rsidR="0052775F">
        <w:t>Mixing</w:t>
      </w:r>
      <w:r w:rsidRPr="007F79DB">
        <w:t xml:space="preserve"> of the water column causes buoyancy issues with the gas vacuole, which does not allow for </w:t>
      </w:r>
      <w:r w:rsidRPr="007F79DB">
        <w:rPr>
          <w:i/>
          <w:iCs/>
        </w:rPr>
        <w:t>M. aeruginosa</w:t>
      </w:r>
      <w:r w:rsidRPr="007F79DB">
        <w:t xml:space="preserve"> to control where in the water column they are located. Strong winds have been shown to cause enough mixing to break up the cyanobacterial colonies and weaken the cells' ability to grow </w:t>
      </w:r>
      <w:r w:rsidRPr="007F79DB">
        <w:fldChar w:fldCharType="begin" w:fldLock="1"/>
      </w:r>
      <w:r w:rsidRPr="007F79DB">
        <w:instrText>ADDIN CSL_CITATION {"citationItems":[{"id":"ITEM-1","itemData":{"DOI":"10.1051/limn/2019011","ISSN":"2100000X","abstract":"Mixing is an integral environmental factor that affects lake ecosystems. For the cyanobacterium Microcystis, colony size is important with respects to migration velocity, how cells respond to grazing pressure, light attenuation, nutrient uptake and growth. To understand how mixing shapes colony size and the growth of Microcystis, we measured the effects of different current velocities (0, 0.16, 0.32, 0.64, and 1.28 m s1) on M. aeruginosa in Lake Taihu. After 24 h of continuous mixing, the mean colony sizes of M. aeruginosa in the controls, 0.16, 0.32, 0.64, and 1.28 m s1 groups were 23.6, 50.1, 92.9, 67.8, and 37.3 mm, respectively. Colony sizes of M. aeruginosa in all treatment groups were significantly larger than those in controls. As well, the concentration of soluble extracellular polysaccharide and bound extracellular polysaccharides of M. aeruginosa in all treatment groups were significantly higher than those in controls. Except for the highest level of mixing (1.28 m s1), the growth rate of M. aeruginosa was significantly higher than that in controls. This study suggested that mixing intensity over short time periods can significantly influence colony size and the growth of M. aeruginosa.","author":[{"dropping-particle":"","family":"Chunni","given":"Zhong","non-dropping-particle":"","parse-names":false,"suffix":""},{"dropping-particle":"","family":"Guijun","given":"Yang","non-dropping-particle":"","parse-names":false,"suffix":""},{"dropping-particle":"","family":"Boqiang","given":"Qin","non-dropping-particle":"","parse-names":false,"suffix":""},{"dropping-particle":"","family":"Wilhelm","given":"Steven W.","non-dropping-particle":"","parse-names":false,"suffix":""},{"dropping-particle":"","family":"Yu","given":"Liu","non-dropping-particle":"","parse-names":false,"suffix":""},{"dropping-particle":"","family":"Lihua","given":"Han","non-dropping-particle":"","parse-names":false,"suffix":""},{"dropping-particle":"","family":"Zheng","given":"Rui","non-dropping-particle":"","parse-names":false,"suffix":""},{"dropping-particle":"","family":"Hongwei","given":"Yang","non-dropping-particle":"","parse-names":false,"suffix":""},{"dropping-particle":"","family":"Zhou","given":"Zhang","non-dropping-particle":"","parse-names":false,"suffix":""}],"container-title":"Annales de Limnologie","id":"ITEM-1","issued":{"date-parts":[["2019"]]},"title":"Effects of mixing intensity on colony size and growth of Microcystis aeruginosa","type":"article-journal","volume":"55"},"uris":["http://www.mendeley.com/documents/?uuid=bf7394c9-f85b-40d3-93b5-0e11255f2a25"]}],"mendeley":{"formattedCitation":"(Chunni et al., 2019)","plainTextFormattedCitation":"(Chunni et al., 2019)","previouslyFormattedCitation":"(Chunni et al., 2019)"},"properties":{"noteIndex":0},"schema":"https://github.com/citation-style-language/schema/raw/master/csl-citation.json"}</w:instrText>
      </w:r>
      <w:r w:rsidRPr="007F79DB">
        <w:fldChar w:fldCharType="separate"/>
      </w:r>
      <w:r w:rsidRPr="007F79DB">
        <w:rPr>
          <w:noProof/>
        </w:rPr>
        <w:t>(Chunni et al., 2019)</w:t>
      </w:r>
      <w:r w:rsidRPr="007F79DB">
        <w:fldChar w:fldCharType="end"/>
      </w:r>
      <w:r w:rsidRPr="007F79DB">
        <w:t xml:space="preserve">. Therefore, a lack of winds in the environment during certain parts of the year may partially contribute to the intensity and frequency of these harmful algal blooms. </w:t>
      </w:r>
    </w:p>
    <w:p w14:paraId="441659C4" w14:textId="59F74C90" w:rsidR="00CE4BD1" w:rsidRDefault="00CE4BD1" w:rsidP="00FA5108">
      <w:pPr>
        <w:pStyle w:val="Heading3"/>
      </w:pPr>
      <w:bookmarkStart w:id="11" w:name="_Toc98704941"/>
      <w:bookmarkStart w:id="12" w:name="_Toc98870944"/>
      <w:r>
        <w:t>Temperature and pH</w:t>
      </w:r>
      <w:bookmarkEnd w:id="11"/>
      <w:bookmarkEnd w:id="12"/>
    </w:p>
    <w:p w14:paraId="7F411277" w14:textId="77777777" w:rsidR="001F1DE3" w:rsidRPr="001F1DE3" w:rsidRDefault="001F1DE3" w:rsidP="001F1DE3"/>
    <w:p w14:paraId="6C75C90E" w14:textId="59D3BCFE" w:rsidR="00CE4BD1" w:rsidRPr="00CE4BD1" w:rsidRDefault="0098795C" w:rsidP="00CE4BD1">
      <w:pPr>
        <w:spacing w:line="480" w:lineRule="auto"/>
        <w:ind w:firstLine="720"/>
      </w:pPr>
      <w:r w:rsidRPr="007F79DB">
        <w:t xml:space="preserve">The temperature and pH of the environment can affect how species grow and compete in the community. In the environment, cyanobacterial blooms </w:t>
      </w:r>
      <w:r w:rsidRPr="007F79DB">
        <w:lastRenderedPageBreak/>
        <w:t xml:space="preserve">dominated by </w:t>
      </w:r>
      <w:r w:rsidRPr="007F79DB">
        <w:rPr>
          <w:i/>
          <w:iCs/>
        </w:rPr>
        <w:t>M. aeruginosa</w:t>
      </w:r>
      <w:r w:rsidRPr="007F79DB">
        <w:t xml:space="preserve"> occur in the late summer when the water temperatures are typically at their highest levels</w:t>
      </w:r>
      <w:r w:rsidR="00742F2E">
        <w:t xml:space="preserve"> </w:t>
      </w:r>
      <w:r w:rsidR="00BB0056">
        <w:fldChar w:fldCharType="begin" w:fldLock="1"/>
      </w:r>
      <w:r w:rsidR="00CE3B35">
        <w:instrText>ADDIN CSL_CITATION {"citationItems":[{"id":"ITEM-1","itemData":{"DOI":"10.1093/plankt/fbn110","ISSN":"01427873","abstract":"The effect of water temperature on the succession of the two Microcystis species, M. aeruginosa and M. wesenbergii, was examined through field and laboratory studies. In the eutrophic Furuike Pond, seasonal successions of Microcystis species and related environmental parameters were investigated between May and November 2006. Microcystis aeruginosa was more abundant than M. wesenbergii in June, August to early October and M. wesenbergii was more abundant in July and between late October and November. The water temperatures during the dominance of M. aeruginosa were relatively higher (from 24.7 to 33.9°C) than those during the dominance of M. wesenbergii (from 19.6 to 28.6°C). In the laboratory experiments where each Microcystis species was cultured under various temperatures, growth rates of M. aeruginosa were significantly higher than those of M. wesenbergii at high temperatures (30 and 35°C). However, growth rates of the two species were similar at lower temperatures (20 and 25°C). Consequently, water temperature changes during summer may be an important environmental factor for the alternating succession of Microcystis species. © The Author 2008. Published by Oxford University Press. All rights reserved.","author":[{"dropping-particle":"","family":"Imai","given":"Hiroyuki","non-dropping-particle":"","parse-names":false,"suffix":""},{"dropping-particle":"","family":"Chang","given":"Kwang Hyeon","non-dropping-particle":"","parse-names":false,"suffix":""},{"dropping-particle":"","family":"Kusaba","given":"Maiko","non-dropping-particle":"","parse-names":false,"suffix":""},{"dropping-particle":"","family":"Nakano","given":"Shin Ichi","non-dropping-particle":"","parse-names":false,"suffix":""}],"container-title":"Journal of Plankton Research","id":"ITEM-1","issue":"2","issued":{"date-parts":[["2009"]]},"page":"171-178","title":"Temperature-dependent dominance of Microcystis (Cyanophyceae) species: M. aeruginosa and M. wesenbergii","type":"article-journal","volume":"31"},"uris":["http://www.mendeley.com/documents/?uuid=2a16c412-03ed-49a2-bd34-42a91713e484"]},{"id":"ITEM-2","itemData":{"DOI":"10.1126/science.1155398","ISSN":"00368075","PMID":"18388279","abstract":"A link exists between global warming and the worldwide proliferation of harmful cyanobacterial blooms.","author":[{"dropping-particle":"","family":"Paerl","given":"Hans W.","non-dropping-particle":"","parse-names":false,"suffix":""},{"dropping-particle":"","family":"Huisman","given":"Jef","non-dropping-particle":"","parse-names":false,"suffix":""}],"container-title":"Science","id":"ITEM-2","issue":"5872","issued":{"date-parts":[["2008"]]},"page":"57-58","title":"Climate: Blooms like it hot","type":"article-journal","volume":"320"},"uris":["http://www.mendeley.com/documents/?uuid=af55bac1-7d84-410b-ba70-b7d0b15f7e06"]},{"id":"ITEM-3","itemData":{"DOI":"10.1016/j.watres.2011.08.002","ISSN":"18792448","PMID":"21893330","abstract":"Cyanobacteria are the Earth's oldest (~3.5bya) oxygen evolving organisms, and they have had major impacts on shaping our modern-day biosphere. Conversely, biospheric environmental perturbations, including nutrient enrichment and climatic changes (e.g. global warming, hydrologic changes, increased frequencies and intensities of tropical cyclones, more intense and persistent droughts), strongly affect cyanobacterial growth and bloom potentials in freshwater and marine ecosystems. We examined human and climatic controls on harmful (toxic, hypoxia-generating, food web disrupting) bloom-forming cyanobacteria (CyanoHABs) along the freshwater to marine continuum. These changes may act synergistically to promote cyanobacterial dominance and persistence. This synergy is a formidable challenge to water quality, water supply and fisheries managers, because bloom potentials and controls may be altered in response to contemporaneous changes in thermal and hydrologic regimes. In inland waters, hydrologic modifications, including enhanced vertical mixing and, if water supplies permit, increased flushing (reducing residence time) will likely be needed in systems where nutrient input reductions are neither feasible nor possible. Successful control of CyanoHABs by grazers is unlikely except in specific cases. Overall, stricter nutrient management will likely be the most feasible and practical approach to long-term CyanoHAB control in a warmer, stormier and more extreme world. © 2011 Elsevier Ltd.","author":[{"dropping-particle":"","family":"Paerl","given":"Hans W.","non-dropping-particle":"","parse-names":false,"suffix":""},{"dropping-particle":"","family":"Paul","given":"Valerie J.","non-dropping-particle":"","parse-names":false,"suffix":""}],"container-title":"Water Research","id":"ITEM-3","issue":"5","issued":{"date-parts":[["2012"]]},"page":"1349-1363","publisher":"Elsevier Ltd","title":"Climate change: Links to global expansion of harmful cyanobacteria","type":"article-journal","volume":"46"},"uris":["http://www.mendeley.com/documents/?uuid=71d9a2fb-7bb1-46a3-8508-97b587a23eee"]}],"mendeley":{"formattedCitation":"(Imai et al., 2009; Paerl &amp; Huisman, 2008; Paerl &amp; Paul, 2012)","plainTextFormattedCitation":"(Imai et al., 2009; Paerl &amp; Huisman, 2008; Paerl &amp; Paul, 2012)","previouslyFormattedCitation":"(Imai et al., 2009; Paerl &amp; Huisman, 2008; Paerl &amp; Paul, 2012)"},"properties":{"noteIndex":0},"schema":"https://github.com/citation-style-language/schema/raw/master/csl-citation.json"}</w:instrText>
      </w:r>
      <w:r w:rsidR="00BB0056">
        <w:fldChar w:fldCharType="separate"/>
      </w:r>
      <w:r w:rsidR="00BB0056" w:rsidRPr="00BB0056">
        <w:rPr>
          <w:noProof/>
        </w:rPr>
        <w:t>(Imai et al., 2009; Paerl &amp; Huisman, 2008; Paerl &amp; Paul, 2012)</w:t>
      </w:r>
      <w:r w:rsidR="00BB0056">
        <w:fldChar w:fldCharType="end"/>
      </w:r>
      <w:r w:rsidR="00742F2E">
        <w:t>.</w:t>
      </w:r>
      <w:r w:rsidR="00BB0056">
        <w:t xml:space="preserve"> </w:t>
      </w:r>
      <w:r w:rsidRPr="007F79DB">
        <w:t xml:space="preserve">Studies have shown that </w:t>
      </w:r>
      <w:r w:rsidRPr="007F79DB">
        <w:rPr>
          <w:i/>
          <w:iCs/>
        </w:rPr>
        <w:t>M. aeruginosa</w:t>
      </w:r>
      <w:r w:rsidRPr="007F79DB">
        <w:t xml:space="preserve"> prefers to grow and compete at high temperatures and high pH </w:t>
      </w:r>
      <w:r w:rsidRPr="007F79DB">
        <w:fldChar w:fldCharType="begin" w:fldLock="1"/>
      </w:r>
      <w:r w:rsidRPr="007F79DB">
        <w:instrText>ADDIN CSL_CITATION {"citationItems":[{"id":"ITEM-1","itemData":{"DOI":"10.1007/s11356-017-0887-0","ISSN":"16147499","PMID":"29198029","abstract":"Competition between cyanobacteria and green algae affects phytoplankton succession and the well-known cyanobacteria blooms. Climate warming and water acidification are two concerned environmental issues changing the freshwater ecosystems. To investigate the competitive responses of phytoplankton to warming and acidification, we co-cultured Microcystis aeruginosa and Scenedesmus obliquus at a temperature range of 15–35 °C and a pH range of 5–9. Results showed that S. obliquus was superior competitor at 15 °C. At 20–30 °C, the populations of both Scenedesmus and Microcystis were inhibited by the presence of each other. S. obliquus was in competitive domination at the initial phase of cultivation, but was finally replaced by M. aeruginosa. Microcystis kept competition advantage at 35 °C, whereas Scenedesmus outcompeted Microcystis at acidic conditions (pH ≤ 6). Neutral and weakly alkaline conditions (pH 7–9) supported the replacement of competition domination from Scenedesmus to Microcystis. The present study revealed that climate warming may accelerate the phytoplankton succession from green algae to cyanobacteria, with the predicted promoted cyanobacteria blooms. Nonetheless, water acidification causes Microcystis to be a weak competitor with green algae, suggesting that the advantageous effect of Microcystis toward green algae at high temperatures was controlled by other variables like the water pH.","author":[{"dropping-particle":"","family":"Yang","given":"Jingwen","non-dropping-particle":"","parse-names":false,"suffix":""},{"dropping-particle":"","family":"Tang","given":"Hengxing","non-dropping-particle":"","parse-names":false,"suffix":""},{"dropping-particle":"","family":"Zhang","given":"Xingxing","non-dropping-particle":"","parse-names":false,"suffix":""},{"dropping-particle":"","family":"Zhu","given":"Xuexia","non-dropping-particle":"","parse-names":false,"suffix":""},{"dropping-particle":"","family":"Huang","given":"Yuan","non-dropping-particle":"","parse-names":false,"suffix":""},{"dropping-particle":"","family":"Yang","given":"Zhou","non-dropping-particle":"","parse-names":false,"suffix":""}],"container-title":"Environmental Science and Pollution Research","id":"ITEM-1","issue":"5","issued":{"date-parts":[["2018"]]},"page":"4794-4802","publisher":"Environmental Science and Pollution Research","title":"High temperature and pH favor Microcystis aeruginosa to outcompete Scenedesmus obliquus","type":"article-journal","volume":"25"},"uris":["http://www.mendeley.com/documents/?uuid=c2b2af47-4a3c-4a90-a0c8-a3f2207bac2a"]}],"mendeley":{"formattedCitation":"(Yang et al., 2018)","plainTextFormattedCitation":"(Yang et al., 2018)","previouslyFormattedCitation":"(Yang et al., 2018)"},"properties":{"noteIndex":0},"schema":"https://github.com/citation-style-language/schema/raw/master/csl-citation.json"}</w:instrText>
      </w:r>
      <w:r w:rsidRPr="007F79DB">
        <w:fldChar w:fldCharType="separate"/>
      </w:r>
      <w:r w:rsidRPr="007F79DB">
        <w:rPr>
          <w:noProof/>
        </w:rPr>
        <w:t>(Yang et al., 2018)</w:t>
      </w:r>
      <w:r w:rsidRPr="007F79DB">
        <w:fldChar w:fldCharType="end"/>
      </w:r>
      <w:r w:rsidRPr="007F79DB">
        <w:t xml:space="preserve">. In these studies, </w:t>
      </w:r>
      <w:r w:rsidRPr="007F79DB">
        <w:rPr>
          <w:i/>
          <w:iCs/>
        </w:rPr>
        <w:t xml:space="preserve">M. aeruginosa </w:t>
      </w:r>
      <w:r w:rsidRPr="007F79DB">
        <w:t xml:space="preserve">was at a competitive advantage in temperatures between 20 to 30 degrees Celsius and in neutral and weakly alkaline conditions (pH 7-9) </w:t>
      </w:r>
      <w:r w:rsidRPr="007F79DB">
        <w:fldChar w:fldCharType="begin" w:fldLock="1"/>
      </w:r>
      <w:r w:rsidRPr="007F79DB">
        <w:instrText>ADDIN CSL_CITATION {"citationItems":[{"id":"ITEM-1","itemData":{"DOI":"10.1007/s11356-017-0887-0","ISSN":"16147499","PMID":"29198029","abstract":"Competition between cyanobacteria and green algae affects phytoplankton succession and the well-known cyanobacteria blooms. Climate warming and water acidification are two concerned environmental issues changing the freshwater ecosystems. To investigate the competitive responses of phytoplankton to warming and acidification, we co-cultured Microcystis aeruginosa and Scenedesmus obliquus at a temperature range of 15–35 °C and a pH range of 5–9. Results showed that S. obliquus was superior competitor at 15 °C. At 20–30 °C, the populations of both Scenedesmus and Microcystis were inhibited by the presence of each other. S. obliquus was in competitive domination at the initial phase of cultivation, but was finally replaced by M. aeruginosa. Microcystis kept competition advantage at 35 °C, whereas Scenedesmus outcompeted Microcystis at acidic conditions (pH ≤ 6). Neutral and weakly alkaline conditions (pH 7–9) supported the replacement of competition domination from Scenedesmus to Microcystis. The present study revealed that climate warming may accelerate the phytoplankton succession from green algae to cyanobacteria, with the predicted promoted cyanobacteria blooms. Nonetheless, water acidification causes Microcystis to be a weak competitor with green algae, suggesting that the advantageous effect of Microcystis toward green algae at high temperatures was controlled by other variables like the water pH.","author":[{"dropping-particle":"","family":"Yang","given":"Jingwen","non-dropping-particle":"","parse-names":false,"suffix":""},{"dropping-particle":"","family":"Tang","given":"Hengxing","non-dropping-particle":"","parse-names":false,"suffix":""},{"dropping-particle":"","family":"Zhang","given":"Xingxing","non-dropping-particle":"","parse-names":false,"suffix":""},{"dropping-particle":"","family":"Zhu","given":"Xuexia","non-dropping-particle":"","parse-names":false,"suffix":""},{"dropping-particle":"","family":"Huang","given":"Yuan","non-dropping-particle":"","parse-names":false,"suffix":""},{"dropping-particle":"","family":"Yang","given":"Zhou","non-dropping-particle":"","parse-names":false,"suffix":""}],"container-title":"Environmental Science and Pollution Research","id":"ITEM-1","issue":"5","issued":{"date-parts":[["2018"]]},"page":"4794-4802","publisher":"Environmental Science and Pollution Research","title":"High temperature and pH favor Microcystis aeruginosa to outcompete Scenedesmus obliquus","type":"article-journal","volume":"25"},"uris":["http://www.mendeley.com/documents/?uuid=c2b2af47-4a3c-4a90-a0c8-a3f2207bac2a"]}],"mendeley":{"formattedCitation":"(Yang et al., 2018)","plainTextFormattedCitation":"(Yang et al., 2018)","previouslyFormattedCitation":"(Yang et al., 2018)"},"properties":{"noteIndex":0},"schema":"https://github.com/citation-style-language/schema/raw/master/csl-citation.json"}</w:instrText>
      </w:r>
      <w:r w:rsidRPr="007F79DB">
        <w:fldChar w:fldCharType="separate"/>
      </w:r>
      <w:r w:rsidRPr="007F79DB">
        <w:rPr>
          <w:noProof/>
        </w:rPr>
        <w:t>(Yang et al., 2018)</w:t>
      </w:r>
      <w:r w:rsidRPr="007F79DB">
        <w:fldChar w:fldCharType="end"/>
      </w:r>
      <w:r w:rsidRPr="007F79DB">
        <w:t xml:space="preserve">. </w:t>
      </w:r>
      <w:r w:rsidRPr="007F79DB">
        <w:rPr>
          <w:i/>
          <w:iCs/>
        </w:rPr>
        <w:t xml:space="preserve">Microcystis aeruginosa </w:t>
      </w:r>
      <w:r w:rsidRPr="007F79DB">
        <w:t xml:space="preserve">lowers its growth rate starting at 35 degrees Celsius. These studies have also found that inside these massive colonies formed by </w:t>
      </w:r>
      <w:r w:rsidRPr="007F79DB">
        <w:rPr>
          <w:i/>
          <w:iCs/>
        </w:rPr>
        <w:t xml:space="preserve">M. </w:t>
      </w:r>
      <w:r w:rsidRPr="007F79DB">
        <w:t xml:space="preserve">aeruginosa the pH is around 10 </w:t>
      </w:r>
      <w:r w:rsidRPr="007F79DB">
        <w:fldChar w:fldCharType="begin" w:fldLock="1"/>
      </w:r>
      <w:r w:rsidRPr="007F79DB">
        <w:instrText>ADDIN CSL_CITATION {"citationItems":[{"id":"ITEM-1","itemData":{"DOI":"10.1007/s10811-018-1394-5","ISSN":"15735176","abstract":"Cyanobacteria usually appear in colonies on the surface of lakes, but the microenvironment inside colonies is not as easily detected. An accurate analysis of microenvironment properties within the colonies is key to a better understanding of the formation mechanism of cyanobacterial blooms. To understand the influence of irradiance and pH on the characteristics of cyanobacterial colonies from Lake Taihu, dissolved oxygen (DO) and pH microelectrodes were used to investigate physiological responses within these colonies and in the motionless water blooms at different irradiances and initial pH levels. The results showed that DO and pH increase with increasing irradiance, causing a dynamic alkaline environment to form inside these colonies. The maximum pH varies from 9 to 9.5 at all initial pH readings and the highest DO was achieved in the colonies incubated at an initial pH of 9. The maximum net photosynthesis (Pn) and dark respiratory rate (Rdark) were achieved in the colonies incubated at an initial pH of 8 and 6, respectively. The maximum pH differences were lower in colonies incubated at an initial pH of 10 compared with those incubated at a pH of 6 to 9. Photosynthesis of the colonies raised the aqueous pH to about 10.5, which is similar to the value found inside the colonies. In the motionless water bloom layer, the maximum pH varies from 10 to 10.5 at all initial pH levels and both the highest DO and pH values were achieved at an initial pH of 10. Cyanobacterial photosynthesis first created an alkaline microenvironment in the colonies and then increased the aqueous pH. This elevated aqueous pH promotes photosynthesis of the colonies and further increases the aqueous pH until it is higher than 10. Abundant oxygen bubbles attached at the colonies surface provide extra buoyancy for the colonies. An anaerobic environment forms at 3 to 4 cm depth under the bloom surface, aggravating the outbreak of cyanobacterial bloom. All these physiological characters of microenvironment in cyanobacterial colonies and water blooms favor cyanobacteria as the dominant water bloom species in eutrophic water.","author":[{"dropping-particle":"","family":"Fang","given":"Fei","non-dropping-particle":"","parse-names":false,"suffix":""},{"dropping-particle":"","family":"Gao","given":"Yan","non-dropping-particle":"","parse-names":false,"suffix":""},{"dropping-particle":"","family":"Gan","given":"Lin","non-dropping-particle":"","parse-names":false,"suffix":""},{"dropping-particle":"","family":"He","given":"Xiaoyun","non-dropping-particle":"","parse-names":false,"suffix":""},{"dropping-particle":"","family":"Yang","given":"Liuyan","non-dropping-particle":"","parse-names":false,"suffix":""}],"container-title":"Journal of Applied Phycology","id":"ITEM-1","issue":"3","issued":{"date-parts":[["2018"]]},"page":"1777-1793","publisher":"Journal of Applied Phycology","title":"Effects of different initial pH and irradiance levels on cyanobacterial colonies from Lake Taihu, China","type":"article-journal","volume":"30"},"uris":["http://www.mendeley.com/documents/?uuid=451aef46-c7ec-4b5d-b434-7a2d28a4fcb8"]}],"mendeley":{"formattedCitation":"(Fang et al., 2018)","plainTextFormattedCitation":"(Fang et al., 2018)","previouslyFormattedCitation":"(Fang et al., 2018)"},"properties":{"noteIndex":0},"schema":"https://github.com/citation-style-language/schema/raw/master/csl-citation.json"}</w:instrText>
      </w:r>
      <w:r w:rsidRPr="007F79DB">
        <w:fldChar w:fldCharType="separate"/>
      </w:r>
      <w:r w:rsidRPr="007F79DB">
        <w:rPr>
          <w:noProof/>
        </w:rPr>
        <w:t>(Fang et al., 2018)</w:t>
      </w:r>
      <w:r w:rsidRPr="007F79DB">
        <w:fldChar w:fldCharType="end"/>
      </w:r>
      <w:r w:rsidRPr="007F79DB">
        <w:t xml:space="preserve">. At this pH, oxygen bubbles form and will provide extra buoyancy for these large colonies. Under the colonies, anaerobic conditions form killing off other organisms that rely on the oxygen in the water column for survival </w:t>
      </w:r>
      <w:r w:rsidRPr="007F79DB">
        <w:fldChar w:fldCharType="begin" w:fldLock="1"/>
      </w:r>
      <w:r w:rsidRPr="007F79DB">
        <w:instrText>ADDIN CSL_CITATION {"citationItems":[{"id":"ITEM-1","itemData":{"DOI":"10.1007/s10811-018-1394-5","ISSN":"15735176","abstract":"Cyanobacteria usually appear in colonies on the surface of lakes, but the microenvironment inside colonies is not as easily detected. An accurate analysis of microenvironment properties within the colonies is key to a better understanding of the formation mechanism of cyanobacterial blooms. To understand the influence of irradiance and pH on the characteristics of cyanobacterial colonies from Lake Taihu, dissolved oxygen (DO) and pH microelectrodes were used to investigate physiological responses within these colonies and in the motionless water blooms at different irradiances and initial pH levels. The results showed that DO and pH increase with increasing irradiance, causing a dynamic alkaline environment to form inside these colonies. The maximum pH varies from 9 to 9.5 at all initial pH readings and the highest DO was achieved in the colonies incubated at an initial pH of 9. The maximum net photosynthesis (Pn) and dark respiratory rate (Rdark) were achieved in the colonies incubated at an initial pH of 8 and 6, respectively. The maximum pH differences were lower in colonies incubated at an initial pH of 10 compared with those incubated at a pH of 6 to 9. Photosynthesis of the colonies raised the aqueous pH to about 10.5, which is similar to the value found inside the colonies. In the motionless water bloom layer, the maximum pH varies from 10 to 10.5 at all initial pH levels and both the highest DO and pH values were achieved at an initial pH of 10. Cyanobacterial photosynthesis first created an alkaline microenvironment in the colonies and then increased the aqueous pH. This elevated aqueous pH promotes photosynthesis of the colonies and further increases the aqueous pH until it is higher than 10. Abundant oxygen bubbles attached at the colonies surface provide extra buoyancy for the colonies. An anaerobic environment forms at 3 to 4 cm depth under the bloom surface, aggravating the outbreak of cyanobacterial bloom. All these physiological characters of microenvironment in cyanobacterial colonies and water blooms favor cyanobacteria as the dominant water bloom species in eutrophic water.","author":[{"dropping-particle":"","family":"Fang","given":"Fei","non-dropping-particle":"","parse-names":false,"suffix":""},{"dropping-particle":"","family":"Gao","given":"Yan","non-dropping-particle":"","parse-names":false,"suffix":""},{"dropping-particle":"","family":"Gan","given":"Lin","non-dropping-particle":"","parse-names":false,"suffix":""},{"dropping-particle":"","family":"He","given":"Xiaoyun","non-dropping-particle":"","parse-names":false,"suffix":""},{"dropping-particle":"","family":"Yang","given":"Liuyan","non-dropping-particle":"","parse-names":false,"suffix":""}],"container-title":"Journal of Applied Phycology","id":"ITEM-1","issue":"3","issued":{"date-parts":[["2018"]]},"page":"1777-1793","publisher":"Journal of Applied Phycology","title":"Effects of different initial pH and irradiance levels on cyanobacterial colonies from Lake Taihu, China","type":"article-journal","volume":"30"},"uris":["http://www.mendeley.com/documents/?uuid=451aef46-c7ec-4b5d-b434-7a2d28a4fcb8"]}],"mendeley":{"formattedCitation":"(Fang et al., 2018)","plainTextFormattedCitation":"(Fang et al., 2018)","previouslyFormattedCitation":"(Fang et al., 2018)"},"properties":{"noteIndex":0},"schema":"https://github.com/citation-style-language/schema/raw/master/csl-citation.json"}</w:instrText>
      </w:r>
      <w:r w:rsidRPr="007F79DB">
        <w:fldChar w:fldCharType="separate"/>
      </w:r>
      <w:r w:rsidRPr="007F79DB">
        <w:rPr>
          <w:noProof/>
        </w:rPr>
        <w:t>(Fang et al., 2018)</w:t>
      </w:r>
      <w:r w:rsidRPr="007F79DB">
        <w:fldChar w:fldCharType="end"/>
      </w:r>
      <w:r w:rsidRPr="007F79DB">
        <w:t xml:space="preserve">. Taking these factors into consideration, cyanobacterial blooms may grow in frequency and intensity as the globe </w:t>
      </w:r>
      <w:proofErr w:type="gramStart"/>
      <w:r w:rsidRPr="007F79DB">
        <w:t>continues on</w:t>
      </w:r>
      <w:proofErr w:type="gramEnd"/>
      <w:r w:rsidRPr="007F79DB">
        <w:t xml:space="preserve"> its current warming trend and the pH continues to change.</w:t>
      </w:r>
    </w:p>
    <w:p w14:paraId="7DAF0269" w14:textId="7E6E5D7B" w:rsidR="00CE4BD1" w:rsidRDefault="00CE4BD1" w:rsidP="00FA5108">
      <w:pPr>
        <w:pStyle w:val="Heading3"/>
      </w:pPr>
      <w:bookmarkStart w:id="13" w:name="_Toc98704942"/>
      <w:bookmarkStart w:id="14" w:name="_Toc98870945"/>
      <w:r>
        <w:t>Irradiance</w:t>
      </w:r>
      <w:bookmarkEnd w:id="13"/>
      <w:bookmarkEnd w:id="14"/>
    </w:p>
    <w:p w14:paraId="6B053A6E" w14:textId="77777777" w:rsidR="001F1DE3" w:rsidRPr="001F1DE3" w:rsidRDefault="001F1DE3" w:rsidP="001F1DE3"/>
    <w:p w14:paraId="572423A8" w14:textId="6EDD08EB" w:rsidR="0098795C" w:rsidRDefault="0098795C" w:rsidP="0098795C">
      <w:pPr>
        <w:spacing w:line="480" w:lineRule="auto"/>
        <w:ind w:firstLine="720"/>
      </w:pPr>
      <w:r w:rsidRPr="007F79DB">
        <w:t xml:space="preserve">Irradiance changes throughout the year with the different seasons. For example, in the Northern Hemisphere, during the winter months, the irradiance is low, but in the summer months, the irradiance is high. </w:t>
      </w:r>
      <w:r w:rsidRPr="007F79DB">
        <w:rPr>
          <w:i/>
          <w:iCs/>
        </w:rPr>
        <w:t xml:space="preserve">Microcystis aeruginosa </w:t>
      </w:r>
      <w:r w:rsidRPr="007F79DB">
        <w:t xml:space="preserve">bloom during the summer months and have higher growth rates with experimentally </w:t>
      </w:r>
      <w:r w:rsidR="002E54F4">
        <w:t>controlled</w:t>
      </w:r>
      <w:r w:rsidRPr="007F79DB">
        <w:t xml:space="preserve"> irradiance </w:t>
      </w:r>
      <w:r w:rsidRPr="007F79DB">
        <w:fldChar w:fldCharType="begin" w:fldLock="1"/>
      </w:r>
      <w:r w:rsidRPr="007F79DB">
        <w:instrText>ADDIN CSL_CITATION {"citationItems":[{"id":"ITEM-1","itemData":{"DOI":"10.1007/s10811-018-1394-5","ISSN":"15735176","abstract":"Cyanobacteria usually appear in colonies on the surface of lakes, but the microenvironment inside colonies is not as easily detected. An accurate analysis of microenvironment properties within the colonies is key to a better understanding of the formation mechanism of cyanobacterial blooms. To understand the influence of irradiance and pH on the characteristics of cyanobacterial colonies from Lake Taihu, dissolved oxygen (DO) and pH microelectrodes were used to investigate physiological responses within these colonies and in the motionless water blooms at different irradiances and initial pH levels. The results showed that DO and pH increase with increasing irradiance, causing a dynamic alkaline environment to form inside these colonies. The maximum pH varies from 9 to 9.5 at all initial pH readings and the highest DO was achieved in the colonies incubated at an initial pH of 9. The maximum net photosynthesis (Pn) and dark respiratory rate (Rdark) were achieved in the colonies incubated at an initial pH of 8 and 6, respectively. The maximum pH differences were lower in colonies incubated at an initial pH of 10 compared with those incubated at a pH of 6 to 9. Photosynthesis of the colonies raised the aqueous pH to about 10.5, which is similar to the value found inside the colonies. In the motionless water bloom layer, the maximum pH varies from 10 to 10.5 at all initial pH levels and both the highest DO and pH values were achieved at an initial pH of 10. Cyanobacterial photosynthesis first created an alkaline microenvironment in the colonies and then increased the aqueous pH. This elevated aqueous pH promotes photosynthesis of the colonies and further increases the aqueous pH until it is higher than 10. Abundant oxygen bubbles attached at the colonies surface provide extra buoyancy for the colonies. An anaerobic environment forms at 3 to 4 cm depth under the bloom surface, aggravating the outbreak of cyanobacterial bloom. All these physiological characters of microenvironment in cyanobacterial colonies and water blooms favor cyanobacteria as the dominant water bloom species in eutrophic water.","author":[{"dropping-particle":"","family":"Fang","given":"Fei","non-dropping-particle":"","parse-names":false,"suffix":""},{"dropping-particle":"","family":"Gao","given":"Yan","non-dropping-particle":"","parse-names":false,"suffix":""},{"dropping-particle":"","family":"Gan","given":"Lin","non-dropping-particle":"","parse-names":false,"suffix":""},{"dropping-particle":"","family":"He","given":"Xiaoyun","non-dropping-particle":"","parse-names":false,"suffix":""},{"dropping-particle":"","family":"Yang","given":"Liuyan","non-dropping-particle":"","parse-names":false,"suffix":""}],"container-title":"Journal of Applied Phycology","id":"ITEM-1","issue":"3","issued":{"date-parts":[["2018"]]},"page":"1777-1793","publisher":"Journal of Applied Phycology","title":"Effects of different initial pH and irradiance levels on cyanobacterial colonies from Lake Taihu, China","type":"article-journal","volume":"30"},"uris":["http://www.mendeley.com/documents/?uuid=451aef46-c7ec-4b5d-b434-7a2d28a4fcb8"]}],"mendeley":{"formattedCitation":"(Fang et al., 2018)","plainTextFormattedCitation":"(Fang et al., 2018)","previouslyFormattedCitation":"(Fang et al., 2018)"},"properties":{"noteIndex":0},"schema":"https://github.com/citation-style-language/schema/raw/master/csl-citation.json"}</w:instrText>
      </w:r>
      <w:r w:rsidRPr="007F79DB">
        <w:fldChar w:fldCharType="separate"/>
      </w:r>
      <w:r w:rsidRPr="007F79DB">
        <w:rPr>
          <w:noProof/>
        </w:rPr>
        <w:t>(Fang et al., 2018)</w:t>
      </w:r>
      <w:r w:rsidRPr="007F79DB">
        <w:fldChar w:fldCharType="end"/>
      </w:r>
      <w:r w:rsidRPr="007F79DB">
        <w:t xml:space="preserve">. </w:t>
      </w:r>
      <w:r w:rsidRPr="007F79DB">
        <w:rPr>
          <w:i/>
          <w:iCs/>
        </w:rPr>
        <w:t>Microcystis aeruginosa</w:t>
      </w:r>
      <w:r w:rsidRPr="007F79DB">
        <w:t xml:space="preserve"> even have a gas vacuole that allows them to move through the water column to </w:t>
      </w:r>
      <w:r w:rsidRPr="007F79DB">
        <w:lastRenderedPageBreak/>
        <w:t xml:space="preserve">locations of optimal light for maximal growth </w:t>
      </w:r>
      <w:r w:rsidRPr="007F79DB">
        <w:fldChar w:fldCharType="begin" w:fldLock="1"/>
      </w:r>
      <w:r w:rsidRPr="007F79DB">
        <w:instrText>ADDIN CSL_CITATION {"citationItems":[{"id":"ITEM-1","itemData":{"DOI":"10.1051/limn/2019011","ISSN":"2100000X","abstract":"Mixing is an integral environmental factor that affects lake ecosystems. For the cyanobacterium Microcystis, colony size is important with respects to migration velocity, how cells respond to grazing pressure, light attenuation, nutrient uptake and growth. To understand how mixing shapes colony size and the growth of Microcystis, we measured the effects of different current velocities (0, 0.16, 0.32, 0.64, and 1.28 m s1) on M. aeruginosa in Lake Taihu. After 24 h of continuous mixing, the mean colony sizes of M. aeruginosa in the controls, 0.16, 0.32, 0.64, and 1.28 m s1 groups were 23.6, 50.1, 92.9, 67.8, and 37.3 mm, respectively. Colony sizes of M. aeruginosa in all treatment groups were significantly larger than those in controls. As well, the concentration of soluble extracellular polysaccharide and bound extracellular polysaccharides of M. aeruginosa in all treatment groups were significantly higher than those in controls. Except for the highest level of mixing (1.28 m s1), the growth rate of M. aeruginosa was significantly higher than that in controls. This study suggested that mixing intensity over short time periods can significantly influence colony size and the growth of M. aeruginosa.","author":[{"dropping-particle":"","family":"Chunni","given":"Zhong","non-dropping-particle":"","parse-names":false,"suffix":""},{"dropping-particle":"","family":"Guijun","given":"Yang","non-dropping-particle":"","parse-names":false,"suffix":""},{"dropping-particle":"","family":"Boqiang","given":"Qin","non-dropping-particle":"","parse-names":false,"suffix":""},{"dropping-particle":"","family":"Wilhelm","given":"Steven W.","non-dropping-particle":"","parse-names":false,"suffix":""},{"dropping-particle":"","family":"Yu","given":"Liu","non-dropping-particle":"","parse-names":false,"suffix":""},{"dropping-particle":"","family":"Lihua","given":"Han","non-dropping-particle":"","parse-names":false,"suffix":""},{"dropping-particle":"","family":"Zheng","given":"Rui","non-dropping-particle":"","parse-names":false,"suffix":""},{"dropping-particle":"","family":"Hongwei","given":"Yang","non-dropping-particle":"","parse-names":false,"suffix":""},{"dropping-particle":"","family":"Zhou","given":"Zhang","non-dropping-particle":"","parse-names":false,"suffix":""}],"container-title":"Annales de Limnologie","id":"ITEM-1","issued":{"date-parts":[["2019"]]},"title":"Effects of mixing intensity on colony size and growth of Microcystis aeruginosa","type":"article-journal","volume":"55"},"uris":["http://www.mendeley.com/documents/?uuid=bf7394c9-f85b-40d3-93b5-0e11255f2a25"]}],"mendeley":{"formattedCitation":"(Chunni et al., 2019)","plainTextFormattedCitation":"(Chunni et al., 2019)","previouslyFormattedCitation":"(Chunni et al., 2019)"},"properties":{"noteIndex":0},"schema":"https://github.com/citation-style-language/schema/raw/master/csl-citation.json"}</w:instrText>
      </w:r>
      <w:r w:rsidRPr="007F79DB">
        <w:fldChar w:fldCharType="separate"/>
      </w:r>
      <w:r w:rsidRPr="007F79DB">
        <w:rPr>
          <w:noProof/>
        </w:rPr>
        <w:t>(Chunni et al., 2019)</w:t>
      </w:r>
      <w:r w:rsidRPr="007F79DB">
        <w:fldChar w:fldCharType="end"/>
      </w:r>
      <w:r w:rsidRPr="007F79DB">
        <w:t xml:space="preserve">. Studies have shown that under high light conditions, </w:t>
      </w:r>
      <w:r w:rsidRPr="007F79DB">
        <w:rPr>
          <w:i/>
          <w:iCs/>
        </w:rPr>
        <w:t xml:space="preserve">M. aeruginosa </w:t>
      </w:r>
      <w:r w:rsidRPr="007F79DB">
        <w:t xml:space="preserve">increase their gas vacuole size and carbohydrate concentration in the cell </w:t>
      </w:r>
      <w:r w:rsidRPr="007F79DB">
        <w:fldChar w:fldCharType="begin" w:fldLock="1"/>
      </w:r>
      <w:r>
        <w:instrText>ADDIN CSL_CITATION {"citationItems":[{"id":"ITEM-1","itemData":{"DOI":"10.1093/plankt/23.12.1399","ISSN":"01427873","abstract":"Microcystis aeruginosa displays a range of variability in buoyancy in response to light which is dependent upon the previous nutrient or light history of the cell. The short-term buoyancy response to light is nested into a longer term response, over a period of days, as cyanobacteria respond to their nutrient and light climate, which may be manifested in their gas vesicle volume, photosynthetic rate and carbohydrate metabolism. Microcystis aeruginosa cultures were subjected to a range of nitrogen (N), phosphorus (P) or light pre-treatments before exposure to saturating irradiance, and these results are used to illustrate that populations can display a range of buoyancy responses dependent upon subtle changes in nutrient and light conditions. N-limited (0 μM) cells suffered a dilution in gas vesicle volume and increased carbohydrate content, which resulted in a loss of buoyancy. Cells in 10 μM N increased their gas vesicle content during light exposure; however, this was insufficient to maintain buoyancy in the majority of cells as carbohydrate increased. Cells in 100 μM N increased their gas vesicle volume, metabolized carbohydrate more efficiently than the N-limited treatments and retained positive buoyancy. During light exposure, there was minimal change in buoyancy in 0 μM P pre-treated cells, although there was a dilution in gas vesicle volume and an increase in carbohydrate. In 0.5 μM P pre-treated cells, the proportion of individuals floating did not change, although gas vesicle volume and carbohydrate increased. There was a significant increase in gas vesicle volume in 10 μM P pre-treated cells during light exposure, and some buoyancy loss due to carbohydrate accumulation. Cells grown in the range of light intensities tested all increased their gas vesicle volume during the 24 h light treatment. The actual rate of gas vesicle production was equivalent for all three light pre-treatments; however, the growth-dependent dilution rate was determined by the previous light history, which resulted in different relative gas vesicle volume per cell. There was minimal increase in carbohydrate per cell during the light period, yet all treatments displayed the classical buoyancy loss response.","author":[{"dropping-particle":"","family":"Brookes","given":"J. D.","non-dropping-particle":"","parse-names":false,"suffix":""},{"dropping-particle":"","family":"Ganf","given":"G. G.","non-dropping-particle":"","parse-names":false,"suffix":""}],"container-title":"Journal of Plankton Research","id":"ITEM-1","issue":"12","issued":{"date-parts":[["2001"]]},"page":"1399-1411","title":"Variations in the buoyancy response of microcystis aeruginosa to nitrogen, phosphorus and light","type":"article-journal","volume":"23"},"uris":["http://www.mendeley.com/documents/?uuid=396669dc-d2f8-4d72-a57e-4add105c5403"]}],"mendeley":{"formattedCitation":"(Brookes &amp; Ganf, 2001)","plainTextFormattedCitation":"(Brookes &amp; Ganf, 2001)","previouslyFormattedCitation":"(Brookes &amp; Ganf, 2001)"},"properties":{"noteIndex":0},"schema":"https://github.com/citation-style-language/schema/raw/master/csl-citation.json"}</w:instrText>
      </w:r>
      <w:r w:rsidRPr="007F79DB">
        <w:fldChar w:fldCharType="separate"/>
      </w:r>
      <w:r w:rsidRPr="007F79DB">
        <w:rPr>
          <w:noProof/>
        </w:rPr>
        <w:t>(Brookes &amp; Ganf, 2001)</w:t>
      </w:r>
      <w:r w:rsidRPr="007F79DB">
        <w:fldChar w:fldCharType="end"/>
      </w:r>
      <w:r w:rsidRPr="007F79DB">
        <w:t xml:space="preserve">. At high irradiance, </w:t>
      </w:r>
      <w:r w:rsidRPr="007F79DB">
        <w:rPr>
          <w:i/>
          <w:iCs/>
        </w:rPr>
        <w:t>M. aeruginosa</w:t>
      </w:r>
      <w:r w:rsidRPr="007F79DB">
        <w:t xml:space="preserve"> can create these colonies that were mentioned above and block the sunlight from penetrating into the water column. This blocking of sunlight prevents other primary producers from their required irradiance needed for photosynthesis to occur and these other primary producers die off. However, in low light conditions, </w:t>
      </w:r>
      <w:r w:rsidRPr="007F79DB">
        <w:rPr>
          <w:i/>
          <w:iCs/>
        </w:rPr>
        <w:t>M. aeruginosa</w:t>
      </w:r>
      <w:r w:rsidRPr="007F79DB">
        <w:t xml:space="preserve"> does not have a competitive advantage and tend to die off</w:t>
      </w:r>
      <w:r w:rsidR="0001073B">
        <w:t xml:space="preserve"> when in unicellular form rather than colony form</w:t>
      </w:r>
      <w:r w:rsidR="00CE3B35">
        <w:t xml:space="preserve"> </w:t>
      </w:r>
      <w:r w:rsidR="00CE3B35">
        <w:fldChar w:fldCharType="begin" w:fldLock="1"/>
      </w:r>
      <w:r w:rsidR="00DB0B5F">
        <w:instrText>ADDIN CSL_CITATION {"citationItems":[{"id":"ITEM-1","itemData":{"DOI":"10.2216/07-49.1","ISSN":"00318884","abstract":"In order to gain insight into the bloom sustainment of colonial Microcystis aeruginosa Kütz., physiological characterizations were undertaken in this study. Compared with unicellular Microcystis, colonial Microcystis phenotypes exhibited a higher maximum photosynthetic rate (Pm), a higher maximum electron transfer rate (ETRmax), higher phycocyanin content, and a higher affinity for inorganic carbon (K0.5 DIC ≤ 8.4 ± 0.7 μ) during the growth period monitored in this study. This suggests that photosynthetic efficiency is a dominant physiological adaptation found in colonial Microcystis, thus promoting bloom sustainment. In addition, the high content of soluble and total carbohydrates in colonial Microcystis suggests that this phenotype may possess a higher ability to tolerate enhanced stress conditions when compared to unicellular (noncolonial) phenotypes. Therefore, high photosynthetic activities and high tolerance abilities may explain the bloom sustainment of colonial Microcystis in eutrophic lakes.","author":[{"dropping-particle":"","family":"Wu","given":"Zhong Xing","non-dropping-particle":"","parse-names":false,"suffix":""},{"dropping-particle":"","family":"Song","given":"Li Rong","non-dropping-particle":"","parse-names":false,"suffix":""}],"container-title":"Phycologia","id":"ITEM-1","issue":"1","issued":{"date-parts":[["2008"]]},"page":"98-104","title":"Physiological comparison between colonial and unicellular forms of Microcystis aeruginosa Kütz. (Cyanobacteria)","type":"article-journal","volume":"47"},"uris":["http://www.mendeley.com/documents/?uuid=2493b8ed-f65b-4db7-8e0b-0a2c401f5bbe"]},{"id":"ITEM-2","itemData":{"DOI":"10.1111/j.1529-8817.2011.00987.x","ISSN":"00223646","abstract":"Microcystis aeruginosa (Kütz.) Kütz. commonly occurs as single cells at early recruitment but forms large colonies in summer. Colony formation will induce many acclimative changes. In this study, we demonstrated the photochemical changes before and after colony formation. In the laboratory, light curves showed that colonies were more responsive to high light than single cells. The values of the maximal slope of electron transport rate (ETR)-light curve (α), relative maximal electron transport rate (rETRmax), and onset of light saturation (Ik) of colonies were significantly higher than those of single cells (P&lt;0.05), indicating that colonies have higher photosynthetic capability than single cells, especially in high light, where values of rETRmax and Ik of colonies were 2.32 and 2.41 times those of single cells. Moreover, the dark-light experiments showed that colonial cells can more effectively resist darkness damage. In addition, pigments of colonial cells were higher than those of single cells (P&lt;0.05). The higher pigment contents probably contribute to higher photosynthetic capability. In the field, the inhibition rate of Fv/Fm in single cells increased significantly faster than that of colonies as light increased (P&lt;0.05), but nonphotochemical quenching (NPQ) value of colonies was higher (32.4%) than that of single cells at noon, which indicated colonial cells can more effectively resist high-light inhibition than single cells (P&lt;0.05). Polysaccharides of colonies were significantly higher compared to those in unicellular cells (P&lt;0.05) based on their contents and ultrastructural characteristics. This finding implies that colonies could not effectively decrease photoinhibition by negative buoyancy regulation. In fact, NPQ may be an important mechanism for avoiding photodamage. All of these phenomena can help explain the ecological success of colonial M. aeruginosa in eutrophic water. © 2011 Phycological Society of America.","author":[{"dropping-particle":"","family":"Zhang","given":"Min","non-dropping-particle":"","parse-names":false,"suffix":""},{"dropping-particle":"","family":"Shi","given":"Xiaoli","non-dropping-particle":"","parse-names":false,"suffix":""},{"dropping-particle":"","family":"Yu","given":"Yang","non-dropping-particle":"","parse-names":false,"suffix":""},{"dropping-particle":"","family":"Kong","given":"Fanxiang","non-dropping-particle":"","parse-names":false,"suffix":""}],"container-title":"Journal of Phycology","id":"ITEM-2","issue":"3","issued":{"date-parts":[["2011"]]},"page":"524-532","title":"The acclimative changes in photochemistry after colony formation of the cyanobacteria Microcystis aeruginosa","type":"article-journal","volume":"47"},"uris":["http://www.mendeley.com/documents/?uuid=52b990de-a09d-4cd1-9a40-a947fe9295f6"]}],"mendeley":{"formattedCitation":"(Wu &amp; Song, 2008; M. Zhang et al., 2011)","plainTextFormattedCitation":"(Wu &amp; Song, 2008; M. Zhang et al., 2011)","previouslyFormattedCitation":"(Wu &amp; Song, 2008; M. Zhang et al., 2011)"},"properties":{"noteIndex":0},"schema":"https://github.com/citation-style-language/schema/raw/master/csl-citation.json"}</w:instrText>
      </w:r>
      <w:r w:rsidR="00CE3B35">
        <w:fldChar w:fldCharType="separate"/>
      </w:r>
      <w:r w:rsidR="00CE3B35" w:rsidRPr="00CE3B35">
        <w:rPr>
          <w:noProof/>
        </w:rPr>
        <w:t>(Wu &amp; Song, 2008; M. Zhang et al., 2011)</w:t>
      </w:r>
      <w:r w:rsidR="00CE3B35">
        <w:fldChar w:fldCharType="end"/>
      </w:r>
      <w:r w:rsidR="0001073B">
        <w:t xml:space="preserve">. </w:t>
      </w:r>
      <w:r w:rsidRPr="007F79DB">
        <w:t xml:space="preserve">Thus, irradiance can be a limiting resource for these cyanobacterial blooms. Irradiance also </w:t>
      </w:r>
      <w:r w:rsidRPr="009F016D">
        <w:t>affects other properties that affect these cyanobacterial cells</w:t>
      </w:r>
      <w:r w:rsidRPr="007F79DB">
        <w:t xml:space="preserve">, such as elevating the temperature and pH and allowing for higher reactive oxygen species concentrations </w:t>
      </w:r>
      <w:r w:rsidRPr="007F79DB">
        <w:fldChar w:fldCharType="begin" w:fldLock="1"/>
      </w:r>
      <w:r w:rsidRPr="007F79DB">
        <w:instrText>ADDIN CSL_CITATION {"citationItems":[{"id":"ITEM-1","itemData":{"DOI":"10.1007/s10811-018-1394-5","ISSN":"15735176","abstract":"Cyanobacteria usually appear in colonies on the surface of lakes, but the microenvironment inside colonies is not as easily detected. An accurate analysis of microenvironment properties within the colonies is key to a better understanding of the formation mechanism of cyanobacterial blooms. To understand the influence of irradiance and pH on the characteristics of cyanobacterial colonies from Lake Taihu, dissolved oxygen (DO) and pH microelectrodes were used to investigate physiological responses within these colonies and in the motionless water blooms at different irradiances and initial pH levels. The results showed that DO and pH increase with increasing irradiance, causing a dynamic alkaline environment to form inside these colonies. The maximum pH varies from 9 to 9.5 at all initial pH readings and the highest DO was achieved in the colonies incubated at an initial pH of 9. The maximum net photosynthesis (Pn) and dark respiratory rate (Rdark) were achieved in the colonies incubated at an initial pH of 8 and 6, respectively. The maximum pH differences were lower in colonies incubated at an initial pH of 10 compared with those incubated at a pH of 6 to 9. Photosynthesis of the colonies raised the aqueous pH to about 10.5, which is similar to the value found inside the colonies. In the motionless water bloom layer, the maximum pH varies from 10 to 10.5 at all initial pH levels and both the highest DO and pH values were achieved at an initial pH of 10. Cyanobacterial photosynthesis first created an alkaline microenvironment in the colonies and then increased the aqueous pH. This elevated aqueous pH promotes photosynthesis of the colonies and further increases the aqueous pH until it is higher than 10. Abundant oxygen bubbles attached at the colonies surface provide extra buoyancy for the colonies. An anaerobic environment forms at 3 to 4 cm depth under the bloom surface, aggravating the outbreak of cyanobacterial bloom. All these physiological characters of microenvironment in cyanobacterial colonies and water blooms favor cyanobacteria as the dominant water bloom species in eutrophic water.","author":[{"dropping-particle":"","family":"Fang","given":"Fei","non-dropping-particle":"","parse-names":false,"suffix":""},{"dropping-particle":"","family":"Gao","given":"Yan","non-dropping-particle":"","parse-names":false,"suffix":""},{"dropping-particle":"","family":"Gan","given":"Lin","non-dropping-particle":"","parse-names":false,"suffix":""},{"dropping-particle":"","family":"He","given":"Xiaoyun","non-dropping-particle":"","parse-names":false,"suffix":""},{"dropping-particle":"","family":"Yang","given":"Liuyan","non-dropping-particle":"","parse-names":false,"suffix":""}],"container-title":"Journal of Applied Phycology","id":"ITEM-1","issue":"3","issued":{"date-parts":[["2018"]]},"page":"1777-1793","publisher":"Journal of Applied Phycology","title":"Effects of different initial pH and irradiance levels on cyanobacterial colonies from Lake Taihu, China","type":"article-journal","volume":"30"},"uris":["http://www.mendeley.com/documents/?uuid=451aef46-c7ec-4b5d-b434-7a2d28a4fcb8"]},{"id":"ITEM-2","itemData":{"DOI":"10.1088/1755-1315/295/2/012084","ISSN":"17551315","abstract":"In order to optimize H2O2/UV-C treatments on suppressing cyanobacterium, apoptotic-like and necrotic growth suppression were investigated respectively. Results showed that apoptotic-like algal inhibition exhibited a positive correlation with UV-C dose in the study period. Dosing strategy for apoptotic-like inhibition is that an environmentally friendly H2O2 dose should be determined with priority. Then, UV-C dose should be mediated to achieve a specific objective for algal inhibition. For necrotic inhibition, increasing H2O2 dose exhibited weak enhancement in growth inhibition while existence of UV-C irradiation could negatively influence following cell lysis after treatments. Hence, dosing strategy for necrotic inhibition is that a moderate H2O2 dose without UV-C irradiation should be efficient in achieving a specific objective for algal inhibition. For mechanism of death switch, given a specific UV-C dose, corresponding high H2O2 dose could cause a deficiency of ATP and switch from apoptosis-like to necrosis.","author":[{"dropping-particle":"","family":"Zheng","given":"Jie","non-dropping-particle":"","parse-names":false,"suffix":""},{"dropping-particle":"","family":"Zhou","given":"Tingru","non-dropping-particle":"","parse-names":false,"suffix":""},{"dropping-particle":"","family":"Tao","given":"Yi","non-dropping-particle":"","parse-names":false,"suffix":""}],"container-title":"IOP Conference Series: Earth and Environmental Science","id":"ITEM-2","issue":"2","issued":{"date-parts":[["2019"]]},"title":"Optimized inhibition on Microcystis aeruginosa by combined use of UV-C irradiation and hydrogen peroxide","type":"article-journal","volume":"295"},"uris":["http://www.mendeley.com/documents/?uuid=850764bc-d1dd-4fb4-8bbc-4f06b3d91812"]}],"mendeley":{"formattedCitation":"(Fang et al., 2018; Zheng et al., 2019)","plainTextFormattedCitation":"(Fang et al., 2018; Zheng et al., 2019)","previouslyFormattedCitation":"(Fang et al., 2018; Zheng et al., 2019)"},"properties":{"noteIndex":0},"schema":"https://github.com/citation-style-language/schema/raw/master/csl-citation.json"}</w:instrText>
      </w:r>
      <w:r w:rsidRPr="007F79DB">
        <w:fldChar w:fldCharType="separate"/>
      </w:r>
      <w:r w:rsidRPr="007F79DB">
        <w:rPr>
          <w:noProof/>
        </w:rPr>
        <w:t>(Fang et al., 2018; Zheng et al., 2019)</w:t>
      </w:r>
      <w:r w:rsidRPr="007F79DB">
        <w:fldChar w:fldCharType="end"/>
      </w:r>
      <w:r w:rsidRPr="007F79DB">
        <w:t>.</w:t>
      </w:r>
    </w:p>
    <w:p w14:paraId="2078D194" w14:textId="429F8CD1" w:rsidR="0098795C" w:rsidRDefault="0098795C" w:rsidP="00240F72">
      <w:pPr>
        <w:pStyle w:val="Heading2"/>
      </w:pPr>
      <w:bookmarkStart w:id="15" w:name="_Toc98870946"/>
      <w:r>
        <w:t>Competition: Eukaryotic Algae</w:t>
      </w:r>
      <w:bookmarkEnd w:id="15"/>
    </w:p>
    <w:p w14:paraId="7DE9F554" w14:textId="77777777" w:rsidR="001F1DE3" w:rsidRPr="001F1DE3" w:rsidRDefault="001F1DE3" w:rsidP="001F1DE3"/>
    <w:p w14:paraId="560CE3AB" w14:textId="7A91BE2B" w:rsidR="0098795C" w:rsidRPr="00A7167A" w:rsidRDefault="0098795C" w:rsidP="0098795C">
      <w:pPr>
        <w:spacing w:line="480" w:lineRule="auto"/>
        <w:ind w:firstLine="720"/>
      </w:pPr>
      <w:r w:rsidRPr="00A7167A">
        <w:t xml:space="preserve">Competitors to </w:t>
      </w:r>
      <w:r w:rsidRPr="00A7167A">
        <w:rPr>
          <w:i/>
          <w:iCs/>
        </w:rPr>
        <w:t xml:space="preserve">M. aeruginosa </w:t>
      </w:r>
      <w:r w:rsidRPr="00A7167A">
        <w:t xml:space="preserve">include other eukaryotic algae such as diatoms in freshwater ecosystems. Diatoms are unicellular photosynthetic algae present in freshwater and saltwater ecosystems </w:t>
      </w:r>
      <w:r w:rsidRPr="00A7167A">
        <w:fldChar w:fldCharType="begin" w:fldLock="1"/>
      </w:r>
      <w:r w:rsidRPr="00A7167A">
        <w:instrText>ADDIN CSL_CITATION {"citationItems":[{"id":"ITEM-1","itemData":{"author":[{"dropping-particle":"","family":"Medarevic","given":"D.P.","non-dropping-particle":"","parse-names":false,"suffix":""},{"dropping-particle":"","family":"Losic","given":"D.","non-dropping-particle":"","parse-names":false,"suffix":""},{"dropping-particle":"","family":"Ibric","given":"S.R.","non-dropping-particle":"","parse-names":false,"suffix":""}],"container-title":"Hemijska industrija","id":"ITEM-1","issue":"November","issued":{"date-parts":[["2015"]]},"page":"1-7","title":"</w:instrText>
      </w:r>
      <w:r w:rsidRPr="00A7167A">
        <w:rPr>
          <w:rFonts w:eastAsia="MS Gothic"/>
        </w:rPr>
        <w:instrText>程鑫</w:instrText>
      </w:r>
      <w:r w:rsidRPr="00A7167A">
        <w:instrText xml:space="preserve"> 1 </w:instrText>
      </w:r>
      <w:r w:rsidRPr="00A7167A">
        <w:rPr>
          <w:rFonts w:eastAsia="MS Gothic"/>
        </w:rPr>
        <w:instrText>，朱</w:instrText>
      </w:r>
      <w:r w:rsidRPr="00A7167A">
        <w:rPr>
          <w:rFonts w:eastAsia="Microsoft JhengHei"/>
        </w:rPr>
        <w:instrText>泽</w:instrText>
      </w:r>
      <w:r w:rsidRPr="00A7167A">
        <w:rPr>
          <w:rFonts w:eastAsia="MS Gothic"/>
        </w:rPr>
        <w:instrText>磊</w:instrText>
      </w:r>
      <w:r w:rsidRPr="00A7167A">
        <w:instrText xml:space="preserve"> 2 </w:instrText>
      </w:r>
      <w:r w:rsidRPr="00A7167A">
        <w:rPr>
          <w:rFonts w:eastAsia="MS Gothic"/>
        </w:rPr>
        <w:instrText>，</w:instrText>
      </w:r>
      <w:r w:rsidRPr="00A7167A">
        <w:rPr>
          <w:rFonts w:eastAsia="Microsoft JhengHei"/>
        </w:rPr>
        <w:instrText>杨</w:instrText>
      </w:r>
      <w:r w:rsidRPr="00A7167A">
        <w:rPr>
          <w:rFonts w:eastAsia="MS Gothic"/>
        </w:rPr>
        <w:instrText>桂</w:instrText>
      </w:r>
      <w:r w:rsidRPr="00A7167A">
        <w:rPr>
          <w:rFonts w:eastAsia="Microsoft JhengHei"/>
        </w:rPr>
        <w:instrText>钟</w:instrText>
      </w:r>
      <w:r w:rsidRPr="00A7167A">
        <w:instrText xml:space="preserve"> 1 </w:instrText>
      </w:r>
      <w:r w:rsidRPr="00A7167A">
        <w:rPr>
          <w:rFonts w:eastAsia="MS Gothic"/>
        </w:rPr>
        <w:instrText>（</w:instrText>
      </w:r>
      <w:r w:rsidRPr="00A7167A">
        <w:instrText xml:space="preserve"> 1.","type":"article-journal"},"uris":["http://www.mendeley.com/documents/?uuid=8eec628f-3748-41bd-9ed0-64c205f89758"]}],"mendeley":{"formattedCitation":"(Medarevic et al., 2015)","plainTextFormattedCitation":"(Medarevic et al., 2015)","previouslyFormattedCitation":"(Medarevic et al., 2015)"},"properties":{"noteIndex":0},"schema":"https://github.com/citation-style-language/schema/raw/master/csl-citation.json"}</w:instrText>
      </w:r>
      <w:r w:rsidRPr="00A7167A">
        <w:fldChar w:fldCharType="separate"/>
      </w:r>
      <w:r w:rsidRPr="00A7167A">
        <w:rPr>
          <w:noProof/>
        </w:rPr>
        <w:t>(Medarevic et al., 2015)</w:t>
      </w:r>
      <w:r w:rsidRPr="00A7167A">
        <w:fldChar w:fldCharType="end"/>
      </w:r>
      <w:r w:rsidRPr="00A7167A">
        <w:t xml:space="preserve">. The cells are of a variety of different shapes and sizes </w:t>
      </w:r>
      <w:r w:rsidRPr="00A7167A">
        <w:fldChar w:fldCharType="begin" w:fldLock="1"/>
      </w:r>
      <w:r w:rsidRPr="00A7167A">
        <w:instrText>ADDIN CSL_CITATION {"citationItems":[{"id":"ITEM-1","itemData":{"DOI":"10.1007/s12045-015-0256-6","ISSN":"0971-8044","abstract":"Introduction Subarctic and mountain regions are characterized by strong gradients that make their terrestrial and aquatic ecosystems very sensitive to environmental change. The terrestrial Arctic can be delimited by the northern tree line, the 10 °C July isotherm, or the southern extent of discontinuous permafrost which, in the eastern Canadian Arctic for example, currently extends to the southern end of Hudson Bay. In this chapter, we focus on the subarctic region, which, depending on local climates, roughly falls between 50° N and 70° N latitude and includes the transition from boreal forest (taiga) in the south to tundra landscapes in the north, whereas the chapter by Douglas and Smol (this volume) discusses diatom-based studies from the High Arctic. In mountain regions the same steep climatic and environmental gradients are present but over much shorter distances, with the timber line also representing the most prominent ecotone. It is characterized by the transition from closed forest to the most advanced solitary trees (i.e. timber line), to single tree islands (i.e. tree line), and eventually to open, unforested vegetation. This biological boundary can vary in width from tens of meters in mountain regions to many kilometers in the Subarctic. In northern Europe it is formed by deciduous trees such as Betula, Alnus, and Populus, whereas coniferous trees (e.g. Pinus, Picea, Larix, Juniperus) form the tree line in the European Alps, northern North America, and Eurasia.","author":[{"dropping-particle":"","family":"Kale","given":"Aditi","non-dropping-particle":"","parse-names":false,"suffix":""},{"dropping-particle":"","family":"Karthick","given":"Balasubramanian","non-dropping-particle":"","parse-names":false,"suffix":""}],"container-title":"Resonance","id":"ITEM-1","issue":"10","issued":{"date-parts":[["2015"]]},"page":"919-930","title":"The diatoms","type":"article-journal","volume":"20"},"uris":["http://www.mendeley.com/documents/?uuid=fac0907e-03e8-4979-a3ee-f41950c51436"]}],"mendeley":{"formattedCitation":"(Kale &amp; Karthick, 2015)","plainTextFormattedCitation":"(Kale &amp; Karthick, 2015)","previouslyFormattedCitation":"(Kale &amp; Karthick, 2015)"},"properties":{"noteIndex":0},"schema":"https://github.com/citation-style-language/schema/raw/master/csl-citation.json"}</w:instrText>
      </w:r>
      <w:r w:rsidRPr="00A7167A">
        <w:fldChar w:fldCharType="separate"/>
      </w:r>
      <w:r w:rsidRPr="00A7167A">
        <w:rPr>
          <w:noProof/>
        </w:rPr>
        <w:t>(Kale &amp; Karthick, 2015)</w:t>
      </w:r>
      <w:r w:rsidRPr="00A7167A">
        <w:fldChar w:fldCharType="end"/>
      </w:r>
      <w:r w:rsidRPr="00A7167A">
        <w:t xml:space="preserve">. These algae produce silica cell walls known as frustule </w:t>
      </w:r>
      <w:r w:rsidRPr="00A7167A">
        <w:fldChar w:fldCharType="begin" w:fldLock="1"/>
      </w:r>
      <w:r w:rsidRPr="00A7167A">
        <w:instrText>ADDIN CSL_CITATION {"citationItems":[{"id":"ITEM-1","itemData":{"DOI":"10.1007/s12045-015-0256-6","ISSN":"0971-8044","abstract":"Introduction Subarctic and mountain regions are characterized by strong gradients that make their terrestrial and aquatic ecosystems very sensitive to environmental change. The terrestrial Arctic can be delimited by the northern tree line, the 10 °C July isotherm, or the southern extent of discontinuous permafrost which, in the eastern Canadian Arctic for example, currently extends to the southern end of Hudson Bay. In this chapter, we focus on the subarctic region, which, depending on local climates, roughly falls between 50° N and 70° N latitude and includes the transition from boreal forest (taiga) in the south to tundra landscapes in the north, whereas the chapter by Douglas and Smol (this volume) discusses diatom-based studies from the High Arctic. In mountain regions the same steep climatic and environmental gradients are present but over much shorter distances, with the timber line also representing the most prominent ecotone. It is characterized by the transition from closed forest to the most advanced solitary trees (i.e. timber line), to single tree islands (i.e. tree line), and eventually to open, unforested vegetation. This biological boundary can vary in width from tens of meters in mountain regions to many kilometers in the Subarctic. In northern Europe it is formed by deciduous trees such as Betula, Alnus, and Populus, whereas coniferous trees (e.g. Pinus, Picea, Larix, Juniperus) form the tree line in the European Alps, northern North America, and Eurasia.","author":[{"dropping-particle":"","family":"Kale","given":"Aditi","non-dropping-particle":"","parse-names":false,"suffix":""},{"dropping-particle":"","family":"Karthick","given":"Balasubramanian","non-dropping-particle":"","parse-names":false,"suffix":""}],"container-title":"Resonance","id":"ITEM-1","issue":"10","issued":{"date-parts":[["2015"]]},"page":"919-930","title":"The diatoms","type":"article-journal","volume":"20"},"uris":["http://www.mendeley.com/documents/?uuid=fac0907e-03e8-4979-a3ee-f41950c51436"]}],"mendeley":{"formattedCitation":"(Kale &amp; Karthick, 2015)","plainTextFormattedCitation":"(Kale &amp; Karthick, 2015)","previouslyFormattedCitation":"(Kale &amp; Karthick, 2015)"},"properties":{"noteIndex":0},"schema":"https://github.com/citation-style-language/schema/raw/master/csl-citation.json"}</w:instrText>
      </w:r>
      <w:r w:rsidRPr="00A7167A">
        <w:fldChar w:fldCharType="separate"/>
      </w:r>
      <w:r w:rsidRPr="00A7167A">
        <w:rPr>
          <w:noProof/>
        </w:rPr>
        <w:t>(Kale &amp; Karthick, 2015)</w:t>
      </w:r>
      <w:r w:rsidRPr="00A7167A">
        <w:fldChar w:fldCharType="end"/>
      </w:r>
      <w:r w:rsidRPr="00A7167A">
        <w:t xml:space="preserve">. Researchers believe that these frustules </w:t>
      </w:r>
      <w:r w:rsidR="0043727C">
        <w:t>help</w:t>
      </w:r>
      <w:r w:rsidRPr="00A7167A">
        <w:t xml:space="preserve"> defend against predation </w:t>
      </w:r>
      <w:r w:rsidR="0043727C">
        <w:t>and protect the organism against light</w:t>
      </w:r>
      <w:r w:rsidR="002A5C6A">
        <w:t xml:space="preserve"> </w:t>
      </w:r>
      <w:r w:rsidR="002A5C6A">
        <w:fldChar w:fldCharType="begin" w:fldLock="1"/>
      </w:r>
      <w:r w:rsidR="00C926A9">
        <w:instrText>ADDIN CSL_CITATION {"citationItems":[{"id":"ITEM-1","itemData":{"author":[{"dropping-particle":"","family":"Spillane","given":"Tyler","non-dropping-particle":"","parse-names":false,"suffix":""}],"container-title":"WWU Graduate School Collection","id":"ITEM-1","issued":{"date-parts":[["2016"]]},"page":"1-51","title":"Diatom frustules as a mechanical defense against predation by geterotrophic dinoflagellates","type":"article-journal","volume":"465"},"uris":["http://www.mendeley.com/documents/?uuid=1fd1538e-eb30-4658-8561-6f40c011557b"]},{"id":"ITEM-2","itemData":{"DOI":"10.1038/s41598-018-21810-2","ISSN":"20452322","PMID":"29572445","abstract":"The evolutionary causes for generation of nano and microstructured silica by photosynthetic algae are not yet deciphered. Diatoms are single photosynthetic algal cells populating the oceans and waters around the globe. They generate a considerable fraction (20-30%) of all oxygen from photosynthesis, and 45% of total primary production of organic material in the sea. There are more than 100,000 species of diatoms, classified by the shape of the glass cage in which they live, and which they build during algal growth. These glass structures have accumulated for the last 100 million of years, and left rich deposits of nano/microstructured silicon oxide in the form of diatomaceous earth around the globe. Here we show that reflection of ultraviolet light by nanostructured silica can protect the deoxyribonucleic acid (DNA) in the algal cells, and that this may be an evolutionary cause for the formation of glass cages.","author":[{"dropping-particle":"","family":"Aguirre","given":"Luis Ever","non-dropping-particle":"","parse-names":false,"suffix":""},{"dropping-particle":"","family":"Ouyang","given":"Liangqi","non-dropping-particle":"","parse-names":false,"suffix":""},{"dropping-particle":"","family":"Elfwing","given":"Anders","non-dropping-particle":"","parse-names":false,"suffix":""},{"dropping-particle":"","family":"Hedblom","given":"Mikael","non-dropping-particle":"","parse-names":false,"suffix":""},{"dropping-particle":"","family":"Wulff","given":"Angela","non-dropping-particle":"","parse-names":false,"suffix":""},{"dropping-particle":"","family":"Inganäs","given":"Olle","non-dropping-particle":"","parse-names":false,"suffix":""}],"container-title":"Scientific Reports","id":"ITEM-2","issue":"1","issued":{"date-parts":[["2018"]]},"page":"1-6","title":"Diatom frustules protect DNA from ultraviolet light","type":"article-journal","volume":"8"},"uris":["http://www.mendeley.com/documents/?uuid=9f2498a8-87a7-4274-9c52-13d30e4a2042"]}],"mendeley":{"formattedCitation":"(Aguirre et al., 2018; Spillane, 2016)","plainTextFormattedCitation":"(Aguirre et al., 2018; Spillane, 2016)","previouslyFormattedCitation":"(Aguirre et al., 2018; Spillane, 2016)"},"properties":{"noteIndex":0},"schema":"https://github.com/citation-style-language/schema/raw/master/csl-citation.json"}</w:instrText>
      </w:r>
      <w:r w:rsidR="002A5C6A">
        <w:fldChar w:fldCharType="separate"/>
      </w:r>
      <w:r w:rsidR="002A5C6A" w:rsidRPr="002A5C6A">
        <w:rPr>
          <w:noProof/>
        </w:rPr>
        <w:t>(Aguirre et al., 2018; Spillane, 2016)</w:t>
      </w:r>
      <w:r w:rsidR="002A5C6A">
        <w:fldChar w:fldCharType="end"/>
      </w:r>
      <w:r w:rsidR="002A5C6A">
        <w:t xml:space="preserve">. </w:t>
      </w:r>
      <w:r w:rsidRPr="00A7167A">
        <w:t xml:space="preserve">During </w:t>
      </w:r>
      <w:r w:rsidRPr="00A7167A">
        <w:lastRenderedPageBreak/>
        <w:t xml:space="preserve">photosynthesis, these eukaryotic algae produce chlorophyll a and chlorophyll c along with multiple xanthophylls, which can all be measured to estimate the biomass of eukaryotic algae in the community </w:t>
      </w:r>
      <w:r w:rsidRPr="00A7167A">
        <w:fldChar w:fldCharType="begin" w:fldLock="1"/>
      </w:r>
      <w:r w:rsidRPr="00A7167A">
        <w:instrText>ADDIN CSL_CITATION {"citationItems":[{"id":"ITEM-1","itemData":{"DOI":"10.1007/s12045-015-0256-6","ISSN":"0971-8044","abstract":"Introduction Subarctic and mountain regions are characterized by strong gradients that make their terrestrial and aquatic ecosystems very sensitive to environmental change. The terrestrial Arctic can be delimited by the northern tree line, the 10 °C July isotherm, or the southern extent of discontinuous permafrost which, in the eastern Canadian Arctic for example, currently extends to the southern end of Hudson Bay. In this chapter, we focus on the subarctic region, which, depending on local climates, roughly falls between 50° N and 70° N latitude and includes the transition from boreal forest (taiga) in the south to tundra landscapes in the north, whereas the chapter by Douglas and Smol (this volume) discusses diatom-based studies from the High Arctic. In mountain regions the same steep climatic and environmental gradients are present but over much shorter distances, with the timber line also representing the most prominent ecotone. It is characterized by the transition from closed forest to the most advanced solitary trees (i.e. timber line), to single tree islands (i.e. tree line), and eventually to open, unforested vegetation. This biological boundary can vary in width from tens of meters in mountain regions to many kilometers in the Subarctic. In northern Europe it is formed by deciduous trees such as Betula, Alnus, and Populus, whereas coniferous trees (e.g. Pinus, Picea, Larix, Juniperus) form the tree line in the European Alps, northern North America, and Eurasia.","author":[{"dropping-particle":"","family":"Kale","given":"Aditi","non-dropping-particle":"","parse-names":false,"suffix":""},{"dropping-particle":"","family":"Karthick","given":"Balasubramanian","non-dropping-particle":"","parse-names":false,"suffix":""}],"container-title":"Resonance","id":"ITEM-1","issue":"10","issued":{"date-parts":[["2015"]]},"page":"919-930","title":"The diatoms","type":"article-journal","volume":"20"},"uris":["http://www.mendeley.com/documents/?uuid=fac0907e-03e8-4979-a3ee-f41950c51436"]}],"mendeley":{"formattedCitation":"(Kale &amp; Karthick, 2015)","plainTextFormattedCitation":"(Kale &amp; Karthick, 2015)","previouslyFormattedCitation":"(Kale &amp; Karthick, 2015)"},"properties":{"noteIndex":0},"schema":"https://github.com/citation-style-language/schema/raw/master/csl-citation.json"}</w:instrText>
      </w:r>
      <w:r w:rsidRPr="00A7167A">
        <w:fldChar w:fldCharType="separate"/>
      </w:r>
      <w:r w:rsidRPr="00A7167A">
        <w:rPr>
          <w:noProof/>
        </w:rPr>
        <w:t>(Kale &amp; Karthick, 2015)</w:t>
      </w:r>
      <w:r w:rsidRPr="00A7167A">
        <w:fldChar w:fldCharType="end"/>
      </w:r>
      <w:r w:rsidRPr="00A7167A">
        <w:t>. Although diatoms are present for most of the year, diatoms tend to bloom in freshwater ecosystems in the late spring and throughout summer. During this time, diatoms are the dominating primary producer</w:t>
      </w:r>
      <w:r w:rsidR="00C926A9">
        <w:t xml:space="preserve"> </w:t>
      </w:r>
      <w:r w:rsidR="00C926A9">
        <w:fldChar w:fldCharType="begin" w:fldLock="1"/>
      </w:r>
      <w:r w:rsidR="00C926A9">
        <w:instrText>ADDIN CSL_CITATION {"citationItems":[{"id":"ITEM-1","itemData":{"DOI":"10.1111/j.1365-2427.1973.tb00065.x","ISSN":"13652427","abstract":"The seasonal periodicity of four species of planktonic diatoms in a small eutrophic lake in the Shropshire</w:instrText>
      </w:r>
      <w:r w:rsidR="00C926A9">
        <w:rPr>
          <w:rFonts w:ascii="Cambria Math" w:hAnsi="Cambria Math" w:cs="Cambria Math"/>
        </w:rPr>
        <w:instrText>‐</w:instrText>
      </w:r>
      <w:r w:rsidR="00C926A9">
        <w:instrText>Cheshire Plain, England, is examined. Diatoms typically dominate the spring increase; a second period of growth follows in the summer months. The growth phases are considered in relation to environmental factors in the mere. Of these, light levels appear to be critical in determining the onset of growth and the size of the population maxima, whilst stratification and turbulence play a leading role in the vertical distribution of the algae, and hence, of the growth conditions to which they are exposed. The thermocline is believed to provide a reservoir of diatoms in summer, maintaining them in a position where they are able to gain maximum advantage from increased wind</w:instrText>
      </w:r>
      <w:r w:rsidR="00C926A9">
        <w:rPr>
          <w:rFonts w:ascii="Cambria Math" w:hAnsi="Cambria Math" w:cs="Cambria Math"/>
        </w:rPr>
        <w:instrText>‐</w:instrText>
      </w:r>
      <w:r w:rsidR="00C926A9">
        <w:instrText>induced turbulence. Relative specific differences in growth requirements and in behaviour under varying physical conditions are important in determining which species dominate. Dominance may be modified by the effect of attacks by fungal parasites. It is also shown that, generally, nutrients are present in relative abundance, and only rarely does their availability become a limiting factor. Tt is concluded that diatom growth in this lake is typically subject to physical rather than chemical control. Copyright © 1973, Wiley Blackwell. All rights reserved","author":[{"dropping-particle":"","family":"Reynolds","given":"C. S.","non-dropping-particle":"","parse-names":false,"suffix":""}],"container-title":"Freshwater Biology","id":"ITEM-1","issue":"1","issued":{"date-parts":[["1973"]]},"page":"89-110","title":"The seasonal periodicity of planktonic diatoms in a shallow eutrophic lake","type":"article-journal","volume":"3"},"uris":["http://www.mendeley.com/documents/?uuid=0a49c797-de67-4fae-844d-562806eebd12"]}],"mendeley":{"formattedCitation":"(Reynolds, 1973)","plainTextFormattedCitation":"(Reynolds, 1973)","previouslyFormattedCitation":"(Reynolds, 1973)"},"properties":{"noteIndex":0},"schema":"https://github.com/citation-style-language/schema/raw/master/csl-citation.json"}</w:instrText>
      </w:r>
      <w:r w:rsidR="00C926A9">
        <w:fldChar w:fldCharType="separate"/>
      </w:r>
      <w:r w:rsidR="00C926A9" w:rsidRPr="00C926A9">
        <w:rPr>
          <w:noProof/>
        </w:rPr>
        <w:t>(Reynolds, 1973)</w:t>
      </w:r>
      <w:r w:rsidR="00C926A9">
        <w:fldChar w:fldCharType="end"/>
      </w:r>
      <w:r w:rsidR="00C926A9">
        <w:t xml:space="preserve">. </w:t>
      </w:r>
      <w:r w:rsidRPr="00A7167A">
        <w:t xml:space="preserve">Diatoms are also very efficient at acquiring nutrients, while other organisms </w:t>
      </w:r>
      <w:r w:rsidR="00C926A9">
        <w:t xml:space="preserve">such as </w:t>
      </w:r>
      <w:r w:rsidR="00C926A9" w:rsidRPr="00C926A9">
        <w:rPr>
          <w:i/>
          <w:iCs/>
        </w:rPr>
        <w:t>Microcystis</w:t>
      </w:r>
      <w:r w:rsidR="00C926A9">
        <w:t xml:space="preserve"> are better at </w:t>
      </w:r>
      <w:r w:rsidRPr="00A7167A">
        <w:t>defending against predation</w:t>
      </w:r>
      <w:r w:rsidR="00C926A9">
        <w:t xml:space="preserve"> </w:t>
      </w:r>
      <w:r w:rsidR="00C926A9">
        <w:fldChar w:fldCharType="begin" w:fldLock="1"/>
      </w:r>
      <w:r w:rsidR="00D86575">
        <w:instrText>ADDIN CSL_CITATION {"citationItems":[{"id":"ITEM-1","itemData":{"DOI":"10.1007/s10750-020-04370-3","ISBN":"0123456789","ISSN":"15735117","abstract":"Phytoplankton is confronted with a variable assemblage of zooplankton grazers that create a strong selection pressure for traits that reduce mortality. Phytoplankton is, however, also challenged to remain suspended and to acquire sufficient resources for growth. Consequently, phytoplanktic organisms have evolved a variety of strategies to survive in a variable environment. An overview is presented of the various phytoplankton defense strategies, and costs and benefits of phytoplankton defenses with a zooming in on grazer-induced colony formation. The trade-off between phytoplankton competitive abilities and defenses against grazing favor adaptive trait changes—rapid evolution and phenotypic plasticity—that have the potential to influence population and community dynamics, as exemplified by controlled chemostat experiments. An interspecific defense–growth trade-off could explain seasonal shifts in the species composition of an in situ phytoplankton community yielding defense and growth rate as key traits of the phytoplankton. The importance of grazing and protection against grazing in shaping the phytoplankton community structure should not be underestimated. The trade-offs between nutrient acquisition, remaining suspended, and grazing resistance generate the dynamic phytoplankton community composition.","author":[{"dropping-particle":"","family":"Lürling","given":"Miquel","non-dropping-particle":"","parse-names":false,"suffix":""}],"container-title":"Hydrobiologia","id":"ITEM-1","issue":"1","issued":{"date-parts":[["2021"]]},"page":"237-249","title":"Grazing resistance in phytoplankton","type":"article-journal","volume":"848"},"uris":["http://www.mendeley.com/documents/?uuid=a494490e-4589-4d96-8dde-3e18400f105c"]}],"mendeley":{"formattedCitation":"(Lürling, 2021)","plainTextFormattedCitation":"(Lürling, 2021)","previouslyFormattedCitation":"(Lürling, 2021)"},"properties":{"noteIndex":0},"schema":"https://github.com/citation-style-language/schema/raw/master/csl-citation.json"}</w:instrText>
      </w:r>
      <w:r w:rsidR="00C926A9">
        <w:fldChar w:fldCharType="separate"/>
      </w:r>
      <w:r w:rsidR="00C926A9" w:rsidRPr="00C926A9">
        <w:rPr>
          <w:noProof/>
        </w:rPr>
        <w:t>(Lürling, 2021)</w:t>
      </w:r>
      <w:r w:rsidR="00C926A9">
        <w:fldChar w:fldCharType="end"/>
      </w:r>
      <w:r w:rsidRPr="00A7167A">
        <w:t xml:space="preserve">. Understanding how these eukaryotic algae compete with cyanobacteria for resources can be very insightful into how cyanobacterial cells reach such high biomasses allowing them to dominate the community. </w:t>
      </w:r>
    </w:p>
    <w:p w14:paraId="47870D35" w14:textId="13759BB1" w:rsidR="0098795C" w:rsidRDefault="0098795C" w:rsidP="00240F72">
      <w:pPr>
        <w:pStyle w:val="Heading2"/>
      </w:pPr>
      <w:bookmarkStart w:id="16" w:name="_Toc98870947"/>
      <w:r w:rsidRPr="00FF6243">
        <w:t>Predation: Zooplankton</w:t>
      </w:r>
      <w:bookmarkEnd w:id="16"/>
    </w:p>
    <w:p w14:paraId="21E298AA" w14:textId="77777777" w:rsidR="001F1DE3" w:rsidRPr="001F1DE3" w:rsidRDefault="001F1DE3" w:rsidP="001F1DE3"/>
    <w:p w14:paraId="467E89CC" w14:textId="77777777" w:rsidR="007A6AFA" w:rsidRDefault="00FF6243" w:rsidP="0098795C">
      <w:pPr>
        <w:spacing w:line="480" w:lineRule="auto"/>
        <w:ind w:firstLine="720"/>
      </w:pPr>
      <w:r w:rsidRPr="00FF6243">
        <w:t>Zooplankton are</w:t>
      </w:r>
      <w:r w:rsidR="0098795C" w:rsidRPr="00FF6243">
        <w:t xml:space="preserve"> </w:t>
      </w:r>
      <w:proofErr w:type="gramStart"/>
      <w:r w:rsidR="004D24C7" w:rsidRPr="00FF6243">
        <w:t>a</w:t>
      </w:r>
      <w:proofErr w:type="gramEnd"/>
      <w:r w:rsidR="0098795C" w:rsidRPr="00FF6243">
        <w:t xml:space="preserve"> herbivorous species. </w:t>
      </w:r>
      <w:r w:rsidRPr="00FF6243">
        <w:t xml:space="preserve">Zooplankton </w:t>
      </w:r>
      <w:r w:rsidR="0098795C" w:rsidRPr="00FF6243">
        <w:t>have been used to study cyanobacterial blooms because of their presence in lake environments</w:t>
      </w:r>
      <w:r w:rsidRPr="00FF6243">
        <w:t xml:space="preserve"> and their consumption of phytoplankton</w:t>
      </w:r>
      <w:r w:rsidR="0098795C" w:rsidRPr="00FF6243">
        <w:t xml:space="preserve"> </w:t>
      </w:r>
      <w:r w:rsidR="0098795C" w:rsidRPr="00FF6243">
        <w:fldChar w:fldCharType="begin" w:fldLock="1"/>
      </w:r>
      <w:r w:rsidR="0098795C" w:rsidRPr="00FF6243">
        <w:instrText>ADDIN CSL_CITATION {"citationItems":[{"id":"ITEM-1","itemData":{"DOI":"10.1371/journal.pone.0153032","ISSN":"19326203","PMID":"27043823","abstract":"Lake restoration practices based on reducing fish predation and promoting the dominance of large-bodied Daphnia grazers (i.e., biomanipulation) have been the focus of much debate due to inconsistent success in suppressing harmful cyanobacterial blooms. While most studies have explored effects of large-bodied Daphnia on cyanobacterial growth at the community level and/or on few dominant species, predictions of such restoration practices demand further understanding on taxa-specific responses in diverse cyanobacterial communities. In order to address these questions, we conducted three grazing experiments during summer in a eutrophic lake where the natural phytoplankton community was exposed to an increasing gradient in biomass of the large-bodied Daphnia magna. This allowed evaluating taxa-specific responses of cyanobacteria to Daphnia grazing throughout the growing season in a desired biomanipulation scenario with limited fish predation. Total cyanobacterial and phytoplankton biomasses responded negatively to Daphnia grazing both in early and late summer, regardless of different cyanobacterial densities. Large-bodied Daphnia were capable of suppressing the abundance of Aphanizomenon, Dolichospermum, Microcystis and Planktothrix bloom-forming cyanobacteria. However, the growth of the filamentous Dolichospermum crassum was positively affected by grazing during a period when this cyanobacterium dominated the community. The eutrophic lake was subjected to biomanipulation since 2005 and nineteen years of lake monitoring data (1996-2014) revealed that reducing fish predation increased the mean abundance (50%) and body-size (20%) of Daphnia, as well as suppressed the total amount of nutrients and the growth of the dominant cyanobacterial taxa, Microcystis and Planktothrix. Altogether our results suggest that lake restoration practices solely based on grazer control by large-bodied Daphnia can be effective, but may not be sufficient to control the overgrowth of all cyanobacterial diversity. Although controlling harmful cyanobacterial blooms should preferably include other measures, such as nutrient reductions, our experimental assessment of taxa-specific cyanobacterial responses to large-bodied Daphnia and long-term monitoring data highlights the potential of such biomanipulations to enhance the ecological and societal value of eutrophic water bodies.","author":[{"dropping-particle":"","family":"Urrutia-Cordero","given":"Pablo","non-dropping-particle":"","parse-names":false,"suffix":""},{"dropping-particle":"","family":"Ekvall","given":"Mattias K.","non-dropping-particle":"","parse-names":false,"suffix":""},{"dropping-particle":"","family":"Hansson","given":"Lars Anders","non-dropping-particle":"","parse-names":false,"suffix":""}],"container-title":"PLoS ONE","id":"ITEM-1","issue":"4","issued":{"date-parts":[["2016"]]},"page":"1-14","title":"Controlling harmful cyanobacteria: Taxa-specific responses of cyanobacteria to grazing by large-bodied Daphnia in a biomanipulation scenario","type":"article-journal","volume":"11"},"uris":["http://www.mendeley.com/documents/?uuid=e64264be-0b74-41c2-985b-12155953f018"]}],"mendeley":{"formattedCitation":"(Urrutia-Cordero et al., 2016)","plainTextFormattedCitation":"(Urrutia-Cordero et al., 2016)","previouslyFormattedCitation":"(Urrutia-Cordero et al., 2016)"},"properties":{"noteIndex":0},"schema":"https://github.com/citation-style-language/schema/raw/master/csl-citation.json"}</w:instrText>
      </w:r>
      <w:r w:rsidR="0098795C" w:rsidRPr="00FF6243">
        <w:fldChar w:fldCharType="separate"/>
      </w:r>
      <w:r w:rsidR="0098795C" w:rsidRPr="00FF6243">
        <w:rPr>
          <w:noProof/>
        </w:rPr>
        <w:t>(Urrutia-Cordero et al., 2016)</w:t>
      </w:r>
      <w:r w:rsidR="0098795C" w:rsidRPr="00FF6243">
        <w:fldChar w:fldCharType="end"/>
      </w:r>
      <w:r w:rsidR="0098795C" w:rsidRPr="00FF6243">
        <w:t xml:space="preserve">. These zooplankton can be used to investigate their top-down pressure on the phytoplankton groups, including </w:t>
      </w:r>
      <w:r w:rsidR="0098795C" w:rsidRPr="00FF6243">
        <w:rPr>
          <w:i/>
          <w:iCs/>
        </w:rPr>
        <w:t>M. aeruginosa.</w:t>
      </w:r>
      <w:r w:rsidR="0098795C" w:rsidRPr="00FF6243">
        <w:t xml:space="preserve"> However, zooplankton's effectiveness in controlling cyanobacterial blooms has been controversial </w:t>
      </w:r>
      <w:r w:rsidR="0098795C" w:rsidRPr="00FF6243">
        <w:fldChar w:fldCharType="begin" w:fldLock="1"/>
      </w:r>
      <w:r w:rsidR="004F0FDF">
        <w:instrText>ADDIN CSL_CITATION {"citationItems":[{"id":"ITEM-1","itemData":{"DOI":"10.1371/journal.pone.0153032","ISSN":"19326203","PMID":"27043823","abstract":"Lake restoration practices based on reducing fish predation and promoting the dominance of large-bodied Daphnia grazers (i.e., biomanipulation) have been the focus of much debate due to inconsistent success in suppressing harmful cyanobacterial blooms. While most studies have explored effects of large-bodied Daphnia on cyanobacterial growth at the community level and/or on few dominant species, predictions of such restoration practices demand further understanding on taxa-specific responses in diverse cyanobacterial communities. In order to address these questions, we conducted three grazing experiments during summer in a eutrophic lake where the natural phytoplankton community was exposed to an increasing gradient in biomass of the large-bodied Daphnia magna. This allowed evaluating taxa-specific responses of cyanobacteria to Daphnia grazing throughout the growing season in a desired biomanipulation scenario with limited fish predation. Total cyanobacterial and phytoplankton biomasses responded negatively to Daphnia grazing both in early and late summer, regardless of different cyanobacterial densities. Large-bodied Daphnia were capable of suppressing the abundance of Aphanizomenon, Dolichospermum, Microcystis and Planktothrix bloom-forming cyanobacteria. However, the growth of the filamentous Dolichospermum crassum was positively affected by grazing during a period when this cyanobacterium dominated the community. The eutrophic lake was subjected to biomanipulation since 2005 and nineteen years of lake monitoring data (1996-2014) revealed that reducing fish predation increased the mean abundance (50%) and body-size (20%) of Daphnia, as well as suppressed the total amount of nutrients and the growth of the dominant cyanobacterial taxa, Microcystis and Planktothrix. Altogether our results suggest that lake restoration practices solely based on grazer control by large-bodied Daphnia can be effective, but may not be sufficient to control the overgrowth of all cyanobacterial diversity. Although controlling harmful cyanobacterial blooms should preferably include other measures, such as nutrient reductions, our experimental assessment of taxa-specific cyanobacterial responses to large-bodied Daphnia and long-term monitoring data highlights the potential of such biomanipulations to enhance the ecological and societal value of eutrophic water bodies.","author":[{"dropping-particle":"","family":"Urrutia-Cordero","given":"Pablo","non-dropping-particle":"","parse-names":false,"suffix":""},{"dropping-particle":"","family":"Ekvall","given":"Mattias K.","non-dropping-particle":"","parse-names":false,"suffix":""},{"dropping-particle":"","family":"Hansson","given":"Lars Anders","non-dropping-particle":"","parse-names":false,"suffix":""}],"container-title":"PLoS ONE","id":"ITEM-1","issue":"4","issued":{"date-parts":[["2016"]]},"page":"1-14","title":"Controlling harmful cyanobacteria: Taxa-specific responses of cyanobacteria to grazing by large-bodied Daphnia in a biomanipulation scenario","type":"article-journal","volume":"11"},"uris":["http://www.mendeley.com/documents/?uuid=e64264be-0b74-41c2-985b-12155953f018"]},{"id":"ITEM-2","itemData":{"DOI":"10.1007/s100219900051","ISSN":"14329840","abstract":"The aim of this review is to identify problems, find general patterns, and extract recommendations for successful biomanipulation. An important conclusion is that the pelagic food chain from fish to algae may not be the only process affected by a biomanipulation. Instead, this process should be viewed as the \"trigger\" for secondary processes, such as establishment of submerged macrophytes, reduced internal loading of nutrients, and reduced resuspension of particles from the sediment. However, fish reduction also leads to a high recruitment of young-of-the-year (YOY) fish, which feed extensively on zooplankton. This expansion of YOY the first years after fish reduction is probably a major reason for less successful biomanipulations. Recent, large-scale biomanipulations have made it possible to update earlier recommendations regarding when, where, and how biomanipulation should be performed. More applicable recommendations include (1) the reduction in the biomass of planktivorous fish should be 75% or more; (2) the fish reduction should be performed efficiently and rapidly (within 1-3 years); (3) efforts should be made to reduce the number of benthic feeding fish; (4) the recruitment of YOY fish should be reduced; (5) the conditions for establishment of submerged macrophytes should be improved; and (6) the external input of nutrients (phosphorus and nitrogen) should be reduced as much as possible before the biomanipulation. Recent biomanipulations have shown that, correctly performed, the method also achieves results in large, relatively deep and eutrophic lakes, at least in a 5-year perspective. Although repeated measures may be necessary, the general conclusion is that biomanipulation is not only possible, but also a relatively inexpensive and attractive method for management of eutrophic lakes, and in particular as a follow-up measure to reduced nutrient load. © 1998 Springer-Verlag.","author":[{"dropping-particle":"","family":"Hansson","given":"Lars Anders","non-dropping-particle":"","parse-names":false,"suffix":""},{"dropping-particle":"","family":"Annadotter","given":"Helene","non-dropping-particle":"","parse-names":false,"suffix":""},{"dropping-particle":"","family":"Bergman","given":"Eva","non-dropping-particle":"","parse-names":false,"suffix":""},{"dropping-particle":"","family":"Hamrin","given":"Stellan F.","non-dropping-particle":"","parse-names":false,"suffix":""},{"dropping-particle":"","family":"Jeppesen","given":"Erik","non-dropping-particle":"","parse-names":false,"suffix":""},{"dropping-particle":"","family":"Kairesalo","given":"Timo","non-dropping-particle":"","parse-names":false,"suffix":""},{"dropping-particle":"","family":"Luokkanen","given":"Eira","non-dropping-particle":"","parse-names":false,"suffix":""},{"dropping-particle":"","family":"Nilsson","given":"Per Åke","non-dropping-particle":"","parse-names":false,"suffix":""},{"dropping-particle":"","family":"Søndergaard","given":"Martin","non-dropping-particle":"","parse-names":false,"suffix":""},{"dropping-particle":"","family":"Strand","given":"John","non-dropping-particle":"","parse-names":false,"suffix":""}],"container-title":"Ecosystems","id":"ITEM-2","issue":"6","issued":{"date-parts":[["1998"]]},"page":"558-574","title":"Biomanipulation as an application of food-chain theory: Constraints, synthesis, and recommendations for temperate lakes","type":"article-journal","volume":"1"},"uris":["http://www.mendeley.com/documents/?uuid=46e61533-6679-47ab-a1ed-9191e4247b72"]},{"id":"ITEM-3","itemData":{"DOI":"10.1111/fwb.12393","ISSN":"13652427","abstract":"Summary: We review and update recent observations of cyanobacteria-zooplankton interactions, identify theoretical and methodological limitations and evaluate approaches necessary for understanding the effects of increasing cyanobacterial blooms on plankton dynamics. The emphasis on oversimplified studies using large-bodied Daphnia species, not previously exposed to cyanobacteria, has limited our understanding of how the plankton responds to proliferating blooms. This overlooks the great diversity in zooplankton traits, and the adaptability of planktonic grazers, that enables them to deal with toxic prey. Under increasing temperature and nutrient loading, the zooplankton will be subjected to increasingly intense selection pressure to tolerate cyanobacteria. Short zooplankton generation times suggest that increased blooms may select for the rapid evolution of behavioural and physiological traits that improve tolerance. As eutrophication intensifies, should we expect physiologically tolerant zooplankton that may be able to control blooms, or be concerned with the effects of selective grazers in stabilising blooms? We conclude that the increasing frequency, duration and intensity of blooms will select for better adapted zooplankton that coexist with, rather than control, cyanobacteria. Future evaluations of cyanobacteria-zooplankton interactions should consider that increasing exposure to blooms induces phenotypic and genotypic traits improving zooplankton tolerance. Equally important will be studies of the ecophysiology of zooplankton species that coexist with prolonged blooms, rather than those of a few large-bodied generalist cladocerans. Since cyanobacteria produce more than one toxic or inhibitory metabolite, the unsystematic designation of toxicity based on single well-identified compounds (e.g. microcystin) should be revised. Overall, the coevolutionary interaction between cyanobacterial defences and zooplankton grazer responses emerges as a critical but understudied regulator of bloom dynamics. Copyright © 2014 John Wiley &amp; Sons Ltd.","author":[{"dropping-particle":"","family":"Ger","given":"Kemal A.","non-dropping-particle":"","parse-names":false,"suffix":""},{"dropping-particle":"","family":"Hansson","given":"Lars Anders","non-dropping-particle":"","parse-names":false,"suffix":""},{"dropping-particle":"","family":"Lürling","given":"Miquel","non-dropping-particle":"","parse-names":false,"suffix":""}],"container-title":"Freshwater Biology","id":"ITEM-3","issue":"9","issued":{"date-parts":[["2014"]]},"page":"1783-1798","title":"Understanding cyanobacteria-zooplankton interactions in a more eutrophic world","type":"article-journal","volume":"59"},"uris":["http://www.mendeley.com/documents/?uuid=81af1c9c-d2d3-4928-a0d1-0c793552ea30"]}],"mendeley":{"formattedCitation":"(Kemal A. Ger et al., 2014; Hansson et al., 1998; Urrutia-Cordero et al., 2016)","plainTextFormattedCitation":"(Kemal A. Ger et al., 2014; Hansson et al., 1998; Urrutia-Cordero et al., 2016)","previouslyFormattedCitation":"(Kemal A. Ger et al., 2014; Hansson et al., 1998; Urrutia-Cordero et al., 2016)"},"properties":{"noteIndex":0},"schema":"https://github.com/citation-style-language/schema/raw/master/csl-citation.json"}</w:instrText>
      </w:r>
      <w:r w:rsidR="0098795C" w:rsidRPr="00FF6243">
        <w:fldChar w:fldCharType="separate"/>
      </w:r>
      <w:r w:rsidR="00DB0B5F" w:rsidRPr="00DB0B5F">
        <w:rPr>
          <w:noProof/>
        </w:rPr>
        <w:t>(Kemal A. Ger et al., 2014; Hansson et al., 1998; Urrutia-Cordero et al., 2016)</w:t>
      </w:r>
      <w:r w:rsidR="0098795C" w:rsidRPr="00FF6243">
        <w:fldChar w:fldCharType="end"/>
      </w:r>
      <w:r w:rsidR="0098795C" w:rsidRPr="00FF6243">
        <w:t xml:space="preserve">. Although cyanobacteria, including </w:t>
      </w:r>
      <w:r w:rsidR="0098795C" w:rsidRPr="00FF6243">
        <w:rPr>
          <w:i/>
          <w:iCs/>
        </w:rPr>
        <w:t>M. aeruginosa</w:t>
      </w:r>
      <w:r w:rsidR="0098795C" w:rsidRPr="00FF6243">
        <w:t xml:space="preserve">, have been known to limit zooplankton communities' fitness due to their toxin release and low nutritional value </w:t>
      </w:r>
      <w:r w:rsidR="0098795C" w:rsidRPr="00FF6243">
        <w:fldChar w:fldCharType="begin" w:fldLock="1"/>
      </w:r>
      <w:r w:rsidR="0098795C" w:rsidRPr="00FF6243">
        <w:instrText>ADDIN CSL_CITATION {"citationItems":[{"id":"ITEM-1","itemData":{"DOI":"10.1371/journal.pone.0153032","ISSN":"19326203","PMID":"27043823","abstract":"Lake restoration practices based on reducing fish predation and promoting the dominance of large-bodied Daphnia grazers (i.e., biomanipulation) have been the focus of much debate due to inconsistent success in suppressing harmful cyanobacterial blooms. While most studies have explored effects of large-bodied Daphnia on cyanobacterial growth at the community level and/or on few dominant species, predictions of such restoration practices demand further understanding on taxa-specific responses in diverse cyanobacterial communities. In order to address these questions, we conducted three grazing experiments during summer in a eutrophic lake where the natural phytoplankton community was exposed to an increasing gradient in biomass of the large-bodied Daphnia magna. This allowed evaluating taxa-specific responses of cyanobacteria to Daphnia grazing throughout the growing season in a desired biomanipulation scenario with limited fish predation. Total cyanobacterial and phytoplankton biomasses responded negatively to Daphnia grazing both in early and late summer, regardless of different cyanobacterial densities. Large-bodied Daphnia were capable of suppressing the abundance of Aphanizomenon, Dolichospermum, Microcystis and Planktothrix bloom-forming cyanobacteria. However, the growth of the filamentous Dolichospermum crassum was positively affected by grazing during a period when this cyanobacterium dominated the community. The eutrophic lake was subjected to biomanipulation since 2005 and nineteen years of lake monitoring data (1996-2014) revealed that reducing fish predation increased the mean abundance (50%) and body-size (20%) of Daphnia, as well as suppressed the total amount of nutrients and the growth of the dominant cyanobacterial taxa, Microcystis and Planktothrix. Altogether our results suggest that lake restoration practices solely based on grazer control by large-bodied Daphnia can be effective, but may not be sufficient to control the overgrowth of all cyanobacterial diversity. Although controlling harmful cyanobacterial blooms should preferably include other measures, such as nutrient reductions, our experimental assessment of taxa-specific cyanobacterial responses to large-bodied Daphnia and long-term monitoring data highlights the potential of such biomanipulations to enhance the ecological and societal value of eutrophic water bodies.","author":[{"dropping-particle":"","family":"Urrutia-Cordero","given":"Pablo","non-dropping-particle":"","parse-names":false,"suffix":""},{"dropping-particle":"","family":"Ekvall","given":"Mattias K.","non-dropping-particle":"","parse-names":false,"suffix":""},{"dropping-particle":"","family":"Hansson","given":"Lars Anders","non-dropping-particle":"","parse-names":false,"suffix":""}],"container-title":"PLoS ONE","id":"ITEM-1","issue":"4","issued":{"date-parts":[["2016"]]},"page":"1-14","title":"Controlling harmful cyanobacteria: Taxa-specific responses of cyanobacteria to grazing by large-bodied Daphnia in a biomanipulation scenario","type":"article-journal","volume":"11"},"uris":["http://www.mendeley.com/documents/?uuid=e64264be-0b74-41c2-985b-12155953f018"]},{"id":"ITEM-2","itemData":{"DOI":"10.4319/lo.2006.51.4.1915","ISSN":"00243590","abstract":"We synthesized data from 66 published laboratory studies, representing 597 experimental comparisons, examining the effects of cyanobacterial toxicity and morphology on the population growth rate and survivorship of 17 genera (34 species) of freshwater, herbivorous zooplankton. Two meta-analyses were conducted with these data. The primary analysis compared herbivore population growth rates for grazers fed treatment diets containing cyanobacteria versus control diets comprising phytoplankton that are generally considered to be nutritious for zooplankton (chlorophytes and/or flagellates). This analysis confirmed that cyanobacteria were poor foods relative to small chlorophytes and flagellates. More importantly, filamentous cyanobacteria were found to be significantly better foods for grazers than single-celled cyanobacteria over all studies. Surprisingly, the presence or absence of commonly-measured toxic compounds (microcystins in 70% of the cases) in the diet had no overall influence on grazer population growth relative to control diets. A secondary analysis compared survival rates for grazers fed cyanobacteria versus no food. In contrast to the primary analysis, grazer survival was more negatively affected by toxic cyanobacteria than non-toxic cyanobacteria, relative to starvation. However, this difference was attributable to the effects of a single Microcystis strain, PCC7820. Thus, though some cyanobacterial strains appear to be toxic to some strains of zooplankton, the overall role of commonly-assayed cyanobacterial toxins as a determinant of food quality may be less than widely assumed. We suggest that more attention be focused on nutritional deficiencies, morphology, and the toxicity of undescribed cyanobacterial compounds as mediators of the poor food quality of cyanobacteria for zooplankton. © 2006, by the American Society of Limnology and Oceanography, Inc.","author":[{"dropping-particle":"","family":"Wilson","given":"Alan E.","non-dropping-particle":"","parse-names":false,"suffix":""},{"dropping-particle":"","family":"Sarnelle","given":"Orlando","non-dropping-particle":"","parse-names":false,"suffix":""},{"dropping-particle":"","family":"Tillmanns","given":"Angeline R.","non-dropping-particle":"","parse-names":false,"suffix":""}],"container-title":"Limnology and Oceanography","id":"ITEM-2","issue":"4","issued":{"date-parts":[["2006"]]},"page":"1915-1924","title":"Effects of cyanobacterial toxicity and morphology on the population growth of freshwater zooplankton: Meta-analyses of laboratory experiments","type":"article-journal","volume":"51"},"uris":["http://www.mendeley.com/documents/?uuid=8b332908-737f-47ee-8812-8e7972126f09"]}],"mendeley":{"formattedCitation":"(Urrutia-Cordero et al., 2016; Wilson et al., 2006)","plainTextFormattedCitation":"(Urrutia-Cordero et al., 2016; Wilson et al., 2006)","previouslyFormattedCitation":"(Urrutia-Cordero et al., 2016; Wilson et al., 2006)"},"properties":{"noteIndex":0},"schema":"https://github.com/citation-style-language/schema/raw/master/csl-citation.json"}</w:instrText>
      </w:r>
      <w:r w:rsidR="0098795C" w:rsidRPr="00FF6243">
        <w:fldChar w:fldCharType="separate"/>
      </w:r>
      <w:r w:rsidR="0098795C" w:rsidRPr="00FF6243">
        <w:rPr>
          <w:noProof/>
        </w:rPr>
        <w:t>(Urrutia-Cordero et al., 2016; Wilson et al., 2006)</w:t>
      </w:r>
      <w:r w:rsidR="0098795C" w:rsidRPr="00FF6243">
        <w:fldChar w:fldCharType="end"/>
      </w:r>
      <w:r w:rsidR="0098795C" w:rsidRPr="00FF6243">
        <w:t xml:space="preserve">. </w:t>
      </w:r>
    </w:p>
    <w:p w14:paraId="23128E49" w14:textId="740031AC" w:rsidR="0098795C" w:rsidRPr="00FF6243" w:rsidRDefault="0098795C" w:rsidP="0098795C">
      <w:pPr>
        <w:spacing w:line="480" w:lineRule="auto"/>
        <w:ind w:firstLine="720"/>
      </w:pPr>
      <w:r w:rsidRPr="00FF6243">
        <w:rPr>
          <w:i/>
          <w:iCs/>
        </w:rPr>
        <w:lastRenderedPageBreak/>
        <w:t>Microcystis aeruginosa</w:t>
      </w:r>
      <w:r w:rsidRPr="00FF6243">
        <w:t xml:space="preserve"> also forms colonies that make grazing difficult due to the</w:t>
      </w:r>
      <w:r w:rsidRPr="00FF6243">
        <w:rPr>
          <w:color w:val="FF0000"/>
        </w:rPr>
        <w:t xml:space="preserve"> </w:t>
      </w:r>
      <w:r w:rsidRPr="00FF6243">
        <w:t xml:space="preserve">size of the colony in comparison to the size of the zooplankton </w:t>
      </w:r>
      <w:r w:rsidRPr="00FF6243">
        <w:fldChar w:fldCharType="begin" w:fldLock="1"/>
      </w:r>
      <w:r w:rsidRPr="00FF6243">
        <w:instrText>ADDIN CSL_CITATION {"citationItems":[{"id":"ITEM-1","itemData":{"DOI":"10.3390/toxins6123354","ISSN":"20726651","PMID":"25514094","abstract":"Microcystins are secondary metabolites produced by cyanobacteria that act as hepatotoxins in higher organisms. These toxins can be altered through abiotic processes, such as photodegradation and adsorption, as well as through biological processes via metabolism and bacterial degradation. Some species of bacteria can degrade microcystins, and many other organisms metabolize microcystins into a series of conjugated products. There are toxicokinetic models used to examine microcystin uptake and elimination, which can be difficult to compare due to differences in compartmentalization and speciation. Metabolites of microcystins are formed as a detoxification mechanism, and little is known about how quickly these metabolites are formed. In summary, microcystins can undergo abiotic and biotic processes that alter the toxicity and structure of the microcystin molecule. The environmental impact and toxicity of these alterations and the metabolism of microcystins remains uncertain, making it difficult to establish guidelines for human health. Here, we present the current state of knowledge regarding the alterations microcystins can undergo in the environment.","author":[{"dropping-particle":"","family":"Schmidt","given":"Justine R.","non-dropping-particle":"","parse-names":false,"suffix":""},{"dropping-particle":"","family":"Wilhelm","given":"Steven W.","non-dropping-particle":"","parse-names":false,"suffix":""},{"dropping-particle":"","family":"Boyer","given":"Gregory L.","non-dropping-particle":"","parse-names":false,"suffix":""}],"container-title":"Toxins","id":"ITEM-1","issue":"12","issued":{"date-parts":[["2014"]]},"page":"3354-3387","title":"The fate of microcystins in the environment and challenges for monitoring","type":"article-journal","volume":"6"},"uris":["http://www.mendeley.com/documents/?uuid=25a73fe6-0d3f-4555-85e5-7f9f621d9db8"]},{"id":"ITEM-2","itemData":{"DOI":"10.1080/00288330.1987.9516244","ISSN":"11758805","abstract":"Laboratory studies on cyanobacteria</w:instrText>
      </w:r>
      <w:r w:rsidRPr="00FF6243">
        <w:rPr>
          <w:rFonts w:ascii="Cambria Math" w:hAnsi="Cambria Math" w:cs="Cambria Math"/>
        </w:rPr>
        <w:instrText>‐</w:instrText>
      </w:r>
      <w:r w:rsidRPr="00FF6243">
        <w:instrText>zooplankton interactions have largely focused on the inadequacy of cyanobacteria as a food source. Some features of cyanobacteria can be regarded as anti</w:instrText>
      </w:r>
      <w:r w:rsidRPr="00FF6243">
        <w:rPr>
          <w:rFonts w:ascii="Cambria Math" w:hAnsi="Cambria Math" w:cs="Cambria Math"/>
        </w:rPr>
        <w:instrText>‐</w:instrText>
      </w:r>
      <w:r w:rsidRPr="00FF6243">
        <w:instrText>herbivore defences. Large colonies of Aphanizomenon, Anabaena and Microcystis cannot be handled by zooplankton, but do not interfere seriously with the filtering process. Small colonies and filaments, however, may cause severe inhibition of the feeding process by mechanical interference. This reduces zooplankton growth, reproduction, and survival. Copepods, rotifers, and Bosmina are less affected by mechanical disturbance than cladocerans. If ingested, some cyanobacteria may be poorly digested or may not provide essential nutrients. Some cyanobacteria are reported to be toxic to zooplankton. Several strains of Microcystis produce an endotoxin, but the amount of toxin produced differs among strains and with the condition of Microcystis. Zooplankton encountering toxic cells cease feeding. Some evidence of an extra</w:instrText>
      </w:r>
      <w:r w:rsidRPr="00FF6243">
        <w:rPr>
          <w:rFonts w:ascii="Cambria Math" w:hAnsi="Cambria Math" w:cs="Cambria Math"/>
        </w:rPr>
        <w:instrText>‐</w:instrText>
      </w:r>
      <w:r w:rsidRPr="00FF6243">
        <w:instrText>cellular herbivore deterrent was found for Anabaena. Thus, cyanobacteria may either be individually protected or may create an environment that is unfavourable for efficient grazers (e.g., Daphnia). © Crown copyright 1987.","author":[{"dropping-particle":"","family":"Lampert","given":"Winfried","non-dropping-particle":"","parse-names":false,"suffix":""}],"container-title":"New Zealand Journal of Marine and Freshwater Research","id":"ITEM-2","issue":"3","issued":{"date-parts":[["1987"]]},"page":"483-490","title":"Laboratory studies on zooplankton</w:instrText>
      </w:r>
      <w:r w:rsidRPr="00FF6243">
        <w:rPr>
          <w:rFonts w:ascii="Cambria Math" w:hAnsi="Cambria Math" w:cs="Cambria Math"/>
        </w:rPr>
        <w:instrText>‐</w:instrText>
      </w:r>
      <w:r w:rsidRPr="00FF6243">
        <w:instrText>cyanobacteria interactions","type":"article-journal","volume":"21"},"uris":["http://www.mendeley.com/documents/?uuid=613fb84c-0ae1-4c4a-9763-0324f07fca00"]},{"id":"ITEM-3","itemData":{"DOI":"10.1371/journal.pone.0153032","ISSN":"19326203","PMID":"27043823","abstract":"Lake restoration practices based on reducing fish predation and promoting the dominance of large-bodied Daphnia grazers (i.e., biomanipulation) have been the focus of much debate due to inconsistent success in suppressing harmful cyanobacterial blooms. While most studies have explored effects of large-bodied Daphnia on cyanobacterial growth at the community level and/or on few dominant species, predictions of such restoration practices demand further understanding on taxa-specific responses in diverse cyanobacterial communities. In order to address these questions, we conducted three grazing experiments during summer in a eutrophic lake where the natural phytoplankton community was exposed to an increasing gradient in biomass of the large-bodied Daphnia magna. This allowed evaluating taxa-specific responses of cyanobacteria to Daphnia grazing throughout the growing season in a desired biomanipulation scenario with limited fish predation. Total cyanobacterial and phytoplankton biomasses responded negatively to Daphnia grazing both in early and late summer, regardless of different cyanobacterial densities. Large-bodied Daphnia were capable of suppressing the abundance of Aphanizomenon, Dolichospermum, Microcystis and Planktothrix bloom-forming cyanobacteria. However, the growth of the filamentous Dolichospermum crassum was positively affected by grazing during a period when this cyanobacterium dominated the community. The eutrophic lake was subjected to biomanipulation since 2005 and nineteen years of lake monitoring data (1996-2014) revealed that reducing fish predation increased the mean abundance (50%) and body-size (20%) of Daphnia, as well as suppressed the total amount of nutrients and the growth of the dominant cyanobacterial taxa, Microcystis and Planktothrix. Altogether our results suggest that lake restoration practices solely based on grazer control by large-bodied Daphnia can be effective, but may not be sufficient to control the overgrowth of all cyanobacterial diversity. Although controlling harmful cyanobacterial blooms should preferably include other measures, such as nutrient reductions, our experimental assessment of taxa-specific cyanobacterial responses to large-bodied Daphnia and long-term monitoring data highlights the potential of such biomanipulations to enhance the ecological and societal value of eutrophic water bodies.","author":[{"dropping-particle":"","family":"Urrutia-Cordero","given":"Pablo","non-dropping-particle":"","parse-names":false,"suffix":""},{"dropping-particle":"","family":"Ekvall","given":"Mattias K.","non-dropping-particle":"","parse-names":false,"suffix":""},{"dropping-particle":"","family":"Hansson","given":"Lars Anders","non-dropping-particle":"","parse-names":false,"suffix":""}],"container-title":"PLoS ONE","id":"ITEM-3","issue":"4","issued":{"date-parts":[["2016"]]},"page":"1-14","title":"Controlling harmful cyanobacteria: Taxa-specific responses of cyanobacteria to grazing by large-bodied Daphnia in a biomanipulation scenario","type":"article-journal","volume":"11"},"uris":["http://www.mendeley.com/documents/?uuid=e64264be-0b74-41c2-985b-12155953f018"]}],"mendeley":{"formattedCitation":"(Lampert, 1987; Schmidt et al., 2014; Urrutia-Cordero et al., 2016)","plainTextFormattedCitation":"(Lampert, 1987; Schmidt et al., 2014; Urrutia-Cordero et al., 2016)","previouslyFormattedCitation":"(Lampert, 1987; Schmidt et al., 2014; Urrutia-Cordero et al., 2016)"},"properties":{"noteIndex":0},"schema":"https://github.com/citation-style-language/schema/raw/master/csl-citation.json"}</w:instrText>
      </w:r>
      <w:r w:rsidRPr="00FF6243">
        <w:fldChar w:fldCharType="separate"/>
      </w:r>
      <w:r w:rsidRPr="00FF6243">
        <w:rPr>
          <w:noProof/>
        </w:rPr>
        <w:t>(Lampert, 1987; Schmidt et al., 2014; Urrutia-Cordero et al., 2016)</w:t>
      </w:r>
      <w:r w:rsidRPr="00FF6243">
        <w:fldChar w:fldCharType="end"/>
      </w:r>
      <w:r w:rsidRPr="00FF6243">
        <w:t xml:space="preserve">. Colony formation can occur in response to biotic factors such as grazers, heterotrophic bacteria, and polysaccharide production </w:t>
      </w:r>
      <w:r w:rsidRPr="00FF6243">
        <w:fldChar w:fldCharType="begin" w:fldLock="1"/>
      </w:r>
      <w:r w:rsidRPr="00FF6243">
        <w:instrText xml:space="preserve">ADDIN CSL_CITATION {"citationItems":[{"id":"ITEM-1","itemData":{"DOI":"10.1111/brv.12401","ISSN":"1469185X","PMID":"29473286","abstract":"Morphological evolution from a unicellular to multicellular state provides greater opportunities for organisms to attain larger and more complex living forms. As the most common freshwater cyanobacterial genus, Microcystis is a unicellular microorganism, with high phenotypic plasticity, which forms colonies and blooms in lakes and reservoirs worldwide. We conducted a systematic review of field studies from the 1990s to 2017 where Microcystis was dominant. Microcystis was detected as the dominant genus in waterbodies from temperate to subtropical and tropical zones. Unicellular Microcystis spp. can be induced to form colonies by adjusting biotic and abiotic factors in laboratory. Colony formation by cell division has been induced by zooplankton filtrate, high Pb2+ concentration, the presence of another cyanobacterium (Cylindrospermopsis raciborskii), heterotrophic bacteria, and by low temperature and light intensity. Colony formation by cell adhesion can be induced by zooplankton grazing, high Ca2+ concentration, and microcystins. We hypothesise that single cells of all Microcystis morphospecies initially form colonies with a similar morphology to those found in the early spring. These colonies gradually change their morphology to that of M. ichthyoblabe, M. wesenbergii and M. aeruginosa with changing environmental conditions. Colony formation provides Microcystis with many ecological advantages, including adaption to varying light, sustained growth under poor nutrient supply, protection from chemical stressors and protection from grazing. These benefits represent passive tactics responding to environmental stress. Microcystis colonies form at the cost of decreased specific growth rates compared with a unicellular habit. Large colony size allows Microcystis to attain rapid floating velocities (maximum recorded for a single colony, </w:instrText>
      </w:r>
      <w:r w:rsidRPr="00FF6243">
        <w:rPr>
          <w:rFonts w:ascii="Cambria Math" w:hAnsi="Cambria Math" w:cs="Cambria Math"/>
        </w:rPr>
        <w:instrText>∼</w:instrText>
      </w:r>
      <w:r w:rsidRPr="00FF6243">
        <w:instrText xml:space="preserve"> 10.08 m h−1) that enable them to develop and maintain a large biomass near the surface of eutrophic lakes, where they may shade and inhibit the growth of less-buoyant species in deeper layers. Over time, accompanying species may fail to maintain viable populations, allowing Microcystis to dominate. Microcystis blooms can be controlled by artificial mixing. Microcystis colonies and non-buoyant phytoplankton will be exposed to identical light conditions if they are evenly distributed over the water column. In that case, green algae and diatoms, which generally have a higher growth rate than Microcystis, will be more successful.…","author":[{"dropping-particle":"","family":"Xiao","given":"Man","non-dropping-particle":"","parse-names":false,"suffix":""},{"dropping-particle":"","family":"Li","given":"Ming","non-dropping-particle":"","parse-names":false,"suffix":""},{"dropping-particle":"","family":"Reynolds","given":"Colin S.","non-dropping-particle":"","parse-names":false,"suffix":""}],"container-title":"Biological Reviews","id":"ITEM-1","issue":"3","issued":{"date-parts":[["2018"]]},"page":"1399-1420","title":"Colony formation in the cyanobacterium Microcystis","type":"article-journal","volume":"93"},"uris":["http://www.mendeley.com/documents/?uuid=a6b1e141-e89d-458b-9fc5-8138122f01a2"]}],"mendeley":{"formattedCitation":"(Xiao et al., 2018)","plainTextFormattedCitation":"(Xiao et al., 2018)","previouslyFormattedCitation":"(Xiao et al., 2018)"},"properties":{"noteIndex":0},"schema":"https://github.com/citation-style-language/schema/raw/master/csl-citation.json"}</w:instrText>
      </w:r>
      <w:r w:rsidRPr="00FF6243">
        <w:fldChar w:fldCharType="separate"/>
      </w:r>
      <w:r w:rsidRPr="00FF6243">
        <w:rPr>
          <w:noProof/>
        </w:rPr>
        <w:t>(Xiao et al., 2018)</w:t>
      </w:r>
      <w:r w:rsidRPr="00FF6243">
        <w:fldChar w:fldCharType="end"/>
      </w:r>
      <w:r w:rsidRPr="00FF6243">
        <w:t>.</w:t>
      </w:r>
      <w:r w:rsidRPr="00FF6243">
        <w:rPr>
          <w:i/>
          <w:iCs/>
        </w:rPr>
        <w:t xml:space="preserve"> </w:t>
      </w:r>
      <w:r w:rsidRPr="00FF6243">
        <w:t xml:space="preserve">However, the effects of grazing on colony formation vary depending on the type of zooplankton present. Some grazers have </w:t>
      </w:r>
      <w:proofErr w:type="spellStart"/>
      <w:r w:rsidRPr="00FF6243">
        <w:t>infochemicals</w:t>
      </w:r>
      <w:proofErr w:type="spellEnd"/>
      <w:r w:rsidRPr="00FF6243">
        <w:t xml:space="preserve"> that are released into the environment, which are hypothesized to cause colony formation </w:t>
      </w:r>
      <w:r w:rsidRPr="00FF6243">
        <w:fldChar w:fldCharType="begin" w:fldLock="1"/>
      </w:r>
      <w:r w:rsidRPr="00FF6243">
        <w:instrText xml:space="preserve">ADDIN CSL_CITATION {"citationItems":[{"id":"ITEM-1","itemData":{"DOI":"10.1111/brv.12401","ISSN":"1469185X","PMID":"29473286","abstract":"Morphological evolution from a unicellular to multicellular state provides greater opportunities for organisms to attain larger and more complex living forms. As the most common freshwater cyanobacterial genus, Microcystis is a unicellular microorganism, with high phenotypic plasticity, which forms colonies and blooms in lakes and reservoirs worldwide. We conducted a systematic review of field studies from the 1990s to 2017 where Microcystis was dominant. Microcystis was detected as the dominant genus in waterbodies from temperate to subtropical and tropical zones. Unicellular Microcystis spp. can be induced to form colonies by adjusting biotic and abiotic factors in laboratory. Colony formation by cell division has been induced by zooplankton filtrate, high Pb2+ concentration, the presence of another cyanobacterium (Cylindrospermopsis raciborskii), heterotrophic bacteria, and by low temperature and light intensity. Colony formation by cell adhesion can be induced by zooplankton grazing, high Ca2+ concentration, and microcystins. We hypothesise that single cells of all Microcystis morphospecies initially form colonies with a similar morphology to those found in the early spring. These colonies gradually change their morphology to that of M. ichthyoblabe, M. wesenbergii and M. aeruginosa with changing environmental conditions. Colony formation provides Microcystis with many ecological advantages, including adaption to varying light, sustained growth under poor nutrient supply, protection from chemical stressors and protection from grazing. These benefits represent passive tactics responding to environmental stress. Microcystis colonies form at the cost of decreased specific growth rates compared with a unicellular habit. Large colony size allows Microcystis to attain rapid floating velocities (maximum recorded for a single colony, </w:instrText>
      </w:r>
      <w:r w:rsidRPr="00FF6243">
        <w:rPr>
          <w:rFonts w:ascii="Cambria Math" w:hAnsi="Cambria Math" w:cs="Cambria Math"/>
        </w:rPr>
        <w:instrText>∼</w:instrText>
      </w:r>
      <w:r w:rsidRPr="00FF6243">
        <w:instrText xml:space="preserve"> 10.08 m h−1) that enable them to develop and maintain a large biomass near the surface of eutrophic lakes, where they may shade and inhibit the growth of less-buoyant species in deeper layers. Over time, accompanying species may fail to maintain viable populations, allowing Microcystis to dominate. Microcystis blooms can be controlled by artificial mixing. Microcystis colonies and non-buoyant phytoplankton will be exposed to identical light conditions if they are evenly distributed over the water column. In that case, green algae and diatoms, which generally have a higher growth rate than Microcystis, will be more successful.…","author":[{"dropping-particle":"","family":"Xiao","given":"Man","non-dropping-particle":"","parse-names":false,"suffix":""},{"dropping-particle":"","family":"Li","given":"Ming","non-dropping-particle":"","parse-names":false,"suffix":""},{"dropping-particle":"","family":"Reynolds","given":"Colin S.","non-dropping-particle":"","parse-names":false,"suffix":""}],"container-title":"Biological Reviews","id":"ITEM-1","issue":"3","issued":{"date-parts":[["2018"]]},"page":"1399-1420","title":"Colony formation in the cyanobacterium Microcystis","type":"article-journal","volume":"93"},"uris":["http://www.mendeley.com/documents/?uuid=a6b1e141-e89d-458b-9fc5-8138122f01a2"]}],"mendeley":{"formattedCitation":"(Xiao et al., 2018)","plainTextFormattedCitation":"(Xiao et al., 2018)","previouslyFormattedCitation":"(Xiao et al., 2018)"},"properties":{"noteIndex":0},"schema":"https://github.com/citation-style-language/schema/raw/master/csl-citation.json"}</w:instrText>
      </w:r>
      <w:r w:rsidRPr="00FF6243">
        <w:fldChar w:fldCharType="separate"/>
      </w:r>
      <w:r w:rsidRPr="00FF6243">
        <w:rPr>
          <w:noProof/>
        </w:rPr>
        <w:t>(Xiao et al., 2018)</w:t>
      </w:r>
      <w:r w:rsidRPr="00FF6243">
        <w:fldChar w:fldCharType="end"/>
      </w:r>
      <w:r w:rsidRPr="00FF6243">
        <w:t xml:space="preserve">. </w:t>
      </w:r>
      <w:r w:rsidR="00FF6243" w:rsidRPr="00FF6243">
        <w:t>M</w:t>
      </w:r>
      <w:r w:rsidRPr="00FF6243">
        <w:t xml:space="preserve">icrocystin-LR has been hypothesized to cause colony formation, and </w:t>
      </w:r>
      <w:r w:rsidRPr="00FF6243">
        <w:rPr>
          <w:i/>
          <w:iCs/>
        </w:rPr>
        <w:t xml:space="preserve">M. aeruginosa </w:t>
      </w:r>
      <w:r w:rsidRPr="00FF6243">
        <w:t xml:space="preserve">is known to release this microcystin in the presence of </w:t>
      </w:r>
      <w:r w:rsidR="00FF6243" w:rsidRPr="00FF6243">
        <w:t xml:space="preserve">some zooplankton species </w:t>
      </w:r>
      <w:r w:rsidRPr="00FF6243">
        <w:rPr>
          <w:i/>
          <w:iCs/>
        </w:rPr>
        <w:fldChar w:fldCharType="begin" w:fldLock="1"/>
      </w:r>
      <w:r w:rsidRPr="00FF6243">
        <w:rPr>
          <w:i/>
          <w:iCs/>
        </w:rPr>
        <w:instrText xml:space="preserve">ADDIN CSL_CITATION {"citationItems":[{"id":"ITEM-1","itemData":{"DOI":"10.1111/brv.12401","ISSN":"1469185X","PMID":"29473286","abstract":"Morphological evolution from a unicellular to multicellular state provides greater opportunities for organisms to attain larger and more complex living forms. As the most common freshwater cyanobacterial genus, Microcystis is a unicellular microorganism, with high phenotypic plasticity, which forms colonies and blooms in lakes and reservoirs worldwide. We conducted a systematic review of field studies from the 1990s to 2017 where Microcystis was dominant. Microcystis was detected as the dominant genus in waterbodies from temperate to subtropical and tropical zones. Unicellular Microcystis spp. can be induced to form colonies by adjusting biotic and abiotic factors in laboratory. Colony formation by cell division has been induced by zooplankton filtrate, high Pb2+ concentration, the presence of another cyanobacterium (Cylindrospermopsis raciborskii), heterotrophic bacteria, and by low temperature and light intensity. Colony formation by cell adhesion can be induced by zooplankton grazing, high Ca2+ concentration, and microcystins. We hypothesise that single cells of all Microcystis morphospecies initially form colonies with a similar morphology to those found in the early spring. These colonies gradually change their morphology to that of M. ichthyoblabe, M. wesenbergii and M. aeruginosa with changing environmental conditions. Colony formation provides Microcystis with many ecological advantages, including adaption to varying light, sustained growth under poor nutrient supply, protection from chemical stressors and protection from grazing. These benefits represent passive tactics responding to environmental stress. Microcystis colonies form at the cost of decreased specific growth rates compared with a unicellular habit. Large colony size allows Microcystis to attain rapid floating velocities (maximum recorded for a single colony, </w:instrText>
      </w:r>
      <w:r w:rsidRPr="00FF6243">
        <w:rPr>
          <w:rFonts w:ascii="Cambria Math" w:hAnsi="Cambria Math" w:cs="Cambria Math"/>
          <w:i/>
          <w:iCs/>
        </w:rPr>
        <w:instrText>∼</w:instrText>
      </w:r>
      <w:r w:rsidRPr="00FF6243">
        <w:rPr>
          <w:i/>
          <w:iCs/>
        </w:rPr>
        <w:instrText xml:space="preserve"> 10.08 m h−1) that enable them to develop and maintain a large biomass near the surface of eutrophic lakes, where they may shade and inhibit the growth of less-buoyant species in deeper layers. Over time, accompanying species may fail to maintain viable populations, allowing Microcystis to dominate. Microcystis blooms can be controlled by artificial mixing. Microcystis colonies and non-buoyant phytoplankton will be exposed to identical light conditions if they are evenly distributed over the water column. In that case, green algae and diatoms, which generally have a higher growth rate than Microcystis, will be more successful.…","author":[{"dropping-particle":"","family":"Xiao","given":"Man","non-dropping-particle":"","parse-names":false,"suffix":""},{"dropping-particle":"","family":"Li","given":"Ming","non-dropping-particle":"","parse-names":false,"suffix":""},{"dropping-particle":"","family":"Reynolds","given":"Colin S.","non-dropping-particle":"","parse-names":false,"suffix":""}],"container-title":"Biological Reviews","id":"ITEM-1","issue":"3","issued":{"date-parts":[["2018"]]},"page":"1399-1420","title":"Colony formation in the cyanobacterium Microcystis","type":"article-journal","volume":"93"},"uris":["http://www.mendeley.com/documents/?uuid=a6b1e141-e89d-458b-9fc5-8138122f01a2"]},{"id":"ITEM-2","itemData":{"DOI":"10.1111/j.1365-2427.2012.02866.x","ISSN":"00465070","abstract":"1.The hypothesis that cyanobacteria have higher optimum growth temperatures and higher growth rates at the optimum as compared to chlorophytes was tested by running a controlled experiment with eight cyanobacteria species and eight chlorophyte species at six different temperatures (20-35°C) and by performing a literature survey. 2.In the experiment, all organisms except the chlorophyte Monoraphidium minutum grew well up to 35°C. The chlorophyte Chlamydomonas reinhardtii was the fastest-growing organism over the entire temperature range (20-35°C). 3.Mean optimum growth temperatures were similar for cyanobacteria (29.2°C) and chlorophytes (29.2°C). These results are concordant with published data, yielding slightly higher mean optimum growth temperatures for cyanobacteria (27.2°C) than for chlorophytes (26.3°C). 4.Mean growth rates of cyanobacteria at 20°C (0.42day-1) were significantly lower than those of chlorophytes at 20°C (0.62day-1). However, at all other temperatures, there were no differences between mean growth rates of cyanobacteria and chlorophytes. 5.Mean growth rates at the optimum temperature were similar for cyanobacteria (0.92day-1) and chlorophytes (0.96day-1). However, analysis of published data revealed that growth rates of cyanobacteria (0.65day-1) were significantly lower than those of chlorophytes (0.93day-1) at their optimum temperatures. 6.Although climate warming will probably lead to an intensification of cyanobacterial blooms, our results indicate that this might not be as a result of higher growth rates of cyanobacteria compared with their chlorophyte competitors. The competitive advantage of cyanobacteria can more likely be attributed to their ability to migrate vertically and prevent sedimentation in warmer and more strongly stratified waters and to their resistance to grazing, especially when warming reduces zooplankton body size. © 2012 Blackwell Publishing Ltd.","author":[{"dropping-particle":"","family":"Lürling","given":"Miquel","non-dropping-particle":"","parse-names":false,"suffix":""},{"dropping-particle":"","family":"Eshetu","given":"Fassil","non-dropping-particle":"","parse-names":false,"suffix":""},{"dropping-particle":"","family":"Faassen","given":"Elisabeth J.","non-dropping-particle":"","parse-names":false,"suffix":""},{"dropping-particle":"","family":"Kosten","given":"Sarian","non-dropping-particle":"","parse-names":false,"suffix":""},{"dropping-particle":"","family":"Huszar","given":"Vera L.M.","non-dropping-particle":"","parse-names":false,"suffix":""}],"container-title":"Freshwater Biology","id":"ITEM-2","issue":"3","issued":{"date-parts":[["2013"]]},"page":"552-559","title":"Comparison of cyanobacterial and green algal growth rates at different temperatures","type":"article-journal","volume":"58"},"uris":["http://www.mendeley.com/documents/?uuid=47b523eb-691a-4276-89cd-b6db047c4815"]}],"mendeley":{"formattedCitation":"(Lürling et al., 2013; Xiao et al., 2018)","plainTextFormattedCitation":"(Lürling et al., 2013; Xiao et al., 2018)","previouslyFormattedCitation":"(Lürling et al., 2013; Xiao et al., 2018)"},"properties":{"noteIndex":0},"schema":"https://github.com/citation-style-language/schema/raw/master/csl-citation.json"}</w:instrText>
      </w:r>
      <w:r w:rsidRPr="00FF6243">
        <w:rPr>
          <w:i/>
          <w:iCs/>
        </w:rPr>
        <w:fldChar w:fldCharType="separate"/>
      </w:r>
      <w:r w:rsidRPr="00FF6243">
        <w:rPr>
          <w:iCs/>
          <w:noProof/>
        </w:rPr>
        <w:t>(Lürling et al., 2013; Xiao et al., 2018)</w:t>
      </w:r>
      <w:r w:rsidRPr="00FF6243">
        <w:rPr>
          <w:i/>
          <w:iCs/>
        </w:rPr>
        <w:fldChar w:fldCharType="end"/>
      </w:r>
      <w:r w:rsidRPr="00FF6243">
        <w:t xml:space="preserve">. </w:t>
      </w:r>
      <w:r w:rsidR="001F1DE3">
        <w:t>Previous studies</w:t>
      </w:r>
      <w:r w:rsidRPr="00FF6243">
        <w:t xml:space="preserve"> aim to determine if the mechanical act of grazing on </w:t>
      </w:r>
      <w:r w:rsidRPr="00FF6243">
        <w:rPr>
          <w:i/>
          <w:iCs/>
        </w:rPr>
        <w:t xml:space="preserve">M. aeruginosa </w:t>
      </w:r>
      <w:r w:rsidRPr="00FF6243">
        <w:t xml:space="preserve">releases enough microcystin, via sloppy feeding, into the environment for colony formation to protect against further predation </w:t>
      </w:r>
      <w:r w:rsidRPr="00FF6243">
        <w:fldChar w:fldCharType="begin" w:fldLock="1"/>
      </w:r>
      <w:r w:rsidRPr="00FF6243">
        <w:instrText xml:space="preserve">ADDIN CSL_CITATION {"citationItems":[{"id":"ITEM-1","itemData":{"DOI":"10.1111/brv.12401","ISSN":"1469185X","PMID":"29473286","abstract":"Morphological evolution from a unicellular to multicellular state provides greater opportunities for organisms to attain larger and more complex living forms. As the most common freshwater cyanobacterial genus, Microcystis is a unicellular microorganism, with high phenotypic plasticity, which forms colonies and blooms in lakes and reservoirs worldwide. We conducted a systematic review of field studies from the 1990s to 2017 where Microcystis was dominant. Microcystis was detected as the dominant genus in waterbodies from temperate to subtropical and tropical zones. Unicellular Microcystis spp. can be induced to form colonies by adjusting biotic and abiotic factors in laboratory. Colony formation by cell division has been induced by zooplankton filtrate, high Pb2+ concentration, the presence of another cyanobacterium (Cylindrospermopsis raciborskii), heterotrophic bacteria, and by low temperature and light intensity. Colony formation by cell adhesion can be induced by zooplankton grazing, high Ca2+ concentration, and microcystins. We hypothesise that single cells of all Microcystis morphospecies initially form colonies with a similar morphology to those found in the early spring. These colonies gradually change their morphology to that of M. ichthyoblabe, M. wesenbergii and M. aeruginosa with changing environmental conditions. Colony formation provides Microcystis with many ecological advantages, including adaption to varying light, sustained growth under poor nutrient supply, protection from chemical stressors and protection from grazing. These benefits represent passive tactics responding to environmental stress. Microcystis colonies form at the cost of decreased specific growth rates compared with a unicellular habit. Large colony size allows Microcystis to attain rapid floating velocities (maximum recorded for a single colony, </w:instrText>
      </w:r>
      <w:r w:rsidRPr="00FF6243">
        <w:rPr>
          <w:rFonts w:ascii="Cambria Math" w:hAnsi="Cambria Math" w:cs="Cambria Math"/>
        </w:rPr>
        <w:instrText>∼</w:instrText>
      </w:r>
      <w:r w:rsidRPr="00FF6243">
        <w:instrText xml:space="preserve"> 10.08 m h−1) that enable them to develop and maintain a large biomass near the surface of eutrophic lakes, where they may shade and inhibit the growth of less-buoyant species in deeper layers. Over time, accompanying species may fail to maintain viable populations, allowing Microcystis to dominate. Microcystis blooms can be controlled by artificial mixing. Microcystis colonies and non-buoyant phytoplankton will be exposed to identical light conditions if they are evenly distributed over the water column. In that case, green algae and diatoms, which generally have a higher growth rate than Microcystis, will be more successful.…","author":[{"dropping-particle":"","family":"Xiao","given":"Man","non-dropping-particle":"","parse-names":false,"suffix":""},{"dropping-particle":"","family":"Li","given":"Ming","non-dropping-particle":"","parse-names":false,"suffix":""},{"dropping-particle":"","family":"Reynolds","given":"Colin S.","non-dropping-particle":"","parse-names":false,"suffix":""}],"container-title":"Biological Reviews","id":"ITEM-1","issue":"3","issued":{"date-parts":[["2018"]]},"page":"1399-1420","title":"Colony formation in the cyanobacterium Microcystis","type":"article-journal","volume":"93"},"uris":["http://www.mendeley.com/documents/?uuid=a6b1e141-e89d-458b-9fc5-8138122f01a2"]}],"mendeley":{"formattedCitation":"(Xiao et al., 2018)","plainTextFormattedCitation":"(Xiao et al., 2018)","previouslyFormattedCitation":"(Xiao et al., 2018)"},"properties":{"noteIndex":0},"schema":"https://github.com/citation-style-language/schema/raw/master/csl-citation.json"}</w:instrText>
      </w:r>
      <w:r w:rsidRPr="00FF6243">
        <w:fldChar w:fldCharType="separate"/>
      </w:r>
      <w:r w:rsidRPr="00FF6243">
        <w:rPr>
          <w:noProof/>
        </w:rPr>
        <w:t>(Xiao et al., 2018)</w:t>
      </w:r>
      <w:r w:rsidRPr="00FF6243">
        <w:fldChar w:fldCharType="end"/>
      </w:r>
      <w:r w:rsidRPr="00FF6243">
        <w:t>.</w:t>
      </w:r>
      <w:r w:rsidR="00FF6243">
        <w:t xml:space="preserve"> We plan to investigate the role </w:t>
      </w:r>
      <w:r w:rsidR="001F1DE3">
        <w:t xml:space="preserve">that </w:t>
      </w:r>
      <w:r w:rsidR="001F1DE3" w:rsidRPr="001F1DE3">
        <w:rPr>
          <w:i/>
          <w:iCs/>
        </w:rPr>
        <w:t xml:space="preserve">M. aeruginosa’s </w:t>
      </w:r>
      <w:r w:rsidR="001F1DE3">
        <w:t>inherent ability to resist zooplankton predation may cause their domination over other phytoplankton groups during late summer months in lake ecosystems.</w:t>
      </w:r>
    </w:p>
    <w:p w14:paraId="6B7B90B1" w14:textId="0D07708D" w:rsidR="00A7167A" w:rsidRDefault="00A7167A" w:rsidP="00240F72">
      <w:pPr>
        <w:pStyle w:val="Heading2"/>
      </w:pPr>
      <w:bookmarkStart w:id="17" w:name="_Toc98870948"/>
      <w:r>
        <w:t>Modeling of Lake Ecosystems</w:t>
      </w:r>
      <w:bookmarkEnd w:id="17"/>
    </w:p>
    <w:p w14:paraId="71758CF0" w14:textId="77777777" w:rsidR="001F1DE3" w:rsidRPr="001F1DE3" w:rsidRDefault="001F1DE3" w:rsidP="001F1DE3"/>
    <w:p w14:paraId="2B84D5AC" w14:textId="3EC7F493" w:rsidR="000F0486" w:rsidRDefault="000F0486" w:rsidP="004D1B93">
      <w:pPr>
        <w:spacing w:line="480" w:lineRule="auto"/>
        <w:ind w:firstLine="720"/>
        <w:rPr>
          <w:rFonts w:cstheme="minorHAnsi"/>
        </w:rPr>
      </w:pPr>
      <w:r>
        <w:rPr>
          <w:rFonts w:cstheme="minorHAnsi"/>
        </w:rPr>
        <w:t xml:space="preserve">Experiments can be completed using three approaches: laboratory, field work, and modeling. Laboratory experiments are great for having a high degree of control over factors and easy manipulation of specific variables in the experiment. However, laboratory experiments lack the real-world environmental settings and variability seen in the field experiments. Unfortunately, field </w:t>
      </w:r>
      <w:r>
        <w:rPr>
          <w:rFonts w:cstheme="minorHAnsi"/>
        </w:rPr>
        <w:lastRenderedPageBreak/>
        <w:t xml:space="preserve">experiments are hard to manipulate variables due to the scale of the </w:t>
      </w:r>
      <w:r w:rsidR="00F22D43">
        <w:rPr>
          <w:rFonts w:cstheme="minorHAnsi"/>
        </w:rPr>
        <w:t xml:space="preserve">system. </w:t>
      </w:r>
      <w:r>
        <w:rPr>
          <w:rFonts w:cstheme="minorHAnsi"/>
        </w:rPr>
        <w:t xml:space="preserve">We believe that modeling can be used to supplement the </w:t>
      </w:r>
      <w:r w:rsidR="00F22D43">
        <w:rPr>
          <w:rFonts w:cstheme="minorHAnsi"/>
        </w:rPr>
        <w:t>limitations</w:t>
      </w:r>
      <w:r>
        <w:rPr>
          <w:rFonts w:cstheme="minorHAnsi"/>
        </w:rPr>
        <w:t xml:space="preserve"> in both laboratory and field experiments. Modeling can easily manipulate variables on large scales and can use parameters and data from the laboratory and field experiments to help guide the model development.</w:t>
      </w:r>
      <w:r w:rsidR="00F22D43">
        <w:rPr>
          <w:rFonts w:cstheme="minorHAnsi"/>
        </w:rPr>
        <w:t xml:space="preserve"> </w:t>
      </w:r>
    </w:p>
    <w:p w14:paraId="581AC51A" w14:textId="066E4710" w:rsidR="000F0486" w:rsidRDefault="000F0486" w:rsidP="000F0486">
      <w:pPr>
        <w:spacing w:line="480" w:lineRule="auto"/>
        <w:rPr>
          <w:rFonts w:cstheme="minorHAnsi"/>
        </w:rPr>
      </w:pPr>
      <w:r>
        <w:rPr>
          <w:rFonts w:cstheme="minorHAnsi"/>
        </w:rPr>
        <w:tab/>
        <w:t xml:space="preserve">In building our model we needed to investigate the three main types of models in the </w:t>
      </w:r>
      <w:r w:rsidR="007A6AFA">
        <w:rPr>
          <w:rFonts w:cstheme="minorHAnsi"/>
        </w:rPr>
        <w:t>literature</w:t>
      </w:r>
      <w:r>
        <w:rPr>
          <w:rFonts w:cstheme="minorHAnsi"/>
        </w:rPr>
        <w:t xml:space="preserve"> and determine which of those model types best fits our question. </w:t>
      </w:r>
      <w:r w:rsidR="007A6AFA">
        <w:rPr>
          <w:rFonts w:cstheme="minorHAnsi"/>
        </w:rPr>
        <w:t>The</w:t>
      </w:r>
      <w:r>
        <w:rPr>
          <w:rFonts w:cstheme="minorHAnsi"/>
        </w:rPr>
        <w:t xml:space="preserve"> three types of models are prediction models (individual-based and machine-learning), biogeochemical models, and theoretical models.  Individual-based models (IBMs) use population-average cell quotas and apply them to individual algal cells to produce population-level results </w:t>
      </w:r>
      <w:r>
        <w:rPr>
          <w:rFonts w:cstheme="minorHAnsi"/>
        </w:rPr>
        <w:fldChar w:fldCharType="begin" w:fldLock="1"/>
      </w:r>
      <w:r>
        <w:rPr>
          <w:rFonts w:cstheme="minorHAnsi"/>
        </w:rPr>
        <w:instrText>ADDIN CSL_CITATION {"citationItems":[{"id":"ITEM-1","itemData":{"DOI":"10.1016/j.jtbi.2007.08.020","ISSN":"00225193","PMID":"17900626","abstract":"Present phytoplankton models typically use a population-level (lumped) modeling (PLM) approach that assumes average properties of a population within a control volume. For modern biogeochemical models that formulate growth as a nonlinear function of the internal nutrient (e.g. Droop kinetics), this averaging assumption can introduce a significant error. Individual-based (agent-based) modeling (IBM) does not make the assumption of average properties and therefore constitutes a promising alternative for biogeochemical modeling. This paper explores the hypothesis that the cell quota (Droop) model, which predicts the population-average specific growth or cell division rate, based on the population-average nutrient cell quota, can be applied to individual algal cells and produce the same population-level results. Three models that translate the growth rate calculated using the cell quota model into discrete cell division events are evaluated, including a stochastic model based on the probability of cell division, a deterministic model based on the maturation velocity and fraction of the cell cycle completed (maturity fraction), and a deterministic model based on biomass (carbon) growth and cell size. The division models are integrated into an IBM framework (iAlgae), which combines a lumped system representation of a nutrient with an individual representation of algae. The IBM models are evaluated against a conventional PLM (because that is the traditional approach) and data from a number of steady and unsteady continuous (chemostat) and batch culture laboratory experiments. The stochastic IBM model fails the steady chemostat culture test, because it produces excessive numerical randomness. The deterministic cell cycle IBM model fails the batch culture test, because it has an abrupt drop in cell quota at division, which allows the cell quota to fall below the subsistence quota. The deterministic cell size IBM model reproduces the data and PLM results for all experiments and the model parameters (e.g. maximum specific growth rate, subsistence quota) are the same as those for the PLM. In addition, the model-predicted cell age, size (carbon) and volume distributions are consistent with those derived analytically and compare well to observations. The paper discusses and illustrates scenarios where intra-population variability in natural systems leads to differences between the IBM and PLM models. © 2007 Elsevier Ltd. All rights reserved.","author":[{"dropping-particle":"","family":"Hellweger","given":"Ferdi L.","non-dropping-particle":"","parse-names":false,"suffix":""},{"dropping-particle":"","family":"Kianirad","given":"Ehsan","non-dropping-particle":"","parse-names":false,"suffix":""}],"container-title":"Journal of Theoretical Biology","id":"ITEM-1","issue":"3","issued":{"date-parts":[["2007"]]},"page":"554-565","title":"Individual-based modeling of phytoplankton: Evaluating approaches for applying the cell quota model","type":"article-journal","volume":"249"},"uris":["http://www.mendeley.com/documents/?uuid=4c8582aa-f1db-499f-b2cb-841b1e489725"]}],"mendeley":{"formattedCitation":"(Hellweger &amp; Kianirad, 2007)","plainTextFormattedCitation":"(Hellweger &amp; Kianirad, 2007)","previouslyFormattedCitation":"(Hellweger &amp; Kianirad, 2007)"},"properties":{"noteIndex":0},"schema":"https://github.com/citation-style-language/schema/raw/master/csl-citation.json"}</w:instrText>
      </w:r>
      <w:r>
        <w:rPr>
          <w:rFonts w:cstheme="minorHAnsi"/>
        </w:rPr>
        <w:fldChar w:fldCharType="separate"/>
      </w:r>
      <w:r w:rsidRPr="001527B0">
        <w:rPr>
          <w:rFonts w:cstheme="minorHAnsi"/>
          <w:noProof/>
        </w:rPr>
        <w:t>(Hellweger &amp; Kianirad, 2007)</w:t>
      </w:r>
      <w:r>
        <w:rPr>
          <w:rFonts w:cstheme="minorHAnsi"/>
        </w:rPr>
        <w:fldChar w:fldCharType="end"/>
      </w:r>
      <w:r>
        <w:rPr>
          <w:rFonts w:cstheme="minorHAnsi"/>
        </w:rPr>
        <w:t xml:space="preserve">. However, these individual based models do not take into account competition for nutrients between different phytoplankton or cyanobacteria groups. Machine-learning prediction models like those by The Prediction Lab (thepredictionlab.com) use data and a Bayesian modeling approach to make 7-day predictions for HABs. Biogeochemical models and hydrodynamic models have been coupled to account for hydrodynamics and ecological processes. Of major interest, is the Framework for Aquatic Biogeochemical Model (FABM) which allows for biogeochemical models to be built as stand-alone models and can be linked to ecosystem models such as ERSEM (marine model) and </w:t>
      </w:r>
      <w:proofErr w:type="spellStart"/>
      <w:r>
        <w:rPr>
          <w:rFonts w:cstheme="minorHAnsi"/>
        </w:rPr>
        <w:t>PCLake</w:t>
      </w:r>
      <w:proofErr w:type="spellEnd"/>
      <w:r>
        <w:rPr>
          <w:rFonts w:cstheme="minorHAnsi"/>
        </w:rPr>
        <w:t xml:space="preserve"> (freshwater) </w:t>
      </w:r>
      <w:r>
        <w:rPr>
          <w:rFonts w:cstheme="minorHAnsi"/>
        </w:rPr>
        <w:fldChar w:fldCharType="begin" w:fldLock="1"/>
      </w:r>
      <w:r>
        <w:rPr>
          <w:rFonts w:cstheme="minorHAnsi"/>
        </w:rPr>
        <w:instrText>ADDIN CSL_CITATION {"citationItems":[{"id":"ITEM-1","itemData":{"DOI":"10.1016/j.envsoft.2014.04.002","ISSN":"13648152","abstract":"One of the most of challenging steps in the development of coupled hydrodynamic-biogeochemical models is the combination of multiple, often incompatible computer codes that describe individual physical, chemical, biological and geological processes. This \"coupling\" is time-consuming, error-prone, and demanding in terms of scientific and programming expertise. The open source, Fortran-based Framework for Aquatic Biogeochemical Models addresses these problems by providing a consistent set of programming interfaces through which hydrodynamic and biogeochemical models communicate. Models are coded once to connect to FABM, after which arbitrary combinations of hydrodynamic and biogeochemical models can be made. Thus, a biogeochemical model code works unmodified within models of a chemostat, a vertically structured water column, and a three-dimensional basin. Moreover, complex biogeochemistry can be distributed over many compact, self-contained modules, coupled at run-time. By enabling distributed development and user-controlled coupling of biogeochemical models, FABM enables optimal use of the expertise of scientists, programmers and end-users.","author":[{"dropping-particle":"","family":"Bruggeman","given":"J.","non-dropping-particle":"","parse-names":false,"suffix":""},{"dropping-particle":"","family":"Bolding","given":"K.","non-dropping-particle":"","parse-names":false,"suffix":""}],"container-title":"Environmental Modelling and Software","id":"ITEM-1","issued":{"date-parts":[["2014"]]},"page":"249-265","title":"A general framework for aquatic biogeochemical models","type":"article-journal","volume":"61"},"uris":["http://www.mendeley.com/documents/?uuid=6919c16b-714c-403d-86f7-bb07ea38d704"]}],"mendeley":{"formattedCitation":"(Bruggeman &amp; Bolding, 2014)","plainTextFormattedCitation":"(Bruggeman &amp; Bolding, 2014)","previouslyFormattedCitation":"(Bruggeman &amp; Bolding, 2014)"},"properties":{"noteIndex":0},"schema":"https://github.com/citation-style-language/schema/raw/master/csl-citation.json"}</w:instrText>
      </w:r>
      <w:r>
        <w:rPr>
          <w:rFonts w:cstheme="minorHAnsi"/>
        </w:rPr>
        <w:fldChar w:fldCharType="separate"/>
      </w:r>
      <w:r w:rsidRPr="00857969">
        <w:rPr>
          <w:rFonts w:cstheme="minorHAnsi"/>
          <w:noProof/>
        </w:rPr>
        <w:t>(Bruggeman &amp; Bolding, 2014)</w:t>
      </w:r>
      <w:r>
        <w:rPr>
          <w:rFonts w:cstheme="minorHAnsi"/>
        </w:rPr>
        <w:fldChar w:fldCharType="end"/>
      </w:r>
      <w:r>
        <w:rPr>
          <w:rFonts w:cstheme="minorHAnsi"/>
        </w:rPr>
        <w:t xml:space="preserve">. Finally, theoretical models can be used to make ecological predictions about competition for resources, predation, </w:t>
      </w:r>
      <w:r>
        <w:rPr>
          <w:rFonts w:cstheme="minorHAnsi"/>
        </w:rPr>
        <w:lastRenderedPageBreak/>
        <w:t xml:space="preserve">and other interactions occurring in communities </w:t>
      </w:r>
      <w:r w:rsidRPr="006530E4">
        <w:rPr>
          <w:rFonts w:cstheme="minorHAnsi"/>
        </w:rPr>
        <w:fldChar w:fldCharType="begin" w:fldLock="1"/>
      </w:r>
      <w:r w:rsidRPr="006530E4">
        <w:rPr>
          <w:rFonts w:cstheme="minorHAnsi"/>
        </w:rPr>
        <w:instrText>ADDIN CSL_CITATION {"citationItems":[{"id":"ITEM-1","itemData":{"author":[{"dropping-particle":"","family":"Tilman","given":"D.","non-dropping-particle":"","parse-names":false,"suffix":""}],"container-title":"Princeton University Press, N.J.","id":"ITEM-1","issued":{"date-parts":[["1982"]]},"title":"Resource Competition and Community Structure","type":"article-journal"},"uris":["http://www.mendeley.com/documents/?uuid=da76aa6e-b204-4b6f-a9de-83b3089f87d5"]},{"id":"ITEM-2","itemData":{"DOI":"10.1086/285705","ISSN":"00030147","author":[{"dropping-particle":"","family":"Holt","given":"R. D.","non-dropping-particle":"","parse-names":false,"suffix":""},{"dropping-particle":"","family":"Grover","given":"J.","non-dropping-particle":"","parse-names":false,"suffix":""},{"dropping-particle":"","family":"Tilman","given":"D.","non-dropping-particle":"","parse-names":false,"suffix":""}],"container-title":"American Naturalist","id":"ITEM-2","issue":"5","issued":{"date-parts":[["1994"]]},"page":"741-771","title":"Simple rules for interspecific dominance in systems with exploitative and apparent competition","type":"article-journal","volume":"144"},"uris":["http://www.mendeley.com/documents/?uuid=4d8e6074-2b04-41d6-baa8-60570d1c4812"]},{"id":"ITEM-3","itemData":{"author":[{"dropping-particle":"","family":"Armstrong","given":"R.A.","non-dropping-particle":"","parse-names":false,"suffix":""},{"dropping-particle":"","family":"McGehee","given":"R.","non-dropping-particle":"","parse-names":false,"suffix":""}],"container-title":"The American Naturalist","id":"ITEM-3","issued":{"date-parts":[["1980"]]},"page":"151-170","title":"Competitive Exclusion","type":"article-journal","volume":"115"},"uris":["http://www.mendeley.com/documents/?uuid=ca79618d-1692-414e-82a6-38dbd32b223f"]},{"id":"ITEM-4","itemData":{"DOI":"10.1017/CBO9781139095075.008","ISBN":"9781139095075","abstract":"General background Freshwater streams and lakes are habitats for complex ecosystems, of which plankton is an important component. Even more extensive are the oceans, which cover about 70% of the Earth’s surface. Marine ecosystems including their plankton have very great ecological and economic significance. Although our knowledge of biodiversity patterns in marine phyto- and zooplankton (compared to terrestrial systems) is still very limited (Irigoien et al., 2004), much work, some of it theoretical, some experimental, has led to important insights. The study of plankton has played a crucial historical role in our understanding of ecological processes. The famous “paradox of the plankton” formulated by Hutchinson (1961) drew attention to the fact that many more species coexist in the supposedly homogeneous habitat than permitted under the competitive exclusion principle of Gause. Hutchinson suggested that nonequilibrium conditions might lead to the greater than expected diversity, a suggestion shown to be correct by many subsequent studies. Hutchinson himself thought that seasons and weather-induced fluctuations were responsible. But, in addition, as reviewed by Scheffer et al. (2003), homogeneity due to mixing hardly exists, and even in the open ocean meso-scale vortices and fronts result in spatial heterogeneity. Moreover, modeling of plankton communities has shown that even in homogeneous and constant environments plankton may never reach equilibrium, because multi-species interactions may lead to oscillations and chaos. This is supported by laboratory experiments, which have shown highly irregular and unpredictable long-term fluctuations at the species level (Figure 4.1), although total algal biomass and other indicators at higher aggregation levels may show regular patterns.","author":[{"dropping-particle":"","family":"Hutchinson","given":"G.E.","non-dropping-particle":"","parse-names":false,"suffix":""}],"container-title":"The American Naturalist","id":"ITEM-4","issued":{"date-parts":[["1961"]]},"page":"137-145","title":"The paradox of the plankton","type":"article-journal","volume":"95"},"uris":["http://www.mendeley.com/documents/?uuid=e2295020-18c4-43b6-b2c7-5a45e5ddb341"]}],"mendeley":{"formattedCitation":"(Armstrong &amp; McGehee, 1980; Holt et al., 1994; Hutchinson, 1961; Tilman, 1982)","plainTextFormattedCitation":"(Armstrong &amp; McGehee, 1980; Holt et al., 1994; Hutchinson, 1961; Tilman, 1982)","previouslyFormattedCitation":"(Armstrong &amp; McGehee, 1980; Holt et al., 1994; Hutchinson, 1961; Tilman, 1982)"},"properties":{"noteIndex":0},"schema":"https://github.com/citation-style-language/schema/raw/master/csl-citation.json"}</w:instrText>
      </w:r>
      <w:r w:rsidRPr="006530E4">
        <w:rPr>
          <w:rFonts w:cstheme="minorHAnsi"/>
        </w:rPr>
        <w:fldChar w:fldCharType="separate"/>
      </w:r>
      <w:r w:rsidRPr="006530E4">
        <w:rPr>
          <w:rFonts w:cstheme="minorHAnsi"/>
          <w:noProof/>
        </w:rPr>
        <w:t>(Armstrong &amp; McGehee, 1980; Holt et al., 1994; Hutchinson, 1961; Tilman, 1982)</w:t>
      </w:r>
      <w:r w:rsidRPr="006530E4">
        <w:rPr>
          <w:rFonts w:cstheme="minorHAnsi"/>
        </w:rPr>
        <w:fldChar w:fldCharType="end"/>
      </w:r>
      <w:r>
        <w:rPr>
          <w:rFonts w:cstheme="minorHAnsi"/>
        </w:rPr>
        <w:t xml:space="preserve">. These models all have their positive and negative contributions to our project. However, none of these models individually give the general framework to incorporate all the different drivers (light, nutrient enrichment, and predation) we want to investigate. </w:t>
      </w:r>
    </w:p>
    <w:p w14:paraId="3EC5D65B" w14:textId="15071261" w:rsidR="00A7167A" w:rsidRDefault="000F0486" w:rsidP="000F0486">
      <w:pPr>
        <w:spacing w:line="480" w:lineRule="auto"/>
        <w:rPr>
          <w:rFonts w:cstheme="minorHAnsi"/>
        </w:rPr>
      </w:pPr>
      <w:r>
        <w:rPr>
          <w:rFonts w:cstheme="minorHAnsi"/>
        </w:rPr>
        <w:tab/>
        <w:t xml:space="preserve">We have found several models from the last 10-15 years that have accounted for physical dynamics and some ecological aspects. For example, Jiang et al. 2015 used a physical model known as Finite Volume Coastal Ocean Model (FVCOM), which is a sub-model of FABM, to investigate the impact of river inputs and wind dynamics on nutrient advection and vertical mixing </w:t>
      </w:r>
      <w:r>
        <w:rPr>
          <w:rFonts w:cstheme="minorHAnsi"/>
        </w:rPr>
        <w:fldChar w:fldCharType="begin" w:fldLock="1"/>
      </w:r>
      <w:r>
        <w:rPr>
          <w:rFonts w:cstheme="minorHAnsi"/>
        </w:rPr>
        <w:instrText>ADDIN CSL_CITATION {"citationItems":[{"id":"ITEM-1","itemData":{"DOI":"10.1016/j.ecolmodel.2015.04.004","ISSN":"03043800","abstract":"Given that phytoplankton and zooplankton communities have served as key ecological indicators of anthropogenic and other perturbations, a high-resolution Finite Volume Coastal Ocean Model (FVCOM) based Integrated Compartment Model (FVCOM-ICM) was implemented to investigate plankton dynamics with the inclusion of dreissenid invasion in Lake Erie, particularly in the most productive western basin. After identifying suitable horizontal and vertical resolutions that allowed for accurate depiction of in-lake nutrient concentrations and plankton biomass, we explored how variation in nutrient (phosphorus, nitrogen) loading and dreissenid mussel density could influence plankton dynamics. Our scenario-testing showed that western Lake Erie's phytoplankton community appeared more limited by phosphorus than nitrogen on both seasonal and interannual scales with light limitation occurring in the nearshore and Maumee River plume areas. Dreissenid mussel impacts varied temporally, with phytoplankton communities being highly influenced by dreissenid nutrient excretion at times (under low nutrient availability) and dreissenid grazing at other times (under bloom conditions). It was concluded that the effect of zooplankton predation on phytoplankton was stronger than that of dreissenid mussels, and that multiple algal groups could promote the efficiency of nutrient assimilation and the overall plankton production. Additionally, river inputs and wind-driven water circulation were important by causing heterogeneity in habitat conditions through nutrient advection and vertical mixing, and wind-induced surface waves could result in non-negligible down-wind redistribution of plankton biomass, which increased with wind/wave magnitude.","author":[{"dropping-particle":"","family":"Jiang","given":"Long","non-dropping-particle":"","parse-names":false,"suffix":""},{"dropping-particle":"","family":"Xia","given":"Meng","non-dropping-particle":"","parse-names":false,"suffix":""},{"dropping-particle":"","family":"Ludsin","given":"Stuart A.","non-dropping-particle":"","parse-names":false,"suffix":""},{"dropping-particle":"","family":"Rutherford","given":"Edward S.","non-dropping-particle":"","parse-names":false,"suffix":""},{"dropping-particle":"","family":"Mason","given":"Doran M.","non-dropping-particle":"","parse-names":false,"suffix":""},{"dropping-particle":"","family":"Marin Jarrin","given":"Jose","non-dropping-particle":"","parse-names":false,"suffix":""},{"dropping-particle":"","family":"Pangle","given":"Kevin L.","non-dropping-particle":"","parse-names":false,"suffix":""}],"container-title":"Ecological Modelling","id":"ITEM-1","issued":{"date-parts":[["2015"]]},"page":"18-33","publisher":"Elsevier B.V.","title":"Biophysical modeling assessment of the drivers for plankton dynamics in dreissenid-colonized western Lake Erie","type":"article-journal","volume":"308"},"uris":["http://www.mendeley.com/documents/?uuid=37be71e0-739c-48f3-88ed-071dc8cabeaa"]}],"mendeley":{"formattedCitation":"(Jiang et al., 2015)","plainTextFormattedCitation":"(Jiang et al., 2015)","previouslyFormattedCitation":"(Jiang et al., 2015)"},"properties":{"noteIndex":0},"schema":"https://github.com/citation-style-language/schema/raw/master/csl-citation.json"}</w:instrText>
      </w:r>
      <w:r>
        <w:rPr>
          <w:rFonts w:cstheme="minorHAnsi"/>
        </w:rPr>
        <w:fldChar w:fldCharType="separate"/>
      </w:r>
      <w:r w:rsidRPr="00F57A27">
        <w:rPr>
          <w:rFonts w:cstheme="minorHAnsi"/>
          <w:noProof/>
        </w:rPr>
        <w:t>(Jiang et al., 2015)</w:t>
      </w:r>
      <w:r>
        <w:rPr>
          <w:rFonts w:cstheme="minorHAnsi"/>
        </w:rPr>
        <w:fldChar w:fldCharType="end"/>
      </w:r>
      <w:r>
        <w:rPr>
          <w:rFonts w:cstheme="minorHAnsi"/>
        </w:rPr>
        <w:t xml:space="preserve">. This study used </w:t>
      </w:r>
      <w:r w:rsidR="00F22D43">
        <w:rPr>
          <w:rFonts w:cstheme="minorHAnsi"/>
        </w:rPr>
        <w:t>nutrients</w:t>
      </w:r>
      <w:r>
        <w:rPr>
          <w:rFonts w:cstheme="minorHAnsi"/>
        </w:rPr>
        <w:t xml:space="preserve"> to understand how variation in nutrient loading and mussel density could impact zooplankton predation of phytoplankton </w:t>
      </w:r>
      <w:r>
        <w:rPr>
          <w:rFonts w:cstheme="minorHAnsi"/>
        </w:rPr>
        <w:fldChar w:fldCharType="begin" w:fldLock="1"/>
      </w:r>
      <w:r>
        <w:rPr>
          <w:rFonts w:cstheme="minorHAnsi"/>
        </w:rPr>
        <w:instrText>ADDIN CSL_CITATION {"citationItems":[{"id":"ITEM-1","itemData":{"DOI":"10.1016/j.ecolmodel.2015.04.004","ISSN":"03043800","abstract":"Given that phytoplankton and zooplankton communities have served as key ecological indicators of anthropogenic and other perturbations, a high-resolution Finite Volume Coastal Ocean Model (FVCOM) based Integrated Compartment Model (FVCOM-ICM) was implemented to investigate plankton dynamics with the inclusion of dreissenid invasion in Lake Erie, particularly in the most productive western basin. After identifying suitable horizontal and vertical resolutions that allowed for accurate depiction of in-lake nutrient concentrations and plankton biomass, we explored how variation in nutrient (phosphorus, nitrogen) loading and dreissenid mussel density could influence plankton dynamics. Our scenario-testing showed that western Lake Erie's phytoplankton community appeared more limited by phosphorus than nitrogen on both seasonal and interannual scales with light limitation occurring in the nearshore and Maumee River plume areas. Dreissenid mussel impacts varied temporally, with phytoplankton communities being highly influenced by dreissenid nutrient excretion at times (under low nutrient availability) and dreissenid grazing at other times (under bloom conditions). It was concluded that the effect of zooplankton predation on phytoplankton was stronger than that of dreissenid mussels, and that multiple algal groups could promote the efficiency of nutrient assimilation and the overall plankton production. Additionally, river inputs and wind-driven water circulation were important by causing heterogeneity in habitat conditions through nutrient advection and vertical mixing, and wind-induced surface waves could result in non-negligible down-wind redistribution of plankton biomass, which increased with wind/wave magnitude.","author":[{"dropping-particle":"","family":"Jiang","given":"Long","non-dropping-particle":"","parse-names":false,"suffix":""},{"dropping-particle":"","family":"Xia","given":"Meng","non-dropping-particle":"","parse-names":false,"suffix":""},{"dropping-particle":"","family":"Ludsin","given":"Stuart A.","non-dropping-particle":"","parse-names":false,"suffix":""},{"dropping-particle":"","family":"Rutherford","given":"Edward S.","non-dropping-particle":"","parse-names":false,"suffix":""},{"dropping-particle":"","family":"Mason","given":"Doran M.","non-dropping-particle":"","parse-names":false,"suffix":""},{"dropping-particle":"","family":"Marin Jarrin","given":"Jose","non-dropping-particle":"","parse-names":false,"suffix":""},{"dropping-particle":"","family":"Pangle","given":"Kevin L.","non-dropping-particle":"","parse-names":false,"suffix":""}],"container-title":"Ecological Modelling","id":"ITEM-1","issued":{"date-parts":[["2015"]]},"page":"18-33","publisher":"Elsevier B.V.","title":"Biophysical modeling assessment of the drivers for plankton dynamics in dreissenid-colonized western Lake Erie","type":"article-journal","volume":"308"},"uris":["http://www.mendeley.com/documents/?uuid=37be71e0-739c-48f3-88ed-071dc8cabeaa"]}],"mendeley":{"formattedCitation":"(Jiang et al., 2015)","plainTextFormattedCitation":"(Jiang et al., 2015)","previouslyFormattedCitation":"(Jiang et al., 2015)"},"properties":{"noteIndex":0},"schema":"https://github.com/citation-style-language/schema/raw/master/csl-citation.json"}</w:instrText>
      </w:r>
      <w:r>
        <w:rPr>
          <w:rFonts w:cstheme="minorHAnsi"/>
        </w:rPr>
        <w:fldChar w:fldCharType="separate"/>
      </w:r>
      <w:r w:rsidRPr="00ED09EE">
        <w:rPr>
          <w:rFonts w:cstheme="minorHAnsi"/>
          <w:noProof/>
        </w:rPr>
        <w:t>(Jiang et al., 2015)</w:t>
      </w:r>
      <w:r>
        <w:rPr>
          <w:rFonts w:cstheme="minorHAnsi"/>
        </w:rPr>
        <w:fldChar w:fldCharType="end"/>
      </w:r>
      <w:r>
        <w:rPr>
          <w:rFonts w:cstheme="minorHAnsi"/>
        </w:rPr>
        <w:t xml:space="preserve">. Another study, by Zhang et al. 2008, used a hydrodynamic and water quality model to investigate the impacts of different mussels on the phytoplankton populations in Lake Erie </w:t>
      </w:r>
      <w:r>
        <w:rPr>
          <w:rFonts w:cstheme="minorHAnsi"/>
        </w:rPr>
        <w:fldChar w:fldCharType="begin" w:fldLock="1"/>
      </w:r>
      <w:r w:rsidR="00DB0B5F">
        <w:rPr>
          <w:rFonts w:cstheme="minorHAnsi"/>
        </w:rPr>
        <w:instrText>ADDIN CSL_CITATION {"citationItems":[{"id":"ITEM-1","itemData":{"DOI":"10.1016/j.ecolmodel.2008.02.005","ISSN":"03043800","abstract":"We constructed a complex ecological model of Lake Erie, EcoLE, based on a two-dimensional hydrodynamic and water quality model (CE-QUAL-W2). We used data from 1997 to calibrate the model, and data from 1998 and 1999 to verify it. The simulated surface and bottom water temperatures show good agreement with field observations. In spite of limitations of this 2D model and data availability, the simulated values of biological and nutrient state variables match well with field measurements. Although EcoLE's performance for the verification years is as good as that of the calibration year, the wide standard deviations of both field measurements and model simulations as well as the complexity of an ecosystem of this size make us consider our model more as a valid analytical tool rather than a predictive one at this moment. Nevertheless, we have constructed the first fine-scale dynamic ecological model of a large lake that couples hydrodynamics and detailed food web of lower trophic levels and is driven by real-time air temperature and wind conditions and the inputs from the atmosphere and tributaries. Using the model we investigate the impacts of zebra mussels (Dreissena polymorpha) and quagga mussels (D. bugensis) on phytoplankton of Lake Erie. The simulation results show that dreissenid grazing impacts on non-diatom edible algae (NDEA) are weakened by the boundary layer above the basin bottom. However, dreissenid grazing impacts on diatoms are less affected by the boundary layer due to the higher sinking rates of diatoms. Dreissenid mussels increase non-diatom inedible algae (NDIA) rapidly with increasing mussel population size, because the dreissenid population excretes a large amount of ammonia and phosphate. Our results indicate that dreissenid mussels have weak direct grazing impacts on algal biomass, while indirect effects of their nutrient excretion have a greater impact on the system. © 2008 Elsevier B.V. All rights reserved.","author":[{"dropping-particle":"","family":"Zhang","given":"Hongyan","non-dropping-particle":"","parse-names":false,"suffix":""},{"dropping-particle":"","family":"Culver","given":"David A.","non-dropping-particle":"","parse-names":false,"suffix":""},{"dropping-particle":"","family":"Boegman","given":"Leon","non-dropping-particle":"","parse-names":false,"suffix":""}],"container-title":"Ecological Modelling","id":"ITEM-1","issue":"2-4","issued":{"date-parts":[["2008"]]},"page":"219-241","title":"A two-dimensional ecological model of Lake Erie: Application to estimate dreissenid impacts on large lake plankton populations","type":"article-journal","volume":"214"},"uris":["http://www.mendeley.com/documents/?uuid=b0077b02-fa2d-44ce-be17-bb7752aa9f54"]}],"mendeley":{"formattedCitation":"(H. Zhang et al., 2008)","plainTextFormattedCitation":"(H. Zhang et al., 2008)","previouslyFormattedCitation":"(H. Zhang et al., 2008)"},"properties":{"noteIndex":0},"schema":"https://github.com/citation-style-language/schema/raw/master/csl-citation.json"}</w:instrText>
      </w:r>
      <w:r>
        <w:rPr>
          <w:rFonts w:cstheme="minorHAnsi"/>
        </w:rPr>
        <w:fldChar w:fldCharType="separate"/>
      </w:r>
      <w:r w:rsidR="00CE3B35" w:rsidRPr="00CE3B35">
        <w:rPr>
          <w:rFonts w:cstheme="minorHAnsi"/>
          <w:noProof/>
        </w:rPr>
        <w:t>(H. Zhang et al., 2008)</w:t>
      </w:r>
      <w:r>
        <w:rPr>
          <w:rFonts w:cstheme="minorHAnsi"/>
        </w:rPr>
        <w:fldChar w:fldCharType="end"/>
      </w:r>
      <w:r>
        <w:rPr>
          <w:rFonts w:cstheme="minorHAnsi"/>
        </w:rPr>
        <w:t xml:space="preserve">. Through our research, we have not found a biogeochemical model to make predictions for a diamond food-web model that allows for variation of </w:t>
      </w:r>
      <w:r w:rsidR="00135195">
        <w:rPr>
          <w:rFonts w:cstheme="minorHAnsi"/>
        </w:rPr>
        <w:t>environmental conditions</w:t>
      </w:r>
      <w:r>
        <w:rPr>
          <w:rFonts w:cstheme="minorHAnsi"/>
        </w:rPr>
        <w:t xml:space="preserve"> in lake ecosystems. </w:t>
      </w:r>
    </w:p>
    <w:p w14:paraId="3E1D3BEB" w14:textId="17FE925B" w:rsidR="004D1B93" w:rsidRDefault="004D1B93" w:rsidP="00240F72">
      <w:pPr>
        <w:pStyle w:val="Heading2"/>
      </w:pPr>
      <w:bookmarkStart w:id="18" w:name="_Toc98870949"/>
      <w:r>
        <w:t>Food-web Modeling</w:t>
      </w:r>
      <w:bookmarkEnd w:id="18"/>
    </w:p>
    <w:p w14:paraId="3D6E41E4" w14:textId="77777777" w:rsidR="001F1DE3" w:rsidRDefault="001F1DE3" w:rsidP="001F1DE3">
      <w:pPr>
        <w:rPr>
          <w:rFonts w:cstheme="minorHAnsi"/>
        </w:rPr>
      </w:pPr>
    </w:p>
    <w:p w14:paraId="37FAB782" w14:textId="0810D693" w:rsidR="004D1B93" w:rsidRPr="00A7167A" w:rsidRDefault="001F1DE3" w:rsidP="001F1DE3">
      <w:pPr>
        <w:spacing w:line="480" w:lineRule="auto"/>
        <w:ind w:firstLine="720"/>
      </w:pPr>
      <w:r>
        <w:rPr>
          <w:rFonts w:cstheme="minorHAnsi"/>
        </w:rPr>
        <w:t xml:space="preserve">Of specific interest for </w:t>
      </w:r>
      <w:r w:rsidR="00C330F8">
        <w:rPr>
          <w:rFonts w:cstheme="minorHAnsi"/>
        </w:rPr>
        <w:t>our project is</w:t>
      </w:r>
      <w:r>
        <w:rPr>
          <w:rFonts w:cstheme="minorHAnsi"/>
        </w:rPr>
        <w:t xml:space="preserve"> a food-web model, which is a type of theoretical model.</w:t>
      </w:r>
      <w:r>
        <w:t xml:space="preserve"> </w:t>
      </w:r>
      <w:r w:rsidR="004D1B93" w:rsidRPr="00A7167A">
        <w:t xml:space="preserve">Food-webs are a quantitative way to think about the environmental dynamics and pressures in an ecosystem </w:t>
      </w:r>
      <w:r w:rsidR="004D1B93" w:rsidRPr="00A7167A">
        <w:fldChar w:fldCharType="begin" w:fldLock="1"/>
      </w:r>
      <w:r w:rsidR="004D1B93" w:rsidRPr="00A7167A">
        <w:instrText>ADDIN CSL_CITATION {"citationItems":[{"id":"ITEM-1","itemData":{"DOI":"10.1007/BF02464428","ISSN":"00928240","abstract":"Recent progress in the study of aquatic food-cycle relationships invites a reappraisal of certain ecological tenets. Quantitative productivity data provide a basis for enunciating certain trophic principles, which, when applied to a series of successional stages, shed new light on the dynamics of ecological succession. © 1991 Society for Mathematical Biology.","author":[{"dropping-particle":"","family":"Lindeman","given":"Raymond L.","non-dropping-particle":"","parse-names":false,"suffix":""}],"container-title":"Bulletin of Mathematical Biology","id":"ITEM-1","issued":{"date-parts":[["1991"]]},"page":"167-191","title":"The trophic-dynamic aspect of ecology","type":"article-journal","volume":"53"},"uris":["http://www.mendeley.com/documents/?uuid=8f1938bb-cdf1-4260-99bf-cb2f72cde1ec"]}],"mendeley":{"formattedCitation":"(Lindeman, 1991)","plainTextFormattedCitation":"(Lindeman, 1991)","previouslyFormattedCitation":"(Lindeman, 1991)"},"properties":{"noteIndex":0},"schema":"https://github.com/citation-style-language/schema/raw/master/csl-citation.json"}</w:instrText>
      </w:r>
      <w:r w:rsidR="004D1B93" w:rsidRPr="00A7167A">
        <w:fldChar w:fldCharType="separate"/>
      </w:r>
      <w:r w:rsidR="004D1B93" w:rsidRPr="00A7167A">
        <w:rPr>
          <w:noProof/>
        </w:rPr>
        <w:t>(Lindeman, 1991)</w:t>
      </w:r>
      <w:r w:rsidR="004D1B93" w:rsidRPr="00A7167A">
        <w:fldChar w:fldCharType="end"/>
      </w:r>
      <w:r w:rsidR="004D1B93" w:rsidRPr="00A7167A">
        <w:t xml:space="preserve">. </w:t>
      </w:r>
      <w:r w:rsidR="004D1B93" w:rsidRPr="00A7167A">
        <w:lastRenderedPageBreak/>
        <w:t xml:space="preserve">Understanding the food-web of an ecosystem can give valuable insight into how food-web dynamics will change when external environmental variables shift. Bottom-up influences, such as nutrient control or enrichment, and top-down influences, such as higher trophic level organisms feeding upon the lower trophic levels, are ways to investigate the complexities of blooming populations and how to selectively control those blooming populations </w:t>
      </w:r>
      <w:r w:rsidR="004D1B93" w:rsidRPr="00A7167A">
        <w:fldChar w:fldCharType="begin" w:fldLock="1"/>
      </w:r>
      <w:r w:rsidR="004D1B93" w:rsidRPr="00A7167A">
        <w:instrText>ADDIN CSL_CITATION {"citationItems":[{"id":"ITEM-1","itemData":{"ISBN":"9783540773405","author":[{"dropping-particle":"","family":"Tambling","given":"C.J.","non-dropping-particle":"","parse-names":false,"suffix":""},{"dropping-particle":"","family":"Minnie","given":"L.","non-dropping-particle":"","parse-names":false,"suffix":""},{"dropping-particle":"","family":"Meyer","given":"J.","non-dropping-particle":"","parse-names":false,"suffix":""},{"dropping-particle":"","family":"Freeman","given":"E.W.","non-dropping-particle":"","parse-names":false,"suffix":""},{"dropping-particle":"","family":"Santymire","given":"R.M.","non-dropping-particle":"","parse-names":false,"suffix":""},{"dropping-particle":"","family":"Adendorff","given":"J.","non-dropping-particle":"","parse-names":false,"suffix":""},{"dropping-particle":"","family":"Kerley","given":"G.I.H.","non-dropping-particle":"","parse-names":false,"suffix":""}],"container-title":"Behavioral Ecology and Sociobiology","id":"ITEM-1","issued":{"date-parts":[["2015"]]},"title":"Temporal shifts in activity of prey following large predator reintroductions","type":"article-journal"},"uris":["http://www.mendeley.com/documents/?uuid=2591a45a-5f39-4fc4-a743-3212a1e8bfee"]}],"mendeley":{"formattedCitation":"(Tambling et al., 2015)","plainTextFormattedCitation":"(Tambling et al., 2015)","previouslyFormattedCitation":"(Tambling et al., 2015)"},"properties":{"noteIndex":0},"schema":"https://github.com/citation-style-language/schema/raw/master/csl-citation.json"}</w:instrText>
      </w:r>
      <w:r w:rsidR="004D1B93" w:rsidRPr="00A7167A">
        <w:fldChar w:fldCharType="separate"/>
      </w:r>
      <w:r w:rsidR="004D1B93" w:rsidRPr="00A7167A">
        <w:rPr>
          <w:noProof/>
        </w:rPr>
        <w:t>(Tambling et al., 2015)</w:t>
      </w:r>
      <w:r w:rsidR="004D1B93" w:rsidRPr="00A7167A">
        <w:fldChar w:fldCharType="end"/>
      </w:r>
      <w:r w:rsidR="004D1B93" w:rsidRPr="00A7167A">
        <w:t>.</w:t>
      </w:r>
    </w:p>
    <w:p w14:paraId="0A3896B8" w14:textId="6A57295D" w:rsidR="004D1B93" w:rsidRPr="000F0486" w:rsidRDefault="004D1B93" w:rsidP="004D1B93">
      <w:pPr>
        <w:spacing w:line="480" w:lineRule="auto"/>
        <w:rPr>
          <w:rFonts w:cstheme="minorHAnsi"/>
        </w:rPr>
      </w:pPr>
      <w:r w:rsidRPr="00A7167A">
        <w:t xml:space="preserve">The ecological interactions driving selection of cyanobacteria are poorly understood. We know that nutrient enrichment drives the selection of cyanobacteria. A major focus of theoretical and applied work in this area has been on nutrient limitation. These studies have invoked theories dating back to the 1940s to describe populations being controlled by nutrient limitation </w:t>
      </w:r>
      <w:r w:rsidRPr="00A7167A">
        <w:fldChar w:fldCharType="begin" w:fldLock="1"/>
      </w:r>
      <w:r w:rsidRPr="00A7167A">
        <w:instrText>ADDIN CSL_CITATION {"citationItems":[{"id":"ITEM-1","itemData":{"DOI":"10.1007/BF02464428","ISSN":"00928240","abstract":"Recent progress in the study of aquatic food-cycle relationships invites a reappraisal of certain ecological tenets. Quantitative productivity data provide a basis for enunciating certain trophic principles, which, when applied to a series of successional stages, shed new light on the dynamics of ecological succession. © 1991 Society for Mathematical Biology.","author":[{"dropping-particle":"","family":"Lindeman","given":"Raymond L.","non-dropping-particle":"","parse-names":false,"suffix":""}],"container-title":"Bulletin of Mathematical Biology","id":"ITEM-1","issued":{"date-parts":[["1991"]]},"page":"167-191","title":"The trophic-dynamic aspect of ecology","type":"article-journal","volume":"53"},"uris":["http://www.mendeley.com/documents/?uuid=8f1938bb-cdf1-4260-99bf-cb2f72cde1ec"]}],"mendeley":{"formattedCitation":"(Lindeman, 1991)","plainTextFormattedCitation":"(Lindeman, 1991)","previouslyFormattedCitation":"(Lindeman, 1991)"},"properties":{"noteIndex":0},"schema":"https://github.com/citation-style-language/schema/raw/master/csl-citation.json"}</w:instrText>
      </w:r>
      <w:r w:rsidRPr="00A7167A">
        <w:fldChar w:fldCharType="separate"/>
      </w:r>
      <w:r w:rsidRPr="00A7167A">
        <w:rPr>
          <w:noProof/>
        </w:rPr>
        <w:t>(Lindeman, 1991)</w:t>
      </w:r>
      <w:r w:rsidRPr="00A7167A">
        <w:fldChar w:fldCharType="end"/>
      </w:r>
      <w:r w:rsidRPr="00A7167A">
        <w:t xml:space="preserve">. Yet, predator-prey interactions and relationships are seen everywhere in nature including in microbial communities. Predator-prey interactions may play a major role in selecting harmful cyanobacteria in productive lakes, but relatively little theoretical work has been applied specifically to this problem. Food-web models suggest changes in how population densities of predators and prey drive shifts in selective pressure </w:t>
      </w:r>
      <w:r w:rsidRPr="00A7167A">
        <w:fldChar w:fldCharType="begin" w:fldLock="1"/>
      </w:r>
      <w:r w:rsidRPr="00A7167A">
        <w:instrText>ADDIN CSL_CITATION {"citationItems":[{"id":"ITEM-1","itemData":{"ISBN":"9783540773405","author":[{"dropping-particle":"","family":"Tambling","given":"C.J.","non-dropping-particle":"","parse-names":false,"suffix":""},{"dropping-particle":"","family":"Minnie","given":"L.","non-dropping-particle":"","parse-names":false,"suffix":""},{"dropping-particle":"","family":"Meyer","given":"J.","non-dropping-particle":"","parse-names":false,"suffix":""},{"dropping-particle":"","family":"Freeman","given":"E.W.","non-dropping-particle":"","parse-names":false,"suffix":""},{"dropping-particle":"","family":"Santymire","given":"R.M.","non-dropping-particle":"","parse-names":false,"suffix":""},{"dropping-particle":"","family":"Adendorff","given":"J.","non-dropping-particle":"","parse-names":false,"suffix":""},{"dropping-particle":"","family":"Kerley","given":"G.I.H.","non-dropping-particle":"","parse-names":false,"suffix":""}],"container-title":"Behavioral Ecology and Sociobiology","id":"ITEM-1","issued":{"date-parts":[["2015"]]},"title":"Temporal shifts in activity of prey following large predator reintroductions","type":"article-journal"},"uris":["http://www.mendeley.com/documents/?uuid=2591a45a-5f39-4fc4-a743-3212a1e8bfee"]}],"mendeley":{"formattedCitation":"(Tambling et al., 2015)","plainTextFormattedCitation":"(Tambling et al., 2015)","previouslyFormattedCitation":"(Tambling et al., 2015)"},"properties":{"noteIndex":0},"schema":"https://github.com/citation-style-language/schema/raw/master/csl-citation.json"}</w:instrText>
      </w:r>
      <w:r w:rsidRPr="00A7167A">
        <w:fldChar w:fldCharType="separate"/>
      </w:r>
      <w:r w:rsidRPr="00A7167A">
        <w:rPr>
          <w:noProof/>
        </w:rPr>
        <w:t>(Tambling et al., 2015)</w:t>
      </w:r>
      <w:r w:rsidRPr="00A7167A">
        <w:fldChar w:fldCharType="end"/>
      </w:r>
      <w:r w:rsidRPr="00A7167A">
        <w:t>.</w:t>
      </w:r>
      <w:r w:rsidRPr="00A7167A">
        <w:rPr>
          <w:vertAlign w:val="superscript"/>
        </w:rPr>
        <w:t xml:space="preserve"> </w:t>
      </w:r>
      <w:r w:rsidRPr="00A7167A">
        <w:t xml:space="preserve">Higher nutrient input may drive enhanced pressure for defensive groups when high cell densities lead to high contact rates between predators and prey. Differential selection along nutrient supply gradients is expected when there is a trade-off between resource acquisition and defense against predation </w:t>
      </w:r>
      <w:r w:rsidRPr="00A7167A">
        <w:fldChar w:fldCharType="begin" w:fldLock="1"/>
      </w:r>
      <w:r w:rsidRPr="00A7167A">
        <w:instrText>ADDIN CSL_CITATION {"citationItems":[{"id":"ITEM-1","itemData":{"author":[{"dropping-particle":"","family":"Tilman","given":"D","non-dropping-particle":"","parse-names":false,"suffix":""}],"container-title":"Proceedings of the National Academy of Sciences of the United States of America","id":"ITEM-1","issued":{"date-parts":[["2004"]]},"page":"10854-10861","title":"A stochastic theory of resource competition, community assembly and invasions","type":"article-journal","volume":"101"},"uris":["http://www.mendeley.com/documents/?uuid=51a61439-e7dc-4e5b-9a99-aa164e8cccce"]}],"mendeley":{"formattedCitation":"(Tilman, 2004)","plainTextFormattedCitation":"(Tilman, 2004)","previouslyFormattedCitation":"(Tilman, 2004)"},"properties":{"noteIndex":0},"schema":"https://github.com/citation-style-language/schema/raw/master/csl-citation.json"}</w:instrText>
      </w:r>
      <w:r w:rsidRPr="00A7167A">
        <w:fldChar w:fldCharType="separate"/>
      </w:r>
      <w:r w:rsidRPr="00A7167A">
        <w:rPr>
          <w:noProof/>
        </w:rPr>
        <w:t>(Tilman, 2004)</w:t>
      </w:r>
      <w:r w:rsidRPr="00A7167A">
        <w:fldChar w:fldCharType="end"/>
      </w:r>
      <w:r w:rsidRPr="00A7167A">
        <w:t xml:space="preserve">. These ideas are well-known in the theoretical literature; however, they </w:t>
      </w:r>
      <w:r w:rsidRPr="00A7167A">
        <w:lastRenderedPageBreak/>
        <w:t>have not been invoked in a modeling framework of lake ecosystems to explain why cyanobacteria are selected at high population densities.</w:t>
      </w:r>
      <w:r w:rsidR="00F22D43">
        <w:t xml:space="preserve"> We will consider this selection in context of variable environmental forcing such as variable temperature. </w:t>
      </w:r>
    </w:p>
    <w:p w14:paraId="7EC8ED44" w14:textId="45ACCA79" w:rsidR="00A7167A" w:rsidRDefault="00A7167A" w:rsidP="00240F72">
      <w:pPr>
        <w:pStyle w:val="Heading2"/>
      </w:pPr>
      <w:bookmarkStart w:id="19" w:name="_Toc98870950"/>
      <w:r>
        <w:t>Questions</w:t>
      </w:r>
      <w:r w:rsidR="0098795C">
        <w:t xml:space="preserve"> and </w:t>
      </w:r>
      <w:r>
        <w:t>Hypothesis</w:t>
      </w:r>
      <w:bookmarkEnd w:id="19"/>
    </w:p>
    <w:p w14:paraId="10E06465" w14:textId="77777777" w:rsidR="001F1DE3" w:rsidRPr="001F1DE3" w:rsidRDefault="001F1DE3" w:rsidP="001F1DE3"/>
    <w:p w14:paraId="3E6F44FF" w14:textId="0B782167" w:rsidR="00E72947" w:rsidRPr="001F1DE3" w:rsidRDefault="00A7167A" w:rsidP="00A7167A">
      <w:pPr>
        <w:spacing w:line="480" w:lineRule="auto"/>
      </w:pPr>
      <w:r w:rsidRPr="00A7167A">
        <w:rPr>
          <w:i/>
          <w:iCs/>
        </w:rPr>
        <w:t xml:space="preserve">Question: </w:t>
      </w:r>
      <w:r w:rsidRPr="00A7167A">
        <w:t>What environmental conditions cause</w:t>
      </w:r>
      <w:r w:rsidRPr="00A7167A">
        <w:rPr>
          <w:i/>
          <w:iCs/>
        </w:rPr>
        <w:t xml:space="preserve"> Microcystis aeruginosa </w:t>
      </w:r>
      <w:r w:rsidRPr="00A7167A">
        <w:t>to outcompete eukaryotic algae?</w:t>
      </w:r>
    </w:p>
    <w:p w14:paraId="422E2503" w14:textId="3E0F0BDE" w:rsidR="00E72947" w:rsidRDefault="00A7167A" w:rsidP="007F79DB">
      <w:pPr>
        <w:spacing w:line="480" w:lineRule="auto"/>
        <w:rPr>
          <w:i/>
          <w:iCs/>
        </w:rPr>
      </w:pPr>
      <w:r w:rsidRPr="00A7167A">
        <w:rPr>
          <w:i/>
          <w:iCs/>
        </w:rPr>
        <w:t xml:space="preserve">We hypothesize that </w:t>
      </w:r>
      <w:r w:rsidR="00135195">
        <w:rPr>
          <w:i/>
          <w:iCs/>
        </w:rPr>
        <w:t>enriched</w:t>
      </w:r>
      <w:r w:rsidRPr="00A7167A">
        <w:rPr>
          <w:i/>
          <w:iCs/>
        </w:rPr>
        <w:t xml:space="preserve"> resource inflow</w:t>
      </w:r>
      <w:r w:rsidR="00135195">
        <w:rPr>
          <w:i/>
          <w:iCs/>
        </w:rPr>
        <w:t xml:space="preserve"> and temperature</w:t>
      </w:r>
      <w:r w:rsidRPr="00A7167A">
        <w:rPr>
          <w:i/>
          <w:iCs/>
        </w:rPr>
        <w:t xml:space="preserve"> select</w:t>
      </w:r>
      <w:r w:rsidR="00135195">
        <w:rPr>
          <w:i/>
          <w:iCs/>
        </w:rPr>
        <w:t>s</w:t>
      </w:r>
      <w:r w:rsidRPr="00A7167A">
        <w:rPr>
          <w:i/>
          <w:iCs/>
        </w:rPr>
        <w:t xml:space="preserve"> for defense against predation, which may be a major reason why Microcystis aeruginosa are selected for in hyper-eutrophic lakes.</w:t>
      </w:r>
    </w:p>
    <w:p w14:paraId="30553427" w14:textId="14F36F85" w:rsidR="00A7167A" w:rsidRPr="00C05B1A" w:rsidRDefault="00E72947" w:rsidP="00621022">
      <w:pPr>
        <w:rPr>
          <w:i/>
          <w:iCs/>
        </w:rPr>
      </w:pPr>
      <w:r>
        <w:rPr>
          <w:i/>
          <w:iCs/>
        </w:rPr>
        <w:br w:type="page"/>
      </w:r>
    </w:p>
    <w:p w14:paraId="37CCD863" w14:textId="4B090AA0" w:rsidR="00236E6D" w:rsidRDefault="00965FBD" w:rsidP="004D24C7">
      <w:pPr>
        <w:pStyle w:val="Heading1"/>
      </w:pPr>
      <w:bookmarkStart w:id="20" w:name="_Toc420995896"/>
      <w:bookmarkStart w:id="21" w:name="_Toc422997483"/>
      <w:r>
        <w:lastRenderedPageBreak/>
        <w:br/>
      </w:r>
      <w:bookmarkStart w:id="22" w:name="_Toc98870951"/>
      <w:bookmarkEnd w:id="20"/>
      <w:bookmarkEnd w:id="21"/>
      <w:r w:rsidR="0052775F">
        <w:t>C</w:t>
      </w:r>
      <w:r w:rsidR="003F1425">
        <w:t>hapter Two</w:t>
      </w:r>
      <w:r w:rsidR="004D24C7">
        <w:t xml:space="preserve">: </w:t>
      </w:r>
      <w:r w:rsidR="000537E1">
        <w:t>E</w:t>
      </w:r>
      <w:r w:rsidR="00A7167A">
        <w:t xml:space="preserve">nvironmental </w:t>
      </w:r>
      <w:r w:rsidR="000537E1">
        <w:t>D</w:t>
      </w:r>
      <w:r w:rsidR="00A7167A">
        <w:t xml:space="preserve">ata </w:t>
      </w:r>
      <w:r w:rsidR="000537E1">
        <w:t>A</w:t>
      </w:r>
      <w:r w:rsidR="00A7167A">
        <w:t>nalysis</w:t>
      </w:r>
      <w:bookmarkEnd w:id="22"/>
    </w:p>
    <w:p w14:paraId="00EB88BF" w14:textId="71E418ED" w:rsidR="0052775F" w:rsidRDefault="0052775F" w:rsidP="00240F72">
      <w:pPr>
        <w:pStyle w:val="Heading2"/>
      </w:pPr>
      <w:bookmarkStart w:id="23" w:name="_Toc98870952"/>
      <w:bookmarkStart w:id="24" w:name="_Toc420995900"/>
      <w:bookmarkStart w:id="25" w:name="_Toc422997487"/>
      <w:r>
        <w:t>Lake Erie and Environmental Data</w:t>
      </w:r>
      <w:bookmarkEnd w:id="23"/>
    </w:p>
    <w:p w14:paraId="569D2572" w14:textId="77777777" w:rsidR="001F1DE3" w:rsidRPr="001F1DE3" w:rsidRDefault="001F1DE3" w:rsidP="001F1DE3"/>
    <w:p w14:paraId="66E9BBAF" w14:textId="133E59A2" w:rsidR="0052775F" w:rsidRPr="004C1A1B" w:rsidRDefault="0052775F" w:rsidP="0052775F">
      <w:pPr>
        <w:spacing w:line="480" w:lineRule="auto"/>
        <w:ind w:firstLine="720"/>
        <w:rPr>
          <w:rFonts w:cstheme="minorHAnsi"/>
        </w:rPr>
      </w:pPr>
      <w:r w:rsidRPr="00AE5F44">
        <w:rPr>
          <w:rFonts w:cstheme="minorHAnsi"/>
        </w:rPr>
        <w:t>To guide our model development appropriately we need to understand the environmental data.</w:t>
      </w:r>
      <w:r>
        <w:rPr>
          <w:rFonts w:cstheme="minorHAnsi"/>
        </w:rPr>
        <w:t xml:space="preserve"> We used data from Lake Taihu in China during 2005 to guide our question about seasonal succession in the phytoplankton-cyanobacteria communities </w:t>
      </w:r>
      <w:r>
        <w:rPr>
          <w:rFonts w:cstheme="minorHAnsi"/>
        </w:rPr>
        <w:fldChar w:fldCharType="begin" w:fldLock="1"/>
      </w:r>
      <w:r>
        <w:rPr>
          <w:rFonts w:cstheme="minorHAnsi"/>
        </w:rPr>
        <w:instrText>ADDIN CSL_CITATION {"citationItems":[{"id":"ITEM-1","itemData":{"DOI":"10.1007/s10750-008-9365-5","ISSN":"00188158","abstract":"The spring-summer successions of phytoplankton and crustacean zooplankton were examined weekly in Meiliang Bay of the subtropical Lake Taihu in 2004 and 2005. During the study period, the ecosystem of Meiliang Bay was characterized by (i) clearly declined nitrogen compounds (nitrate, TN, and ammonium) and slowly increased phosphorus compounds (TP and SRP), (ii) increased total phytoplankton density and rapid replacement of chlorophyta (mainly Ulothrix) by cyanobacteria (mainly Microcystis), and (iii) rapid replacement of large-sized crustaceans (Daphnia and Moina) by small-sized ones (Bosmina, Limnoithona, and Ceriodaphnia). Results from the CCA and correlation analysis indicate that the spring-summer phytoplankton succession was primarily controlled by abiotic factors. Cyanobacteria were mainly promoted by increased temperature and decreased concentrations of nitrogen compounds. The pure contribution of crustacean was low for the variation of phytoplankton suggesting a weak top-down control by crustacean zooplankton in the subtropical Lake Taihu. © 2008 Springer Science+Business Media B.V.","author":[{"dropping-particle":"","family":"Ke","given":"Zhixin","non-dropping-particle":"","parse-names":false,"suffix":""},{"dropping-particle":"","family":"Xie","given":"Ping","non-dropping-particle":"","parse-names":false,"suffix":""},{"dropping-particle":"","family":"Guo","given":"Longgen","non-dropping-particle":"","parse-names":false,"suffix":""}],"container-title":"Hydrobiologia","id":"ITEM-1","issue":"1","issued":{"date-parts":[["2008"]]},"page":"41-49","title":"Controlling factors of spring-summer phytoplankton succession in Lake Taihu (Meiliang Bay, China)","type":"article-journal","volume":"607"},"uris":["http://www.mendeley.com/documents/?uuid=5f90a3e5-0821-41b0-8925-96d841f686a0"]}],"mendeley":{"formattedCitation":"(Ke et al., 2008)","plainTextFormattedCitation":"(Ke et al., 2008)","previouslyFormattedCitation":"(Ke et al., 2008)"},"properties":{"noteIndex":0},"schema":"https://github.com/citation-style-language/schema/raw/master/csl-citation.json"}</w:instrText>
      </w:r>
      <w:r>
        <w:rPr>
          <w:rFonts w:cstheme="minorHAnsi"/>
        </w:rPr>
        <w:fldChar w:fldCharType="separate"/>
      </w:r>
      <w:r w:rsidRPr="00AE5F44">
        <w:rPr>
          <w:rFonts w:cstheme="minorHAnsi"/>
          <w:noProof/>
        </w:rPr>
        <w:t>(Ke et al., 2008)</w:t>
      </w:r>
      <w:r>
        <w:rPr>
          <w:rFonts w:cstheme="minorHAnsi"/>
        </w:rPr>
        <w:fldChar w:fldCharType="end"/>
      </w:r>
      <w:r>
        <w:rPr>
          <w:rFonts w:cstheme="minorHAnsi"/>
        </w:rPr>
        <w:t>. As seen in the data from Lake Taihu (</w:t>
      </w:r>
      <w:r w:rsidRPr="00D15E51">
        <w:rPr>
          <w:rFonts w:cstheme="minorHAnsi"/>
          <w:b/>
          <w:bCs/>
        </w:rPr>
        <w:t xml:space="preserve">Figure </w:t>
      </w:r>
      <w:r>
        <w:rPr>
          <w:rFonts w:cstheme="minorHAnsi"/>
          <w:b/>
          <w:bCs/>
        </w:rPr>
        <w:t>3</w:t>
      </w:r>
      <w:r>
        <w:rPr>
          <w:rFonts w:cstheme="minorHAnsi"/>
        </w:rPr>
        <w:t xml:space="preserve">), there is a seasonal succession between eukaryotic algae and </w:t>
      </w:r>
      <w:r>
        <w:rPr>
          <w:rFonts w:cstheme="minorHAnsi"/>
          <w:i/>
          <w:iCs/>
        </w:rPr>
        <w:t>Microcystis</w:t>
      </w:r>
      <w:r>
        <w:rPr>
          <w:rFonts w:cstheme="minorHAnsi"/>
        </w:rPr>
        <w:t xml:space="preserve"> </w:t>
      </w:r>
      <w:r>
        <w:rPr>
          <w:rFonts w:cstheme="minorHAnsi"/>
        </w:rPr>
        <w:fldChar w:fldCharType="begin" w:fldLock="1"/>
      </w:r>
      <w:r>
        <w:rPr>
          <w:rFonts w:cstheme="minorHAnsi"/>
        </w:rPr>
        <w:instrText>ADDIN CSL_CITATION {"citationItems":[{"id":"ITEM-1","itemData":{"DOI":"10.1007/s10750-008-9365-5","ISSN":"00188158","abstract":"The spring-summer successions of phytoplankton and crustacean zooplankton were examined weekly in Meiliang Bay of the subtropical Lake Taihu in 2004 and 2005. During the study period, the ecosystem of Meiliang Bay was characterized by (i) clearly declined nitrogen compounds (nitrate, TN, and ammonium) and slowly increased phosphorus compounds (TP and SRP), (ii) increased total phytoplankton density and rapid replacement of chlorophyta (mainly Ulothrix) by cyanobacteria (mainly Microcystis), and (iii) rapid replacement of large-sized crustaceans (Daphnia and Moina) by small-sized ones (Bosmina, Limnoithona, and Ceriodaphnia). Results from the CCA and correlation analysis indicate that the spring-summer phytoplankton succession was primarily controlled by abiotic factors. Cyanobacteria were mainly promoted by increased temperature and decreased concentrations of nitrogen compounds. The pure contribution of crustacean was low for the variation of phytoplankton suggesting a weak top-down control by crustacean zooplankton in the subtropical Lake Taihu. © 2008 Springer Science+Business Media B.V.","author":[{"dropping-particle":"","family":"Ke","given":"Zhixin","non-dropping-particle":"","parse-names":false,"suffix":""},{"dropping-particle":"","family":"Xie","given":"Ping","non-dropping-particle":"","parse-names":false,"suffix":""},{"dropping-particle":"","family":"Guo","given":"Longgen","non-dropping-particle":"","parse-names":false,"suffix":""}],"container-title":"Hydrobiologia","id":"ITEM-1","issue":"1","issued":{"date-parts":[["2008"]]},"page":"41-49","title":"Controlling factors of spring-summer phytoplankton succession in Lake Taihu (Meiliang Bay, China)","type":"article-journal","volume":"607"},"uris":["http://www.mendeley.com/documents/?uuid=5f90a3e5-0821-41b0-8925-96d841f686a0"]}],"mendeley":{"formattedCitation":"(Ke et al., 2008)","plainTextFormattedCitation":"(Ke et al., 2008)","previouslyFormattedCitation":"(Ke et al., 2008)"},"properties":{"noteIndex":0},"schema":"https://github.com/citation-style-language/schema/raw/master/csl-citation.json"}</w:instrText>
      </w:r>
      <w:r>
        <w:rPr>
          <w:rFonts w:cstheme="minorHAnsi"/>
        </w:rPr>
        <w:fldChar w:fldCharType="separate"/>
      </w:r>
      <w:r w:rsidRPr="00AE5F44">
        <w:rPr>
          <w:rFonts w:cstheme="minorHAnsi"/>
          <w:noProof/>
        </w:rPr>
        <w:t>(Ke et al., 2008)</w:t>
      </w:r>
      <w:r>
        <w:rPr>
          <w:rFonts w:cstheme="minorHAnsi"/>
        </w:rPr>
        <w:fldChar w:fldCharType="end"/>
      </w:r>
      <w:r>
        <w:rPr>
          <w:rFonts w:cstheme="minorHAnsi"/>
        </w:rPr>
        <w:t xml:space="preserve">. The eukaryotic algae have a higher biomass throughout the year until late May when there is a transition from eukaryotic algae to </w:t>
      </w:r>
      <w:r>
        <w:rPr>
          <w:rFonts w:cstheme="minorHAnsi"/>
          <w:i/>
          <w:iCs/>
        </w:rPr>
        <w:t>Microcystis</w:t>
      </w:r>
      <w:r>
        <w:rPr>
          <w:rFonts w:cstheme="minorHAnsi"/>
        </w:rPr>
        <w:t xml:space="preserve"> dominating the community. </w:t>
      </w:r>
    </w:p>
    <w:p w14:paraId="127F7F0C" w14:textId="238F2191" w:rsidR="0073710F" w:rsidRDefault="0052775F" w:rsidP="00836E99">
      <w:pPr>
        <w:spacing w:line="480" w:lineRule="auto"/>
        <w:ind w:firstLine="720"/>
        <w:rPr>
          <w:rFonts w:cstheme="minorHAnsi"/>
        </w:rPr>
      </w:pPr>
      <w:r>
        <w:rPr>
          <w:rFonts w:cstheme="minorHAnsi"/>
        </w:rPr>
        <w:t xml:space="preserve">In looking at data from Lake Erie, a priority is to determine how general this successional pattern is. </w:t>
      </w:r>
      <w:r w:rsidRPr="006530E4">
        <w:rPr>
          <w:rFonts w:cstheme="minorHAnsi"/>
        </w:rPr>
        <w:t>Therefore, we used data from NOAA and the EPA’s CDX data exchange for time series data from Lake Erie</w:t>
      </w:r>
      <w:r>
        <w:rPr>
          <w:rFonts w:cstheme="minorHAnsi"/>
        </w:rPr>
        <w:t xml:space="preserve"> </w:t>
      </w:r>
      <w:r w:rsidR="00BF4779">
        <w:rPr>
          <w:rFonts w:cstheme="minorHAnsi"/>
        </w:rPr>
        <w:t>(</w:t>
      </w:r>
      <w:r w:rsidRPr="00D15E51">
        <w:rPr>
          <w:rFonts w:cstheme="minorHAnsi"/>
          <w:b/>
          <w:bCs/>
        </w:rPr>
        <w:t xml:space="preserve">Figure </w:t>
      </w:r>
      <w:r>
        <w:rPr>
          <w:rFonts w:cstheme="minorHAnsi"/>
          <w:b/>
          <w:bCs/>
        </w:rPr>
        <w:t>4</w:t>
      </w:r>
      <w:r w:rsidR="00BF4779">
        <w:rPr>
          <w:rFonts w:cstheme="minorHAnsi"/>
        </w:rPr>
        <w:t xml:space="preserve">) </w:t>
      </w:r>
      <w:r w:rsidRPr="006530E4">
        <w:rPr>
          <w:rFonts w:cstheme="minorHAnsi"/>
        </w:rPr>
        <w:fldChar w:fldCharType="begin" w:fldLock="1"/>
      </w:r>
      <w:r w:rsidRPr="006530E4">
        <w:rPr>
          <w:rFonts w:cstheme="minorHAnsi"/>
        </w:rPr>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2019)","plainTextFormattedCitation":"(Burtner et al., 2019; U. S. EPA, 2019)","previouslyFormattedCitation":"(Burtner et al., 2019; U. S. EPA, 2019)"},"properties":{"noteIndex":0},"schema":"https://github.com/citation-style-language/schema/raw/master/csl-citation.json"}</w:instrText>
      </w:r>
      <w:r w:rsidRPr="006530E4">
        <w:rPr>
          <w:rFonts w:cstheme="minorHAnsi"/>
        </w:rPr>
        <w:fldChar w:fldCharType="separate"/>
      </w:r>
      <w:r w:rsidRPr="006530E4">
        <w:rPr>
          <w:rFonts w:cstheme="minorHAnsi"/>
          <w:noProof/>
        </w:rPr>
        <w:t>(Burtner et al., 2019; U. S. EPA, 2019)</w:t>
      </w:r>
      <w:r w:rsidRPr="006530E4">
        <w:rPr>
          <w:rFonts w:cstheme="minorHAnsi"/>
        </w:rPr>
        <w:fldChar w:fldCharType="end"/>
      </w:r>
      <w:r w:rsidRPr="006530E4">
        <w:rPr>
          <w:rFonts w:cstheme="minorHAnsi"/>
        </w:rPr>
        <w:t>. The NOAA time series data was from buoys in the western basin in Lake Erie and was taken from 2012 through 2018. This time series data collected total phosphorus concentrations, pigment concentrations (chlorophyll-a and phycocyanin), ammonia, nitrate, and nitr</w:t>
      </w:r>
      <w:r w:rsidR="00836E99">
        <w:rPr>
          <w:rFonts w:cstheme="minorHAnsi"/>
        </w:rPr>
        <w:t>i</w:t>
      </w:r>
      <w:r w:rsidRPr="006530E4">
        <w:rPr>
          <w:rFonts w:cstheme="minorHAnsi"/>
        </w:rPr>
        <w:t xml:space="preserve">te concentrations as well as microcystin concentrations and other environmental conditions. Time series data from the EPA’s CDX data exchange program was collected in all three basins of Lake Erie and was collected from 1997 to 2018. This time series data collected number of individual counts and biomass </w:t>
      </w:r>
    </w:p>
    <w:p w14:paraId="7F341162" w14:textId="135025FE" w:rsidR="0073710F" w:rsidRDefault="00947EEE">
      <w:pPr>
        <w:rPr>
          <w:rFonts w:cstheme="minorHAnsi"/>
        </w:rPr>
      </w:pPr>
      <w:r w:rsidRPr="0073710F">
        <w:rPr>
          <w:rFonts w:cstheme="minorHAnsi"/>
          <w:noProof/>
        </w:rPr>
        <w:lastRenderedPageBreak/>
        <mc:AlternateContent>
          <mc:Choice Requires="wps">
            <w:drawing>
              <wp:anchor distT="0" distB="0" distL="114300" distR="114300" simplePos="0" relativeHeight="251912192" behindDoc="1" locked="0" layoutInCell="1" allowOverlap="1" wp14:anchorId="3BBED9DB" wp14:editId="4B5D9B04">
                <wp:simplePos x="0" y="0"/>
                <wp:positionH relativeFrom="column">
                  <wp:posOffset>3175</wp:posOffset>
                </wp:positionH>
                <wp:positionV relativeFrom="paragraph">
                  <wp:posOffset>5093674</wp:posOffset>
                </wp:positionV>
                <wp:extent cx="5615188" cy="952500"/>
                <wp:effectExtent l="0" t="0" r="0" b="0"/>
                <wp:wrapTight wrapText="bothSides">
                  <wp:wrapPolygon edited="0">
                    <wp:start x="0" y="0"/>
                    <wp:lineTo x="0" y="21312"/>
                    <wp:lineTo x="21546" y="21312"/>
                    <wp:lineTo x="21546"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5615188" cy="952500"/>
                        </a:xfrm>
                        <a:prstGeom prst="rect">
                          <a:avLst/>
                        </a:prstGeom>
                        <a:solidFill>
                          <a:schemeClr val="lt1"/>
                        </a:solidFill>
                        <a:ln w="6350">
                          <a:noFill/>
                        </a:ln>
                      </wps:spPr>
                      <wps:txbx>
                        <w:txbxContent>
                          <w:p w14:paraId="78583BD3" w14:textId="477005FC" w:rsidR="00947EEE" w:rsidRDefault="0073710F" w:rsidP="00947EEE">
                            <w:pPr>
                              <w:pStyle w:val="Subtitle"/>
                            </w:pPr>
                            <w:bookmarkStart w:id="26" w:name="_Toc98704965"/>
                            <w:r w:rsidRPr="00836E99">
                              <w:t>Figure 4:</w:t>
                            </w:r>
                            <w:r w:rsidRPr="00A954E1">
                              <w:t xml:space="preserve"> </w:t>
                            </w:r>
                            <w:r w:rsidR="00947EEE">
                              <w:t>Lake Erie Sampling Locations</w:t>
                            </w:r>
                            <w:bookmarkEnd w:id="26"/>
                          </w:p>
                          <w:p w14:paraId="339423A3" w14:textId="24B96B5B" w:rsidR="0073710F" w:rsidRPr="00567F7F" w:rsidRDefault="0073710F" w:rsidP="0073710F">
                            <w:pPr>
                              <w:rPr>
                                <w:rFonts w:ascii="Times" w:hAnsi="Times"/>
                                <w:sz w:val="20"/>
                                <w:szCs w:val="20"/>
                              </w:rPr>
                            </w:pPr>
                            <w:r w:rsidRPr="00A954E1">
                              <w:t xml:space="preserve">Sampling locations (latitude, longitude) in Lake Erie. Red markers measured nutrient and pigment concentrations. Blue markers measured biomass of zooplankton </w:t>
                            </w:r>
                            <w:r w:rsidRPr="00A954E1">
                              <w:fldChar w:fldCharType="begin" w:fldLock="1"/>
                            </w:r>
                            <w:r w:rsidRPr="00A954E1">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2019)","plainTextFormattedCitation":"(Burtner et al., 2019; U. S. EPA, 2019)","previouslyFormattedCitation":"(Burtner et al., 2019; U. S. EPA, 2019)"},"properties":{"noteIndex":0},"schema":"https://github.com/citation-style-language/schema/raw/master/csl-citation.json"}</w:instrText>
                            </w:r>
                            <w:r w:rsidRPr="00A954E1">
                              <w:fldChar w:fldCharType="separate"/>
                            </w:r>
                            <w:r w:rsidRPr="00A954E1">
                              <w:rPr>
                                <w:noProof/>
                              </w:rPr>
                              <w:t>(Burtner et al., 2019; U. S. EPA, 2019)</w:t>
                            </w:r>
                            <w:r w:rsidRPr="00A954E1">
                              <w:fldChar w:fldCharType="end"/>
                            </w:r>
                            <w:r w:rsidRPr="00567F7F">
                              <w:rPr>
                                <w:rFonts w:ascii="Times" w:hAnsi="Time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ED9DB" id="Text Box 12" o:spid="_x0000_s1028" type="#_x0000_t202" style="position:absolute;margin-left:.25pt;margin-top:401.1pt;width:442.15pt;height:75pt;z-index:-2514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" fillcolor="white [3201]" stroked="f" strokeweight=".5pt">
                <v:textbox>
                  <w:txbxContent>
                    <w:p w14:paraId="78583BD3" w14:textId="477005FC" w:rsidR="00947EEE" w:rsidRDefault="0073710F" w:rsidP="00947EEE">
                      <w:pPr>
                        <w:pStyle w:val="Subtitle"/>
                      </w:pPr>
                      <w:bookmarkStart w:id="29" w:name="_Toc98704965"/>
                      <w:r w:rsidRPr="00836E99">
                        <w:t>Figure 4:</w:t>
                      </w:r>
                      <w:r w:rsidRPr="00A954E1">
                        <w:t xml:space="preserve"> </w:t>
                      </w:r>
                      <w:r w:rsidR="00947EEE">
                        <w:t>Lake Erie Sampling Locations</w:t>
                      </w:r>
                      <w:bookmarkEnd w:id="29"/>
                    </w:p>
                    <w:p w14:paraId="339423A3" w14:textId="24B96B5B" w:rsidR="0073710F" w:rsidRPr="00567F7F" w:rsidRDefault="0073710F" w:rsidP="0073710F">
                      <w:pPr>
                        <w:rPr>
                          <w:rFonts w:ascii="Times" w:hAnsi="Times"/>
                          <w:sz w:val="20"/>
                          <w:szCs w:val="20"/>
                        </w:rPr>
                      </w:pPr>
                      <w:r w:rsidRPr="00A954E1">
                        <w:t xml:space="preserve">Sampling locations (latitude, longitude) in Lake Erie. Red markers measured nutrient and pigment concentrations. Blue markers measured biomass of zooplankton </w:t>
                      </w:r>
                      <w:r w:rsidRPr="00A954E1">
                        <w:fldChar w:fldCharType="begin" w:fldLock="1"/>
                      </w:r>
                      <w:r w:rsidRPr="00A954E1">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2019)","plainTextFormattedCitation":"(Burtner et al., 2019; U. S. EPA, 2019)","previouslyFormattedCitation":"(Burtner et al., 2019; U. S. EPA, 2019)"},"properties":{"noteIndex":0},"schema":"https://github.com/citation-style-language/schema/raw/master/csl-citation.json"}</w:instrText>
                      </w:r>
                      <w:r w:rsidRPr="00A954E1">
                        <w:fldChar w:fldCharType="separate"/>
                      </w:r>
                      <w:r w:rsidRPr="00A954E1">
                        <w:rPr>
                          <w:noProof/>
                        </w:rPr>
                        <w:t>(Burtner et al., 2019; U. S. EPA, 2019)</w:t>
                      </w:r>
                      <w:r w:rsidRPr="00A954E1">
                        <w:fldChar w:fldCharType="end"/>
                      </w:r>
                      <w:r w:rsidRPr="00567F7F">
                        <w:rPr>
                          <w:rFonts w:ascii="Times" w:hAnsi="Times"/>
                          <w:sz w:val="20"/>
                          <w:szCs w:val="20"/>
                        </w:rPr>
                        <w:t>.</w:t>
                      </w:r>
                    </w:p>
                  </w:txbxContent>
                </v:textbox>
                <w10:wrap type="tight"/>
              </v:shape>
            </w:pict>
          </mc:Fallback>
        </mc:AlternateContent>
      </w:r>
      <w:r w:rsidRPr="0073710F">
        <w:rPr>
          <w:rFonts w:cstheme="minorHAnsi"/>
          <w:noProof/>
        </w:rPr>
        <w:drawing>
          <wp:anchor distT="0" distB="0" distL="114300" distR="114300" simplePos="0" relativeHeight="251913216" behindDoc="0" locked="0" layoutInCell="1" allowOverlap="1" wp14:anchorId="793F2DEC" wp14:editId="705E5482">
            <wp:simplePos x="0" y="0"/>
            <wp:positionH relativeFrom="column">
              <wp:posOffset>0</wp:posOffset>
            </wp:positionH>
            <wp:positionV relativeFrom="paragraph">
              <wp:posOffset>3088408</wp:posOffset>
            </wp:positionV>
            <wp:extent cx="3743325" cy="1892300"/>
            <wp:effectExtent l="0" t="0" r="3175" b="0"/>
            <wp:wrapSquare wrapText="bothSides"/>
            <wp:docPr id="1" name="Picture 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3325" cy="1892300"/>
                    </a:xfrm>
                    <a:prstGeom prst="rect">
                      <a:avLst/>
                    </a:prstGeom>
                  </pic:spPr>
                </pic:pic>
              </a:graphicData>
            </a:graphic>
            <wp14:sizeRelH relativeFrom="page">
              <wp14:pctWidth>0</wp14:pctWidth>
            </wp14:sizeRelH>
            <wp14:sizeRelV relativeFrom="page">
              <wp14:pctHeight>0</wp14:pctHeight>
            </wp14:sizeRelV>
          </wp:anchor>
        </w:drawing>
      </w:r>
      <w:r w:rsidRPr="0073710F">
        <w:rPr>
          <w:rFonts w:cstheme="minorHAnsi"/>
          <w:noProof/>
        </w:rPr>
        <mc:AlternateContent>
          <mc:Choice Requires="wps">
            <w:drawing>
              <wp:anchor distT="0" distB="0" distL="114300" distR="114300" simplePos="0" relativeHeight="251911168" behindDoc="0" locked="0" layoutInCell="1" allowOverlap="1" wp14:anchorId="4BFA21F3" wp14:editId="436772B4">
                <wp:simplePos x="0" y="0"/>
                <wp:positionH relativeFrom="column">
                  <wp:posOffset>3175</wp:posOffset>
                </wp:positionH>
                <wp:positionV relativeFrom="paragraph">
                  <wp:posOffset>2240915</wp:posOffset>
                </wp:positionV>
                <wp:extent cx="5395595" cy="656590"/>
                <wp:effectExtent l="0" t="0" r="1905" b="3810"/>
                <wp:wrapSquare wrapText="bothSides"/>
                <wp:docPr id="27" name="Text Box 27"/>
                <wp:cNvGraphicFramePr/>
                <a:graphic xmlns:a="http://schemas.openxmlformats.org/drawingml/2006/main">
                  <a:graphicData uri="http://schemas.microsoft.com/office/word/2010/wordprocessingShape">
                    <wps:wsp>
                      <wps:cNvSpPr txBox="1"/>
                      <wps:spPr>
                        <a:xfrm>
                          <a:off x="0" y="0"/>
                          <a:ext cx="5395595" cy="656590"/>
                        </a:xfrm>
                        <a:prstGeom prst="rect">
                          <a:avLst/>
                        </a:prstGeom>
                        <a:solidFill>
                          <a:schemeClr val="lt1"/>
                        </a:solidFill>
                        <a:ln w="6350">
                          <a:noFill/>
                        </a:ln>
                      </wps:spPr>
                      <wps:txbx>
                        <w:txbxContent>
                          <w:p w14:paraId="66ED9AC9" w14:textId="785D0C9A" w:rsidR="00947EEE" w:rsidRDefault="0073710F" w:rsidP="00947EEE">
                            <w:pPr>
                              <w:pStyle w:val="Subtitle"/>
                            </w:pPr>
                            <w:bookmarkStart w:id="27" w:name="_Toc98704966"/>
                            <w:r w:rsidRPr="00836E99">
                              <w:t>Figure 3:</w:t>
                            </w:r>
                            <w:r>
                              <w:t xml:space="preserve"> </w:t>
                            </w:r>
                            <w:r w:rsidR="00947EEE">
                              <w:t>Lake Taihu Data</w:t>
                            </w:r>
                            <w:bookmarkEnd w:id="27"/>
                          </w:p>
                          <w:p w14:paraId="3D5651FD" w14:textId="57AB6FD1" w:rsidR="0073710F" w:rsidRPr="00846563" w:rsidRDefault="0073710F" w:rsidP="0073710F">
                            <w:pPr>
                              <w:rPr>
                                <w:i/>
                                <w:iCs/>
                              </w:rPr>
                            </w:pPr>
                            <w:r>
                              <w:t xml:space="preserve">Data from Lake Taihu showing successional pattern between eukaryotic algae and </w:t>
                            </w:r>
                            <w:r>
                              <w:rPr>
                                <w:i/>
                                <w:iCs/>
                              </w:rPr>
                              <w:t xml:space="preserve">Microcystis </w:t>
                            </w:r>
                            <w:r>
                              <w:rPr>
                                <w:rFonts w:cstheme="minorHAnsi"/>
                              </w:rPr>
                              <w:fldChar w:fldCharType="begin" w:fldLock="1"/>
                            </w:r>
                            <w:r>
                              <w:rPr>
                                <w:rFonts w:cstheme="minorHAnsi"/>
                              </w:rPr>
                              <w:instrText>ADDIN CSL_CITATION {"citationItems":[{"id":"ITEM-1","itemData":{"DOI":"10.1007/s10750-008-9365-5","ISSN":"00188158","abstract":"The spring-summer successions of phytoplankton and crustacean zooplankton were examined weekly in Meiliang Bay of the subtropical Lake Taihu in 2004 and 2005. During the study period, the ecosystem of Meiliang Bay was characterized by (i) clearly declined nitrogen compounds (nitrate, TN, and ammonium) and slowly increased phosphorus compounds (TP and SRP), (ii) increased total phytoplankton density and rapid replacement of chlorophyta (mainly Ulothrix) by cyanobacteria (mainly Microcystis), and (iii) rapid replacement of large-sized crustaceans (Daphnia and Moina) by small-sized ones (Bosmina, Limnoithona, and Ceriodaphnia). Results from the CCA and correlation analysis indicate that the spring-summer phytoplankton succession was primarily controlled by abiotic factors. Cyanobacteria were mainly promoted by increased temperature and decreased concentrations of nitrogen compounds. The pure contribution of crustacean was low for the variation of phytoplankton suggesting a weak top-down control by crustacean zooplankton in the subtropical Lake Taihu. © 2008 Springer Science+Business Media B.V.","author":[{"dropping-particle":"","family":"Ke","given":"Zhixin","non-dropping-particle":"","parse-names":false,"suffix":""},{"dropping-particle":"","family":"Xie","given":"Ping","non-dropping-particle":"","parse-names":false,"suffix":""},{"dropping-particle":"","family":"Guo","given":"Longgen","non-dropping-particle":"","parse-names":false,"suffix":""}],"container-title":"Hydrobiologia","id":"ITEM-1","issue":"1","issued":{"date-parts":[["2008"]]},"page":"41-49","title":"Controlling factors of spring-summer phytoplankton succession in Lake Taihu (Meiliang Bay, China)","type":"article-journal","volume":"607"},"uris":["http://www.mendeley.com/documents/?uuid=5f90a3e5-0821-41b0-8925-96d841f686a0"]}],"mendeley":{"formattedCitation":"(Ke et al., 2008)","plainTextFormattedCitation":"(Ke et al., 2008)","previouslyFormattedCitation":"(Ke et al., 2008)"},"properties":{"noteIndex":0},"schema":"https://github.com/citation-style-language/schema/raw/master/csl-citation.json"}</w:instrText>
                            </w:r>
                            <w:r>
                              <w:rPr>
                                <w:rFonts w:cstheme="minorHAnsi"/>
                              </w:rPr>
                              <w:fldChar w:fldCharType="separate"/>
                            </w:r>
                            <w:r w:rsidRPr="00AE5F44">
                              <w:rPr>
                                <w:rFonts w:cstheme="minorHAnsi"/>
                                <w:noProof/>
                              </w:rPr>
                              <w:t>(Ke et al., 2008)</w:t>
                            </w:r>
                            <w:r>
                              <w:rPr>
                                <w:rFonts w:cstheme="minorHAnsi"/>
                              </w:rPr>
                              <w:fldChar w:fldCharType="end"/>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A21F3" id="Text Box 27" o:spid="_x0000_s1029" type="#_x0000_t202" style="position:absolute;margin-left:.25pt;margin-top:176.45pt;width:424.85pt;height:51.7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" fillcolor="white [3201]" stroked="f" strokeweight=".5pt">
                <v:textbox>
                  <w:txbxContent>
                    <w:p w14:paraId="66ED9AC9" w14:textId="785D0C9A" w:rsidR="00947EEE" w:rsidRDefault="0073710F" w:rsidP="00947EEE">
                      <w:pPr>
                        <w:pStyle w:val="Subtitle"/>
                      </w:pPr>
                      <w:bookmarkStart w:id="31" w:name="_Toc98704966"/>
                      <w:r w:rsidRPr="00836E99">
                        <w:t>Figure 3:</w:t>
                      </w:r>
                      <w:r>
                        <w:t xml:space="preserve"> </w:t>
                      </w:r>
                      <w:r w:rsidR="00947EEE">
                        <w:t>Lake Taihu Data</w:t>
                      </w:r>
                      <w:bookmarkEnd w:id="31"/>
                    </w:p>
                    <w:p w14:paraId="3D5651FD" w14:textId="57AB6FD1" w:rsidR="0073710F" w:rsidRPr="00846563" w:rsidRDefault="0073710F" w:rsidP="0073710F">
                      <w:pPr>
                        <w:rPr>
                          <w:i/>
                          <w:iCs/>
                        </w:rPr>
                      </w:pPr>
                      <w:r>
                        <w:t xml:space="preserve">Data from Lake Taihu showing successional pattern between eukaryotic algae and </w:t>
                      </w:r>
                      <w:r>
                        <w:rPr>
                          <w:i/>
                          <w:iCs/>
                        </w:rPr>
                        <w:t xml:space="preserve">Microcystis </w:t>
                      </w:r>
                      <w:r>
                        <w:rPr>
                          <w:rFonts w:cstheme="minorHAnsi"/>
                        </w:rPr>
                        <w:fldChar w:fldCharType="begin" w:fldLock="1"/>
                      </w:r>
                      <w:r>
                        <w:rPr>
                          <w:rFonts w:cstheme="minorHAnsi"/>
                        </w:rPr>
                        <w:instrText>ADDIN CSL_CITATION {"citationItems":[{"id":"ITEM-1","itemData":{"DOI":"10.1007/s10750-008-9365-5","ISSN":"00188158","abstract":"The spring-summer successions of phytoplankton and crustacean zooplankton were examined weekly in Meiliang Bay of the subtropical Lake Taihu in 2004 and 2005. During the study period, the ecosystem of Meiliang Bay was characterized by (i) clearly declined nitrogen compounds (nitrate, TN, and ammonium) and slowly increased phosphorus compounds (TP and SRP), (ii) increased total phytoplankton density and rapid replacement of chlorophyta (mainly Ulothrix) by cyanobacteria (mainly Microcystis), and (iii) rapid replacement of large-sized crustaceans (Daphnia and Moina) by small-sized ones (Bosmina, Limnoithona, and Ceriodaphnia). Results from the CCA and correlation analysis indicate that the spring-summer phytoplankton succession was primarily controlled by abiotic factors. Cyanobacteria were mainly promoted by increased temperature and decreased concentrations of nitrogen compounds. The pure contribution of crustacean was low for the variation of phytoplankton suggesting a weak top-down control by crustacean zooplankton in the subtropical Lake Taihu. © 2008 Springer Science+Business Media B.V.","author":[{"dropping-particle":"","family":"Ke","given":"Zhixin","non-dropping-particle":"","parse-names":false,"suffix":""},{"dropping-particle":"","family":"Xie","given":"Ping","non-dropping-particle":"","parse-names":false,"suffix":""},{"dropping-particle":"","family":"Guo","given":"Longgen","non-dropping-particle":"","parse-names":false,"suffix":""}],"container-title":"Hydrobiologia","id":"ITEM-1","issue":"1","issued":{"date-parts":[["2008"]]},"page":"41-49","title":"Controlling factors of spring-summer phytoplankton succession in Lake Taihu (Meiliang Bay, China)","type":"article-journal","volume":"607"},"uris":["http://www.mendeley.com/documents/?uuid=5f90a3e5-0821-41b0-8925-96d841f686a0"]}],"mendeley":{"formattedCitation":"(Ke et al., 2008)","plainTextFormattedCitation":"(Ke et al., 2008)","previouslyFormattedCitation":"(Ke et al., 2008)"},"properties":{"noteIndex":0},"schema":"https://github.com/citation-style-language/schema/raw/master/csl-citation.json"}</w:instrText>
                      </w:r>
                      <w:r>
                        <w:rPr>
                          <w:rFonts w:cstheme="minorHAnsi"/>
                        </w:rPr>
                        <w:fldChar w:fldCharType="separate"/>
                      </w:r>
                      <w:r w:rsidRPr="00AE5F44">
                        <w:rPr>
                          <w:rFonts w:cstheme="minorHAnsi"/>
                          <w:noProof/>
                        </w:rPr>
                        <w:t>(Ke et al., 2008)</w:t>
                      </w:r>
                      <w:r>
                        <w:rPr>
                          <w:rFonts w:cstheme="minorHAnsi"/>
                        </w:rPr>
                        <w:fldChar w:fldCharType="end"/>
                      </w:r>
                      <w:r>
                        <w:rPr>
                          <w:rFonts w:cstheme="minorHAnsi"/>
                        </w:rPr>
                        <w:t>.</w:t>
                      </w:r>
                    </w:p>
                  </w:txbxContent>
                </v:textbox>
                <w10:wrap type="square"/>
              </v:shape>
            </w:pict>
          </mc:Fallback>
        </mc:AlternateContent>
      </w:r>
      <w:r w:rsidR="0073710F">
        <w:rPr>
          <w:rFonts w:cstheme="minorHAnsi"/>
        </w:rPr>
        <w:br w:type="page"/>
      </w:r>
      <w:r w:rsidR="0073710F" w:rsidRPr="0073710F">
        <w:rPr>
          <w:rFonts w:cstheme="minorHAnsi"/>
          <w:noProof/>
        </w:rPr>
        <w:drawing>
          <wp:anchor distT="0" distB="0" distL="114300" distR="114300" simplePos="0" relativeHeight="251910144" behindDoc="0" locked="0" layoutInCell="1" allowOverlap="1" wp14:anchorId="7A4A30C1" wp14:editId="5B2D3948">
            <wp:simplePos x="0" y="0"/>
            <wp:positionH relativeFrom="column">
              <wp:posOffset>0</wp:posOffset>
            </wp:positionH>
            <wp:positionV relativeFrom="paragraph">
              <wp:posOffset>193040</wp:posOffset>
            </wp:positionV>
            <wp:extent cx="5396230" cy="1914525"/>
            <wp:effectExtent l="12700" t="12700" r="13970" b="15875"/>
            <wp:wrapSquare wrapText="bothSides"/>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line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96230" cy="19145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B3705A8" w14:textId="5F43CF40" w:rsidR="0052775F" w:rsidRDefault="0052775F" w:rsidP="0073710F">
      <w:pPr>
        <w:spacing w:line="480" w:lineRule="auto"/>
        <w:rPr>
          <w:rFonts w:cstheme="minorHAnsi"/>
        </w:rPr>
      </w:pPr>
      <w:r w:rsidRPr="006530E4">
        <w:rPr>
          <w:rFonts w:cstheme="minorHAnsi"/>
        </w:rPr>
        <w:lastRenderedPageBreak/>
        <w:t xml:space="preserve">measurements for several different zooplankton species. For simplicity, in this analysis we combined all the zooplankton species biomasses to get an overall understanding of the changing zooplankton biomass throughout the year. Our analysis uses the </w:t>
      </w:r>
      <w:proofErr w:type="gramStart"/>
      <w:r w:rsidRPr="006530E4">
        <w:rPr>
          <w:rFonts w:cstheme="minorHAnsi"/>
        </w:rPr>
        <w:t>pandas</w:t>
      </w:r>
      <w:proofErr w:type="gramEnd"/>
      <w:r w:rsidRPr="006530E4">
        <w:rPr>
          <w:rFonts w:cstheme="minorHAnsi"/>
        </w:rPr>
        <w:t xml:space="preserve"> </w:t>
      </w:r>
      <w:r w:rsidR="00332B84">
        <w:rPr>
          <w:rFonts w:cstheme="minorHAnsi"/>
        </w:rPr>
        <w:t>library</w:t>
      </w:r>
      <w:r w:rsidRPr="006530E4">
        <w:rPr>
          <w:rFonts w:cstheme="minorHAnsi"/>
        </w:rPr>
        <w:t xml:space="preserve"> in Python to organize and analyze our data. </w:t>
      </w:r>
    </w:p>
    <w:p w14:paraId="20D111FF" w14:textId="42486006" w:rsidR="00836E99" w:rsidRDefault="00836E99" w:rsidP="00836E99">
      <w:pPr>
        <w:spacing w:line="480" w:lineRule="auto"/>
        <w:ind w:firstLine="720"/>
      </w:pPr>
      <w:proofErr w:type="gramStart"/>
      <w:r w:rsidRPr="00D53AD5">
        <w:t>In order to</w:t>
      </w:r>
      <w:proofErr w:type="gramEnd"/>
      <w:r w:rsidRPr="00D53AD5">
        <w:t xml:space="preserve"> gain a full understanding of the different patterns in the nutrient and pigment concentrations we analyzed the data per year and throughout each year</w:t>
      </w:r>
      <w:r>
        <w:t xml:space="preserve"> </w:t>
      </w:r>
      <w:r w:rsidRPr="00836E99">
        <w:rPr>
          <w:b/>
          <w:bCs/>
        </w:rPr>
        <w:t>(Figure 5).</w:t>
      </w:r>
      <w:r>
        <w:t xml:space="preserve"> Some yearly patterns seem to emerge, but it is difficult to tease through the importance of those potential patterns when looking at the </w:t>
      </w:r>
      <w:proofErr w:type="gramStart"/>
      <w:r>
        <w:t>data as a whole</w:t>
      </w:r>
      <w:proofErr w:type="gramEnd"/>
      <w:r>
        <w:t>. We also</w:t>
      </w:r>
      <w:r w:rsidRPr="00D53AD5">
        <w:t xml:space="preserve"> wanted to get an understanding of both bottom-up and top-down data in the environment. Thus, our analysis led us to investigating how the predators’ biomass in Lake Erie changes throughout the year</w:t>
      </w:r>
      <w:r>
        <w:t xml:space="preserve"> </w:t>
      </w:r>
      <w:r w:rsidRPr="00836E99">
        <w:rPr>
          <w:b/>
          <w:bCs/>
        </w:rPr>
        <w:t>(Figure 6)</w:t>
      </w:r>
      <w:r w:rsidRPr="00D53AD5">
        <w:t xml:space="preserve">. Using data from the EPA, we had biomass data for multiple species of zooplankton </w:t>
      </w:r>
      <w:r w:rsidRPr="00D53AD5">
        <w:fldChar w:fldCharType="begin" w:fldLock="1"/>
      </w:r>
      <w:r w:rsidRPr="00D53AD5">
        <w:instrText>ADDIN CSL_CITATION {"citationItems":[{"id":"ITEM-1","itemData":{"author":[{"dropping-particle":"","family":"EPA","given":"U.S.","non-dropping-particle":"","parse-names":false,"suffix":""}],"container-title":"Flat File Data From Zoop Database 4.02_07242019 [Microsoft Excel file]. Retrieved from https://cdx.epa.gov/","id":"ITEM-1","issued":{"date-parts":[["2019"]]},"title":"Great Lakes National Program Office.","type":"article-journal"},"uris":["http://www.mendeley.com/documents/?uuid=730d1d9b-49b5-4140-8d95-d352ebd68fe7"]}],"mendeley":{"formattedCitation":"(U. S. EPA, 2019)","plainTextFormattedCitation":"(U. S. EPA, 2019)","previouslyFormattedCitation":"(U. S. EPA, 2019)"},"properties":{"noteIndex":0},"schema":"https://github.com/citation-style-language/schema/raw/master/csl-citation.json"}</w:instrText>
      </w:r>
      <w:r w:rsidRPr="00D53AD5">
        <w:fldChar w:fldCharType="separate"/>
      </w:r>
      <w:r w:rsidRPr="00D53AD5">
        <w:rPr>
          <w:noProof/>
        </w:rPr>
        <w:t>(U. S. EPA, 2019)</w:t>
      </w:r>
      <w:r w:rsidRPr="00D53AD5">
        <w:fldChar w:fldCharType="end"/>
      </w:r>
      <w:r w:rsidRPr="00D53AD5">
        <w:t>. Interannually, there is no major change in the biomass of the zooplankton present in Lake Erie</w:t>
      </w:r>
      <w:r w:rsidR="00E36730">
        <w:t xml:space="preserve"> </w:t>
      </w:r>
      <w:r w:rsidR="00E36730" w:rsidRPr="00E36730">
        <w:rPr>
          <w:b/>
          <w:bCs/>
        </w:rPr>
        <w:t>(Figure 6)</w:t>
      </w:r>
      <w:r w:rsidRPr="00E36730">
        <w:rPr>
          <w:b/>
          <w:bCs/>
        </w:rPr>
        <w:t>.</w:t>
      </w:r>
      <w:r w:rsidRPr="00D53AD5">
        <w:t xml:space="preserve"> However, total zooplankton biomass is higher in August of each year</w:t>
      </w:r>
      <w:r>
        <w:t>.</w:t>
      </w:r>
    </w:p>
    <w:p w14:paraId="7CF5FD89" w14:textId="77777777" w:rsidR="00836E99" w:rsidRDefault="00836E99" w:rsidP="00836E99">
      <w:pPr>
        <w:spacing w:line="480" w:lineRule="auto"/>
        <w:ind w:firstLine="720"/>
      </w:pPr>
      <w:r>
        <w:t xml:space="preserve">To inform </w:t>
      </w:r>
      <w:r w:rsidRPr="00D53AD5">
        <w:t xml:space="preserve">our model about the changes in water clarity throughout </w:t>
      </w:r>
    </w:p>
    <w:p w14:paraId="040C7925" w14:textId="541A04B0" w:rsidR="00836E99" w:rsidRDefault="00836E99" w:rsidP="00836E99">
      <w:pPr>
        <w:spacing w:line="480" w:lineRule="auto"/>
      </w:pPr>
      <w:r w:rsidRPr="00D53AD5">
        <w:t xml:space="preserve">the year we wanted to understand the changes in </w:t>
      </w:r>
      <w:proofErr w:type="spellStart"/>
      <w:r w:rsidRPr="00D53AD5">
        <w:t>secchi</w:t>
      </w:r>
      <w:proofErr w:type="spellEnd"/>
      <w:r w:rsidRPr="00D53AD5">
        <w:t xml:space="preserve"> depth over each year of the study. As seen in </w:t>
      </w:r>
      <w:r w:rsidRPr="00F57C83">
        <w:rPr>
          <w:b/>
          <w:bCs/>
        </w:rPr>
        <w:t>Figure 7</w:t>
      </w:r>
      <w:r w:rsidRPr="00D53AD5">
        <w:t xml:space="preserve">, </w:t>
      </w:r>
      <w:r>
        <w:t>it is difficult to decipher if there is an interannual or intra-annual change or pattern in water clarity</w:t>
      </w:r>
      <w:r w:rsidR="00E36730">
        <w:t xml:space="preserve"> </w:t>
      </w:r>
      <w:r w:rsidR="00E36730" w:rsidRPr="00562535">
        <w:fldChar w:fldCharType="begin" w:fldLock="1"/>
      </w:r>
      <w:r w:rsidR="00E36730" w:rsidRPr="00562535">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00E36730" w:rsidRPr="00562535">
        <w:fldChar w:fldCharType="separate"/>
      </w:r>
      <w:r w:rsidR="00E36730" w:rsidRPr="00562535">
        <w:rPr>
          <w:noProof/>
        </w:rPr>
        <w:t>(Burtner et al., 2019)</w:t>
      </w:r>
      <w:r w:rsidR="00E36730" w:rsidRPr="00562535">
        <w:fldChar w:fldCharType="end"/>
      </w:r>
      <w:r w:rsidR="00E36730" w:rsidRPr="00562535">
        <w:t>.</w:t>
      </w:r>
    </w:p>
    <w:p w14:paraId="65917580" w14:textId="77777777" w:rsidR="0073710F" w:rsidRDefault="00F57C83" w:rsidP="00F57C83">
      <w:pPr>
        <w:spacing w:line="480" w:lineRule="auto"/>
        <w:ind w:firstLine="720"/>
      </w:pPr>
      <w:r>
        <w:t xml:space="preserve">Overall, as seen in the figures above, it is difficult to determine if there are any patterns present in the data when looking at the </w:t>
      </w:r>
      <w:proofErr w:type="gramStart"/>
      <w:r>
        <w:t>data as a whole</w:t>
      </w:r>
      <w:proofErr w:type="gramEnd"/>
      <w:r>
        <w:t xml:space="preserve">. </w:t>
      </w:r>
      <w:proofErr w:type="gramStart"/>
      <w:r>
        <w:t>In order to</w:t>
      </w:r>
      <w:proofErr w:type="gramEnd"/>
      <w:r>
        <w:t xml:space="preserve"> </w:t>
      </w:r>
    </w:p>
    <w:p w14:paraId="272EC180" w14:textId="6E08E550" w:rsidR="0073710F" w:rsidRDefault="0073710F">
      <w:r>
        <w:br w:type="page"/>
      </w:r>
      <w:r>
        <w:rPr>
          <w:b/>
          <w:bCs/>
          <w:i/>
          <w:iCs/>
          <w:noProof/>
        </w:rPr>
        <w:lastRenderedPageBreak/>
        <w:drawing>
          <wp:inline distT="0" distB="0" distL="0" distR="0" wp14:anchorId="7FE136E2" wp14:editId="0BF4ED67">
            <wp:extent cx="5447763" cy="6288273"/>
            <wp:effectExtent l="0" t="0" r="635" b="0"/>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83682" cy="6329733"/>
                    </a:xfrm>
                    <a:prstGeom prst="rect">
                      <a:avLst/>
                    </a:prstGeom>
                  </pic:spPr>
                </pic:pic>
              </a:graphicData>
            </a:graphic>
          </wp:inline>
        </w:drawing>
      </w:r>
    </w:p>
    <w:p w14:paraId="6A602AF6" w14:textId="66521DB4" w:rsidR="0073710F" w:rsidRDefault="00947EEE" w:rsidP="00F57C83">
      <w:pPr>
        <w:spacing w:line="480" w:lineRule="auto"/>
        <w:ind w:firstLine="720"/>
      </w:pPr>
      <w:r w:rsidRPr="00D53AD5">
        <w:rPr>
          <w:noProof/>
        </w:rPr>
        <mc:AlternateContent>
          <mc:Choice Requires="wps">
            <w:drawing>
              <wp:anchor distT="0" distB="0" distL="114300" distR="114300" simplePos="0" relativeHeight="251915264" behindDoc="1" locked="0" layoutInCell="1" allowOverlap="1" wp14:anchorId="53C90DE2" wp14:editId="6389CB6C">
                <wp:simplePos x="0" y="0"/>
                <wp:positionH relativeFrom="column">
                  <wp:posOffset>3175</wp:posOffset>
                </wp:positionH>
                <wp:positionV relativeFrom="paragraph">
                  <wp:posOffset>177165</wp:posOffset>
                </wp:positionV>
                <wp:extent cx="5447665" cy="888365"/>
                <wp:effectExtent l="0" t="0" r="635" b="635"/>
                <wp:wrapTight wrapText="bothSides">
                  <wp:wrapPolygon edited="0">
                    <wp:start x="0" y="0"/>
                    <wp:lineTo x="0" y="21307"/>
                    <wp:lineTo x="21552" y="21307"/>
                    <wp:lineTo x="21552"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5447665" cy="888365"/>
                        </a:xfrm>
                        <a:prstGeom prst="rect">
                          <a:avLst/>
                        </a:prstGeom>
                        <a:solidFill>
                          <a:schemeClr val="lt1"/>
                        </a:solidFill>
                        <a:ln w="6350">
                          <a:noFill/>
                        </a:ln>
                      </wps:spPr>
                      <wps:txbx>
                        <w:txbxContent>
                          <w:p w14:paraId="63F5A85D" w14:textId="193E7807" w:rsidR="00947EEE" w:rsidRDefault="0073710F" w:rsidP="00947EEE">
                            <w:pPr>
                              <w:pStyle w:val="Subtitle"/>
                            </w:pPr>
                            <w:bookmarkStart w:id="28" w:name="_Toc98704967"/>
                            <w:r w:rsidRPr="00562535">
                              <w:t xml:space="preserve">Figure 5: </w:t>
                            </w:r>
                            <w:r w:rsidR="00947EEE">
                              <w:t>Lake Erie Nutrient and Pigment Concentrations</w:t>
                            </w:r>
                            <w:bookmarkEnd w:id="28"/>
                          </w:p>
                          <w:p w14:paraId="065D215F" w14:textId="7454600C" w:rsidR="0073710F" w:rsidRPr="00562535" w:rsidRDefault="0073710F" w:rsidP="0073710F">
                            <w:r w:rsidRPr="00562535">
                              <w:t xml:space="preserve">A scatter plot of the total phosphorus (blue), total nitrogen (black), chlorophyll-a (red), and phycocyanin (green) concentrations for each month throughout each year </w:t>
                            </w:r>
                            <w:r w:rsidRPr="00562535">
                              <w:fldChar w:fldCharType="begin" w:fldLock="1"/>
                            </w:r>
                            <w:r w:rsidRPr="00562535">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562535">
                              <w:fldChar w:fldCharType="separate"/>
                            </w:r>
                            <w:r w:rsidRPr="00562535">
                              <w:rPr>
                                <w:noProof/>
                              </w:rPr>
                              <w:t>(Burtner et al., 2019)</w:t>
                            </w:r>
                            <w:r w:rsidRPr="00562535">
                              <w:fldChar w:fldCharType="end"/>
                            </w:r>
                            <w:r w:rsidRPr="00562535">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90DE2" id="Text Box 9" o:spid="_x0000_s1030" type="#_x0000_t202" style="position:absolute;left:0;text-align:left;margin-left:.25pt;margin-top:13.95pt;width:428.95pt;height:69.95pt;z-index:-2514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" fillcolor="white [3201]" stroked="f" strokeweight=".5pt">
                <v:textbox>
                  <w:txbxContent>
                    <w:p w14:paraId="63F5A85D" w14:textId="193E7807" w:rsidR="00947EEE" w:rsidRDefault="0073710F" w:rsidP="00947EEE">
                      <w:pPr>
                        <w:pStyle w:val="Subtitle"/>
                      </w:pPr>
                      <w:bookmarkStart w:id="33" w:name="_Toc98704967"/>
                      <w:r w:rsidRPr="00562535">
                        <w:t xml:space="preserve">Figure 5: </w:t>
                      </w:r>
                      <w:r w:rsidR="00947EEE">
                        <w:t>Lake Erie Nutrient and Pigment Concentrations</w:t>
                      </w:r>
                      <w:bookmarkEnd w:id="33"/>
                    </w:p>
                    <w:p w14:paraId="065D215F" w14:textId="7454600C" w:rsidR="0073710F" w:rsidRPr="00562535" w:rsidRDefault="0073710F" w:rsidP="0073710F">
                      <w:r w:rsidRPr="00562535">
                        <w:t xml:space="preserve">A scatter plot of the total phosphorus (blue), total nitrogen (black), chlorophyll-a (red), and phycocyanin (green) concentrations for each month throughout each year </w:t>
                      </w:r>
                      <w:r w:rsidRPr="00562535">
                        <w:fldChar w:fldCharType="begin" w:fldLock="1"/>
                      </w:r>
                      <w:r w:rsidRPr="00562535">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562535">
                        <w:fldChar w:fldCharType="separate"/>
                      </w:r>
                      <w:r w:rsidRPr="00562535">
                        <w:rPr>
                          <w:noProof/>
                        </w:rPr>
                        <w:t>(Burtner et al., 2019)</w:t>
                      </w:r>
                      <w:r w:rsidRPr="00562535">
                        <w:fldChar w:fldCharType="end"/>
                      </w:r>
                      <w:r w:rsidRPr="00562535">
                        <w:t>.</w:t>
                      </w:r>
                    </w:p>
                  </w:txbxContent>
                </v:textbox>
                <w10:wrap type="tight"/>
              </v:shape>
            </w:pict>
          </mc:Fallback>
        </mc:AlternateContent>
      </w:r>
    </w:p>
    <w:p w14:paraId="5D3C704E" w14:textId="77777777" w:rsidR="0073710F" w:rsidRDefault="0073710F" w:rsidP="0073710F">
      <w:pPr>
        <w:spacing w:line="480" w:lineRule="auto"/>
      </w:pPr>
    </w:p>
    <w:p w14:paraId="77E03EE7" w14:textId="77777777" w:rsidR="0073710F" w:rsidRDefault="0073710F" w:rsidP="0073710F">
      <w:pPr>
        <w:spacing w:line="480" w:lineRule="auto"/>
      </w:pPr>
    </w:p>
    <w:p w14:paraId="304D4481" w14:textId="52F2578A" w:rsidR="0073710F" w:rsidRDefault="00947EEE" w:rsidP="0073710F">
      <w:pPr>
        <w:spacing w:line="480" w:lineRule="auto"/>
      </w:pPr>
      <w:r w:rsidRPr="00D53AD5">
        <w:rPr>
          <w:noProof/>
        </w:rPr>
        <mc:AlternateContent>
          <mc:Choice Requires="wps">
            <w:drawing>
              <wp:anchor distT="0" distB="0" distL="114300" distR="114300" simplePos="0" relativeHeight="251917312" behindDoc="1" locked="0" layoutInCell="1" allowOverlap="1" wp14:anchorId="55821BEA" wp14:editId="432D66FA">
                <wp:simplePos x="0" y="0"/>
                <wp:positionH relativeFrom="column">
                  <wp:posOffset>3175</wp:posOffset>
                </wp:positionH>
                <wp:positionV relativeFrom="paragraph">
                  <wp:posOffset>2341101</wp:posOffset>
                </wp:positionV>
                <wp:extent cx="5184775" cy="656590"/>
                <wp:effectExtent l="0" t="0" r="0" b="3810"/>
                <wp:wrapTight wrapText="bothSides">
                  <wp:wrapPolygon edited="0">
                    <wp:start x="0" y="0"/>
                    <wp:lineTo x="0" y="21308"/>
                    <wp:lineTo x="21534" y="21308"/>
                    <wp:lineTo x="21534"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5184775" cy="656590"/>
                        </a:xfrm>
                        <a:prstGeom prst="rect">
                          <a:avLst/>
                        </a:prstGeom>
                        <a:solidFill>
                          <a:schemeClr val="lt1"/>
                        </a:solidFill>
                        <a:ln w="6350">
                          <a:noFill/>
                        </a:ln>
                      </wps:spPr>
                      <wps:txbx>
                        <w:txbxContent>
                          <w:p w14:paraId="1DAD73CC" w14:textId="2BECA2EF" w:rsidR="00947EEE" w:rsidRDefault="0073710F" w:rsidP="00947EEE">
                            <w:pPr>
                              <w:pStyle w:val="Subtitle"/>
                            </w:pPr>
                            <w:bookmarkStart w:id="29" w:name="_Toc98704968"/>
                            <w:r w:rsidRPr="00F57C83">
                              <w:t>Figure 6:</w:t>
                            </w:r>
                            <w:r w:rsidR="00947EEE">
                              <w:t xml:space="preserve"> Lake Erie Zooplankton Data</w:t>
                            </w:r>
                            <w:bookmarkEnd w:id="29"/>
                          </w:p>
                          <w:p w14:paraId="0FDABC0E" w14:textId="384DD9E8" w:rsidR="0073710F" w:rsidRPr="00F57C83" w:rsidRDefault="0073710F" w:rsidP="0073710F">
                            <w:r w:rsidRPr="00F57C83">
                              <w:t xml:space="preserve">A scatter plot of the total zooplankton biomass comparing March (red), April (green), and August (blue) </w:t>
                            </w:r>
                            <w:r w:rsidRPr="00F57C83">
                              <w:fldChar w:fldCharType="begin" w:fldLock="1"/>
                            </w:r>
                            <w:r w:rsidRPr="00F57C83">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2019)","manualFormatting":"(U. S. EPA, 2019)","plainTextFormattedCitation":"(Burtner et al., 2019; U. S. EPA, 2019)","previouslyFormattedCitation":"(Burtner et al., 2019; U. S. EPA, 2019)"},"properties":{"noteIndex":0},"schema":"https://github.com/citation-style-language/schema/raw/master/csl-citation.json"}</w:instrText>
                            </w:r>
                            <w:r w:rsidRPr="00F57C83">
                              <w:fldChar w:fldCharType="separate"/>
                            </w:r>
                            <w:r w:rsidRPr="00F57C83">
                              <w:rPr>
                                <w:noProof/>
                              </w:rPr>
                              <w:t>(U. S. EPA, 2019)</w:t>
                            </w:r>
                            <w:r w:rsidRPr="00F57C83">
                              <w:fldChar w:fldCharType="end"/>
                            </w:r>
                            <w:r w:rsidRPr="00F57C8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21BEA" id="Text Box 22" o:spid="_x0000_s1031" type="#_x0000_t202" style="position:absolute;margin-left:.25pt;margin-top:184.35pt;width:408.25pt;height:51.7pt;z-index:-2513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" fillcolor="white [3201]" stroked="f" strokeweight=".5pt">
                <v:textbox>
                  <w:txbxContent>
                    <w:p w14:paraId="1DAD73CC" w14:textId="2BECA2EF" w:rsidR="00947EEE" w:rsidRDefault="0073710F" w:rsidP="00947EEE">
                      <w:pPr>
                        <w:pStyle w:val="Subtitle"/>
                      </w:pPr>
                      <w:bookmarkStart w:id="35" w:name="_Toc98704968"/>
                      <w:r w:rsidRPr="00F57C83">
                        <w:t>Figure 6:</w:t>
                      </w:r>
                      <w:r w:rsidR="00947EEE">
                        <w:t xml:space="preserve"> Lake Erie Zooplankton Data</w:t>
                      </w:r>
                      <w:bookmarkEnd w:id="35"/>
                    </w:p>
                    <w:p w14:paraId="0FDABC0E" w14:textId="384DD9E8" w:rsidR="0073710F" w:rsidRPr="00F57C83" w:rsidRDefault="0073710F" w:rsidP="0073710F">
                      <w:r w:rsidRPr="00F57C83">
                        <w:t xml:space="preserve">A scatter plot of the total zooplankton biomass comparing March (red), April (green), and August (blue) </w:t>
                      </w:r>
                      <w:r w:rsidRPr="00F57C83">
                        <w:fldChar w:fldCharType="begin" w:fldLock="1"/>
                      </w:r>
                      <w:r w:rsidRPr="00F57C83">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2019)","manualFormatting":"(U. S. EPA, 2019)","plainTextFormattedCitation":"(Burtner et al., 2019; U. S. EPA, 2019)","previouslyFormattedCitation":"(Burtner et al., 2019; U. S. EPA, 2019)"},"properties":{"noteIndex":0},"schema":"https://github.com/citation-style-language/schema/raw/master/csl-citation.json"}</w:instrText>
                      </w:r>
                      <w:r w:rsidRPr="00F57C83">
                        <w:fldChar w:fldCharType="separate"/>
                      </w:r>
                      <w:r w:rsidRPr="00F57C83">
                        <w:rPr>
                          <w:noProof/>
                        </w:rPr>
                        <w:t>(U. S. EPA, 2019)</w:t>
                      </w:r>
                      <w:r w:rsidRPr="00F57C83">
                        <w:fldChar w:fldCharType="end"/>
                      </w:r>
                      <w:r w:rsidRPr="00F57C83">
                        <w:t>.</w:t>
                      </w:r>
                    </w:p>
                  </w:txbxContent>
                </v:textbox>
                <w10:wrap type="tight"/>
              </v:shape>
            </w:pict>
          </mc:Fallback>
        </mc:AlternateContent>
      </w:r>
      <w:r w:rsidR="0073710F">
        <w:rPr>
          <w:b/>
          <w:bCs/>
          <w:i/>
          <w:iCs/>
          <w:noProof/>
        </w:rPr>
        <w:drawing>
          <wp:inline distT="0" distB="0" distL="0" distR="0" wp14:anchorId="61E05E93" wp14:editId="6C2E74C5">
            <wp:extent cx="5185191" cy="2253615"/>
            <wp:effectExtent l="0" t="0" r="0" b="0"/>
            <wp:docPr id="16" name="Picture 1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scatter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99504" cy="2259836"/>
                    </a:xfrm>
                    <a:prstGeom prst="rect">
                      <a:avLst/>
                    </a:prstGeom>
                  </pic:spPr>
                </pic:pic>
              </a:graphicData>
            </a:graphic>
          </wp:inline>
        </w:drawing>
      </w:r>
    </w:p>
    <w:p w14:paraId="36151A0E" w14:textId="77777777" w:rsidR="00947EEE" w:rsidRDefault="00947EEE" w:rsidP="0073710F">
      <w:pPr>
        <w:spacing w:line="480" w:lineRule="auto"/>
      </w:pPr>
    </w:p>
    <w:p w14:paraId="6FC047BF" w14:textId="77777777" w:rsidR="00947EEE" w:rsidRDefault="00947EEE" w:rsidP="004D24C7">
      <w:pPr>
        <w:spacing w:line="480" w:lineRule="auto"/>
      </w:pPr>
      <w:r w:rsidRPr="00D53AD5">
        <w:rPr>
          <w:noProof/>
        </w:rPr>
        <mc:AlternateContent>
          <mc:Choice Requires="wps">
            <w:drawing>
              <wp:anchor distT="0" distB="0" distL="114300" distR="114300" simplePos="0" relativeHeight="251919360" behindDoc="1" locked="0" layoutInCell="1" allowOverlap="1" wp14:anchorId="69415C9C" wp14:editId="241FB582">
                <wp:simplePos x="0" y="0"/>
                <wp:positionH relativeFrom="column">
                  <wp:posOffset>3175</wp:posOffset>
                </wp:positionH>
                <wp:positionV relativeFrom="paragraph">
                  <wp:posOffset>2736850</wp:posOffset>
                </wp:positionV>
                <wp:extent cx="5499100" cy="798195"/>
                <wp:effectExtent l="0" t="0" r="0" b="1905"/>
                <wp:wrapTight wrapText="bothSides">
                  <wp:wrapPolygon edited="0">
                    <wp:start x="0" y="0"/>
                    <wp:lineTo x="0" y="21308"/>
                    <wp:lineTo x="21550" y="21308"/>
                    <wp:lineTo x="21550"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5499100" cy="798195"/>
                        </a:xfrm>
                        <a:prstGeom prst="rect">
                          <a:avLst/>
                        </a:prstGeom>
                        <a:solidFill>
                          <a:schemeClr val="lt1"/>
                        </a:solidFill>
                        <a:ln w="6350">
                          <a:noFill/>
                        </a:ln>
                      </wps:spPr>
                      <wps:txbx>
                        <w:txbxContent>
                          <w:p w14:paraId="50D7ED5C" w14:textId="7BC24703" w:rsidR="00947EEE" w:rsidRDefault="0073710F" w:rsidP="00947EEE">
                            <w:pPr>
                              <w:pStyle w:val="Subtitle"/>
                            </w:pPr>
                            <w:bookmarkStart w:id="30" w:name="_Toc98704969"/>
                            <w:r w:rsidRPr="00F57C83">
                              <w:t xml:space="preserve">Figure 7: </w:t>
                            </w:r>
                            <w:r w:rsidR="00947EEE">
                              <w:t>Secchi Depths</w:t>
                            </w:r>
                            <w:bookmarkEnd w:id="30"/>
                          </w:p>
                          <w:p w14:paraId="04480F1D" w14:textId="1FEC8C87" w:rsidR="0073710F" w:rsidRPr="00F57C83" w:rsidRDefault="0073710F" w:rsidP="0073710F">
                            <w:r w:rsidRPr="00F57C83">
                              <w:t xml:space="preserve">A scatter plot of the secchi depths measured each year </w:t>
                            </w:r>
                            <w:r w:rsidRPr="00F57C83">
                              <w:fldChar w:fldCharType="begin" w:fldLock="1"/>
                            </w:r>
                            <w:r w:rsidRPr="00F57C83">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F57C83">
                              <w:fldChar w:fldCharType="separate"/>
                            </w:r>
                            <w:r w:rsidRPr="00F57C83">
                              <w:rPr>
                                <w:noProof/>
                              </w:rPr>
                              <w:t>(Burtner et al., 2019)</w:t>
                            </w:r>
                            <w:r w:rsidRPr="00F57C83">
                              <w:fldChar w:fldCharType="end"/>
                            </w:r>
                            <w:r w:rsidRPr="00F57C8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15C9C" id="Text Box 17" o:spid="_x0000_s1032" type="#_x0000_t202" style="position:absolute;margin-left:.25pt;margin-top:215.5pt;width:433pt;height:62.85pt;z-index:-25139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" fillcolor="white [3201]" stroked="f" strokeweight=".5pt">
                <v:textbox>
                  <w:txbxContent>
                    <w:p w14:paraId="50D7ED5C" w14:textId="7BC24703" w:rsidR="00947EEE" w:rsidRDefault="0073710F" w:rsidP="00947EEE">
                      <w:pPr>
                        <w:pStyle w:val="Subtitle"/>
                      </w:pPr>
                      <w:bookmarkStart w:id="37" w:name="_Toc98704969"/>
                      <w:r w:rsidRPr="00F57C83">
                        <w:t xml:space="preserve">Figure 7: </w:t>
                      </w:r>
                      <w:r w:rsidR="00947EEE">
                        <w:t>Secchi Depths</w:t>
                      </w:r>
                      <w:bookmarkEnd w:id="37"/>
                    </w:p>
                    <w:p w14:paraId="04480F1D" w14:textId="1FEC8C87" w:rsidR="0073710F" w:rsidRPr="00F57C83" w:rsidRDefault="0073710F" w:rsidP="0073710F">
                      <w:r w:rsidRPr="00F57C83">
                        <w:t xml:space="preserve">A scatter plot of the secchi depths measured each year </w:t>
                      </w:r>
                      <w:r w:rsidRPr="00F57C83">
                        <w:fldChar w:fldCharType="begin" w:fldLock="1"/>
                      </w:r>
                      <w:r w:rsidRPr="00F57C83">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F57C83">
                        <w:fldChar w:fldCharType="separate"/>
                      </w:r>
                      <w:r w:rsidRPr="00F57C83">
                        <w:rPr>
                          <w:noProof/>
                        </w:rPr>
                        <w:t>(Burtner et al., 2019)</w:t>
                      </w:r>
                      <w:r w:rsidRPr="00F57C83">
                        <w:fldChar w:fldCharType="end"/>
                      </w:r>
                      <w:r w:rsidRPr="00F57C83">
                        <w:t>.</w:t>
                      </w:r>
                    </w:p>
                  </w:txbxContent>
                </v:textbox>
                <w10:wrap type="tight"/>
              </v:shape>
            </w:pict>
          </mc:Fallback>
        </mc:AlternateContent>
      </w:r>
      <w:r w:rsidR="0073710F">
        <w:rPr>
          <w:b/>
          <w:bCs/>
          <w:i/>
          <w:iCs/>
          <w:noProof/>
        </w:rPr>
        <w:drawing>
          <wp:inline distT="0" distB="0" distL="0" distR="0" wp14:anchorId="2C128894" wp14:editId="0C56177E">
            <wp:extent cx="4044102" cy="2575775"/>
            <wp:effectExtent l="0" t="0" r="0" b="0"/>
            <wp:docPr id="14" name="Picture 1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81988" cy="2599905"/>
                    </a:xfrm>
                    <a:prstGeom prst="rect">
                      <a:avLst/>
                    </a:prstGeom>
                  </pic:spPr>
                </pic:pic>
              </a:graphicData>
            </a:graphic>
          </wp:inline>
        </w:drawing>
      </w:r>
    </w:p>
    <w:p w14:paraId="69DB24DD" w14:textId="7E752959" w:rsidR="0073710F" w:rsidRPr="004D24C7" w:rsidRDefault="00F57C83" w:rsidP="004D24C7">
      <w:pPr>
        <w:spacing w:line="480" w:lineRule="auto"/>
      </w:pPr>
      <w:r>
        <w:lastRenderedPageBreak/>
        <w:t>determine and analyze any patterns we need to break our data down for inter-annual analysis to determine if there are significant changes from one year to another. We also need to analyze this data intra-annually to determine if there are significant patterns occurring throughout the year.</w:t>
      </w:r>
    </w:p>
    <w:p w14:paraId="4F815CB2" w14:textId="1AA6346D" w:rsidR="00F57C83" w:rsidRDefault="004D24C7" w:rsidP="00240F72">
      <w:pPr>
        <w:pStyle w:val="Heading2"/>
      </w:pPr>
      <w:bookmarkStart w:id="31" w:name="_Toc98870953"/>
      <w:r>
        <w:t>Inter-annual Data Analysis</w:t>
      </w:r>
      <w:bookmarkEnd w:id="31"/>
    </w:p>
    <w:p w14:paraId="7536026D" w14:textId="77777777" w:rsidR="001F1DE3" w:rsidRPr="001F1DE3" w:rsidRDefault="001F1DE3" w:rsidP="001F1DE3"/>
    <w:p w14:paraId="0C7885C4" w14:textId="5DB8E485" w:rsidR="00F57C83" w:rsidRDefault="00F57C83" w:rsidP="00F57C83">
      <w:pPr>
        <w:spacing w:line="480" w:lineRule="auto"/>
      </w:pPr>
      <w:r>
        <w:t xml:space="preserve">Our first analysis of the data was done inter-annually to determine if there are patterns present from one year to another. </w:t>
      </w:r>
      <w:r w:rsidRPr="00D53AD5">
        <w:t>Changes in water clarity can be helpful in indicating the concentrations of nutrients, biomass of phytoplankton, and the amount of sunlight reaching lower depths in the water column. We us</w:t>
      </w:r>
      <w:r w:rsidR="00E36730">
        <w:t>e</w:t>
      </w:r>
      <w:r w:rsidRPr="00D53AD5">
        <w:t xml:space="preserve"> changes in </w:t>
      </w:r>
      <w:proofErr w:type="spellStart"/>
      <w:r w:rsidRPr="00D53AD5">
        <w:t>secchi</w:t>
      </w:r>
      <w:proofErr w:type="spellEnd"/>
      <w:r w:rsidRPr="00D53AD5">
        <w:t xml:space="preserve"> depth to indicate when</w:t>
      </w:r>
      <w:r>
        <w:t xml:space="preserve"> </w:t>
      </w:r>
      <w:r w:rsidRPr="00D53AD5">
        <w:t xml:space="preserve">changes in the water column were occurring.  </w:t>
      </w:r>
      <w:r>
        <w:t>Inter-</w:t>
      </w:r>
      <w:r>
        <w:rPr>
          <w:b/>
          <w:bCs/>
          <w:i/>
          <w:iCs/>
          <w:noProof/>
        </w:rPr>
        <mc:AlternateContent>
          <mc:Choice Requires="wps">
            <w:drawing>
              <wp:anchor distT="0" distB="0" distL="114300" distR="114300" simplePos="0" relativeHeight="251899904" behindDoc="0" locked="0" layoutInCell="1" allowOverlap="1" wp14:anchorId="552CBCA9" wp14:editId="0FCD1B91">
                <wp:simplePos x="0" y="0"/>
                <wp:positionH relativeFrom="column">
                  <wp:posOffset>724437</wp:posOffset>
                </wp:positionH>
                <wp:positionV relativeFrom="paragraph">
                  <wp:posOffset>1622738</wp:posOffset>
                </wp:positionV>
                <wp:extent cx="2292439" cy="115910"/>
                <wp:effectExtent l="12700" t="12700" r="19050" b="11430"/>
                <wp:wrapNone/>
                <wp:docPr id="50" name="Rectangle 50"/>
                <wp:cNvGraphicFramePr/>
                <a:graphic xmlns:a="http://schemas.openxmlformats.org/drawingml/2006/main">
                  <a:graphicData uri="http://schemas.microsoft.com/office/word/2010/wordprocessingShape">
                    <wps:wsp>
                      <wps:cNvSpPr/>
                      <wps:spPr>
                        <a:xfrm>
                          <a:off x="0" y="0"/>
                          <a:ext cx="2292439" cy="11591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4AF139" id="Rectangle 50" o:spid="_x0000_s1026" style="position:absolute;margin-left:57.05pt;margin-top:127.75pt;width:180.5pt;height:9.15pt;z-index:25189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" fillcolor="white [3212]" strokecolor="white [3212]" strokeweight="2pt"/>
            </w:pict>
          </mc:Fallback>
        </mc:AlternateContent>
      </w:r>
      <w:r w:rsidRPr="00D53AD5">
        <w:t xml:space="preserve">annually </w:t>
      </w:r>
      <w:r w:rsidRPr="00F57C83">
        <w:rPr>
          <w:b/>
          <w:bCs/>
        </w:rPr>
        <w:t>(Figure 8)</w:t>
      </w:r>
      <w:r w:rsidRPr="00D53AD5">
        <w:t xml:space="preserve"> there seems to </w:t>
      </w:r>
      <w:r>
        <w:t xml:space="preserve">not be much of a change from one year to another in water clarity. </w:t>
      </w:r>
      <w:r w:rsidRPr="00D53AD5">
        <w:t xml:space="preserve">We </w:t>
      </w:r>
      <w:r w:rsidR="00E36730">
        <w:t>compared</w:t>
      </w:r>
      <w:r w:rsidRPr="00D53AD5">
        <w:t xml:space="preserve"> the ratio of phycocyanin to chlorophyll-a in relation to the biomasses of cyanobacteria and eukaryotic algae present in the environment. Interannually, there is a consistent ratio telling us that there is no massive change in either chlorophyll-a or phycocyanin from one year to the next </w:t>
      </w:r>
      <w:r w:rsidRPr="00F57C83">
        <w:rPr>
          <w:b/>
          <w:bCs/>
        </w:rPr>
        <w:t>(Figure 9).</w:t>
      </w:r>
    </w:p>
    <w:p w14:paraId="3C796691" w14:textId="77777777" w:rsidR="0073710F" w:rsidRDefault="00F57C83" w:rsidP="0073710F">
      <w:pPr>
        <w:spacing w:line="480" w:lineRule="auto"/>
        <w:ind w:firstLine="720"/>
      </w:pPr>
      <w:r w:rsidRPr="00D53AD5">
        <w:t xml:space="preserve">Interannually, there seems to be no major changes or patterns that occur for the nutrients </w:t>
      </w:r>
      <w:r w:rsidRPr="00F57C83">
        <w:rPr>
          <w:b/>
          <w:bCs/>
        </w:rPr>
        <w:t>(Figure 10 and Figure 11).</w:t>
      </w:r>
      <w:r w:rsidRPr="00D53AD5">
        <w:t xml:space="preserve"> This result tells us that there is no major depletion of phosphorus or nitrogen in the environment during monitoring and that the cyanobacterial blooms are staying relatively stable in biomass.</w:t>
      </w:r>
    </w:p>
    <w:p w14:paraId="6C800DF1" w14:textId="497B03E4" w:rsidR="00F57C83" w:rsidRPr="0073710F" w:rsidRDefault="00BC0AA2" w:rsidP="0073710F">
      <w:pPr>
        <w:spacing w:line="480" w:lineRule="auto"/>
        <w:ind w:firstLine="720"/>
      </w:pPr>
      <w:r>
        <w:rPr>
          <w:b/>
          <w:bCs/>
          <w:i/>
          <w:iCs/>
          <w:noProof/>
        </w:rPr>
        <w:lastRenderedPageBreak/>
        <mc:AlternateContent>
          <mc:Choice Requires="wps">
            <w:drawing>
              <wp:anchor distT="0" distB="0" distL="114300" distR="114300" simplePos="0" relativeHeight="252017664" behindDoc="0" locked="0" layoutInCell="1" allowOverlap="1" wp14:anchorId="0F5122B7" wp14:editId="6CA178F3">
                <wp:simplePos x="0" y="0"/>
                <wp:positionH relativeFrom="column">
                  <wp:posOffset>1200955</wp:posOffset>
                </wp:positionH>
                <wp:positionV relativeFrom="paragraph">
                  <wp:posOffset>180304</wp:posOffset>
                </wp:positionV>
                <wp:extent cx="2601532" cy="141668"/>
                <wp:effectExtent l="0" t="0" r="2540" b="0"/>
                <wp:wrapNone/>
                <wp:docPr id="138" name="Rectangle 138"/>
                <wp:cNvGraphicFramePr/>
                <a:graphic xmlns:a="http://schemas.openxmlformats.org/drawingml/2006/main">
                  <a:graphicData uri="http://schemas.microsoft.com/office/word/2010/wordprocessingShape">
                    <wps:wsp>
                      <wps:cNvSpPr/>
                      <wps:spPr>
                        <a:xfrm>
                          <a:off x="0" y="0"/>
                          <a:ext cx="2601532" cy="14166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759DF6" id="Rectangle 138" o:spid="_x0000_s1026" style="position:absolute;margin-left:94.55pt;margin-top:14.2pt;width:204.85pt;height:11.15pt;z-index:25201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" fillcolor="white [3212]" stroked="f" strokeweight="2pt"/>
            </w:pict>
          </mc:Fallback>
        </mc:AlternateContent>
      </w:r>
      <w:r w:rsidR="00F57C83" w:rsidRPr="00F57C83">
        <w:rPr>
          <w:b/>
          <w:bCs/>
          <w:i/>
          <w:iCs/>
          <w:noProof/>
        </w:rPr>
        <w:drawing>
          <wp:anchor distT="0" distB="0" distL="114300" distR="114300" simplePos="0" relativeHeight="251901952" behindDoc="0" locked="0" layoutInCell="1" allowOverlap="1" wp14:anchorId="7BF705D9" wp14:editId="4AA7544E">
            <wp:simplePos x="0" y="0"/>
            <wp:positionH relativeFrom="column">
              <wp:posOffset>3175</wp:posOffset>
            </wp:positionH>
            <wp:positionV relativeFrom="paragraph">
              <wp:posOffset>179705</wp:posOffset>
            </wp:positionV>
            <wp:extent cx="4777740" cy="3078480"/>
            <wp:effectExtent l="0" t="0" r="0" b="0"/>
            <wp:wrapSquare wrapText="bothSides"/>
            <wp:docPr id="34" name="Picture 34"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ox and whisker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77740" cy="3078480"/>
                    </a:xfrm>
                    <a:prstGeom prst="rect">
                      <a:avLst/>
                    </a:prstGeom>
                  </pic:spPr>
                </pic:pic>
              </a:graphicData>
            </a:graphic>
            <wp14:sizeRelH relativeFrom="page">
              <wp14:pctWidth>0</wp14:pctWidth>
            </wp14:sizeRelH>
            <wp14:sizeRelV relativeFrom="page">
              <wp14:pctHeight>0</wp14:pctHeight>
            </wp14:sizeRelV>
          </wp:anchor>
        </w:drawing>
      </w:r>
    </w:p>
    <w:p w14:paraId="2FB2670E" w14:textId="77777777" w:rsidR="00F57C83" w:rsidRDefault="00F57C83" w:rsidP="0083516F">
      <w:pPr>
        <w:rPr>
          <w:b/>
          <w:bCs/>
          <w:i/>
          <w:iCs/>
        </w:rPr>
      </w:pPr>
    </w:p>
    <w:p w14:paraId="29EFFB8A" w14:textId="125D4190" w:rsidR="00F57C83" w:rsidRDefault="00F57C83" w:rsidP="0083516F">
      <w:pPr>
        <w:rPr>
          <w:b/>
          <w:bCs/>
          <w:i/>
          <w:iCs/>
        </w:rPr>
      </w:pPr>
    </w:p>
    <w:p w14:paraId="328ACFC1" w14:textId="41DDA4E8" w:rsidR="00634CD8" w:rsidRDefault="00634CD8" w:rsidP="00634CD8">
      <w:pPr>
        <w:spacing w:line="480" w:lineRule="auto"/>
        <w:ind w:firstLine="720"/>
      </w:pPr>
    </w:p>
    <w:p w14:paraId="4485DBAE" w14:textId="21CBCFC4" w:rsidR="00634CD8" w:rsidRDefault="00634CD8" w:rsidP="00634CD8">
      <w:pPr>
        <w:spacing w:line="480" w:lineRule="auto"/>
        <w:ind w:firstLine="720"/>
      </w:pPr>
    </w:p>
    <w:p w14:paraId="4273E40D" w14:textId="40F67071" w:rsidR="00634CD8" w:rsidRDefault="00634CD8" w:rsidP="00634CD8">
      <w:pPr>
        <w:spacing w:line="480" w:lineRule="auto"/>
        <w:ind w:firstLine="720"/>
      </w:pPr>
    </w:p>
    <w:p w14:paraId="7BEE3108" w14:textId="77777777" w:rsidR="00634CD8" w:rsidRDefault="00634CD8" w:rsidP="00634CD8">
      <w:pPr>
        <w:spacing w:line="480" w:lineRule="auto"/>
        <w:ind w:firstLine="720"/>
      </w:pPr>
    </w:p>
    <w:p w14:paraId="3F9B9F56" w14:textId="77777777" w:rsidR="00634CD8" w:rsidRDefault="00634CD8" w:rsidP="00634CD8">
      <w:pPr>
        <w:spacing w:line="480" w:lineRule="auto"/>
        <w:ind w:firstLine="720"/>
      </w:pPr>
    </w:p>
    <w:p w14:paraId="4B14300A" w14:textId="7B1DFDAD" w:rsidR="00736B18" w:rsidRPr="00634CD8" w:rsidRDefault="00736B18" w:rsidP="00634CD8">
      <w:pPr>
        <w:spacing w:line="480" w:lineRule="auto"/>
        <w:ind w:firstLine="720"/>
      </w:pPr>
      <w:r w:rsidRPr="00D53AD5">
        <w:rPr>
          <w:b/>
          <w:bCs/>
          <w:i/>
          <w:iCs/>
          <w:noProof/>
        </w:rPr>
        <w:t xml:space="preserve"> </w:t>
      </w:r>
    </w:p>
    <w:p w14:paraId="70EBE188" w14:textId="4BC40E3B" w:rsidR="00634CD8" w:rsidRDefault="00634CD8" w:rsidP="00736B18">
      <w:pPr>
        <w:spacing w:line="480" w:lineRule="auto"/>
        <w:ind w:firstLine="720"/>
      </w:pPr>
    </w:p>
    <w:p w14:paraId="57EF5A93" w14:textId="15B6BA8E" w:rsidR="00634CD8" w:rsidRDefault="00BC0AA2" w:rsidP="00736B18">
      <w:pPr>
        <w:spacing w:line="480" w:lineRule="auto"/>
        <w:ind w:firstLine="720"/>
      </w:pPr>
      <w:r w:rsidRPr="00591C32">
        <w:rPr>
          <w:b/>
          <w:bCs/>
          <w:i/>
          <w:iCs/>
          <w:noProof/>
        </w:rPr>
        <w:drawing>
          <wp:anchor distT="0" distB="0" distL="114300" distR="114300" simplePos="0" relativeHeight="251765760" behindDoc="0" locked="0" layoutInCell="1" allowOverlap="1" wp14:anchorId="61CA6D62" wp14:editId="7966684F">
            <wp:simplePos x="0" y="0"/>
            <wp:positionH relativeFrom="column">
              <wp:posOffset>273050</wp:posOffset>
            </wp:positionH>
            <wp:positionV relativeFrom="paragraph">
              <wp:posOffset>903301</wp:posOffset>
            </wp:positionV>
            <wp:extent cx="4429760" cy="3138170"/>
            <wp:effectExtent l="0" t="0" r="0" b="0"/>
            <wp:wrapSquare wrapText="bothSides"/>
            <wp:docPr id="35" name="Picture 35"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ox and whisker 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29760" cy="3138170"/>
                    </a:xfrm>
                    <a:prstGeom prst="rect">
                      <a:avLst/>
                    </a:prstGeom>
                  </pic:spPr>
                </pic:pic>
              </a:graphicData>
            </a:graphic>
            <wp14:sizeRelH relativeFrom="page">
              <wp14:pctWidth>0</wp14:pctWidth>
            </wp14:sizeRelH>
            <wp14:sizeRelV relativeFrom="page">
              <wp14:pctHeight>0</wp14:pctHeight>
            </wp14:sizeRelV>
          </wp:anchor>
        </w:drawing>
      </w:r>
      <w:r w:rsidRPr="00F57C83">
        <w:rPr>
          <w:b/>
          <w:bCs/>
          <w:i/>
          <w:iCs/>
          <w:noProof/>
        </w:rPr>
        <mc:AlternateContent>
          <mc:Choice Requires="wps">
            <w:drawing>
              <wp:anchor distT="0" distB="0" distL="114300" distR="114300" simplePos="0" relativeHeight="251902976" behindDoc="1" locked="0" layoutInCell="1" allowOverlap="1" wp14:anchorId="2C5DD8FB" wp14:editId="7B3CB576">
                <wp:simplePos x="0" y="0"/>
                <wp:positionH relativeFrom="column">
                  <wp:posOffset>182898</wp:posOffset>
                </wp:positionH>
                <wp:positionV relativeFrom="paragraph">
                  <wp:posOffset>99006</wp:posOffset>
                </wp:positionV>
                <wp:extent cx="5228590" cy="643890"/>
                <wp:effectExtent l="0" t="0" r="3810" b="3810"/>
                <wp:wrapSquare wrapText="bothSides"/>
                <wp:docPr id="29" name="Text Box 29"/>
                <wp:cNvGraphicFramePr/>
                <a:graphic xmlns:a="http://schemas.openxmlformats.org/drawingml/2006/main">
                  <a:graphicData uri="http://schemas.microsoft.com/office/word/2010/wordprocessingShape">
                    <wps:wsp>
                      <wps:cNvSpPr txBox="1"/>
                      <wps:spPr>
                        <a:xfrm>
                          <a:off x="0" y="0"/>
                          <a:ext cx="5228590" cy="643890"/>
                        </a:xfrm>
                        <a:prstGeom prst="rect">
                          <a:avLst/>
                        </a:prstGeom>
                        <a:solidFill>
                          <a:schemeClr val="lt1"/>
                        </a:solidFill>
                        <a:ln w="6350">
                          <a:noFill/>
                        </a:ln>
                      </wps:spPr>
                      <wps:txbx>
                        <w:txbxContent>
                          <w:p w14:paraId="2393E79D" w14:textId="24365072" w:rsidR="00BC0AA2" w:rsidRDefault="00F57C83" w:rsidP="00BC0AA2">
                            <w:pPr>
                              <w:pStyle w:val="Subtitle"/>
                            </w:pPr>
                            <w:bookmarkStart w:id="32" w:name="_Toc98704970"/>
                            <w:r w:rsidRPr="00F57C83">
                              <w:t xml:space="preserve">Figure 8: </w:t>
                            </w:r>
                            <w:r w:rsidR="00BC0AA2">
                              <w:t>Interannual Secchi Depth</w:t>
                            </w:r>
                            <w:bookmarkEnd w:id="32"/>
                          </w:p>
                          <w:p w14:paraId="6951448F" w14:textId="630A7769" w:rsidR="00F57C83" w:rsidRPr="00F57C83" w:rsidRDefault="00F57C83" w:rsidP="00F57C83">
                            <w:r w:rsidRPr="00F57C83">
                              <w:t xml:space="preserve">A box plot of the secchi depths each year </w:t>
                            </w:r>
                            <w:r w:rsidRPr="00F57C83">
                              <w:fldChar w:fldCharType="begin" w:fldLock="1"/>
                            </w:r>
                            <w:r w:rsidRPr="00F57C83">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F57C83">
                              <w:fldChar w:fldCharType="separate"/>
                            </w:r>
                            <w:r w:rsidRPr="00F57C83">
                              <w:rPr>
                                <w:noProof/>
                              </w:rPr>
                              <w:t>(Burtner et al., 2019)</w:t>
                            </w:r>
                            <w:r w:rsidRPr="00F57C83">
                              <w:fldChar w:fldCharType="end"/>
                            </w:r>
                            <w:r w:rsidRPr="00F57C8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DD8FB" id="Text Box 29" o:spid="_x0000_s1033" type="#_x0000_t202" style="position:absolute;left:0;text-align:left;margin-left:14.4pt;margin-top:7.8pt;width:411.7pt;height:50.7pt;z-index:-2514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" fillcolor="white [3201]" stroked="f" strokeweight=".5pt">
                <v:textbox>
                  <w:txbxContent>
                    <w:p w14:paraId="2393E79D" w14:textId="24365072" w:rsidR="00BC0AA2" w:rsidRDefault="00F57C83" w:rsidP="00BC0AA2">
                      <w:pPr>
                        <w:pStyle w:val="Subtitle"/>
                      </w:pPr>
                      <w:bookmarkStart w:id="40" w:name="_Toc98704970"/>
                      <w:r w:rsidRPr="00F57C83">
                        <w:t xml:space="preserve">Figure 8: </w:t>
                      </w:r>
                      <w:r w:rsidR="00BC0AA2">
                        <w:t>Interannual Secchi Depth</w:t>
                      </w:r>
                      <w:bookmarkEnd w:id="40"/>
                    </w:p>
                    <w:p w14:paraId="6951448F" w14:textId="630A7769" w:rsidR="00F57C83" w:rsidRPr="00F57C83" w:rsidRDefault="00F57C83" w:rsidP="00F57C83">
                      <w:r w:rsidRPr="00F57C83">
                        <w:t xml:space="preserve">A box plot of the secchi depths each year </w:t>
                      </w:r>
                      <w:r w:rsidRPr="00F57C83">
                        <w:fldChar w:fldCharType="begin" w:fldLock="1"/>
                      </w:r>
                      <w:r w:rsidRPr="00F57C83">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F57C83">
                        <w:fldChar w:fldCharType="separate"/>
                      </w:r>
                      <w:r w:rsidRPr="00F57C83">
                        <w:rPr>
                          <w:noProof/>
                        </w:rPr>
                        <w:t>(Burtner et al., 2019)</w:t>
                      </w:r>
                      <w:r w:rsidRPr="00F57C83">
                        <w:fldChar w:fldCharType="end"/>
                      </w:r>
                      <w:r w:rsidRPr="00F57C83">
                        <w:t>.</w:t>
                      </w:r>
                    </w:p>
                  </w:txbxContent>
                </v:textbox>
                <w10:wrap type="square"/>
              </v:shape>
            </w:pict>
          </mc:Fallback>
        </mc:AlternateContent>
      </w:r>
    </w:p>
    <w:p w14:paraId="02ECA21F" w14:textId="292B05A5" w:rsidR="00736B18" w:rsidRDefault="00736B18">
      <w:pPr>
        <w:rPr>
          <w:b/>
          <w:bCs/>
          <w:i/>
          <w:iCs/>
        </w:rPr>
      </w:pPr>
    </w:p>
    <w:p w14:paraId="1663AA19" w14:textId="2BF56F38" w:rsidR="00591C32" w:rsidRDefault="00591C32">
      <w:pPr>
        <w:rPr>
          <w:b/>
          <w:bCs/>
          <w:i/>
          <w:iCs/>
        </w:rPr>
      </w:pPr>
    </w:p>
    <w:p w14:paraId="43E7EF43" w14:textId="3A49DD34" w:rsidR="008F565E" w:rsidRDefault="008F565E"/>
    <w:p w14:paraId="3EB7E38A" w14:textId="36155CAD" w:rsidR="001F656B" w:rsidRDefault="001F656B"/>
    <w:p w14:paraId="6C91372E" w14:textId="19FED3DA" w:rsidR="001F656B" w:rsidRDefault="001F656B"/>
    <w:p w14:paraId="60121AA6" w14:textId="319544F2" w:rsidR="001F656B" w:rsidRDefault="001F656B"/>
    <w:p w14:paraId="4682CE4E" w14:textId="233170BC" w:rsidR="001F656B" w:rsidRDefault="001F656B"/>
    <w:p w14:paraId="3ABEB370" w14:textId="40F6B30B" w:rsidR="001F656B" w:rsidRDefault="001F656B"/>
    <w:p w14:paraId="533F814A" w14:textId="464FDAFC" w:rsidR="001F656B" w:rsidRDefault="001F656B"/>
    <w:p w14:paraId="0090CCFE" w14:textId="4E14DEC6" w:rsidR="001F656B" w:rsidRDefault="001F656B"/>
    <w:p w14:paraId="11B33C1B" w14:textId="2415A583" w:rsidR="001F656B" w:rsidRDefault="001F656B"/>
    <w:p w14:paraId="6D7B53ED" w14:textId="2F4F93EC" w:rsidR="001F656B" w:rsidRDefault="001F656B"/>
    <w:p w14:paraId="1AEAA312" w14:textId="367EB751" w:rsidR="001F656B" w:rsidRDefault="001F656B"/>
    <w:p w14:paraId="364B66BC" w14:textId="05B0F8A4" w:rsidR="001F656B" w:rsidRDefault="001F656B"/>
    <w:p w14:paraId="713F63D9" w14:textId="27E6657C" w:rsidR="001F656B" w:rsidRDefault="001F656B"/>
    <w:p w14:paraId="4CCFFE05" w14:textId="728459FD" w:rsidR="001F656B" w:rsidRDefault="00BC0AA2">
      <w:r w:rsidRPr="00591C32">
        <w:rPr>
          <w:b/>
          <w:bCs/>
          <w:i/>
          <w:iCs/>
          <w:noProof/>
        </w:rPr>
        <mc:AlternateContent>
          <mc:Choice Requires="wps">
            <w:drawing>
              <wp:anchor distT="0" distB="0" distL="114300" distR="114300" simplePos="0" relativeHeight="251766784" behindDoc="1" locked="0" layoutInCell="1" allowOverlap="1" wp14:anchorId="1AC8791A" wp14:editId="4F6B824F">
                <wp:simplePos x="0" y="0"/>
                <wp:positionH relativeFrom="column">
                  <wp:posOffset>273050</wp:posOffset>
                </wp:positionH>
                <wp:positionV relativeFrom="paragraph">
                  <wp:posOffset>319405</wp:posOffset>
                </wp:positionV>
                <wp:extent cx="4906645" cy="643890"/>
                <wp:effectExtent l="0" t="0" r="0" b="3810"/>
                <wp:wrapSquare wrapText="bothSides"/>
                <wp:docPr id="32" name="Text Box 32"/>
                <wp:cNvGraphicFramePr/>
                <a:graphic xmlns:a="http://schemas.openxmlformats.org/drawingml/2006/main">
                  <a:graphicData uri="http://schemas.microsoft.com/office/word/2010/wordprocessingShape">
                    <wps:wsp>
                      <wps:cNvSpPr txBox="1"/>
                      <wps:spPr>
                        <a:xfrm>
                          <a:off x="0" y="0"/>
                          <a:ext cx="4906645" cy="643890"/>
                        </a:xfrm>
                        <a:prstGeom prst="rect">
                          <a:avLst/>
                        </a:prstGeom>
                        <a:solidFill>
                          <a:schemeClr val="lt1"/>
                        </a:solidFill>
                        <a:ln w="6350">
                          <a:noFill/>
                        </a:ln>
                      </wps:spPr>
                      <wps:txbx>
                        <w:txbxContent>
                          <w:p w14:paraId="3F6D02B4" w14:textId="206CA1C5" w:rsidR="00BC0AA2" w:rsidRDefault="00591C32" w:rsidP="00BC0AA2">
                            <w:pPr>
                              <w:pStyle w:val="Subtitle"/>
                            </w:pPr>
                            <w:bookmarkStart w:id="33" w:name="_Toc98704971"/>
                            <w:r w:rsidRPr="00F57C83">
                              <w:t xml:space="preserve">Figure 9: </w:t>
                            </w:r>
                            <w:r w:rsidR="00BC0AA2">
                              <w:t>Interannual Phycocyanin to Chlorophyll-a Ratio</w:t>
                            </w:r>
                            <w:bookmarkEnd w:id="33"/>
                          </w:p>
                          <w:p w14:paraId="7C2B2DB8" w14:textId="1E1FA797" w:rsidR="00591C32" w:rsidRPr="00F57C83" w:rsidRDefault="00591C32" w:rsidP="00591C32">
                            <w:r w:rsidRPr="00F57C83">
                              <w:t xml:space="preserve">A box plot of the phycocyanin to chlorophyll-a ratio each year </w:t>
                            </w:r>
                            <w:r w:rsidRPr="00F57C83">
                              <w:fldChar w:fldCharType="begin" w:fldLock="1"/>
                            </w:r>
                            <w:r w:rsidRPr="00F57C83">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F57C83">
                              <w:fldChar w:fldCharType="separate"/>
                            </w:r>
                            <w:r w:rsidRPr="00F57C83">
                              <w:rPr>
                                <w:noProof/>
                              </w:rPr>
                              <w:t>(Burtner et al., 2019)</w:t>
                            </w:r>
                            <w:r w:rsidRPr="00F57C83">
                              <w:fldChar w:fldCharType="end"/>
                            </w:r>
                            <w:r w:rsidRPr="00F57C8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8791A" id="Text Box 32" o:spid="_x0000_s1034" type="#_x0000_t202" style="position:absolute;margin-left:21.5pt;margin-top:25.15pt;width:386.35pt;height:50.7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" fillcolor="white [3201]" stroked="f" strokeweight=".5pt">
                <v:textbox>
                  <w:txbxContent>
                    <w:p w14:paraId="3F6D02B4" w14:textId="206CA1C5" w:rsidR="00BC0AA2" w:rsidRDefault="00591C32" w:rsidP="00BC0AA2">
                      <w:pPr>
                        <w:pStyle w:val="Subtitle"/>
                      </w:pPr>
                      <w:bookmarkStart w:id="42" w:name="_Toc98704971"/>
                      <w:r w:rsidRPr="00F57C83">
                        <w:t xml:space="preserve">Figure 9: </w:t>
                      </w:r>
                      <w:r w:rsidR="00BC0AA2">
                        <w:t>Interannual Phycocyanin to Chlorophyll-a Ratio</w:t>
                      </w:r>
                      <w:bookmarkEnd w:id="42"/>
                    </w:p>
                    <w:p w14:paraId="7C2B2DB8" w14:textId="1E1FA797" w:rsidR="00591C32" w:rsidRPr="00F57C83" w:rsidRDefault="00591C32" w:rsidP="00591C32">
                      <w:r w:rsidRPr="00F57C83">
                        <w:t xml:space="preserve">A box plot of the phycocyanin to chlorophyll-a ratio each year </w:t>
                      </w:r>
                      <w:r w:rsidRPr="00F57C83">
                        <w:fldChar w:fldCharType="begin" w:fldLock="1"/>
                      </w:r>
                      <w:r w:rsidRPr="00F57C83">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F57C83">
                        <w:fldChar w:fldCharType="separate"/>
                      </w:r>
                      <w:r w:rsidRPr="00F57C83">
                        <w:rPr>
                          <w:noProof/>
                        </w:rPr>
                        <w:t>(Burtner et al., 2019)</w:t>
                      </w:r>
                      <w:r w:rsidRPr="00F57C83">
                        <w:fldChar w:fldCharType="end"/>
                      </w:r>
                      <w:r w:rsidRPr="00F57C83">
                        <w:t>.</w:t>
                      </w:r>
                    </w:p>
                  </w:txbxContent>
                </v:textbox>
                <w10:wrap type="square"/>
              </v:shape>
            </w:pict>
          </mc:Fallback>
        </mc:AlternateContent>
      </w:r>
    </w:p>
    <w:p w14:paraId="51D23686" w14:textId="41015709" w:rsidR="001F656B" w:rsidRDefault="00BC0AA2">
      <w:r w:rsidRPr="00591C32">
        <w:rPr>
          <w:b/>
          <w:bCs/>
          <w:i/>
          <w:iCs/>
          <w:noProof/>
        </w:rPr>
        <w:lastRenderedPageBreak/>
        <mc:AlternateContent>
          <mc:Choice Requires="wps">
            <w:drawing>
              <wp:anchor distT="0" distB="0" distL="114300" distR="114300" simplePos="0" relativeHeight="251768832" behindDoc="1" locked="0" layoutInCell="1" allowOverlap="1" wp14:anchorId="77FCE94E" wp14:editId="6CE3659E">
                <wp:simplePos x="0" y="0"/>
                <wp:positionH relativeFrom="column">
                  <wp:posOffset>93345</wp:posOffset>
                </wp:positionH>
                <wp:positionV relativeFrom="paragraph">
                  <wp:posOffset>2562860</wp:posOffset>
                </wp:positionV>
                <wp:extent cx="5396230" cy="656590"/>
                <wp:effectExtent l="0" t="0" r="1270" b="3810"/>
                <wp:wrapSquare wrapText="bothSides"/>
                <wp:docPr id="40" name="Text Box 40"/>
                <wp:cNvGraphicFramePr/>
                <a:graphic xmlns:a="http://schemas.openxmlformats.org/drawingml/2006/main">
                  <a:graphicData uri="http://schemas.microsoft.com/office/word/2010/wordprocessingShape">
                    <wps:wsp>
                      <wps:cNvSpPr txBox="1"/>
                      <wps:spPr>
                        <a:xfrm>
                          <a:off x="0" y="0"/>
                          <a:ext cx="5396230" cy="656590"/>
                        </a:xfrm>
                        <a:prstGeom prst="rect">
                          <a:avLst/>
                        </a:prstGeom>
                        <a:solidFill>
                          <a:schemeClr val="lt1"/>
                        </a:solidFill>
                        <a:ln w="6350">
                          <a:noFill/>
                        </a:ln>
                      </wps:spPr>
                      <wps:txbx>
                        <w:txbxContent>
                          <w:p w14:paraId="53C7F6E2" w14:textId="3890B892" w:rsidR="00BC0AA2" w:rsidRDefault="00B759A1" w:rsidP="00BC0AA2">
                            <w:pPr>
                              <w:pStyle w:val="Subtitle"/>
                            </w:pPr>
                            <w:bookmarkStart w:id="34" w:name="_Toc98704972"/>
                            <w:r w:rsidRPr="00170B29">
                              <w:t xml:space="preserve">Figure 10: </w:t>
                            </w:r>
                            <w:r w:rsidR="00BC0AA2">
                              <w:t>Interannual Phosphorus Concentration</w:t>
                            </w:r>
                            <w:bookmarkEnd w:id="34"/>
                          </w:p>
                          <w:p w14:paraId="00D6FD2D" w14:textId="6A72DE53" w:rsidR="00B759A1" w:rsidRPr="00170B29" w:rsidRDefault="00B759A1" w:rsidP="00B759A1">
                            <w:r w:rsidRPr="00170B29">
                              <w:t xml:space="preserve">A box plot of the phosphorus concentration each month through the years </w:t>
                            </w:r>
                            <w:r w:rsidRPr="00170B29">
                              <w:fldChar w:fldCharType="begin" w:fldLock="1"/>
                            </w:r>
                            <w:r w:rsidRPr="00170B29">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170B29">
                              <w:fldChar w:fldCharType="separate"/>
                            </w:r>
                            <w:r w:rsidRPr="00170B29">
                              <w:rPr>
                                <w:noProof/>
                              </w:rPr>
                              <w:t>(Burtner et al., 2019)</w:t>
                            </w:r>
                            <w:r w:rsidRPr="00170B29">
                              <w:fldChar w:fldCharType="end"/>
                            </w:r>
                            <w:r w:rsidRPr="00170B2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CE94E" id="Text Box 40" o:spid="_x0000_s1035" type="#_x0000_t202" style="position:absolute;margin-left:7.35pt;margin-top:201.8pt;width:424.9pt;height:51.7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" fillcolor="white [3201]" stroked="f" strokeweight=".5pt">
                <v:textbox>
                  <w:txbxContent>
                    <w:p w14:paraId="53C7F6E2" w14:textId="3890B892" w:rsidR="00BC0AA2" w:rsidRDefault="00B759A1" w:rsidP="00BC0AA2">
                      <w:pPr>
                        <w:pStyle w:val="Subtitle"/>
                      </w:pPr>
                      <w:bookmarkStart w:id="44" w:name="_Toc98704972"/>
                      <w:r w:rsidRPr="00170B29">
                        <w:t xml:space="preserve">Figure 10: </w:t>
                      </w:r>
                      <w:r w:rsidR="00BC0AA2">
                        <w:t>Interannual Phosphorus Concentration</w:t>
                      </w:r>
                      <w:bookmarkEnd w:id="44"/>
                    </w:p>
                    <w:p w14:paraId="00D6FD2D" w14:textId="6A72DE53" w:rsidR="00B759A1" w:rsidRPr="00170B29" w:rsidRDefault="00B759A1" w:rsidP="00B759A1">
                      <w:r w:rsidRPr="00170B29">
                        <w:t xml:space="preserve">A box plot of the phosphorus concentration each month through the years </w:t>
                      </w:r>
                      <w:r w:rsidRPr="00170B29">
                        <w:fldChar w:fldCharType="begin" w:fldLock="1"/>
                      </w:r>
                      <w:r w:rsidRPr="00170B29">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170B29">
                        <w:fldChar w:fldCharType="separate"/>
                      </w:r>
                      <w:r w:rsidRPr="00170B29">
                        <w:rPr>
                          <w:noProof/>
                        </w:rPr>
                        <w:t>(Burtner et al., 2019)</w:t>
                      </w:r>
                      <w:r w:rsidRPr="00170B29">
                        <w:fldChar w:fldCharType="end"/>
                      </w:r>
                      <w:r w:rsidRPr="00170B29">
                        <w:t>.</w:t>
                      </w:r>
                    </w:p>
                  </w:txbxContent>
                </v:textbox>
                <w10:wrap type="square"/>
              </v:shape>
            </w:pict>
          </mc:Fallback>
        </mc:AlternateContent>
      </w:r>
      <w:r w:rsidR="001F656B">
        <w:rPr>
          <w:noProof/>
        </w:rPr>
        <w:drawing>
          <wp:inline distT="0" distB="0" distL="0" distR="0" wp14:anchorId="25AC86C9" wp14:editId="3CFBE18F">
            <wp:extent cx="5486400" cy="2472055"/>
            <wp:effectExtent l="0" t="0" r="0" b="0"/>
            <wp:docPr id="3" name="Picture 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ox and whisker 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86400" cy="2472055"/>
                    </a:xfrm>
                    <a:prstGeom prst="rect">
                      <a:avLst/>
                    </a:prstGeom>
                  </pic:spPr>
                </pic:pic>
              </a:graphicData>
            </a:graphic>
          </wp:inline>
        </w:drawing>
      </w:r>
    </w:p>
    <w:p w14:paraId="14F6693D" w14:textId="7A80F9F0" w:rsidR="001F656B" w:rsidRDefault="001F656B"/>
    <w:p w14:paraId="5B317AEF" w14:textId="74937333" w:rsidR="00B759A1" w:rsidRDefault="00BC0AA2">
      <w:r w:rsidRPr="00591C32">
        <w:rPr>
          <w:b/>
          <w:bCs/>
          <w:i/>
          <w:iCs/>
          <w:noProof/>
        </w:rPr>
        <mc:AlternateContent>
          <mc:Choice Requires="wps">
            <w:drawing>
              <wp:anchor distT="0" distB="0" distL="114300" distR="114300" simplePos="0" relativeHeight="251770880" behindDoc="1" locked="0" layoutInCell="1" allowOverlap="1" wp14:anchorId="13638779" wp14:editId="5D542204">
                <wp:simplePos x="0" y="0"/>
                <wp:positionH relativeFrom="column">
                  <wp:posOffset>208915</wp:posOffset>
                </wp:positionH>
                <wp:positionV relativeFrom="paragraph">
                  <wp:posOffset>2564130</wp:posOffset>
                </wp:positionV>
                <wp:extent cx="5396230" cy="708025"/>
                <wp:effectExtent l="0" t="0" r="1270" b="3175"/>
                <wp:wrapSquare wrapText="bothSides"/>
                <wp:docPr id="43" name="Text Box 43"/>
                <wp:cNvGraphicFramePr/>
                <a:graphic xmlns:a="http://schemas.openxmlformats.org/drawingml/2006/main">
                  <a:graphicData uri="http://schemas.microsoft.com/office/word/2010/wordprocessingShape">
                    <wps:wsp>
                      <wps:cNvSpPr txBox="1"/>
                      <wps:spPr>
                        <a:xfrm>
                          <a:off x="0" y="0"/>
                          <a:ext cx="5396230" cy="708025"/>
                        </a:xfrm>
                        <a:prstGeom prst="rect">
                          <a:avLst/>
                        </a:prstGeom>
                        <a:solidFill>
                          <a:schemeClr val="lt1"/>
                        </a:solidFill>
                        <a:ln w="6350">
                          <a:noFill/>
                        </a:ln>
                      </wps:spPr>
                      <wps:txbx>
                        <w:txbxContent>
                          <w:p w14:paraId="1F43C51D" w14:textId="1E6D4216" w:rsidR="00BC0AA2" w:rsidRDefault="008F565E" w:rsidP="00BC0AA2">
                            <w:pPr>
                              <w:pStyle w:val="Subtitle"/>
                            </w:pPr>
                            <w:bookmarkStart w:id="35" w:name="_Toc98704973"/>
                            <w:r w:rsidRPr="00170B29">
                              <w:t xml:space="preserve">Figure 11: </w:t>
                            </w:r>
                            <w:r w:rsidR="00BC0AA2">
                              <w:t>Interannual Nitrogen Concentration</w:t>
                            </w:r>
                            <w:bookmarkEnd w:id="35"/>
                          </w:p>
                          <w:p w14:paraId="4116610B" w14:textId="6ABE3D55" w:rsidR="008F565E" w:rsidRPr="00170B29" w:rsidRDefault="008F565E" w:rsidP="008F565E">
                            <w:r w:rsidRPr="00170B29">
                              <w:t xml:space="preserve">A box plot of the nitrogen concentration each month through the years </w:t>
                            </w:r>
                            <w:r w:rsidRPr="00170B29">
                              <w:fldChar w:fldCharType="begin" w:fldLock="1"/>
                            </w:r>
                            <w:r w:rsidRPr="00170B29">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170B29">
                              <w:fldChar w:fldCharType="separate"/>
                            </w:r>
                            <w:r w:rsidRPr="00170B29">
                              <w:rPr>
                                <w:noProof/>
                              </w:rPr>
                              <w:t>(Burtner et al., 2019)</w:t>
                            </w:r>
                            <w:r w:rsidRPr="00170B29">
                              <w:fldChar w:fldCharType="end"/>
                            </w:r>
                            <w:r w:rsidRPr="00170B2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38779" id="Text Box 43" o:spid="_x0000_s1036" type="#_x0000_t202" style="position:absolute;margin-left:16.45pt;margin-top:201.9pt;width:424.9pt;height:55.7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" fillcolor="white [3201]" stroked="f" strokeweight=".5pt">
                <v:textbox>
                  <w:txbxContent>
                    <w:p w14:paraId="1F43C51D" w14:textId="1E6D4216" w:rsidR="00BC0AA2" w:rsidRDefault="008F565E" w:rsidP="00BC0AA2">
                      <w:pPr>
                        <w:pStyle w:val="Subtitle"/>
                      </w:pPr>
                      <w:bookmarkStart w:id="46" w:name="_Toc98704973"/>
                      <w:r w:rsidRPr="00170B29">
                        <w:t xml:space="preserve">Figure 11: </w:t>
                      </w:r>
                      <w:r w:rsidR="00BC0AA2">
                        <w:t>Interannual Nitrogen Concentration</w:t>
                      </w:r>
                      <w:bookmarkEnd w:id="46"/>
                    </w:p>
                    <w:p w14:paraId="4116610B" w14:textId="6ABE3D55" w:rsidR="008F565E" w:rsidRPr="00170B29" w:rsidRDefault="008F565E" w:rsidP="008F565E">
                      <w:r w:rsidRPr="00170B29">
                        <w:t xml:space="preserve">A box plot of the nitrogen concentration each month through the years </w:t>
                      </w:r>
                      <w:r w:rsidRPr="00170B29">
                        <w:fldChar w:fldCharType="begin" w:fldLock="1"/>
                      </w:r>
                      <w:r w:rsidRPr="00170B29">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170B29">
                        <w:fldChar w:fldCharType="separate"/>
                      </w:r>
                      <w:r w:rsidRPr="00170B29">
                        <w:rPr>
                          <w:noProof/>
                        </w:rPr>
                        <w:t>(Burtner et al., 2019)</w:t>
                      </w:r>
                      <w:r w:rsidRPr="00170B29">
                        <w:fldChar w:fldCharType="end"/>
                      </w:r>
                      <w:r w:rsidRPr="00170B29">
                        <w:t>.</w:t>
                      </w:r>
                    </w:p>
                  </w:txbxContent>
                </v:textbox>
                <w10:wrap type="square"/>
              </v:shape>
            </w:pict>
          </mc:Fallback>
        </mc:AlternateContent>
      </w:r>
      <w:r w:rsidR="0083604E">
        <w:rPr>
          <w:noProof/>
        </w:rPr>
        <w:drawing>
          <wp:inline distT="0" distB="0" distL="0" distR="0" wp14:anchorId="406DB28D" wp14:editId="33859C06">
            <wp:extent cx="5486400" cy="2472055"/>
            <wp:effectExtent l="0" t="0" r="0" b="0"/>
            <wp:docPr id="6" name="Picture 6"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ox and whisker 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86400" cy="2472055"/>
                    </a:xfrm>
                    <a:prstGeom prst="rect">
                      <a:avLst/>
                    </a:prstGeom>
                  </pic:spPr>
                </pic:pic>
              </a:graphicData>
            </a:graphic>
          </wp:inline>
        </w:drawing>
      </w:r>
    </w:p>
    <w:p w14:paraId="3DECD0E3" w14:textId="62DA87AA" w:rsidR="008F565E" w:rsidRDefault="008F565E"/>
    <w:p w14:paraId="4D85163F" w14:textId="08BC504A" w:rsidR="00F57C83" w:rsidRDefault="00F57C83" w:rsidP="00B759A1">
      <w:pPr>
        <w:rPr>
          <w:b/>
          <w:bCs/>
          <w:i/>
          <w:iCs/>
        </w:rPr>
      </w:pPr>
    </w:p>
    <w:p w14:paraId="4AC8CFEE" w14:textId="5B442977" w:rsidR="00F57C83" w:rsidRDefault="00F57C83" w:rsidP="00B759A1">
      <w:pPr>
        <w:rPr>
          <w:b/>
          <w:bCs/>
          <w:i/>
          <w:iCs/>
        </w:rPr>
      </w:pPr>
    </w:p>
    <w:p w14:paraId="1A4385D6" w14:textId="73C13FDC" w:rsidR="00F57C83" w:rsidRDefault="00F57C83" w:rsidP="00B759A1">
      <w:pPr>
        <w:rPr>
          <w:b/>
          <w:bCs/>
          <w:i/>
          <w:iCs/>
        </w:rPr>
      </w:pPr>
    </w:p>
    <w:p w14:paraId="52EDB276" w14:textId="1B3216A4" w:rsidR="00F57C83" w:rsidRDefault="00F57C83" w:rsidP="00B759A1">
      <w:pPr>
        <w:rPr>
          <w:b/>
          <w:bCs/>
          <w:i/>
          <w:iCs/>
        </w:rPr>
      </w:pPr>
    </w:p>
    <w:p w14:paraId="687F2D20" w14:textId="77777777" w:rsidR="00F57C83" w:rsidRDefault="00F57C83" w:rsidP="00B759A1">
      <w:pPr>
        <w:rPr>
          <w:b/>
          <w:bCs/>
          <w:i/>
          <w:iCs/>
        </w:rPr>
      </w:pPr>
    </w:p>
    <w:p w14:paraId="41469D8E" w14:textId="3770D326" w:rsidR="00F8536B" w:rsidRDefault="004D24C7" w:rsidP="00240F72">
      <w:pPr>
        <w:pStyle w:val="Heading2"/>
      </w:pPr>
      <w:bookmarkStart w:id="36" w:name="_Toc98870954"/>
      <w:r>
        <w:lastRenderedPageBreak/>
        <w:t>Intra-annual Variability</w:t>
      </w:r>
      <w:bookmarkEnd w:id="36"/>
    </w:p>
    <w:p w14:paraId="15801603" w14:textId="77777777" w:rsidR="00634CD8" w:rsidRPr="00D53AD5" w:rsidRDefault="00634CD8" w:rsidP="00634CD8">
      <w:pPr>
        <w:rPr>
          <w:b/>
          <w:bCs/>
          <w:i/>
          <w:iCs/>
        </w:rPr>
      </w:pPr>
    </w:p>
    <w:p w14:paraId="6AA47B47" w14:textId="3C073958" w:rsidR="00634CD8" w:rsidRDefault="00634CD8" w:rsidP="00D05396">
      <w:pPr>
        <w:spacing w:line="480" w:lineRule="auto"/>
        <w:ind w:firstLine="720"/>
      </w:pPr>
      <w:r w:rsidRPr="00D53AD5">
        <w:t>One major goal given the int</w:t>
      </w:r>
      <w:r>
        <w:t>ra-</w:t>
      </w:r>
      <w:r w:rsidRPr="00D53AD5">
        <w:t>annual pattern for the data was to determine how the phytoplankton and cyanobacteria biomasses change throughout the year. Since we don’t have these specific measurements of biomasses, we used the concentrations of the pigments that these groups synthesize. The time series sampling was taken each year from March through November. In our analysis, regardless of the year that the data was taken, we grouped it by the month and then calculated the median, 75</w:t>
      </w:r>
      <w:r w:rsidRPr="00D53AD5">
        <w:rPr>
          <w:vertAlign w:val="superscript"/>
        </w:rPr>
        <w:t>th</w:t>
      </w:r>
      <w:r w:rsidRPr="00D53AD5">
        <w:t xml:space="preserve"> percentile, and 25</w:t>
      </w:r>
      <w:r w:rsidRPr="00D53AD5">
        <w:rPr>
          <w:vertAlign w:val="superscript"/>
        </w:rPr>
        <w:t>th</w:t>
      </w:r>
      <w:r w:rsidRPr="00D53AD5">
        <w:t xml:space="preserve"> percentile per month for the chlorophyll-a concentration and the phycocyanin concentrations. This helped us visualize how the concentrations of each pigment changes throughout the year </w:t>
      </w:r>
      <w:r w:rsidRPr="0083604E">
        <w:rPr>
          <w:b/>
          <w:bCs/>
        </w:rPr>
        <w:t>(Figure 12).</w:t>
      </w:r>
      <w:r w:rsidRPr="00D53AD5">
        <w:t xml:space="preserve"> In </w:t>
      </w:r>
      <w:r w:rsidRPr="0083604E">
        <w:rPr>
          <w:b/>
          <w:bCs/>
        </w:rPr>
        <w:t>Figure 12</w:t>
      </w:r>
      <w:r w:rsidRPr="00D53AD5">
        <w:t xml:space="preserve">, we see that there is a peak of pigment concentration for both pigments in August-September. This fits with observations that </w:t>
      </w:r>
      <w:r w:rsidRPr="00D53AD5">
        <w:rPr>
          <w:i/>
          <w:iCs/>
        </w:rPr>
        <w:t xml:space="preserve">Microcystis </w:t>
      </w:r>
      <w:r w:rsidRPr="00D53AD5">
        <w:t xml:space="preserve">blooms typically occur in the environment during those late summer months. </w:t>
      </w:r>
    </w:p>
    <w:p w14:paraId="3DB94E62" w14:textId="77777777" w:rsidR="0073710F" w:rsidRDefault="00634CD8" w:rsidP="0083604E">
      <w:pPr>
        <w:spacing w:line="480" w:lineRule="auto"/>
        <w:ind w:firstLine="720"/>
      </w:pPr>
      <w:r w:rsidRPr="00D53AD5">
        <w:t xml:space="preserve">Since cyanobacteria synthesize both chlorophyll-a and phycocyanin, one of our main questions about this data was how much of the chlorophyll-a is synthesized by cyanobacteria. Using the Peng </w:t>
      </w:r>
      <w:r w:rsidRPr="00D53AD5">
        <w:rPr>
          <w:i/>
          <w:iCs/>
        </w:rPr>
        <w:t>et al.</w:t>
      </w:r>
      <w:r w:rsidRPr="00D53AD5">
        <w:t xml:space="preserve"> study we estimated that each cyanobacterium cell synthesizes on average four times more phycocyanin than chlorophyll-a </w:t>
      </w:r>
      <w:r w:rsidRPr="00D53AD5">
        <w:fldChar w:fldCharType="begin" w:fldLock="1"/>
      </w:r>
      <w:r w:rsidRPr="00D53AD5">
        <w:instrText>ADDIN CSL_CITATION {"citationItems":[{"id":"ITEM-1","itemData":{"DOI":"10.1007/s00343-018-7065-1","ISSN":"25233521","abstract":"Cyanobacterial blooms are a global problem, with their occurrence tightly tied to nutrient loading. We cultured Microcystis aeruginosa FACHB-905 in growth medium with either inorganic (orthophosphate) or organic (β-glycerophosphate or polyphosphate) phosphorus and at different N:P ratios with 50:1, 30:1, 16:1, 4:1 and 1:4, serving as the phosphorus source. Fluorescence parameters were measured to determine the response of cellular responses to nutrient stress. Scanning electron microscopy (SEM) and estimates of antioxidant activity were employed to examine potential mechanisms of physical change. The results demonstrate that inorganic phosphorus was more bioavailable to M. aeruginosa relative to organic phosphorus in culture. The highest cell concentration (2.21×106 cells/mL), chlorophyll-a (0.39 pg/cell) and phycocyanin (1.57 pg/cell) quotas and high levels of chlorophyll fluorescence parameters (rETR, Ek, α, φPS II and Fv / Fm) were obtained when phosphorus was supplied as K2HPO4 at a N:P ratio of 16–30. Organic sources of phosphorus (β-glycerophosphate and polyphosphate) were bioavailable to M. aeruginosa. In addition, too concentrated orthophosphate (N:P=1:4) resulted in the oxidative stress and lipid peroxidation of cell membrane (identified by the antioxidant system activity), and the photosynthetic activity declined consequently. This study has demonstrated the effects of different phosphorus chemistries and N:P ratios on the cyanobacterial growth, photosynthetic activity and cell physiology, which could be an effective tool for predicting cyanobacterial dominance or N-deficiency in natural lakes (due to the superior ability of cyanobacteria for dissolved N and fix atmospheric N in some cases).","author":[{"dropping-particle":"","family":"Peng","given":"G.","non-dropping-particle":"","parse-names":false,"suffix":""},{"dropping-particle":"","family":"Wilhelm","given":"S. W.","non-dropping-particle":"","parse-names":false,"suffix":""},{"dropping-particle":"","family":"Lin","given":"S.","non-dropping-particle":"","parse-names":false,"suffix":""},{"dropping-particle":"","family":"Wang","given":"X.","non-dropping-particle":"","parse-names":false,"suffix":""}],"container-title":"Journal of Oceanology and Limnology","id":"ITEM-1","issue":"4","issued":{"date-parts":[["2018"]]},"page":"1040-1052","title":"Response of Microcystis aeruginosa FACHB-905 to different nutrient ratios and changes in phosphorus chemistry","type":"article-journal","volume":"36"},"uris":["http://www.mendeley.com/documents/?uuid=9590142f-af05-4764-92ad-97f1ccc70d17"]}],"mendeley":{"formattedCitation":"(Peng et al., 2018)","plainTextFormattedCitation":"(Peng et al., 2018)","previouslyFormattedCitation":"(Peng et al., 2018)"},"properties":{"noteIndex":0},"schema":"https://github.com/citation-style-language/schema/raw/master/csl-citation.json"}</w:instrText>
      </w:r>
      <w:r w:rsidRPr="00D53AD5">
        <w:fldChar w:fldCharType="separate"/>
      </w:r>
      <w:r w:rsidRPr="00D53AD5">
        <w:rPr>
          <w:noProof/>
        </w:rPr>
        <w:t>(Peng et al., 2018)</w:t>
      </w:r>
      <w:r w:rsidRPr="00D53AD5">
        <w:fldChar w:fldCharType="end"/>
      </w:r>
      <w:r w:rsidRPr="00D53AD5">
        <w:t xml:space="preserve">. Thus, with this estimation we wanted to compare the concentrations of phycocyanin with the concentrations of chlorophyll-a; where the chlorophyll-a concentration excludes that synthesized by cyanobacteria </w:t>
      </w:r>
      <w:r w:rsidRPr="0083604E">
        <w:rPr>
          <w:b/>
          <w:bCs/>
        </w:rPr>
        <w:t>(Figure 1</w:t>
      </w:r>
      <w:r w:rsidR="000B229E" w:rsidRPr="0083604E">
        <w:rPr>
          <w:b/>
          <w:bCs/>
        </w:rPr>
        <w:t>3</w:t>
      </w:r>
      <w:r w:rsidRPr="0083604E">
        <w:rPr>
          <w:b/>
          <w:bCs/>
        </w:rPr>
        <w:t>)</w:t>
      </w:r>
      <w:r w:rsidRPr="00D53AD5">
        <w:t xml:space="preserve">. </w:t>
      </w:r>
      <w:r w:rsidRPr="0083604E">
        <w:rPr>
          <w:b/>
          <w:bCs/>
        </w:rPr>
        <w:t>Figure 1</w:t>
      </w:r>
      <w:r w:rsidR="000B229E" w:rsidRPr="0083604E">
        <w:rPr>
          <w:b/>
          <w:bCs/>
        </w:rPr>
        <w:t>3</w:t>
      </w:r>
      <w:r w:rsidRPr="00D53AD5">
        <w:t xml:space="preserve">, left panel, shows the comparison between </w:t>
      </w:r>
    </w:p>
    <w:p w14:paraId="01C24124" w14:textId="3D818500" w:rsidR="0073710F" w:rsidRDefault="0073710F">
      <w:r w:rsidRPr="0073710F">
        <w:rPr>
          <w:noProof/>
        </w:rPr>
        <w:lastRenderedPageBreak/>
        <w:drawing>
          <wp:anchor distT="0" distB="0" distL="114300" distR="114300" simplePos="0" relativeHeight="251921408" behindDoc="1" locked="0" layoutInCell="1" allowOverlap="1" wp14:anchorId="4B32C902" wp14:editId="6081817B">
            <wp:simplePos x="0" y="0"/>
            <wp:positionH relativeFrom="column">
              <wp:posOffset>0</wp:posOffset>
            </wp:positionH>
            <wp:positionV relativeFrom="paragraph">
              <wp:posOffset>180340</wp:posOffset>
            </wp:positionV>
            <wp:extent cx="3373755" cy="2283460"/>
            <wp:effectExtent l="0" t="0" r="4445" b="2540"/>
            <wp:wrapTight wrapText="bothSides">
              <wp:wrapPolygon edited="0">
                <wp:start x="0" y="0"/>
                <wp:lineTo x="0" y="21504"/>
                <wp:lineTo x="21547" y="21504"/>
                <wp:lineTo x="21547" y="0"/>
                <wp:lineTo x="0" y="0"/>
              </wp:wrapPolygon>
            </wp:wrapTight>
            <wp:docPr id="44" name="Picture 4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Chart, line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73755" cy="2283460"/>
                    </a:xfrm>
                    <a:prstGeom prst="rect">
                      <a:avLst/>
                    </a:prstGeom>
                  </pic:spPr>
                </pic:pic>
              </a:graphicData>
            </a:graphic>
            <wp14:sizeRelH relativeFrom="page">
              <wp14:pctWidth>0</wp14:pctWidth>
            </wp14:sizeRelH>
            <wp14:sizeRelV relativeFrom="page">
              <wp14:pctHeight>0</wp14:pctHeight>
            </wp14:sizeRelV>
          </wp:anchor>
        </w:drawing>
      </w:r>
    </w:p>
    <w:p w14:paraId="7CE7BE22" w14:textId="77777777" w:rsidR="0073710F" w:rsidRDefault="0073710F" w:rsidP="0073710F">
      <w:pPr>
        <w:spacing w:line="480" w:lineRule="auto"/>
      </w:pPr>
    </w:p>
    <w:p w14:paraId="0979969D" w14:textId="77777777" w:rsidR="0073710F" w:rsidRDefault="0073710F" w:rsidP="0073710F">
      <w:pPr>
        <w:spacing w:line="480" w:lineRule="auto"/>
      </w:pPr>
    </w:p>
    <w:p w14:paraId="7902C9C3" w14:textId="77777777" w:rsidR="0073710F" w:rsidRDefault="0073710F" w:rsidP="0073710F">
      <w:pPr>
        <w:spacing w:line="480" w:lineRule="auto"/>
      </w:pPr>
    </w:p>
    <w:p w14:paraId="476452AD" w14:textId="77777777" w:rsidR="0073710F" w:rsidRDefault="0073710F" w:rsidP="0073710F">
      <w:pPr>
        <w:spacing w:line="480" w:lineRule="auto"/>
      </w:pPr>
    </w:p>
    <w:p w14:paraId="05208AED" w14:textId="77777777" w:rsidR="0073710F" w:rsidRDefault="0073710F" w:rsidP="0073710F">
      <w:pPr>
        <w:spacing w:line="480" w:lineRule="auto"/>
      </w:pPr>
    </w:p>
    <w:p w14:paraId="24ACC02F" w14:textId="77777777" w:rsidR="0073710F" w:rsidRDefault="0073710F" w:rsidP="0073710F">
      <w:pPr>
        <w:spacing w:line="480" w:lineRule="auto"/>
      </w:pPr>
    </w:p>
    <w:p w14:paraId="750CF715" w14:textId="2CD82DFD" w:rsidR="0073710F" w:rsidRDefault="00BC0AA2" w:rsidP="0073710F">
      <w:pPr>
        <w:spacing w:line="480" w:lineRule="auto"/>
      </w:pPr>
      <w:r w:rsidRPr="0073710F">
        <w:rPr>
          <w:noProof/>
        </w:rPr>
        <mc:AlternateContent>
          <mc:Choice Requires="wps">
            <w:drawing>
              <wp:anchor distT="0" distB="0" distL="114300" distR="114300" simplePos="0" relativeHeight="251922432" behindDoc="1" locked="0" layoutInCell="1" allowOverlap="1" wp14:anchorId="61CF76FC" wp14:editId="6F5DB07B">
                <wp:simplePos x="0" y="0"/>
                <wp:positionH relativeFrom="column">
                  <wp:posOffset>54610</wp:posOffset>
                </wp:positionH>
                <wp:positionV relativeFrom="paragraph">
                  <wp:posOffset>232410</wp:posOffset>
                </wp:positionV>
                <wp:extent cx="5678805" cy="1339215"/>
                <wp:effectExtent l="0" t="0" r="0" b="0"/>
                <wp:wrapTight wrapText="bothSides">
                  <wp:wrapPolygon edited="0">
                    <wp:start x="0" y="0"/>
                    <wp:lineTo x="0" y="21303"/>
                    <wp:lineTo x="21544" y="21303"/>
                    <wp:lineTo x="21544" y="0"/>
                    <wp:lineTo x="0" y="0"/>
                  </wp:wrapPolygon>
                </wp:wrapTight>
                <wp:docPr id="45" name="Text Box 45"/>
                <wp:cNvGraphicFramePr/>
                <a:graphic xmlns:a="http://schemas.openxmlformats.org/drawingml/2006/main">
                  <a:graphicData uri="http://schemas.microsoft.com/office/word/2010/wordprocessingShape">
                    <wps:wsp>
                      <wps:cNvSpPr txBox="1"/>
                      <wps:spPr>
                        <a:xfrm>
                          <a:off x="0" y="0"/>
                          <a:ext cx="5678805" cy="1339215"/>
                        </a:xfrm>
                        <a:prstGeom prst="rect">
                          <a:avLst/>
                        </a:prstGeom>
                        <a:solidFill>
                          <a:schemeClr val="lt1"/>
                        </a:solidFill>
                        <a:ln w="6350">
                          <a:noFill/>
                        </a:ln>
                      </wps:spPr>
                      <wps:txbx>
                        <w:txbxContent>
                          <w:p w14:paraId="303587EB" w14:textId="29306509" w:rsidR="00BC0AA2" w:rsidRDefault="0073710F" w:rsidP="00BC0AA2">
                            <w:pPr>
                              <w:pStyle w:val="Subtitle"/>
                            </w:pPr>
                            <w:bookmarkStart w:id="37" w:name="_Toc98704974"/>
                            <w:r w:rsidRPr="00D05396">
                              <w:t xml:space="preserve">Figure 12: </w:t>
                            </w:r>
                            <w:r w:rsidR="00BC0AA2">
                              <w:t>Intra-annual Pigment Data</w:t>
                            </w:r>
                            <w:bookmarkEnd w:id="37"/>
                          </w:p>
                          <w:p w14:paraId="13B4AF18" w14:textId="7FA9CD4A" w:rsidR="0073710F" w:rsidRPr="00D05396" w:rsidRDefault="0073710F" w:rsidP="0073710F">
                            <w:r w:rsidRPr="00D05396">
                              <w:t xml:space="preserve">The data was grouped by month (regardless of the year that it was taken) and the median of each month was graphed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 The red solid line represents the median chlorophyll-a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 The green solid line represents the median phycocyanin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F76FC" id="Text Box 45" o:spid="_x0000_s1037" type="#_x0000_t202" style="position:absolute;margin-left:4.3pt;margin-top:18.3pt;width:447.15pt;height:105.45pt;z-index:-25139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" fillcolor="white [3201]" stroked="f" strokeweight=".5pt">
                <v:textbox>
                  <w:txbxContent>
                    <w:p w14:paraId="303587EB" w14:textId="29306509" w:rsidR="00BC0AA2" w:rsidRDefault="0073710F" w:rsidP="00BC0AA2">
                      <w:pPr>
                        <w:pStyle w:val="Subtitle"/>
                      </w:pPr>
                      <w:bookmarkStart w:id="49" w:name="_Toc98704974"/>
                      <w:r w:rsidRPr="00D05396">
                        <w:t xml:space="preserve">Figure 12: </w:t>
                      </w:r>
                      <w:r w:rsidR="00BC0AA2">
                        <w:t>Intra-annual Pigment Data</w:t>
                      </w:r>
                      <w:bookmarkEnd w:id="49"/>
                    </w:p>
                    <w:p w14:paraId="13B4AF18" w14:textId="7FA9CD4A" w:rsidR="0073710F" w:rsidRPr="00D05396" w:rsidRDefault="0073710F" w:rsidP="0073710F">
                      <w:r w:rsidRPr="00D05396">
                        <w:t xml:space="preserve">The data was grouped by month (regardless of the year that it was taken) and the median of each month was graphed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 The red solid line represents the median chlorophyll-a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 The green solid line represents the median phycocyanin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w:t>
                      </w:r>
                    </w:p>
                  </w:txbxContent>
                </v:textbox>
                <w10:wrap type="tight"/>
              </v:shape>
            </w:pict>
          </mc:Fallback>
        </mc:AlternateContent>
      </w:r>
    </w:p>
    <w:p w14:paraId="151A3F45" w14:textId="492A3D7E" w:rsidR="0073710F" w:rsidRDefault="0073710F" w:rsidP="0073710F">
      <w:pPr>
        <w:spacing w:line="480" w:lineRule="auto"/>
      </w:pPr>
    </w:p>
    <w:p w14:paraId="3F0B5392" w14:textId="7485D7CC" w:rsidR="0073710F" w:rsidRDefault="00BC0AA2" w:rsidP="0073710F">
      <w:pPr>
        <w:spacing w:line="480" w:lineRule="auto"/>
      </w:pPr>
      <w:r w:rsidRPr="00D53AD5">
        <w:rPr>
          <w:noProof/>
        </w:rPr>
        <mc:AlternateContent>
          <mc:Choice Requires="wps">
            <w:drawing>
              <wp:anchor distT="0" distB="0" distL="114300" distR="114300" simplePos="0" relativeHeight="251924480" behindDoc="1" locked="0" layoutInCell="1" allowOverlap="1" wp14:anchorId="72B0E264" wp14:editId="5BE80F61">
                <wp:simplePos x="0" y="0"/>
                <wp:positionH relativeFrom="column">
                  <wp:posOffset>3220</wp:posOffset>
                </wp:positionH>
                <wp:positionV relativeFrom="paragraph">
                  <wp:posOffset>2318609</wp:posOffset>
                </wp:positionV>
                <wp:extent cx="5787390" cy="1352281"/>
                <wp:effectExtent l="0" t="0" r="3810" b="0"/>
                <wp:wrapTight wrapText="bothSides">
                  <wp:wrapPolygon edited="0">
                    <wp:start x="0" y="0"/>
                    <wp:lineTo x="0" y="21306"/>
                    <wp:lineTo x="21567" y="21306"/>
                    <wp:lineTo x="21567"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787390" cy="1352281"/>
                        </a:xfrm>
                        <a:prstGeom prst="rect">
                          <a:avLst/>
                        </a:prstGeom>
                        <a:solidFill>
                          <a:schemeClr val="lt1"/>
                        </a:solidFill>
                        <a:ln w="6350">
                          <a:noFill/>
                        </a:ln>
                      </wps:spPr>
                      <wps:txbx>
                        <w:txbxContent>
                          <w:p w14:paraId="6A7E49A8" w14:textId="018ECF1E" w:rsidR="00BC0AA2" w:rsidRDefault="0073710F" w:rsidP="00BC0AA2">
                            <w:pPr>
                              <w:pStyle w:val="Subtitle"/>
                            </w:pPr>
                            <w:bookmarkStart w:id="38" w:name="_Toc98704975"/>
                            <w:r w:rsidRPr="00D05396">
                              <w:t xml:space="preserve">Figure 13: </w:t>
                            </w:r>
                            <w:r w:rsidR="00BC0AA2">
                              <w:t>Intra-annual Median Pigment Concentration Comparison</w:t>
                            </w:r>
                            <w:bookmarkEnd w:id="38"/>
                          </w:p>
                          <w:p w14:paraId="63438C3C" w14:textId="2E255D6F" w:rsidR="0073710F" w:rsidRPr="00D05396" w:rsidRDefault="0073710F" w:rsidP="0073710F">
                            <w:r w:rsidRPr="00D05396">
                              <w:t xml:space="preserve">Comparison of the median chlorophyll-a concentrations and the median phycocyanin concentrations throughout the year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 The red solid line represents the median chlorophyll-a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 The green solid line represents the median phycocyanin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0E264" id="Text Box 15" o:spid="_x0000_s1038" type="#_x0000_t202" style="position:absolute;margin-left:.25pt;margin-top:182.55pt;width:455.7pt;height:106.5pt;z-index:-25139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" fillcolor="white [3201]" stroked="f" strokeweight=".5pt">
                <v:textbox>
                  <w:txbxContent>
                    <w:p w14:paraId="6A7E49A8" w14:textId="018ECF1E" w:rsidR="00BC0AA2" w:rsidRDefault="0073710F" w:rsidP="00BC0AA2">
                      <w:pPr>
                        <w:pStyle w:val="Subtitle"/>
                      </w:pPr>
                      <w:bookmarkStart w:id="51" w:name="_Toc98704975"/>
                      <w:r w:rsidRPr="00D05396">
                        <w:t xml:space="preserve">Figure 13: </w:t>
                      </w:r>
                      <w:r w:rsidR="00BC0AA2">
                        <w:t>Intra-annual Median Pigment Concentration Comparison</w:t>
                      </w:r>
                      <w:bookmarkEnd w:id="51"/>
                    </w:p>
                    <w:p w14:paraId="63438C3C" w14:textId="2E255D6F" w:rsidR="0073710F" w:rsidRPr="00D05396" w:rsidRDefault="0073710F" w:rsidP="0073710F">
                      <w:r w:rsidRPr="00D05396">
                        <w:t xml:space="preserve">Comparison of the median chlorophyll-a concentrations and the median phycocyanin concentrations throughout the year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 The red solid line represents the median chlorophyll-a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 The green solid line represents the median phycocyanin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w:t>
                      </w:r>
                    </w:p>
                  </w:txbxContent>
                </v:textbox>
                <w10:wrap type="tight"/>
              </v:shape>
            </w:pict>
          </mc:Fallback>
        </mc:AlternateContent>
      </w:r>
      <w:r w:rsidR="0073710F" w:rsidRPr="00D53AD5">
        <w:rPr>
          <w:noProof/>
        </w:rPr>
        <w:drawing>
          <wp:inline distT="0" distB="0" distL="0" distR="0" wp14:anchorId="23BDF726" wp14:editId="695EFE51">
            <wp:extent cx="5486400" cy="2263140"/>
            <wp:effectExtent l="0" t="0" r="0" b="0"/>
            <wp:docPr id="46" name="Picture 46"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Chart, histo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86400" cy="2263140"/>
                    </a:xfrm>
                    <a:prstGeom prst="rect">
                      <a:avLst/>
                    </a:prstGeom>
                  </pic:spPr>
                </pic:pic>
              </a:graphicData>
            </a:graphic>
          </wp:inline>
        </w:drawing>
      </w:r>
    </w:p>
    <w:p w14:paraId="31E604F1" w14:textId="676A94AD" w:rsidR="00634CD8" w:rsidRPr="00D53AD5" w:rsidRDefault="00634CD8" w:rsidP="0073710F">
      <w:pPr>
        <w:spacing w:line="480" w:lineRule="auto"/>
      </w:pPr>
      <w:r w:rsidRPr="00D53AD5">
        <w:lastRenderedPageBreak/>
        <w:t>the full concentration of chlorophyll-a (red) and phycocyanin (green); while the right panel shows the comparison of chlorophyll-a (red), without chlorophyll-a synthesized by cyanobacteria, and phycocyanin (green). Overall, this shows us that during the cyanobacteria bloom in August-September other chlorophyll-a producing organisms are still present in the envi</w:t>
      </w:r>
      <w:r w:rsidR="000B229E" w:rsidRPr="00D53AD5">
        <w:t>ronment.</w:t>
      </w:r>
      <w:r w:rsidR="000B229E" w:rsidRPr="000B229E">
        <w:rPr>
          <w:noProof/>
        </w:rPr>
        <w:t xml:space="preserve">  </w:t>
      </w:r>
    </w:p>
    <w:p w14:paraId="605852F6" w14:textId="468AA010" w:rsidR="00634CD8" w:rsidRDefault="00634CD8" w:rsidP="00634CD8">
      <w:pPr>
        <w:spacing w:line="480" w:lineRule="auto"/>
        <w:ind w:firstLine="720"/>
      </w:pPr>
      <w:r w:rsidRPr="00D53AD5">
        <w:t>Next, we wanted to understand the limiting resource in the ecosystem. For this analysis, we compared the total phosphorus concentrations with the nitrogen concentration. In the data, we were given the total phosphorus</w:t>
      </w:r>
      <w:r w:rsidR="00CD3544">
        <w:t xml:space="preserve"> </w:t>
      </w:r>
      <w:r w:rsidR="00812028">
        <w:t>(including total dissolved phosphorus and soluble reactive phosphorus)</w:t>
      </w:r>
      <w:r w:rsidRPr="00D53AD5">
        <w:t xml:space="preserve">, nitrate + nitrite, and ammonia. </w:t>
      </w:r>
      <w:proofErr w:type="gramStart"/>
      <w:r w:rsidRPr="00D53AD5">
        <w:t>In order to</w:t>
      </w:r>
      <w:proofErr w:type="gramEnd"/>
      <w:r w:rsidRPr="00D53AD5">
        <w:t xml:space="preserve"> compare these nutrients, we combined the nitrate + nitrite and ammonia concentrations. </w:t>
      </w:r>
      <w:r w:rsidRPr="0083604E">
        <w:rPr>
          <w:b/>
          <w:bCs/>
        </w:rPr>
        <w:t>Figure 1</w:t>
      </w:r>
      <w:r w:rsidR="000B229E" w:rsidRPr="0083604E">
        <w:rPr>
          <w:b/>
          <w:bCs/>
        </w:rPr>
        <w:t>4</w:t>
      </w:r>
      <w:r w:rsidRPr="00D53AD5">
        <w:t xml:space="preserve"> shows our comparison of median phosphorus (black) and nitrogen (blue) concentrations. We were surprised to see the major draw down of the nitrogen while the phosphorus concentration stays relatively constant throughout the year. </w:t>
      </w:r>
    </w:p>
    <w:p w14:paraId="55D29D04" w14:textId="64615F49" w:rsidR="00BC0AA2" w:rsidRDefault="0083604E" w:rsidP="00E36730">
      <w:pPr>
        <w:spacing w:line="480" w:lineRule="auto"/>
        <w:ind w:firstLine="720"/>
      </w:pPr>
      <w:proofErr w:type="gramStart"/>
      <w:r w:rsidRPr="00D53AD5">
        <w:t>In order to</w:t>
      </w:r>
      <w:proofErr w:type="gramEnd"/>
      <w:r w:rsidRPr="00D53AD5">
        <w:t xml:space="preserve"> understand the comparison between the median nitrogen and phosphorus concentrations</w:t>
      </w:r>
      <w:r w:rsidR="00E17862">
        <w:t>,</w:t>
      </w:r>
      <w:r w:rsidRPr="00D53AD5">
        <w:t xml:space="preserve"> we calculate the nitrogen to phosphorus molar ratio. This calculation was done for each data point</w:t>
      </w:r>
      <w:r w:rsidR="00E17862">
        <w:t>,</w:t>
      </w:r>
      <w:r w:rsidRPr="00D53AD5">
        <w:t xml:space="preserve"> and then we calculated the average nitrogen to phosphorus molar ratio per month </w:t>
      </w:r>
      <w:r w:rsidRPr="0083604E">
        <w:rPr>
          <w:b/>
          <w:bCs/>
        </w:rPr>
        <w:t xml:space="preserve">(Table </w:t>
      </w:r>
      <w:r w:rsidR="00BC0AA2">
        <w:rPr>
          <w:b/>
          <w:bCs/>
        </w:rPr>
        <w:t xml:space="preserve">2.1 </w:t>
      </w:r>
      <w:r w:rsidRPr="0083604E">
        <w:rPr>
          <w:b/>
          <w:bCs/>
        </w:rPr>
        <w:t>and Figure 15)</w:t>
      </w:r>
      <w:r w:rsidRPr="00D53AD5">
        <w:t xml:space="preserve">. </w:t>
      </w:r>
      <w:r w:rsidRPr="00D05396">
        <w:rPr>
          <w:b/>
          <w:bCs/>
        </w:rPr>
        <w:t xml:space="preserve">Table </w:t>
      </w:r>
      <w:r w:rsidR="00BC0AA2">
        <w:rPr>
          <w:b/>
          <w:bCs/>
        </w:rPr>
        <w:t>2.1</w:t>
      </w:r>
      <w:r w:rsidRPr="00D53AD5">
        <w:t xml:space="preserve"> shows that there is either a major draw down of nitrogen or a major influx of phosphorus from July to August which corresponds to the largest growth in phycocyanin concentration during the study. In comparison to Redfield’s ratio </w:t>
      </w:r>
      <w:r w:rsidRPr="00D05396">
        <w:rPr>
          <w:b/>
          <w:bCs/>
        </w:rPr>
        <w:t>(Figure 15),</w:t>
      </w:r>
      <w:r w:rsidRPr="00D53AD5">
        <w:t xml:space="preserve"> we approximate that the community is limited by </w:t>
      </w:r>
      <w:r w:rsidRPr="00D53AD5">
        <w:lastRenderedPageBreak/>
        <w:t>phosphorus until August and then it is nitrogen limited when the nitrogen to phosphorus ratio drops</w:t>
      </w:r>
      <w:r w:rsidR="00BC0AA2">
        <w:t xml:space="preserve"> </w:t>
      </w:r>
      <w:r w:rsidR="00BC0AA2" w:rsidRPr="00D53AD5">
        <w:t xml:space="preserve">below Redfield’s ratio. However, this does not seem to be a typical pattern in the data. Some studies show that laboratory experiments of </w:t>
      </w:r>
      <w:r w:rsidR="00BC0AA2" w:rsidRPr="00D53AD5">
        <w:rPr>
          <w:i/>
          <w:iCs/>
        </w:rPr>
        <w:t xml:space="preserve">Microcystis </w:t>
      </w:r>
      <w:r w:rsidR="00BC0AA2" w:rsidRPr="00D53AD5">
        <w:t xml:space="preserve">growth in high N:P (~40) conditions drive the inorganic N:P ratio even higher (~400) which is not consistent with the pattern seen in the data from Lake Erie </w:t>
      </w:r>
      <w:r w:rsidR="00BC0AA2" w:rsidRPr="00D53AD5">
        <w:fldChar w:fldCharType="begin" w:fldLock="1"/>
      </w:r>
      <w:r w:rsidR="00BC0AA2" w:rsidRPr="00D53AD5">
        <w:instrText>ADDIN CSL_CITATION {"citationItems":[{"id":"ITEM-1","itemData":{"DOI":"10.1007/s12665-015-4707-x","ISSN":"18666299","abstract":"This study tests the hypothesis that the cellular N:P ratio of the cyanobacterium Microcystis remains at its optimum level if the N:P ratio in the external environmental remains at similar levels. To analyze the relationship between cellular and environmental N:P ratio, Microcystis was cultured in media with varying N:P mass ratios (5, 8.75, 13.3, 25 and 40) for 35 days. In all treatments, the cell density of Microcystis increased throughout the first 15 days and remained stable thereafter. The final N:P mass ratios in the culture medium were 1.0, 3.8, 36, 196 and 437, respectively. The ultimate cellular mass N:P ratios (5.1, 7.1, 11.4, 14.2 and 16.7) were reached and stabilized during the final 15 days. The stable cellular mass N:P ratio equaled the N:P ratio in both the initial and final culture medium if the N:P ratio in the initial culture medium was approximately 7 (mass ratio, known as the Redfield ratio). The Redfield ratio can be explained by the physiology of Microcystis under the culture conditions. The study suggests that cellular N:P ratio is a reliable indicator of nutrient limitation for Microcystis. In addition, the cellular N:P ratio of Microcystis occupying Lake Taihu (China) was investigated. The mass ratio always exceeded 7 during the period from July to November, indicating that Microcystis in Lake Taihu is P limited.","author":[{"dropping-particle":"","family":"Zhu","given":"Wei","non-dropping-particle":"","parse-names":false,"suffix":""},{"dropping-particle":"","family":"Sun","given":"Qianqian","non-dropping-particle":"","parse-names":false,"suffix":""},{"dropping-particle":"","family":"Chen","given":"Fenglan","non-dropping-particle":"","parse-names":false,"suffix":""},{"dropping-particle":"","family":"Li","given":"Ming","non-dropping-particle":"","parse-names":false,"suffix":""}],"container-title":"Environmental Earth Sciences","id":"ITEM-1","issue":"5","issued":{"date-parts":[["2015"]]},"page":"4023-4030","publisher":"Springer Berlin Heidelberg","title":"Cellular N:P ratio of Microcystis as an indicator of nutrient limitation—implications and applications","type":"article-journal","volume":"74"},"uris":["http://www.mendeley.com/documents/?uuid=7421b417-784f-4565-8572-7fe6d26bbd69"]}],"mendeley":{"formattedCitation":"(Zhu et al., 2015)","plainTextFormattedCitation":"(Zhu et al., 2015)","previouslyFormattedCitation":"(Zhu et al., 2015)"},"properties":{"noteIndex":0},"schema":"https://github.com/citation-style-language/schema/raw/master/csl-citation.json"}</w:instrText>
      </w:r>
      <w:r w:rsidR="00BC0AA2" w:rsidRPr="00D53AD5">
        <w:fldChar w:fldCharType="separate"/>
      </w:r>
      <w:r w:rsidR="00BC0AA2" w:rsidRPr="00D53AD5">
        <w:rPr>
          <w:noProof/>
        </w:rPr>
        <w:t>(Zhu et al., 2015)</w:t>
      </w:r>
      <w:r w:rsidR="00BC0AA2" w:rsidRPr="00D53AD5">
        <w:fldChar w:fldCharType="end"/>
      </w:r>
      <w:r w:rsidR="00BC0AA2" w:rsidRPr="00D53AD5">
        <w:t>.</w:t>
      </w:r>
      <w:r w:rsidR="00BC0AA2">
        <w:t xml:space="preserve"> </w:t>
      </w:r>
      <w:r w:rsidR="00BC0AA2" w:rsidRPr="00D53AD5">
        <w:t>Intra-annually, zooplankton biomass increases throughout the year</w:t>
      </w:r>
      <w:r w:rsidR="00BC0AA2" w:rsidRPr="00D05396">
        <w:rPr>
          <w:b/>
          <w:bCs/>
        </w:rPr>
        <w:t xml:space="preserve"> (Figure 16).</w:t>
      </w:r>
      <w:r w:rsidR="00BC0AA2" w:rsidRPr="00D53AD5">
        <w:t xml:space="preserve"> This increase occurs from March to August. The increase in biomass correlates each year during the drawdown of nutrients and the increase in phytoplankton</w:t>
      </w:r>
      <w:r w:rsidR="00BC0AA2">
        <w:t xml:space="preserve"> biomass.</w:t>
      </w:r>
      <w:r w:rsidR="00BC0AA2" w:rsidRPr="0083604E">
        <w:t xml:space="preserve"> </w:t>
      </w:r>
    </w:p>
    <w:p w14:paraId="0BDE8C1B" w14:textId="1A9E99D0" w:rsidR="00BC0AA2" w:rsidRPr="009211E0" w:rsidRDefault="00BC0AA2" w:rsidP="00BC0AA2">
      <w:pPr>
        <w:spacing w:line="480" w:lineRule="auto"/>
        <w:ind w:firstLine="720"/>
      </w:pPr>
      <w:r w:rsidRPr="00891D93">
        <w:t xml:space="preserve">Our data analysis shows that </w:t>
      </w:r>
      <w:r>
        <w:t xml:space="preserve">during summer there is a slight draw down of nutrients during an increase in the biomass of both eukaryotic algae and </w:t>
      </w:r>
      <w:r>
        <w:rPr>
          <w:i/>
          <w:iCs/>
        </w:rPr>
        <w:t xml:space="preserve">Microcystis. </w:t>
      </w:r>
      <w:r>
        <w:t xml:space="preserve">As the biomass of phytoplankton increases, we find an increase in the biomass of zooplankton. As the zooplankton biomass increases, we see an increase in the phycocyanin to chlorophyll-a ratio </w:t>
      </w:r>
      <w:r w:rsidRPr="007703A9">
        <w:rPr>
          <w:b/>
          <w:bCs/>
        </w:rPr>
        <w:t>(Figure 17).</w:t>
      </w:r>
      <w:r>
        <w:t xml:space="preserve"> Thus, supporting the growth of cyanobacteria. Laboratory data shows that </w:t>
      </w:r>
      <w:r w:rsidRPr="00A21EE0">
        <w:rPr>
          <w:i/>
          <w:iCs/>
        </w:rPr>
        <w:t>Microcystis</w:t>
      </w:r>
      <w:r>
        <w:t xml:space="preserve"> are poorly grazed on by zooplankton </w:t>
      </w:r>
      <w:r>
        <w:fldChar w:fldCharType="begin" w:fldLock="1"/>
      </w:r>
      <w:r w:rsidR="00535439">
        <w:instrText>ADDIN CSL_CITATION {"citationItems":[{"id":"ITEM-1","itemData":{"DOI":"10.1002/lno.11108","ISSN":"19395590","abstract":"How grazer selectivity regulates the primary producer community is a core topic in ecology. Yet, the role of zooplankton grazing selection on phytoplankton dynamics is poorly understood. Few studies have compared the effect of grazers with contrasting selectivity on mixed phytoplankton prey, and none over multiple phytoplankton generations. We tested the hypothesis that a selectively grazing copepod (Eudiaptomus gracilis) would facilitate the dominance of a toxic cyanobacterium (Microcystis aeruginosa) by grazing on a competing eukaryotic microalga (Cryptomonas pyrenoidifera), while a generalist cladoceran (Daphnia magna) would have no effect on the dominance of cyanobacteria in 4-d laboratory cocultures. Experiments started with a ninefold initial dominance of Cryptomonas over Microcystis by biomass. Each grazer type was added to cocultured phytoplankton and the abundance of phytoplankton was compared to no-grazer controls. As predicted, Daphnia had no effect on the relative abundance of its prey and the copepod facilitated Microcystis dominance, although the strength of facilitation slightly declined with time. As the copepod reduced mostly the biomass of the edible algae, it pushed the system toward the dominance of toxic prey, which likely reduced the efficiency of selective grazing on the last day. Hence, while the selective grazer promoted cyanobacterial dominance, the effect may be weaker than predicted from extrapolating grazing rates obtained from short-term (i.e., hourly) assays. Overall, predicting the role of zooplankton selectivity on phytoplankton dynamics—especially harmful algal blooms—would benefit from accounting for fluctuations in grazer effects due to shifting abundance and growth of each prey over time.","author":[{"dropping-particle":"","family":"Ger","given":"Kemal Ali","non-dropping-particle":"","parse-names":false,"suffix":""},{"dropping-particle":"","family":"Naus-Wiezer","given":"Suzanne","non-dropping-particle":"","parse-names":false,"suffix":""},{"dropping-particle":"","family":"Meester","given":"Luc","non-dropping-particle":"De","parse-names":false,"suffix":""},{"dropping-particle":"","family":"Lürling","given":"Miquel","non-dropping-particle":"","parse-names":false,"suffix":""}],"container-title":"Limnology and Oceanography","id":"ITEM-1","issue":"3","issued":{"date-parts":[["2019"]]},"page":"1214-1227","title":"Zooplankton grazing selectivity regulates herbivory and dominance of toxic phytoplankton over multiple prey generations","type":"article-journal","volume":"64"},"uris":["http://www.mendeley.com/documents/?uuid=ff10a7b5-8fa1-49eb-aa34-da812573cfa3"]},{"id":"ITEM-2","itemData":{"DOI":"10.1007/s10750-020-04370-3","ISBN":"0123456789","ISSN":"15735117","abstract":"Phytoplankton is confronted with a variable assemblage of zooplankton grazers that create a strong selection pressure for traits that reduce mortality. Phytoplankton is, however, also challenged to remain suspended and to acquire sufficient resources for growth. Consequently, phytoplanktic organisms have evolved a variety of strategies to survive in a variable environment. An overview is presented of the various phytoplankton defense strategies, and costs and benefits of phytoplankton defenses with a zooming in on grazer-induced colony formation. The trade-off between phytoplankton competitive abilities and defenses against grazing favor adaptive trait changes—rapid evolution and phenotypic plasticity—that have the potential to influence population and community dynamics, as exemplified by controlled chemostat experiments. An interspecific defense–growth trade-off could explain seasonal shifts in the species composition of an in situ phytoplankton community yielding defense and growth rate as key traits of the phytoplankton. The importance of grazing and protection against grazing in shaping the phytoplankton community structure should not be underestimated. The trade-offs between nutrient acquisition, remaining suspended, and grazing resistance generate the dynamic phytoplankton community composition.","author":[{"dropping-particle":"","family":"Lürling","given":"Miquel","non-dropping-particle":"","parse-names":false,"suffix":""}],"container-title":"Hydrobiologia","id":"ITEM-2","issue":"1","issued":{"date-parts":[["2021"]]},"page":"237-249","title":"Grazing resistance in phytoplankton","type":"article-journal","volume":"848"},"uris":["http://www.mendeley.com/documents/?uuid=a494490e-4589-4d96-8dde-3e18400f105c"]}],"mendeley":{"formattedCitation":"(Kemal Ali Ger et al., 2019; Lürling, 2021)","manualFormatting":"(Ger et al., 2019; Lürling, 2021)","plainTextFormattedCitation":"(Kemal Ali Ger et al., 2019; Lürling, 2021)","previouslyFormattedCitation":"(Kemal Ali Ger et al., 2019; Lürling, 2021)"},"properties":{"noteIndex":0},"schema":"https://github.com/citation-style-language/schema/raw/master/csl-citation.json"}</w:instrText>
      </w:r>
      <w:r>
        <w:fldChar w:fldCharType="separate"/>
      </w:r>
      <w:r w:rsidRPr="004F0FDF">
        <w:rPr>
          <w:noProof/>
        </w:rPr>
        <w:t>(Ger et al., 2019; Lürling, 2021)</w:t>
      </w:r>
      <w:r>
        <w:fldChar w:fldCharType="end"/>
      </w:r>
      <w:r>
        <w:t>. These laboratory data and our environmental data analysis led to the</w:t>
      </w:r>
      <w:r w:rsidRPr="00891D93">
        <w:t xml:space="preserve"> hypothesis that shifts in resource inflow select for defense against predation, which may be a major reason why </w:t>
      </w:r>
      <w:r w:rsidRPr="00891D93">
        <w:rPr>
          <w:i/>
          <w:iCs/>
        </w:rPr>
        <w:t>Microcystis aeruginosa</w:t>
      </w:r>
      <w:r w:rsidRPr="00891D93">
        <w:t xml:space="preserve"> are selected for in hyper-eutrophic lakes</w:t>
      </w:r>
      <w:r>
        <w:t>.</w:t>
      </w:r>
    </w:p>
    <w:p w14:paraId="16F9994D" w14:textId="58873932" w:rsidR="0073710F" w:rsidRDefault="0073710F" w:rsidP="0073710F">
      <w:pPr>
        <w:spacing w:line="480" w:lineRule="auto"/>
      </w:pPr>
      <w:r w:rsidRPr="00D53AD5">
        <w:rPr>
          <w:noProof/>
        </w:rPr>
        <w:lastRenderedPageBreak/>
        <w:drawing>
          <wp:anchor distT="0" distB="0" distL="114300" distR="114300" simplePos="0" relativeHeight="251926528" behindDoc="1" locked="0" layoutInCell="1" allowOverlap="1" wp14:anchorId="5FF7581D" wp14:editId="131F321C">
            <wp:simplePos x="0" y="0"/>
            <wp:positionH relativeFrom="column">
              <wp:posOffset>0</wp:posOffset>
            </wp:positionH>
            <wp:positionV relativeFrom="paragraph">
              <wp:posOffset>313</wp:posOffset>
            </wp:positionV>
            <wp:extent cx="3837305" cy="2607945"/>
            <wp:effectExtent l="0" t="0" r="0" b="0"/>
            <wp:wrapTight wrapText="bothSides">
              <wp:wrapPolygon edited="0">
                <wp:start x="0" y="0"/>
                <wp:lineTo x="0" y="21458"/>
                <wp:lineTo x="21518" y="21458"/>
                <wp:lineTo x="21518" y="0"/>
                <wp:lineTo x="0" y="0"/>
              </wp:wrapPolygon>
            </wp:wrapTight>
            <wp:docPr id="47" name="Picture 4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Chart, line char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37305" cy="2607945"/>
                    </a:xfrm>
                    <a:prstGeom prst="rect">
                      <a:avLst/>
                    </a:prstGeom>
                  </pic:spPr>
                </pic:pic>
              </a:graphicData>
            </a:graphic>
            <wp14:sizeRelH relativeFrom="page">
              <wp14:pctWidth>0</wp14:pctWidth>
            </wp14:sizeRelH>
            <wp14:sizeRelV relativeFrom="page">
              <wp14:pctHeight>0</wp14:pctHeight>
            </wp14:sizeRelV>
          </wp:anchor>
        </w:drawing>
      </w:r>
    </w:p>
    <w:p w14:paraId="0294FB34" w14:textId="77777777" w:rsidR="0073710F" w:rsidRDefault="0073710F" w:rsidP="0073710F">
      <w:pPr>
        <w:spacing w:line="480" w:lineRule="auto"/>
      </w:pPr>
    </w:p>
    <w:p w14:paraId="46212577" w14:textId="77777777" w:rsidR="0073710F" w:rsidRDefault="0073710F" w:rsidP="0073710F">
      <w:pPr>
        <w:spacing w:line="480" w:lineRule="auto"/>
      </w:pPr>
    </w:p>
    <w:p w14:paraId="26F7AF24" w14:textId="77777777" w:rsidR="0073710F" w:rsidRDefault="0073710F" w:rsidP="0073710F">
      <w:pPr>
        <w:spacing w:line="480" w:lineRule="auto"/>
      </w:pPr>
    </w:p>
    <w:p w14:paraId="2ABE8C69" w14:textId="77777777" w:rsidR="0073710F" w:rsidRDefault="0073710F" w:rsidP="0073710F">
      <w:pPr>
        <w:spacing w:line="480" w:lineRule="auto"/>
      </w:pPr>
    </w:p>
    <w:p w14:paraId="602E1A5F" w14:textId="77777777" w:rsidR="0073710F" w:rsidRDefault="0073710F" w:rsidP="0073710F">
      <w:pPr>
        <w:spacing w:line="480" w:lineRule="auto"/>
      </w:pPr>
    </w:p>
    <w:p w14:paraId="1A1FB7EE" w14:textId="770A67B3" w:rsidR="0073710F" w:rsidRDefault="004D5EAF" w:rsidP="0073710F">
      <w:pPr>
        <w:spacing w:line="480" w:lineRule="auto"/>
      </w:pPr>
      <w:r w:rsidRPr="00D53AD5">
        <w:rPr>
          <w:noProof/>
        </w:rPr>
        <mc:AlternateContent>
          <mc:Choice Requires="wps">
            <w:drawing>
              <wp:anchor distT="0" distB="0" distL="114300" distR="114300" simplePos="0" relativeHeight="251928576" behindDoc="1" locked="0" layoutInCell="1" allowOverlap="1" wp14:anchorId="2BF80BBB" wp14:editId="41FCEB6E">
                <wp:simplePos x="0" y="0"/>
                <wp:positionH relativeFrom="column">
                  <wp:posOffset>-86995</wp:posOffset>
                </wp:positionH>
                <wp:positionV relativeFrom="paragraph">
                  <wp:posOffset>497840</wp:posOffset>
                </wp:positionV>
                <wp:extent cx="5807710" cy="1351915"/>
                <wp:effectExtent l="0" t="0" r="0" b="0"/>
                <wp:wrapTight wrapText="bothSides">
                  <wp:wrapPolygon edited="0">
                    <wp:start x="0" y="0"/>
                    <wp:lineTo x="0" y="21306"/>
                    <wp:lineTo x="21539" y="21306"/>
                    <wp:lineTo x="21539" y="0"/>
                    <wp:lineTo x="0" y="0"/>
                  </wp:wrapPolygon>
                </wp:wrapTight>
                <wp:docPr id="48" name="Text Box 48"/>
                <wp:cNvGraphicFramePr/>
                <a:graphic xmlns:a="http://schemas.openxmlformats.org/drawingml/2006/main">
                  <a:graphicData uri="http://schemas.microsoft.com/office/word/2010/wordprocessingShape">
                    <wps:wsp>
                      <wps:cNvSpPr txBox="1"/>
                      <wps:spPr>
                        <a:xfrm>
                          <a:off x="0" y="0"/>
                          <a:ext cx="5807710" cy="1351915"/>
                        </a:xfrm>
                        <a:prstGeom prst="rect">
                          <a:avLst/>
                        </a:prstGeom>
                        <a:solidFill>
                          <a:schemeClr val="lt1"/>
                        </a:solidFill>
                        <a:ln w="6350">
                          <a:noFill/>
                        </a:ln>
                      </wps:spPr>
                      <wps:txbx>
                        <w:txbxContent>
                          <w:p w14:paraId="10575BDA" w14:textId="547DF737" w:rsidR="00BC0AA2" w:rsidRDefault="0073710F" w:rsidP="00BC0AA2">
                            <w:pPr>
                              <w:pStyle w:val="Subtitle"/>
                            </w:pPr>
                            <w:bookmarkStart w:id="39" w:name="_Toc98704976"/>
                            <w:r w:rsidRPr="00D05396">
                              <w:t xml:space="preserve">Figure 14: </w:t>
                            </w:r>
                            <w:r w:rsidR="00BC0AA2">
                              <w:t>Intra-annual Nutrient Concentrations</w:t>
                            </w:r>
                            <w:bookmarkEnd w:id="39"/>
                          </w:p>
                          <w:p w14:paraId="6705768B" w14:textId="0045C9B2" w:rsidR="0073710F" w:rsidRPr="00D05396" w:rsidRDefault="0073710F" w:rsidP="0073710F">
                            <w:r w:rsidRPr="00D05396">
                              <w:t xml:space="preserve">Comparison of the median phosphorus and nitrogen concentrations throughout the year. The blue solid line represents the median nitrogen concentration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 The black solid line represents the median phosphorus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w:t>
                            </w:r>
                          </w:p>
                          <w:p w14:paraId="57A1B1CC" w14:textId="77777777" w:rsidR="0073710F" w:rsidRPr="00D05396" w:rsidRDefault="0073710F" w:rsidP="007371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80BBB" id="Text Box 48" o:spid="_x0000_s1039" type="#_x0000_t202" style="position:absolute;margin-left:-6.85pt;margin-top:39.2pt;width:457.3pt;height:106.45pt;z-index:-25138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" fillcolor="white [3201]" stroked="f" strokeweight=".5pt">
                <v:textbox>
                  <w:txbxContent>
                    <w:p w14:paraId="10575BDA" w14:textId="547DF737" w:rsidR="00BC0AA2" w:rsidRDefault="0073710F" w:rsidP="00BC0AA2">
                      <w:pPr>
                        <w:pStyle w:val="Subtitle"/>
                      </w:pPr>
                      <w:bookmarkStart w:id="53" w:name="_Toc98704976"/>
                      <w:r w:rsidRPr="00D05396">
                        <w:t xml:space="preserve">Figure 14: </w:t>
                      </w:r>
                      <w:r w:rsidR="00BC0AA2">
                        <w:t>Intra-annual Nutrient Concentrations</w:t>
                      </w:r>
                      <w:bookmarkEnd w:id="53"/>
                    </w:p>
                    <w:p w14:paraId="6705768B" w14:textId="0045C9B2" w:rsidR="0073710F" w:rsidRPr="00D05396" w:rsidRDefault="0073710F" w:rsidP="0073710F">
                      <w:r w:rsidRPr="00D05396">
                        <w:t xml:space="preserve">Comparison of the median phosphorus and nitrogen concentrations throughout the year. The blue solid line represents the median nitrogen concentration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 The black solid line represents the median phosphorus concentration.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w:t>
                      </w:r>
                    </w:p>
                    <w:p w14:paraId="57A1B1CC" w14:textId="77777777" w:rsidR="0073710F" w:rsidRPr="00D05396" w:rsidRDefault="0073710F" w:rsidP="0073710F"/>
                  </w:txbxContent>
                </v:textbox>
                <w10:wrap type="tight"/>
              </v:shape>
            </w:pict>
          </mc:Fallback>
        </mc:AlternateContent>
      </w:r>
    </w:p>
    <w:p w14:paraId="2782A67D" w14:textId="311B153C" w:rsidR="0073710F" w:rsidRPr="0073710F" w:rsidRDefault="004D5EAF" w:rsidP="0073710F">
      <w:pPr>
        <w:spacing w:line="480" w:lineRule="auto"/>
      </w:pPr>
      <w:r>
        <w:rPr>
          <w:noProof/>
        </w:rPr>
        <mc:AlternateContent>
          <mc:Choice Requires="wps">
            <w:drawing>
              <wp:anchor distT="0" distB="0" distL="114300" distR="114300" simplePos="0" relativeHeight="252022784" behindDoc="0" locked="0" layoutInCell="1" allowOverlap="1" wp14:anchorId="6C6359BA" wp14:editId="602A7A17">
                <wp:simplePos x="0" y="0"/>
                <wp:positionH relativeFrom="column">
                  <wp:posOffset>-86977</wp:posOffset>
                </wp:positionH>
                <wp:positionV relativeFrom="paragraph">
                  <wp:posOffset>1963760</wp:posOffset>
                </wp:positionV>
                <wp:extent cx="3837305" cy="347729"/>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837305" cy="347729"/>
                        </a:xfrm>
                        <a:prstGeom prst="rect">
                          <a:avLst/>
                        </a:prstGeom>
                        <a:solidFill>
                          <a:schemeClr val="lt1"/>
                        </a:solidFill>
                        <a:ln w="6350">
                          <a:noFill/>
                        </a:ln>
                      </wps:spPr>
                      <wps:txbx>
                        <w:txbxContent>
                          <w:p w14:paraId="39A25E04" w14:textId="2F845F6E" w:rsidR="004D5EAF" w:rsidRDefault="004D5EAF" w:rsidP="004D5EAF">
                            <w:pPr>
                              <w:pStyle w:val="Heading4"/>
                            </w:pPr>
                            <w:bookmarkStart w:id="40" w:name="_Toc98681740"/>
                            <w:bookmarkStart w:id="41" w:name="_Toc98703544"/>
                            <w:bookmarkStart w:id="42" w:name="_Toc98705426"/>
                            <w:bookmarkStart w:id="43" w:name="_Toc98870955"/>
                            <w:r w:rsidRPr="00D231DB">
                              <w:rPr>
                                <w:rStyle w:val="Heading1Char"/>
                                <w:b/>
                                <w:bCs w:val="0"/>
                                <w:caps w:val="0"/>
                                <w:sz w:val="24"/>
                              </w:rPr>
                              <w:t>Table 2.1: Concentrations Ratio Table</w:t>
                            </w:r>
                            <w:bookmarkEnd w:id="40"/>
                            <w:bookmarkEnd w:id="41"/>
                            <w:bookmarkEnd w:id="42"/>
                            <w:bookmarkEnd w:id="43"/>
                            <w:r w:rsidRPr="00D231D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6359BA" id="Text Box 36" o:spid="_x0000_s1040" type="#_x0000_t202" style="position:absolute;margin-left:-6.85pt;margin-top:154.65pt;width:302.15pt;height:27.4pt;z-index:252022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" fillcolor="white [3201]" stroked="f" strokeweight=".5pt">
                <v:textbox>
                  <w:txbxContent>
                    <w:p w14:paraId="39A25E04" w14:textId="2F845F6E" w:rsidR="004D5EAF" w:rsidRDefault="004D5EAF" w:rsidP="004D5EAF">
                      <w:pPr>
                        <w:pStyle w:val="Heading4"/>
                      </w:pPr>
                      <w:bookmarkStart w:id="58" w:name="_Toc98681740"/>
                      <w:bookmarkStart w:id="59" w:name="_Toc98703544"/>
                      <w:bookmarkStart w:id="60" w:name="_Toc98705426"/>
                      <w:bookmarkStart w:id="61" w:name="_Toc98870955"/>
                      <w:r w:rsidRPr="00D231DB">
                        <w:rPr>
                          <w:rStyle w:val="Heading1Char"/>
                          <w:b/>
                          <w:bCs w:val="0"/>
                          <w:caps w:val="0"/>
                          <w:sz w:val="24"/>
                        </w:rPr>
                        <w:t>Table 2.1: Concentrations Ratio Table</w:t>
                      </w:r>
                      <w:bookmarkEnd w:id="58"/>
                      <w:bookmarkEnd w:id="59"/>
                      <w:bookmarkEnd w:id="60"/>
                      <w:bookmarkEnd w:id="61"/>
                      <w:r w:rsidRPr="00D231DB">
                        <w:t xml:space="preserve"> </w:t>
                      </w:r>
                    </w:p>
                  </w:txbxContent>
                </v:textbox>
              </v:shape>
            </w:pict>
          </mc:Fallback>
        </mc:AlternateContent>
      </w:r>
    </w:p>
    <w:p w14:paraId="74F337EB" w14:textId="40B8DD00" w:rsidR="0073710F" w:rsidRPr="0073710F" w:rsidRDefault="004D5EAF" w:rsidP="0073710F">
      <w:r w:rsidRPr="00D53AD5">
        <w:rPr>
          <w:noProof/>
        </w:rPr>
        <w:drawing>
          <wp:anchor distT="0" distB="0" distL="114300" distR="114300" simplePos="0" relativeHeight="251932672" behindDoc="1" locked="0" layoutInCell="1" allowOverlap="1" wp14:anchorId="3B621E4D" wp14:editId="3185FDED">
            <wp:simplePos x="0" y="0"/>
            <wp:positionH relativeFrom="column">
              <wp:posOffset>3175</wp:posOffset>
            </wp:positionH>
            <wp:positionV relativeFrom="paragraph">
              <wp:posOffset>398744</wp:posOffset>
            </wp:positionV>
            <wp:extent cx="3541395" cy="2591435"/>
            <wp:effectExtent l="0" t="0" r="1905" b="0"/>
            <wp:wrapTight wrapText="bothSides">
              <wp:wrapPolygon edited="0">
                <wp:start x="0" y="0"/>
                <wp:lineTo x="0" y="21489"/>
                <wp:lineTo x="21534" y="21489"/>
                <wp:lineTo x="21534" y="0"/>
                <wp:lineTo x="0" y="0"/>
              </wp:wrapPolygon>
            </wp:wrapTight>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41395" cy="2591435"/>
                    </a:xfrm>
                    <a:prstGeom prst="rect">
                      <a:avLst/>
                    </a:prstGeom>
                  </pic:spPr>
                </pic:pic>
              </a:graphicData>
            </a:graphic>
            <wp14:sizeRelH relativeFrom="page">
              <wp14:pctWidth>0</wp14:pctWidth>
            </wp14:sizeRelH>
            <wp14:sizeRelV relativeFrom="page">
              <wp14:pctHeight>0</wp14:pctHeight>
            </wp14:sizeRelV>
          </wp:anchor>
        </w:drawing>
      </w:r>
      <w:r w:rsidRPr="002B1DE6">
        <w:rPr>
          <w:noProof/>
        </w:rPr>
        <mc:AlternateContent>
          <mc:Choice Requires="wps">
            <w:drawing>
              <wp:anchor distT="0" distB="0" distL="114300" distR="114300" simplePos="0" relativeHeight="251934720" behindDoc="0" locked="0" layoutInCell="1" allowOverlap="1" wp14:anchorId="6A153872" wp14:editId="75F8325F">
                <wp:simplePos x="0" y="0"/>
                <wp:positionH relativeFrom="column">
                  <wp:posOffset>3175</wp:posOffset>
                </wp:positionH>
                <wp:positionV relativeFrom="paragraph">
                  <wp:posOffset>2985770</wp:posOffset>
                </wp:positionV>
                <wp:extent cx="5718175" cy="501650"/>
                <wp:effectExtent l="0" t="0" r="0" b="6350"/>
                <wp:wrapSquare wrapText="bothSides"/>
                <wp:docPr id="21" name="Text Box 21"/>
                <wp:cNvGraphicFramePr/>
                <a:graphic xmlns:a="http://schemas.openxmlformats.org/drawingml/2006/main">
                  <a:graphicData uri="http://schemas.microsoft.com/office/word/2010/wordprocessingShape">
                    <wps:wsp>
                      <wps:cNvSpPr txBox="1"/>
                      <wps:spPr>
                        <a:xfrm>
                          <a:off x="0" y="0"/>
                          <a:ext cx="5718175" cy="501650"/>
                        </a:xfrm>
                        <a:prstGeom prst="rect">
                          <a:avLst/>
                        </a:prstGeom>
                        <a:solidFill>
                          <a:schemeClr val="lt1"/>
                        </a:solidFill>
                        <a:ln w="6350">
                          <a:noFill/>
                        </a:ln>
                      </wps:spPr>
                      <wps:txbx>
                        <w:txbxContent>
                          <w:p w14:paraId="4ED5DB6B" w14:textId="421AA662" w:rsidR="0073710F" w:rsidRPr="007774F4" w:rsidRDefault="0073710F" w:rsidP="007774F4">
                            <w:r w:rsidRPr="007774F4">
                              <w:t xml:space="preserve">Calculation of the nitrogen to phosphorus concentration and change in the phycocyanin to chlorophyll-a concentrations monthly </w:t>
                            </w:r>
                            <w:r w:rsidRPr="007774F4">
                              <w:fldChar w:fldCharType="begin" w:fldLock="1"/>
                            </w:r>
                            <w:r w:rsidRPr="007774F4">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7774F4">
                              <w:fldChar w:fldCharType="separate"/>
                            </w:r>
                            <w:r w:rsidRPr="007774F4">
                              <w:rPr>
                                <w:noProof/>
                              </w:rPr>
                              <w:t>(Burtner et al., 2019)</w:t>
                            </w:r>
                            <w:r w:rsidRPr="007774F4">
                              <w:fldChar w:fldCharType="end"/>
                            </w:r>
                            <w:r w:rsidRPr="007774F4">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53872" id="Text Box 21" o:spid="_x0000_s1041" type="#_x0000_t202" style="position:absolute;margin-left:.25pt;margin-top:235.1pt;width:450.25pt;height:39.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" fillcolor="white [3201]" stroked="f" strokeweight=".5pt">
                <v:textbox>
                  <w:txbxContent>
                    <w:p w14:paraId="4ED5DB6B" w14:textId="421AA662" w:rsidR="0073710F" w:rsidRPr="007774F4" w:rsidRDefault="0073710F" w:rsidP="007774F4">
                      <w:r w:rsidRPr="007774F4">
                        <w:t xml:space="preserve">Calculation of the nitrogen to phosphorus concentration and change in the phycocyanin to chlorophyll-a concentrations monthly </w:t>
                      </w:r>
                      <w:r w:rsidRPr="007774F4">
                        <w:fldChar w:fldCharType="begin" w:fldLock="1"/>
                      </w:r>
                      <w:r w:rsidRPr="007774F4">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7774F4">
                        <w:fldChar w:fldCharType="separate"/>
                      </w:r>
                      <w:r w:rsidRPr="007774F4">
                        <w:rPr>
                          <w:noProof/>
                        </w:rPr>
                        <w:t>(Burtner et al., 2019)</w:t>
                      </w:r>
                      <w:r w:rsidRPr="007774F4">
                        <w:fldChar w:fldCharType="end"/>
                      </w:r>
                      <w:r w:rsidRPr="007774F4">
                        <w:t xml:space="preserve">. </w:t>
                      </w:r>
                    </w:p>
                  </w:txbxContent>
                </v:textbox>
                <w10:wrap type="square"/>
              </v:shape>
            </w:pict>
          </mc:Fallback>
        </mc:AlternateContent>
      </w:r>
    </w:p>
    <w:p w14:paraId="1E960E4D" w14:textId="5C66FA87" w:rsidR="00D05396" w:rsidRDefault="0073710F" w:rsidP="00BC0AA2">
      <w:pPr>
        <w:spacing w:line="480" w:lineRule="auto"/>
      </w:pPr>
      <w:r w:rsidRPr="002B1DE6">
        <w:rPr>
          <w:noProof/>
        </w:rPr>
        <w:lastRenderedPageBreak/>
        <mc:AlternateContent>
          <mc:Choice Requires="wps">
            <w:drawing>
              <wp:anchor distT="0" distB="0" distL="114300" distR="114300" simplePos="0" relativeHeight="251930624" behindDoc="1" locked="0" layoutInCell="1" allowOverlap="1" wp14:anchorId="131DCA7B" wp14:editId="047D567D">
                <wp:simplePos x="0" y="0"/>
                <wp:positionH relativeFrom="column">
                  <wp:posOffset>93345</wp:posOffset>
                </wp:positionH>
                <wp:positionV relativeFrom="paragraph">
                  <wp:posOffset>2098675</wp:posOffset>
                </wp:positionV>
                <wp:extent cx="5369560" cy="901065"/>
                <wp:effectExtent l="0" t="0" r="2540" b="635"/>
                <wp:wrapTight wrapText="bothSides">
                  <wp:wrapPolygon edited="0">
                    <wp:start x="0" y="0"/>
                    <wp:lineTo x="0" y="21311"/>
                    <wp:lineTo x="21559" y="21311"/>
                    <wp:lineTo x="21559"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5369560" cy="901065"/>
                        </a:xfrm>
                        <a:prstGeom prst="rect">
                          <a:avLst/>
                        </a:prstGeom>
                        <a:solidFill>
                          <a:schemeClr val="lt1"/>
                        </a:solidFill>
                        <a:ln w="6350">
                          <a:noFill/>
                        </a:ln>
                      </wps:spPr>
                      <wps:txbx>
                        <w:txbxContent>
                          <w:p w14:paraId="25546FB5" w14:textId="1631430C" w:rsidR="00BC0AA2" w:rsidRDefault="0073710F" w:rsidP="00BC0AA2">
                            <w:pPr>
                              <w:pStyle w:val="Subtitle"/>
                            </w:pPr>
                            <w:bookmarkStart w:id="44" w:name="_Toc98704977"/>
                            <w:r w:rsidRPr="00D05396">
                              <w:t>Figure 15:</w:t>
                            </w:r>
                            <w:r>
                              <w:t xml:space="preserve"> </w:t>
                            </w:r>
                            <w:r w:rsidR="00BC0AA2">
                              <w:t>Intra-annual Nitrogen to Phosphorus Ratio</w:t>
                            </w:r>
                            <w:bookmarkEnd w:id="44"/>
                          </w:p>
                          <w:p w14:paraId="69C44218" w14:textId="6CF59B51" w:rsidR="0073710F" w:rsidRPr="00D05396" w:rsidRDefault="0073710F" w:rsidP="0073710F">
                            <w:r w:rsidRPr="00D05396">
                              <w:t xml:space="preserve">The monthly average molar nitrogen to phosphorus ratio (black solid line) in comparison the Redfield’s ratio ( red dashed line) of 16:1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CA7B" id="Text Box 20" o:spid="_x0000_s1042" type="#_x0000_t202" style="position:absolute;margin-left:7.35pt;margin-top:165.25pt;width:422.8pt;height:70.95pt;z-index:-25138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" fillcolor="white [3201]" stroked="f" strokeweight=".5pt">
                <v:textbox>
                  <w:txbxContent>
                    <w:p w14:paraId="25546FB5" w14:textId="1631430C" w:rsidR="00BC0AA2" w:rsidRDefault="0073710F" w:rsidP="00BC0AA2">
                      <w:pPr>
                        <w:pStyle w:val="Subtitle"/>
                      </w:pPr>
                      <w:bookmarkStart w:id="63" w:name="_Toc98704977"/>
                      <w:r w:rsidRPr="00D05396">
                        <w:t>Figure 15:</w:t>
                      </w:r>
                      <w:r>
                        <w:t xml:space="preserve"> </w:t>
                      </w:r>
                      <w:r w:rsidR="00BC0AA2">
                        <w:t>Intra-annual Nitrogen to Phosphorus Ratio</w:t>
                      </w:r>
                      <w:bookmarkEnd w:id="63"/>
                    </w:p>
                    <w:p w14:paraId="69C44218" w14:textId="6CF59B51" w:rsidR="0073710F" w:rsidRPr="00D05396" w:rsidRDefault="0073710F" w:rsidP="0073710F">
                      <w:r w:rsidRPr="00D05396">
                        <w:t xml:space="preserve">The monthly average molar nitrogen to phosphorus ratio (black solid line) in comparison the Redfield’s ratio ( red dashed line) of 16:1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w:t>
                      </w:r>
                    </w:p>
                  </w:txbxContent>
                </v:textbox>
                <w10:wrap type="tight"/>
              </v:shape>
            </w:pict>
          </mc:Fallback>
        </mc:AlternateContent>
      </w:r>
      <w:r w:rsidRPr="00D53AD5">
        <w:rPr>
          <w:noProof/>
        </w:rPr>
        <w:drawing>
          <wp:inline distT="0" distB="0" distL="0" distR="0" wp14:anchorId="222C9DAF" wp14:editId="55E08FD6">
            <wp:extent cx="3284112" cy="1965960"/>
            <wp:effectExtent l="0" t="0" r="5715" b="2540"/>
            <wp:docPr id="49" name="Picture 4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17358" cy="1985862"/>
                    </a:xfrm>
                    <a:prstGeom prst="rect">
                      <a:avLst/>
                    </a:prstGeom>
                  </pic:spPr>
                </pic:pic>
              </a:graphicData>
            </a:graphic>
          </wp:inline>
        </w:drawing>
      </w:r>
    </w:p>
    <w:p w14:paraId="75A5EE5F" w14:textId="6539341D" w:rsidR="00BC0AA2" w:rsidRDefault="00BC0AA2" w:rsidP="00BC0AA2">
      <w:pPr>
        <w:spacing w:line="480" w:lineRule="auto"/>
      </w:pPr>
    </w:p>
    <w:p w14:paraId="5E912090" w14:textId="77777777" w:rsidR="004D5EAF" w:rsidRPr="00D05396" w:rsidRDefault="004D5EAF" w:rsidP="00BC0AA2">
      <w:pPr>
        <w:spacing w:line="480" w:lineRule="auto"/>
      </w:pPr>
    </w:p>
    <w:p w14:paraId="4E65834E" w14:textId="5CD45C93" w:rsidR="00D05396" w:rsidRPr="00D05396" w:rsidRDefault="00D05396" w:rsidP="00D05396"/>
    <w:p w14:paraId="54E181A3" w14:textId="59F065AB" w:rsidR="00D05396" w:rsidRPr="00D05396" w:rsidRDefault="004D5EAF" w:rsidP="00D05396">
      <w:r w:rsidRPr="00D53AD5">
        <w:rPr>
          <w:noProof/>
        </w:rPr>
        <w:drawing>
          <wp:anchor distT="0" distB="0" distL="114300" distR="114300" simplePos="0" relativeHeight="251788288" behindDoc="0" locked="0" layoutInCell="1" allowOverlap="1" wp14:anchorId="4FA1FAD0" wp14:editId="3D9063B6">
            <wp:simplePos x="0" y="0"/>
            <wp:positionH relativeFrom="column">
              <wp:posOffset>76200</wp:posOffset>
            </wp:positionH>
            <wp:positionV relativeFrom="paragraph">
              <wp:posOffset>130292</wp:posOffset>
            </wp:positionV>
            <wp:extent cx="3896995" cy="2399665"/>
            <wp:effectExtent l="0" t="0" r="1905" b="635"/>
            <wp:wrapSquare wrapText="bothSides"/>
            <wp:docPr id="133" name="Picture 13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Chart, line char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896995" cy="2399665"/>
                    </a:xfrm>
                    <a:prstGeom prst="rect">
                      <a:avLst/>
                    </a:prstGeom>
                  </pic:spPr>
                </pic:pic>
              </a:graphicData>
            </a:graphic>
            <wp14:sizeRelH relativeFrom="page">
              <wp14:pctWidth>0</wp14:pctWidth>
            </wp14:sizeRelH>
            <wp14:sizeRelV relativeFrom="page">
              <wp14:pctHeight>0</wp14:pctHeight>
            </wp14:sizeRelV>
          </wp:anchor>
        </w:drawing>
      </w:r>
    </w:p>
    <w:p w14:paraId="63829B52" w14:textId="32198FDB" w:rsidR="00D05396" w:rsidRPr="00D05396" w:rsidRDefault="00D05396" w:rsidP="00D05396"/>
    <w:p w14:paraId="64A3B76E" w14:textId="02626A90" w:rsidR="00D05396" w:rsidRPr="00D05396" w:rsidRDefault="00D05396" w:rsidP="00D05396"/>
    <w:p w14:paraId="3DDA3A55" w14:textId="326EBF3A" w:rsidR="00D05396" w:rsidRPr="00D05396" w:rsidRDefault="00D05396" w:rsidP="00D05396"/>
    <w:p w14:paraId="305D897C" w14:textId="3A2DC94D" w:rsidR="00D05396" w:rsidRPr="00D05396" w:rsidRDefault="00D05396" w:rsidP="00D05396"/>
    <w:p w14:paraId="5ED3D984" w14:textId="7ED08CF4" w:rsidR="00D05396" w:rsidRPr="00D05396" w:rsidRDefault="00D05396" w:rsidP="00D05396"/>
    <w:p w14:paraId="02C82D1E" w14:textId="6037FA7D" w:rsidR="00D05396" w:rsidRPr="00D05396" w:rsidRDefault="00D05396" w:rsidP="00D05396"/>
    <w:p w14:paraId="01FABBEF" w14:textId="62457631" w:rsidR="000B229E" w:rsidRDefault="000B229E" w:rsidP="00D05396">
      <w:pPr>
        <w:spacing w:line="480" w:lineRule="auto"/>
      </w:pPr>
    </w:p>
    <w:p w14:paraId="1F47B5D4" w14:textId="120C2A51" w:rsidR="000B229E" w:rsidRDefault="000B229E" w:rsidP="00634CD8">
      <w:pPr>
        <w:spacing w:line="480" w:lineRule="auto"/>
        <w:ind w:firstLine="720"/>
      </w:pPr>
    </w:p>
    <w:p w14:paraId="687ADA08" w14:textId="0CC3CE81" w:rsidR="00634CD8" w:rsidRPr="00D53AD5" w:rsidRDefault="00634CD8" w:rsidP="00634CD8">
      <w:pPr>
        <w:spacing w:line="480" w:lineRule="auto"/>
      </w:pPr>
    </w:p>
    <w:p w14:paraId="4D527895" w14:textId="1556405A" w:rsidR="00491A94" w:rsidRDefault="0073710F" w:rsidP="00634CD8">
      <w:pPr>
        <w:spacing w:line="480" w:lineRule="auto"/>
      </w:pPr>
      <w:r w:rsidRPr="00D53AD5">
        <w:rPr>
          <w:noProof/>
        </w:rPr>
        <mc:AlternateContent>
          <mc:Choice Requires="wps">
            <w:drawing>
              <wp:anchor distT="0" distB="0" distL="114300" distR="114300" simplePos="0" relativeHeight="251790336" behindDoc="1" locked="0" layoutInCell="1" allowOverlap="1" wp14:anchorId="66492A0B" wp14:editId="7CFEB945">
                <wp:simplePos x="0" y="0"/>
                <wp:positionH relativeFrom="column">
                  <wp:posOffset>80010</wp:posOffset>
                </wp:positionH>
                <wp:positionV relativeFrom="paragraph">
                  <wp:posOffset>254635</wp:posOffset>
                </wp:positionV>
                <wp:extent cx="5266055" cy="1029970"/>
                <wp:effectExtent l="0" t="0" r="4445" b="0"/>
                <wp:wrapSquare wrapText="bothSides"/>
                <wp:docPr id="134" name="Text Box 134"/>
                <wp:cNvGraphicFramePr/>
                <a:graphic xmlns:a="http://schemas.openxmlformats.org/drawingml/2006/main">
                  <a:graphicData uri="http://schemas.microsoft.com/office/word/2010/wordprocessingShape">
                    <wps:wsp>
                      <wps:cNvSpPr txBox="1"/>
                      <wps:spPr>
                        <a:xfrm>
                          <a:off x="0" y="0"/>
                          <a:ext cx="5266055" cy="1029970"/>
                        </a:xfrm>
                        <a:prstGeom prst="rect">
                          <a:avLst/>
                        </a:prstGeom>
                        <a:solidFill>
                          <a:schemeClr val="lt1"/>
                        </a:solidFill>
                        <a:ln w="6350">
                          <a:noFill/>
                        </a:ln>
                      </wps:spPr>
                      <wps:txbx>
                        <w:txbxContent>
                          <w:p w14:paraId="70AB0B88" w14:textId="04F486A1" w:rsidR="00BC0AA2" w:rsidRDefault="002B1DE6" w:rsidP="00BC0AA2">
                            <w:pPr>
                              <w:pStyle w:val="Subtitle"/>
                            </w:pPr>
                            <w:bookmarkStart w:id="45" w:name="_Toc98704978"/>
                            <w:r w:rsidRPr="00D05396">
                              <w:t xml:space="preserve">Figure 16: </w:t>
                            </w:r>
                            <w:r w:rsidR="00BC0AA2">
                              <w:t>Intra-annual Zooplankton Biomass</w:t>
                            </w:r>
                            <w:bookmarkEnd w:id="45"/>
                          </w:p>
                          <w:p w14:paraId="4BA65D2A" w14:textId="79B6B0D6" w:rsidR="002B1DE6" w:rsidRPr="00D05396" w:rsidRDefault="002B1DE6" w:rsidP="002B1DE6">
                            <w:r w:rsidRPr="00D05396">
                              <w:t xml:space="preserve">Intra-annual median zooplankton biomass throughout the year. The pink solid line represents the median zooplankton biomass concentration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2019)","manualFormatting":"(U. S. EPA,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fldChar w:fldCharType="begin" w:fldLock="1"/>
                            </w:r>
                            <w:r w:rsidRPr="00D05396">
                              <w:rPr>
                                <w:noProof/>
                              </w:rPr>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2019)","manualFormatting":"(U. S. EPA, 2019)","plainTextFormattedCitation":"(Burtner et al., 2019; U. S. EPA, 2019)","previouslyFormattedCitation":"(Burtner et al., 2019; U. S. EPA, 2019)"},"properties":{"noteIndex":0},"schema":"https://github.com/citation-style-language/schema/raw/master/csl-citation.json"}</w:instrText>
                            </w:r>
                            <w:r w:rsidRPr="00D05396">
                              <w:rPr>
                                <w:noProof/>
                              </w:rPr>
                              <w:fldChar w:fldCharType="separate"/>
                            </w:r>
                            <w:r w:rsidRPr="00D05396">
                              <w:rPr>
                                <w:noProof/>
                              </w:rPr>
                              <w:t>(U. S. EPA, 2019)</w:t>
                            </w:r>
                            <w:r w:rsidRPr="00D05396">
                              <w:rPr>
                                <w:noProof/>
                              </w:rPr>
                              <w:fldChar w:fldCharType="end"/>
                            </w:r>
                            <w:r w:rsidRPr="00D05396">
                              <w:rPr>
                                <w:noProof/>
                              </w:rPr>
                              <w:t>)</w:t>
                            </w:r>
                            <w:r w:rsidRPr="00D05396">
                              <w:fldChar w:fldCharType="end"/>
                            </w:r>
                            <w:r w:rsidRPr="00D05396">
                              <w:t>.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92A0B" id="Text Box 134" o:spid="_x0000_s1043" type="#_x0000_t202" style="position:absolute;margin-left:6.3pt;margin-top:20.05pt;width:414.65pt;height:81.1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" fillcolor="white [3201]" stroked="f" strokeweight=".5pt">
                <v:textbox>
                  <w:txbxContent>
                    <w:p w14:paraId="70AB0B88" w14:textId="04F486A1" w:rsidR="00BC0AA2" w:rsidRDefault="002B1DE6" w:rsidP="00BC0AA2">
                      <w:pPr>
                        <w:pStyle w:val="Subtitle"/>
                      </w:pPr>
                      <w:bookmarkStart w:id="65" w:name="_Toc98704978"/>
                      <w:r w:rsidRPr="00D05396">
                        <w:t xml:space="preserve">Figure 16: </w:t>
                      </w:r>
                      <w:r w:rsidR="00BC0AA2">
                        <w:t>Intra-annual Zooplankton Biomass</w:t>
                      </w:r>
                      <w:bookmarkEnd w:id="65"/>
                    </w:p>
                    <w:p w14:paraId="4BA65D2A" w14:textId="79B6B0D6" w:rsidR="002B1DE6" w:rsidRPr="00D05396" w:rsidRDefault="002B1DE6" w:rsidP="002B1DE6">
                      <w:r w:rsidRPr="00D05396">
                        <w:t xml:space="preserve">Intra-annual median zooplankton biomass throughout the year. The pink solid line represents the median zooplankton biomass concentration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2019)","manualFormatting":"(U. S. EPA,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fldChar w:fldCharType="begin" w:fldLock="1"/>
                      </w:r>
                      <w:r w:rsidRPr="00D05396">
                        <w:rPr>
                          <w:noProof/>
                        </w:rPr>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2019)","manualFormatting":"(U. S. EPA, 2019)","plainTextFormattedCitation":"(Burtner et al., 2019; U. S. EPA, 2019)","previouslyFormattedCitation":"(Burtner et al., 2019; U. S. EPA, 2019)"},"properties":{"noteIndex":0},"schema":"https://github.com/citation-style-language/schema/raw/master/csl-citation.json"}</w:instrText>
                      </w:r>
                      <w:r w:rsidRPr="00D05396">
                        <w:rPr>
                          <w:noProof/>
                        </w:rPr>
                        <w:fldChar w:fldCharType="separate"/>
                      </w:r>
                      <w:r w:rsidRPr="00D05396">
                        <w:rPr>
                          <w:noProof/>
                        </w:rPr>
                        <w:t>(U. S. EPA, 2019)</w:t>
                      </w:r>
                      <w:r w:rsidRPr="00D05396">
                        <w:rPr>
                          <w:noProof/>
                        </w:rPr>
                        <w:fldChar w:fldCharType="end"/>
                      </w:r>
                      <w:r w:rsidRPr="00D05396">
                        <w:rPr>
                          <w:noProof/>
                        </w:rPr>
                        <w:t>)</w:t>
                      </w:r>
                      <w:r w:rsidRPr="00D05396">
                        <w:fldChar w:fldCharType="end"/>
                      </w:r>
                      <w:r w:rsidRPr="00D05396">
                        <w:t>. The upper and lower dashed lines represent the 75</w:t>
                      </w:r>
                      <w:r w:rsidRPr="00D05396">
                        <w:rPr>
                          <w:vertAlign w:val="superscript"/>
                        </w:rPr>
                        <w:t>th</w:t>
                      </w:r>
                      <w:r w:rsidRPr="00D05396">
                        <w:t xml:space="preserve"> and 25</w:t>
                      </w:r>
                      <w:r w:rsidRPr="00D05396">
                        <w:rPr>
                          <w:vertAlign w:val="superscript"/>
                        </w:rPr>
                        <w:t>th</w:t>
                      </w:r>
                      <w:r w:rsidRPr="00D05396">
                        <w:t xml:space="preserve"> percentiles, respectively. </w:t>
                      </w:r>
                    </w:p>
                  </w:txbxContent>
                </v:textbox>
                <w10:wrap type="square"/>
              </v:shape>
            </w:pict>
          </mc:Fallback>
        </mc:AlternateContent>
      </w:r>
    </w:p>
    <w:p w14:paraId="597B3B2F" w14:textId="00E3CB1A" w:rsidR="007703A9" w:rsidRPr="0073710F" w:rsidRDefault="00BC0AA2" w:rsidP="0073710F">
      <w:pPr>
        <w:spacing w:line="480" w:lineRule="auto"/>
      </w:pPr>
      <w:r w:rsidRPr="002B1DE6">
        <w:rPr>
          <w:noProof/>
        </w:rPr>
        <w:lastRenderedPageBreak/>
        <mc:AlternateContent>
          <mc:Choice Requires="wps">
            <w:drawing>
              <wp:anchor distT="0" distB="0" distL="114300" distR="114300" simplePos="0" relativeHeight="251908096" behindDoc="1" locked="0" layoutInCell="1" allowOverlap="1" wp14:anchorId="41738010" wp14:editId="00B171F8">
                <wp:simplePos x="0" y="0"/>
                <wp:positionH relativeFrom="column">
                  <wp:posOffset>80010</wp:posOffset>
                </wp:positionH>
                <wp:positionV relativeFrom="paragraph">
                  <wp:posOffset>3425190</wp:posOffset>
                </wp:positionV>
                <wp:extent cx="5369560" cy="656590"/>
                <wp:effectExtent l="0" t="0" r="2540" b="3810"/>
                <wp:wrapTight wrapText="bothSides">
                  <wp:wrapPolygon edited="0">
                    <wp:start x="0" y="0"/>
                    <wp:lineTo x="0" y="21308"/>
                    <wp:lineTo x="21559" y="21308"/>
                    <wp:lineTo x="21559"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5369560" cy="656590"/>
                        </a:xfrm>
                        <a:prstGeom prst="rect">
                          <a:avLst/>
                        </a:prstGeom>
                        <a:solidFill>
                          <a:schemeClr val="lt1"/>
                        </a:solidFill>
                        <a:ln w="6350">
                          <a:noFill/>
                        </a:ln>
                      </wps:spPr>
                      <wps:txbx>
                        <w:txbxContent>
                          <w:p w14:paraId="4678182A" w14:textId="119D1589" w:rsidR="00BC0AA2" w:rsidRDefault="007703A9" w:rsidP="00BC0AA2">
                            <w:pPr>
                              <w:pStyle w:val="Subtitle"/>
                            </w:pPr>
                            <w:bookmarkStart w:id="46" w:name="_Toc98704979"/>
                            <w:r w:rsidRPr="00D05396">
                              <w:t>Figure 1</w:t>
                            </w:r>
                            <w:r>
                              <w:t>7</w:t>
                            </w:r>
                            <w:r w:rsidRPr="00D05396">
                              <w:t>:</w:t>
                            </w:r>
                            <w:r>
                              <w:t xml:space="preserve"> </w:t>
                            </w:r>
                            <w:r w:rsidR="00BC0AA2">
                              <w:t>Intra-annual Phycocyanin to Chlorophyll-a Ratio</w:t>
                            </w:r>
                            <w:bookmarkEnd w:id="46"/>
                          </w:p>
                          <w:p w14:paraId="6B5E3BA6" w14:textId="607D6AD3" w:rsidR="007703A9" w:rsidRPr="00D05396" w:rsidRDefault="007703A9" w:rsidP="007703A9">
                            <w:r w:rsidRPr="00D05396">
                              <w:t xml:space="preserve">The monthly average </w:t>
                            </w:r>
                            <w:r>
                              <w:t xml:space="preserve">phycocyanin to chlorophyll-a </w:t>
                            </w:r>
                            <w:r w:rsidRPr="00D05396">
                              <w:t>ratio</w:t>
                            </w:r>
                            <w:r>
                              <w:t xml:space="preserve">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38010" id="Text Box 13" o:spid="_x0000_s1044" type="#_x0000_t202" style="position:absolute;margin-left:6.3pt;margin-top:269.7pt;width:422.8pt;height:51.7pt;z-index:-2514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" fillcolor="white [3201]" stroked="f" strokeweight=".5pt">
                <v:textbox>
                  <w:txbxContent>
                    <w:p w14:paraId="4678182A" w14:textId="119D1589" w:rsidR="00BC0AA2" w:rsidRDefault="007703A9" w:rsidP="00BC0AA2">
                      <w:pPr>
                        <w:pStyle w:val="Subtitle"/>
                      </w:pPr>
                      <w:bookmarkStart w:id="67" w:name="_Toc98704979"/>
                      <w:r w:rsidRPr="00D05396">
                        <w:t>Figure 1</w:t>
                      </w:r>
                      <w:r>
                        <w:t>7</w:t>
                      </w:r>
                      <w:r w:rsidRPr="00D05396">
                        <w:t>:</w:t>
                      </w:r>
                      <w:r>
                        <w:t xml:space="preserve"> </w:t>
                      </w:r>
                      <w:r w:rsidR="00BC0AA2">
                        <w:t>Intra-annual Phycocyanin to Chlorophyll-a Ratio</w:t>
                      </w:r>
                      <w:bookmarkEnd w:id="67"/>
                    </w:p>
                    <w:p w14:paraId="6B5E3BA6" w14:textId="607D6AD3" w:rsidR="007703A9" w:rsidRPr="00D05396" w:rsidRDefault="007703A9" w:rsidP="007703A9">
                      <w:r w:rsidRPr="00D05396">
                        <w:t xml:space="preserve">The monthly average </w:t>
                      </w:r>
                      <w:r>
                        <w:t xml:space="preserve">phycocyanin to chlorophyll-a </w:t>
                      </w:r>
                      <w:r w:rsidRPr="00D05396">
                        <w:t>ratio</w:t>
                      </w:r>
                      <w:r>
                        <w:t xml:space="preserve"> </w:t>
                      </w:r>
                      <w:r w:rsidRPr="00D05396">
                        <w:fldChar w:fldCharType="begin" w:fldLock="1"/>
                      </w:r>
                      <w:r w:rsidRPr="00D05396">
                        <w:instrText>ADDIN CSL_CITATION {"citationItems":[{"id":"ITEM-1","itemData":{"DOI":"https://www.ncei.noaa.gov/archive/accession/0187718","author":[{"dropping-particle":"","family":"Burtner","given":"A.","non-dropping-particle":"","parse-names":false,"suffix":""},{"dropping-particle":"","family":"Palladino","given":"D.","non-dropping-particle":"","parse-names":false,"suffix":""},{"dropping-particle":"","family":"Kitchens","given":"C.","non-dropping-particle":"","parse-names":false,"suffix":""},{"dropping-particle":"","family":"Fyffe","given":"D.","non-dropping-particle":"","parse-names":false,"suffix":""},{"dropping-particle":"","family":"Johengen","given":"T.","non-dropping-particle":"","parse-names":false,"suffix":""},{"dropping-particle":"","family":"Stuart","given":"D.","non-dropping-particle":"","parse-names":false,"suffix":""}],"container-title":"Physical, chemical, and biological water quality data collected from a small boat in western Lake Erie, Great Lakes from 2012-05-15 to 2018-10-09 (NCEI Accession 0187718).","id":"ITEM-1","issued":{"date-parts":[["2019"]]},"title":"Cooperative Institute for Great Lakes Research, University of Michigan; Fanslow, David; Gossiaux, Duane; National Oceanic and Atmospheric Administration; Great Lakes Environmental Research Laboratory.","type":"article-journal"},"uris":["http://www.mendeley.com/documents/?uuid=74168f27-d6fc-4be1-af0a-0d062312f6eb"]},{"id":"ITEM-2","itemData":{"author":[{"dropping-particle":"","family":"EPA","given":"U.S.","non-dropping-particle":"","parse-names":false,"suffix":""}],"container-title":"Flat File Data From Zoop Database 4.02_07242019 [Microsoft Excel file]. Retrieved from https://cdx.epa.gov/","id":"ITEM-2","issued":{"date-parts":[["2019"]]},"title":"Great Lakes National Program Office.","type":"article-journal"},"uris":["http://www.mendeley.com/documents/?uuid=730d1d9b-49b5-4140-8d95-d352ebd68fe7"]}],"mendeley":{"formattedCitation":"(Burtner et al., 2019; U. S. EPA, 2019)","manualFormatting":"(Burtner et al., 2019)","plainTextFormattedCitation":"(Burtner et al., 2019; U. S. EPA, 2019)","previouslyFormattedCitation":"(Burtner et al., 2019; U. S. EPA, 2019)"},"properties":{"noteIndex":0},"schema":"https://github.com/citation-style-language/schema/raw/master/csl-citation.json"}</w:instrText>
                      </w:r>
                      <w:r w:rsidRPr="00D05396">
                        <w:fldChar w:fldCharType="separate"/>
                      </w:r>
                      <w:r w:rsidRPr="00D05396">
                        <w:rPr>
                          <w:noProof/>
                        </w:rPr>
                        <w:t>(Burtner et al., 2019)</w:t>
                      </w:r>
                      <w:r w:rsidRPr="00D05396">
                        <w:fldChar w:fldCharType="end"/>
                      </w:r>
                      <w:r w:rsidRPr="00D05396">
                        <w:t>.</w:t>
                      </w:r>
                    </w:p>
                  </w:txbxContent>
                </v:textbox>
                <w10:wrap type="tight"/>
              </v:shape>
            </w:pict>
          </mc:Fallback>
        </mc:AlternateContent>
      </w:r>
      <w:r w:rsidR="0073710F">
        <w:rPr>
          <w:noProof/>
        </w:rPr>
        <w:drawing>
          <wp:inline distT="0" distB="0" distL="0" distR="0" wp14:anchorId="16F9C131" wp14:editId="1479E44D">
            <wp:extent cx="4889500" cy="3327400"/>
            <wp:effectExtent l="0" t="0" r="0" b="0"/>
            <wp:docPr id="10" name="Picture 1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hap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889500" cy="3327400"/>
                    </a:xfrm>
                    <a:prstGeom prst="rect">
                      <a:avLst/>
                    </a:prstGeom>
                  </pic:spPr>
                </pic:pic>
              </a:graphicData>
            </a:graphic>
          </wp:inline>
        </w:drawing>
      </w:r>
    </w:p>
    <w:p w14:paraId="7DF2A3A8" w14:textId="77777777" w:rsidR="00BC0AA2" w:rsidRDefault="00BC0AA2">
      <w:pPr>
        <w:rPr>
          <w:b/>
          <w:bCs/>
          <w:caps/>
          <w:color w:val="000000" w:themeColor="text1"/>
          <w:sz w:val="28"/>
        </w:rPr>
      </w:pPr>
      <w:r>
        <w:br w:type="page"/>
      </w:r>
    </w:p>
    <w:p w14:paraId="73C91D3B" w14:textId="283CB01F" w:rsidR="001D0F76" w:rsidRPr="001D0F76" w:rsidRDefault="001D0F76" w:rsidP="00C35051">
      <w:pPr>
        <w:pStyle w:val="Heading1"/>
      </w:pPr>
      <w:bookmarkStart w:id="47" w:name="_Toc98870956"/>
      <w:r w:rsidRPr="008058FE">
        <w:lastRenderedPageBreak/>
        <w:t>C</w:t>
      </w:r>
      <w:bookmarkEnd w:id="24"/>
      <w:bookmarkEnd w:id="25"/>
      <w:r w:rsidR="003F1425">
        <w:t>hapter Three</w:t>
      </w:r>
      <w:r w:rsidR="004D24C7">
        <w:t xml:space="preserve">: </w:t>
      </w:r>
      <w:r w:rsidR="000F0486" w:rsidRPr="008058FE">
        <w:t xml:space="preserve">Theoretical </w:t>
      </w:r>
      <w:r w:rsidR="000537E1">
        <w:t>F</w:t>
      </w:r>
      <w:r w:rsidR="000F0486" w:rsidRPr="008058FE">
        <w:t>ood-</w:t>
      </w:r>
      <w:r w:rsidR="000537E1">
        <w:t>W</w:t>
      </w:r>
      <w:r w:rsidR="000F0486" w:rsidRPr="008058FE">
        <w:t xml:space="preserve">eb </w:t>
      </w:r>
      <w:r w:rsidR="000537E1">
        <w:t>M</w:t>
      </w:r>
      <w:r w:rsidR="000F0486" w:rsidRPr="008058FE">
        <w:t xml:space="preserve">odeling, </w:t>
      </w:r>
      <w:r w:rsidR="000537E1">
        <w:t>N</w:t>
      </w:r>
      <w:r w:rsidR="000F0486" w:rsidRPr="008058FE">
        <w:t xml:space="preserve">utrient </w:t>
      </w:r>
      <w:r w:rsidR="000537E1">
        <w:t>C</w:t>
      </w:r>
      <w:r w:rsidR="000F0486" w:rsidRPr="008058FE">
        <w:t xml:space="preserve">oncentration, and </w:t>
      </w:r>
      <w:r w:rsidR="000537E1">
        <w:t>T</w:t>
      </w:r>
      <w:r w:rsidR="003F1425">
        <w:t>emperature</w:t>
      </w:r>
      <w:r w:rsidR="004D24C7">
        <w:t xml:space="preserve"> </w:t>
      </w:r>
      <w:r w:rsidR="000537E1">
        <w:t>S</w:t>
      </w:r>
      <w:r w:rsidR="000F0486" w:rsidRPr="008058FE">
        <w:t>tudy</w:t>
      </w:r>
      <w:bookmarkEnd w:id="47"/>
    </w:p>
    <w:p w14:paraId="1576D687" w14:textId="1689E379" w:rsidR="00BA6F73" w:rsidRDefault="004D24C7" w:rsidP="00240F72">
      <w:pPr>
        <w:pStyle w:val="Heading2"/>
      </w:pPr>
      <w:bookmarkStart w:id="48" w:name="_Toc98870957"/>
      <w:r>
        <w:t>The Model</w:t>
      </w:r>
      <w:bookmarkEnd w:id="48"/>
    </w:p>
    <w:p w14:paraId="42E86383" w14:textId="77777777" w:rsidR="00C35051" w:rsidRPr="00C35051" w:rsidRDefault="00C35051" w:rsidP="00C35051"/>
    <w:p w14:paraId="41EE5C5F" w14:textId="4A5D25EB" w:rsidR="008E1D18" w:rsidRDefault="00BA6F73" w:rsidP="00A26D38">
      <w:pPr>
        <w:spacing w:line="480" w:lineRule="auto"/>
      </w:pPr>
      <w:r>
        <w:tab/>
        <w:t>Using the information from our analysis of time series data in Lake Erie</w:t>
      </w:r>
      <w:r w:rsidR="00E17862">
        <w:t>,</w:t>
      </w:r>
      <w:r>
        <w:t xml:space="preserve"> </w:t>
      </w:r>
      <w:r w:rsidR="000800D0">
        <w:t xml:space="preserve">we configured a model that we believe </w:t>
      </w:r>
      <w:r w:rsidR="001E6D57">
        <w:t xml:space="preserve">responds to our research question and </w:t>
      </w:r>
      <w:r w:rsidR="0073710F">
        <w:t xml:space="preserve">can be used to investigate our main hypothesis, that resource enrichments </w:t>
      </w:r>
      <w:r w:rsidR="0031791B">
        <w:t xml:space="preserve">drive </w:t>
      </w:r>
      <w:r w:rsidR="00E17862">
        <w:t xml:space="preserve">a </w:t>
      </w:r>
      <w:r w:rsidR="0031791B">
        <w:t xml:space="preserve">higher contact rate between predators and prey, shifting selection pressure toward </w:t>
      </w:r>
      <w:r w:rsidR="00E17862">
        <w:t>species groups better at defending against predation</w:t>
      </w:r>
      <w:r w:rsidR="0031791B">
        <w:t xml:space="preserve">, leading to selection of </w:t>
      </w:r>
      <w:r w:rsidR="0031791B" w:rsidRPr="0031791B">
        <w:rPr>
          <w:i/>
          <w:iCs/>
        </w:rPr>
        <w:t>Microcystis</w:t>
      </w:r>
      <w:r w:rsidR="0031791B">
        <w:t xml:space="preserve"> in lake ecosystems</w:t>
      </w:r>
      <w:r w:rsidR="001E6D57">
        <w:t>. This model</w:t>
      </w:r>
      <w:r w:rsidR="00464644">
        <w:t xml:space="preserve">, as seen in </w:t>
      </w:r>
      <w:r w:rsidR="00464644" w:rsidRPr="0073710F">
        <w:rPr>
          <w:b/>
          <w:bCs/>
        </w:rPr>
        <w:t>Figure 1</w:t>
      </w:r>
      <w:r w:rsidR="0073710F" w:rsidRPr="0073710F">
        <w:rPr>
          <w:b/>
          <w:bCs/>
        </w:rPr>
        <w:t>8</w:t>
      </w:r>
      <w:r w:rsidR="00464644">
        <w:t>,</w:t>
      </w:r>
      <w:r w:rsidR="001E6D57">
        <w:t xml:space="preserve"> includes </w:t>
      </w:r>
      <w:r w:rsidR="00464644">
        <w:t>a supply rate of nitrogen</w:t>
      </w:r>
      <w:r w:rsidR="00E2276D">
        <w:t xml:space="preserve"> (S</w:t>
      </w:r>
      <w:r w:rsidR="00E2276D">
        <w:rPr>
          <w:vertAlign w:val="subscript"/>
        </w:rPr>
        <w:t>R</w:t>
      </w:r>
      <w:r w:rsidR="00E2276D">
        <w:t>)</w:t>
      </w:r>
      <w:r w:rsidR="00464644">
        <w:t>, a pool of nitrogen</w:t>
      </w:r>
      <w:r w:rsidR="00E2276D">
        <w:t xml:space="preserve"> (N)</w:t>
      </w:r>
      <w:r w:rsidR="00464644">
        <w:t xml:space="preserve">, </w:t>
      </w:r>
      <w:r w:rsidR="0084519E">
        <w:t>two producer groups</w:t>
      </w:r>
      <w:r w:rsidR="00E2276D">
        <w:t xml:space="preserve"> (P</w:t>
      </w:r>
      <w:r w:rsidR="00E2276D">
        <w:rPr>
          <w:vertAlign w:val="subscript"/>
        </w:rPr>
        <w:t>1</w:t>
      </w:r>
      <w:r w:rsidR="00E2276D">
        <w:t xml:space="preserve"> and P</w:t>
      </w:r>
      <w:r w:rsidR="00E2276D">
        <w:rPr>
          <w:vertAlign w:val="subscript"/>
        </w:rPr>
        <w:t>2</w:t>
      </w:r>
      <w:r w:rsidR="00E2276D">
        <w:t xml:space="preserve">) </w:t>
      </w:r>
      <w:r w:rsidR="0084519E">
        <w:t>that pull from that nitrogen pool, and a consumer group</w:t>
      </w:r>
      <w:r w:rsidR="00E2276D">
        <w:t xml:space="preserve"> (C)</w:t>
      </w:r>
      <w:r w:rsidR="0084519E">
        <w:t xml:space="preserve"> that is a predator for both producer groups. </w:t>
      </w:r>
      <w:r w:rsidR="003B4C5B">
        <w:t xml:space="preserve">Our community structure can be modeled using the equations in the </w:t>
      </w:r>
      <w:r w:rsidR="002B0F3D" w:rsidRPr="0073710F">
        <w:rPr>
          <w:b/>
          <w:bCs/>
        </w:rPr>
        <w:t>Equation</w:t>
      </w:r>
      <w:r w:rsidR="0073710F" w:rsidRPr="0073710F">
        <w:rPr>
          <w:b/>
          <w:bCs/>
        </w:rPr>
        <w:t>s 1-4</w:t>
      </w:r>
      <w:r w:rsidR="003B4C5B">
        <w:t>. These first order differential equation</w:t>
      </w:r>
      <w:r w:rsidR="0073710F">
        <w:t>s comprise a non-linear system</w:t>
      </w:r>
      <w:r w:rsidR="003B4C5B">
        <w:t xml:space="preserve">. Each equation is the change in a state variable (Nitrogen, Producer 1, Producer 2, and Consumer) over time. </w:t>
      </w:r>
      <w:r w:rsidR="008A6EC2">
        <w:t xml:space="preserve">The parameters used in each equation and their units can be found in </w:t>
      </w:r>
      <w:r w:rsidR="008A6EC2" w:rsidRPr="0073710F">
        <w:rPr>
          <w:b/>
          <w:bCs/>
        </w:rPr>
        <w:t>Table 3.1</w:t>
      </w:r>
      <w:r w:rsidR="008A6EC2">
        <w:t xml:space="preserve">. </w:t>
      </w:r>
    </w:p>
    <w:p w14:paraId="3A227A1C" w14:textId="78510579" w:rsidR="00A26D38" w:rsidRDefault="00A26D38" w:rsidP="00A26D38">
      <w:pPr>
        <w:spacing w:line="480" w:lineRule="auto"/>
        <w:ind w:firstLine="720"/>
      </w:pPr>
      <w:r>
        <w:t>Individually, the equation for change in Nitrogen over time has an external input of the supply rate</w:t>
      </w:r>
      <w:r w:rsidR="00E2276D">
        <w:t xml:space="preserve"> (S</w:t>
      </w:r>
      <w:r w:rsidR="00E2276D">
        <w:rPr>
          <w:vertAlign w:val="subscript"/>
        </w:rPr>
        <w:t>R</w:t>
      </w:r>
      <w:r w:rsidR="00E2276D">
        <w:t xml:space="preserve">, </w:t>
      </w:r>
      <w:r w:rsidR="00E2276D" w:rsidRPr="00E2276D">
        <w:rPr>
          <w:b/>
          <w:bCs/>
        </w:rPr>
        <w:t>Table 3.1</w:t>
      </w:r>
      <w:r w:rsidR="00E2276D">
        <w:t>)</w:t>
      </w:r>
      <w:r>
        <w:t xml:space="preserve"> and outputs from the nitrogen uptake from each producer group</w:t>
      </w:r>
      <w:r w:rsidR="00E2276D">
        <w:t xml:space="preserve"> (</w:t>
      </w:r>
      <w:r w:rsidR="00E2276D">
        <w:rPr>
          <w:lang w:val="el-GR"/>
        </w:rPr>
        <w:t>μ</w:t>
      </w:r>
      <w:r w:rsidR="00E2276D" w:rsidRPr="00E2276D">
        <w:rPr>
          <w:vertAlign w:val="subscript"/>
        </w:rPr>
        <w:t xml:space="preserve">1 </w:t>
      </w:r>
      <w:r w:rsidR="00E2276D">
        <w:t xml:space="preserve">and </w:t>
      </w:r>
      <w:r w:rsidR="00E2276D">
        <w:rPr>
          <w:lang w:val="el-GR"/>
        </w:rPr>
        <w:t>μ</w:t>
      </w:r>
      <w:r w:rsidR="00E2276D">
        <w:rPr>
          <w:vertAlign w:val="subscript"/>
        </w:rPr>
        <w:t>2</w:t>
      </w:r>
      <w:r w:rsidR="00E2276D">
        <w:t xml:space="preserve">, </w:t>
      </w:r>
      <w:r w:rsidR="00E2276D" w:rsidRPr="00E2276D">
        <w:rPr>
          <w:b/>
          <w:bCs/>
        </w:rPr>
        <w:t>Table 3.1</w:t>
      </w:r>
      <w:r w:rsidR="00E2276D">
        <w:t>)</w:t>
      </w:r>
      <w:r>
        <w:t xml:space="preserve"> and a nitrogen degradation</w:t>
      </w:r>
      <w:r w:rsidR="00E2276D">
        <w:t xml:space="preserve"> (</w:t>
      </w:r>
      <w:r w:rsidR="00E2276D">
        <w:rPr>
          <w:lang w:val="el-GR"/>
        </w:rPr>
        <w:t>δ</w:t>
      </w:r>
      <w:r w:rsidR="00E2276D">
        <w:rPr>
          <w:vertAlign w:val="subscript"/>
        </w:rPr>
        <w:t>N</w:t>
      </w:r>
      <w:r w:rsidR="00E2276D">
        <w:t xml:space="preserve">, </w:t>
      </w:r>
      <w:r w:rsidR="00E2276D" w:rsidRPr="00E2276D">
        <w:rPr>
          <w:b/>
          <w:bCs/>
        </w:rPr>
        <w:t>Table 3.1</w:t>
      </w:r>
      <w:r w:rsidR="00E2276D">
        <w:rPr>
          <w:b/>
          <w:bCs/>
        </w:rPr>
        <w:t>)</w:t>
      </w:r>
      <w:r>
        <w:t>.  The producer groups have an input from the uptake of nutrients by the group</w:t>
      </w:r>
      <w:r w:rsidR="00E2276D">
        <w:t xml:space="preserve"> (</w:t>
      </w:r>
      <w:r w:rsidR="00E2276D">
        <w:rPr>
          <w:lang w:val="el-GR"/>
        </w:rPr>
        <w:t>μ</w:t>
      </w:r>
      <w:r w:rsidR="00E2276D" w:rsidRPr="00E2276D">
        <w:rPr>
          <w:vertAlign w:val="subscript"/>
        </w:rPr>
        <w:t xml:space="preserve">1 </w:t>
      </w:r>
      <w:r w:rsidR="00E2276D">
        <w:t xml:space="preserve">and </w:t>
      </w:r>
      <w:r w:rsidR="00E2276D">
        <w:rPr>
          <w:lang w:val="el-GR"/>
        </w:rPr>
        <w:t>μ</w:t>
      </w:r>
      <w:r w:rsidR="00E2276D">
        <w:rPr>
          <w:vertAlign w:val="subscript"/>
        </w:rPr>
        <w:t>2</w:t>
      </w:r>
      <w:r w:rsidR="00E2276D">
        <w:t xml:space="preserve">, </w:t>
      </w:r>
      <w:r w:rsidR="00E2276D" w:rsidRPr="00E2276D">
        <w:rPr>
          <w:b/>
          <w:bCs/>
        </w:rPr>
        <w:t>Table 3.1</w:t>
      </w:r>
      <w:r w:rsidR="00E2276D">
        <w:t xml:space="preserve">) </w:t>
      </w:r>
      <w:r>
        <w:t>and outputs from the predation by consumers</w:t>
      </w:r>
      <w:r w:rsidR="00E2276D">
        <w:t xml:space="preserve"> (</w:t>
      </w:r>
      <w:r w:rsidR="00E2276D">
        <w:rPr>
          <w:lang w:val="el-GR"/>
        </w:rPr>
        <w:t>φ</w:t>
      </w:r>
      <w:r w:rsidR="00E2276D" w:rsidRPr="00E2276D">
        <w:rPr>
          <w:vertAlign w:val="subscript"/>
        </w:rPr>
        <w:t xml:space="preserve">1 </w:t>
      </w:r>
      <w:r w:rsidR="00E2276D">
        <w:t xml:space="preserve">and </w:t>
      </w:r>
      <w:r w:rsidR="00E2276D">
        <w:rPr>
          <w:lang w:val="el-GR"/>
        </w:rPr>
        <w:t>φ</w:t>
      </w:r>
      <w:r w:rsidR="00E2276D">
        <w:rPr>
          <w:vertAlign w:val="subscript"/>
        </w:rPr>
        <w:t>2</w:t>
      </w:r>
      <w:r w:rsidR="00E2276D">
        <w:t xml:space="preserve">, </w:t>
      </w:r>
      <w:r w:rsidR="00E2276D" w:rsidRPr="00E2276D">
        <w:rPr>
          <w:b/>
          <w:bCs/>
        </w:rPr>
        <w:t>Table 3.1</w:t>
      </w:r>
      <w:r w:rsidR="00E2276D">
        <w:t xml:space="preserve">) </w:t>
      </w:r>
      <w:r>
        <w:t>and a background loss rate</w:t>
      </w:r>
      <w:r w:rsidR="004D5EAF">
        <w:t xml:space="preserve"> </w:t>
      </w:r>
      <w:r w:rsidR="00E2276D">
        <w:t>(</w:t>
      </w:r>
      <w:r w:rsidR="00E2276D">
        <w:rPr>
          <w:lang w:val="el-GR"/>
        </w:rPr>
        <w:t>δ</w:t>
      </w:r>
      <w:r w:rsidR="003B0223">
        <w:rPr>
          <w:vertAlign w:val="subscript"/>
        </w:rPr>
        <w:t>1</w:t>
      </w:r>
      <w:r w:rsidR="003B0223">
        <w:t xml:space="preserve"> and</w:t>
      </w:r>
      <w:r w:rsidR="00E2276D" w:rsidRPr="00E2276D">
        <w:t xml:space="preserve"> </w:t>
      </w:r>
      <w:r w:rsidR="003B0223">
        <w:rPr>
          <w:lang w:val="el-GR"/>
        </w:rPr>
        <w:t>δ</w:t>
      </w:r>
      <w:r w:rsidR="003B0223">
        <w:rPr>
          <w:vertAlign w:val="subscript"/>
        </w:rPr>
        <w:t>2</w:t>
      </w:r>
      <w:r w:rsidR="00E2276D">
        <w:t xml:space="preserve">, </w:t>
      </w:r>
      <w:r w:rsidR="00E2276D" w:rsidRPr="00E2276D">
        <w:rPr>
          <w:b/>
          <w:bCs/>
        </w:rPr>
        <w:t>Table 3.1</w:t>
      </w:r>
      <w:r w:rsidR="00E2276D">
        <w:rPr>
          <w:b/>
          <w:bCs/>
        </w:rPr>
        <w:t>)</w:t>
      </w:r>
      <w:r>
        <w:t xml:space="preserve"> from other events not included in this model. Finally, the consumer group has inputs </w:t>
      </w:r>
      <w:r>
        <w:lastRenderedPageBreak/>
        <w:t>from consuming the producer groups</w:t>
      </w:r>
      <w:r w:rsidR="003B0223">
        <w:t xml:space="preserve"> (</w:t>
      </w:r>
      <w:r w:rsidR="003B0223">
        <w:rPr>
          <w:lang w:val="el-GR"/>
        </w:rPr>
        <w:t>ε</w:t>
      </w:r>
      <w:r w:rsidR="003B0223" w:rsidRPr="003B0223">
        <w:rPr>
          <w:vertAlign w:val="subscript"/>
        </w:rPr>
        <w:t>1</w:t>
      </w:r>
      <w:r w:rsidR="003B0223">
        <w:rPr>
          <w:lang w:val="el-GR"/>
        </w:rPr>
        <w:t>φ</w:t>
      </w:r>
      <w:r w:rsidR="003B0223" w:rsidRPr="00E2276D">
        <w:rPr>
          <w:vertAlign w:val="subscript"/>
        </w:rPr>
        <w:t xml:space="preserve">1 </w:t>
      </w:r>
      <w:r w:rsidR="003B0223">
        <w:t xml:space="preserve">and </w:t>
      </w:r>
      <w:r w:rsidR="003B0223">
        <w:rPr>
          <w:lang w:val="el-GR"/>
        </w:rPr>
        <w:t>ε</w:t>
      </w:r>
      <w:r w:rsidR="003B0223">
        <w:rPr>
          <w:vertAlign w:val="subscript"/>
        </w:rPr>
        <w:t>2</w:t>
      </w:r>
      <w:r w:rsidR="003B0223">
        <w:rPr>
          <w:lang w:val="el-GR"/>
        </w:rPr>
        <w:t>φ</w:t>
      </w:r>
      <w:r w:rsidR="003B0223">
        <w:rPr>
          <w:vertAlign w:val="subscript"/>
        </w:rPr>
        <w:t>2</w:t>
      </w:r>
      <w:r w:rsidR="003B0223">
        <w:t xml:space="preserve">, </w:t>
      </w:r>
      <w:r w:rsidR="003B0223" w:rsidRPr="00E2276D">
        <w:rPr>
          <w:b/>
          <w:bCs/>
        </w:rPr>
        <w:t>Table 3.1</w:t>
      </w:r>
      <w:r w:rsidR="003B0223">
        <w:t xml:space="preserve">)  </w:t>
      </w:r>
      <w:r>
        <w:t xml:space="preserve"> and an output of background loss rate</w:t>
      </w:r>
      <w:r w:rsidR="003B0223">
        <w:t xml:space="preserve"> (</w:t>
      </w:r>
      <w:r w:rsidR="003B0223">
        <w:rPr>
          <w:lang w:val="el-GR"/>
        </w:rPr>
        <w:t>δ</w:t>
      </w:r>
      <w:r w:rsidR="003B0223">
        <w:rPr>
          <w:vertAlign w:val="subscript"/>
        </w:rPr>
        <w:t>C</w:t>
      </w:r>
      <w:r w:rsidR="003B0223">
        <w:t xml:space="preserve">, </w:t>
      </w:r>
      <w:r w:rsidR="003B0223" w:rsidRPr="00E2276D">
        <w:rPr>
          <w:b/>
          <w:bCs/>
        </w:rPr>
        <w:t>Table 3.1</w:t>
      </w:r>
      <w:r w:rsidR="003B0223">
        <w:rPr>
          <w:b/>
          <w:bCs/>
        </w:rPr>
        <w:t>)</w:t>
      </w:r>
      <w:r w:rsidR="00E17862">
        <w:t xml:space="preserve"> </w:t>
      </w:r>
      <w:r>
        <w:t>from other events not included in this model.</w:t>
      </w:r>
    </w:p>
    <w:p w14:paraId="786AF413" w14:textId="77777777" w:rsidR="00A26D38" w:rsidRDefault="00A26D38" w:rsidP="00A26D38">
      <w:pPr>
        <w:spacing w:line="480" w:lineRule="auto"/>
      </w:pPr>
    </w:p>
    <w:p w14:paraId="6C861424" w14:textId="662E8F03" w:rsidR="008E1D18" w:rsidRDefault="00A9083D" w:rsidP="008E1D18">
      <w:pPr>
        <w:spacing w:line="480" w:lineRule="auto"/>
      </w:pPr>
      <m:oMath>
        <m:f>
          <m:fPr>
            <m:ctrlPr>
              <w:rPr>
                <w:rFonts w:ascii="Cambria Math" w:hAnsi="Cambria Math"/>
                <w:i/>
                <w:sz w:val="28"/>
                <w:szCs w:val="28"/>
              </w:rPr>
            </m:ctrlPr>
          </m:fPr>
          <m:num>
            <m:r>
              <w:rPr>
                <w:rFonts w:ascii="Cambria Math" w:hAnsi="Cambria Math"/>
                <w:sz w:val="28"/>
                <w:szCs w:val="28"/>
              </w:rPr>
              <m:t>dN</m:t>
            </m:r>
          </m:num>
          <m:den>
            <m:r>
              <w:rPr>
                <w:rFonts w:ascii="Cambria Math" w:hAnsi="Cambria Math"/>
                <w:sz w:val="28"/>
                <w:szCs w:val="28"/>
              </w:rPr>
              <m:t>dt</m:t>
            </m:r>
          </m:den>
        </m:f>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R</m:t>
            </m:r>
          </m:sub>
        </m:sSub>
        <m:r>
          <w:rPr>
            <w:rFonts w:ascii="Cambria Math" w:hAnsi="Cambria Math"/>
            <w:sz w:val="28"/>
            <w:szCs w:val="28"/>
          </w:rPr>
          <m:t xml:space="preserve">- </m:t>
        </m:r>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N</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 xml:space="preserve">- </m:t>
        </m:r>
        <m:sSub>
          <m:sSubPr>
            <m:ctrlPr>
              <w:rPr>
                <w:rFonts w:ascii="Cambria Math" w:hAnsi="Cambria Math"/>
                <w:i/>
                <w:sz w:val="28"/>
                <w:szCs w:val="28"/>
              </w:rPr>
            </m:ctrlPr>
          </m:sSubPr>
          <m:e>
            <m:r>
              <w:rPr>
                <w:rFonts w:ascii="Cambria Math" w:hAnsi="Cambria Math"/>
                <w:sz w:val="28"/>
                <w:szCs w:val="28"/>
              </w:rPr>
              <m:t xml:space="preserve"> μ</m:t>
            </m:r>
          </m:e>
          <m:sub>
            <m:r>
              <w:rPr>
                <w:rFonts w:ascii="Cambria Math" w:hAnsi="Cambria Math"/>
                <w:sz w:val="28"/>
                <w:szCs w:val="28"/>
              </w:rPr>
              <m:t>2</m:t>
            </m:r>
          </m:sub>
        </m:sSub>
        <m:r>
          <w:rPr>
            <w:rFonts w:ascii="Cambria Math" w:hAnsi="Cambria Math"/>
            <w:sz w:val="28"/>
            <w:szCs w:val="28"/>
          </w:rPr>
          <m:t>N</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2</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δ</m:t>
            </m:r>
          </m:e>
          <m:sub>
            <m:r>
              <w:rPr>
                <w:rFonts w:ascii="Cambria Math" w:hAnsi="Cambria Math"/>
                <w:sz w:val="28"/>
                <w:szCs w:val="28"/>
              </w:rPr>
              <m:t>N</m:t>
            </m:r>
          </m:sub>
        </m:sSub>
        <m:r>
          <w:rPr>
            <w:rFonts w:ascii="Cambria Math" w:hAnsi="Cambria Math"/>
            <w:sz w:val="28"/>
            <w:szCs w:val="28"/>
          </w:rPr>
          <m:t>N</m:t>
        </m:r>
      </m:oMath>
      <w:r w:rsidR="008E1D18">
        <w:tab/>
      </w:r>
      <w:r w:rsidR="008E1D18">
        <w:tab/>
      </w:r>
      <w:r w:rsidR="008E1D18">
        <w:tab/>
      </w:r>
      <w:r w:rsidR="008E1D18">
        <w:tab/>
      </w:r>
      <w:r w:rsidR="008E1D18">
        <w:tab/>
      </w:r>
      <w:r w:rsidR="008E1D18">
        <w:tab/>
        <w:t>(1)</w:t>
      </w:r>
    </w:p>
    <w:p w14:paraId="7203DE09" w14:textId="73D85AD5" w:rsidR="008E1D18" w:rsidRDefault="00A86CD9" w:rsidP="008E1D18">
      <w:pPr>
        <w:spacing w:line="480" w:lineRule="auto"/>
      </w:pPr>
      <w:r w:rsidRPr="00A86CD9">
        <w:rPr>
          <w:noProof/>
        </w:rPr>
        <mc:AlternateContent>
          <mc:Choice Requires="wps">
            <w:drawing>
              <wp:anchor distT="0" distB="0" distL="114300" distR="114300" simplePos="0" relativeHeight="251951104" behindDoc="0" locked="0" layoutInCell="1" allowOverlap="1" wp14:anchorId="10368F5A" wp14:editId="1CFDD872">
                <wp:simplePos x="0" y="0"/>
                <wp:positionH relativeFrom="column">
                  <wp:posOffset>1833245</wp:posOffset>
                </wp:positionH>
                <wp:positionV relativeFrom="paragraph">
                  <wp:posOffset>798195</wp:posOffset>
                </wp:positionV>
                <wp:extent cx="1208405" cy="382905"/>
                <wp:effectExtent l="0" t="0" r="0" b="0"/>
                <wp:wrapNone/>
                <wp:docPr id="56" name="TextBox 37"/>
                <wp:cNvGraphicFramePr/>
                <a:graphic xmlns:a="http://schemas.openxmlformats.org/drawingml/2006/main">
                  <a:graphicData uri="http://schemas.microsoft.com/office/word/2010/wordprocessingShape">
                    <wps:wsp>
                      <wps:cNvSpPr txBox="1"/>
                      <wps:spPr>
                        <a:xfrm>
                          <a:off x="0" y="0"/>
                          <a:ext cx="1208405" cy="382905"/>
                        </a:xfrm>
                        <a:prstGeom prst="rect">
                          <a:avLst/>
                        </a:prstGeom>
                        <a:noFill/>
                      </wps:spPr>
                      <wps:txbx>
                        <w:txbxContent>
                          <w:p w14:paraId="32327E10" w14:textId="77777777" w:rsidR="00A86CD9" w:rsidRPr="00534A40" w:rsidRDefault="00A86CD9" w:rsidP="00A86CD9">
                            <w:pPr>
                              <w:jc w:val="center"/>
                              <w:rPr>
                                <w:sz w:val="16"/>
                                <w:szCs w:val="16"/>
                              </w:rPr>
                            </w:pPr>
                            <w:r w:rsidRPr="00534A40">
                              <w:rPr>
                                <w:rFonts w:hAnsi="Calibri"/>
                                <w:color w:val="000000" w:themeColor="text1"/>
                                <w:kern w:val="24"/>
                                <w:sz w:val="20"/>
                                <w:szCs w:val="20"/>
                              </w:rPr>
                              <w:t>Background loss</w:t>
                            </w:r>
                          </w:p>
                        </w:txbxContent>
                      </wps:txbx>
                      <wps:bodyPr wrap="square" rtlCol="0">
                        <a:noAutofit/>
                      </wps:bodyPr>
                    </wps:wsp>
                  </a:graphicData>
                </a:graphic>
              </wp:anchor>
            </w:drawing>
          </mc:Choice>
          <mc:Fallback>
            <w:pict>
              <v:shape w14:anchorId="10368F5A" id="TextBox 37" o:spid="_x0000_s1045" type="#_x0000_t202" style="position:absolute;margin-left:144.35pt;margin-top:62.85pt;width:95.15pt;height:30.15pt;z-index:25195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" filled="f" stroked="f">
                <v:textbox>
                  <w:txbxContent>
                    <w:p w14:paraId="32327E10" w14:textId="77777777" w:rsidR="00A86CD9" w:rsidRPr="00534A40" w:rsidRDefault="00A86CD9" w:rsidP="00A86CD9">
                      <w:pPr>
                        <w:jc w:val="center"/>
                        <w:rPr>
                          <w:sz w:val="16"/>
                          <w:szCs w:val="16"/>
                        </w:rPr>
                      </w:pPr>
                      <w:r w:rsidRPr="00534A40">
                        <w:rPr>
                          <w:rFonts w:hAnsi="Calibri"/>
                          <w:color w:val="000000" w:themeColor="text1"/>
                          <w:kern w:val="24"/>
                          <w:sz w:val="20"/>
                          <w:szCs w:val="20"/>
                        </w:rPr>
                        <w:t>Background loss</w:t>
                      </w:r>
                    </w:p>
                  </w:txbxContent>
                </v:textbox>
              </v:shape>
            </w:pict>
          </mc:Fallback>
        </mc:AlternateContent>
      </w:r>
      <w:r w:rsidRPr="00A86CD9">
        <w:rPr>
          <w:noProof/>
        </w:rPr>
        <mc:AlternateContent>
          <mc:Choice Requires="wps">
            <w:drawing>
              <wp:anchor distT="0" distB="0" distL="114300" distR="114300" simplePos="0" relativeHeight="251950080" behindDoc="0" locked="0" layoutInCell="1" allowOverlap="1" wp14:anchorId="5AC814C0" wp14:editId="51654E4D">
                <wp:simplePos x="0" y="0"/>
                <wp:positionH relativeFrom="column">
                  <wp:posOffset>-386715</wp:posOffset>
                </wp:positionH>
                <wp:positionV relativeFrom="paragraph">
                  <wp:posOffset>798195</wp:posOffset>
                </wp:positionV>
                <wp:extent cx="1795780" cy="236855"/>
                <wp:effectExtent l="0" t="0" r="0" b="0"/>
                <wp:wrapNone/>
                <wp:docPr id="54" name="TextBox 35"/>
                <wp:cNvGraphicFramePr/>
                <a:graphic xmlns:a="http://schemas.openxmlformats.org/drawingml/2006/main">
                  <a:graphicData uri="http://schemas.microsoft.com/office/word/2010/wordprocessingShape">
                    <wps:wsp>
                      <wps:cNvSpPr txBox="1"/>
                      <wps:spPr>
                        <a:xfrm>
                          <a:off x="0" y="0"/>
                          <a:ext cx="1795780" cy="236855"/>
                        </a:xfrm>
                        <a:prstGeom prst="rect">
                          <a:avLst/>
                        </a:prstGeom>
                        <a:noFill/>
                      </wps:spPr>
                      <wps:txbx>
                        <w:txbxContent>
                          <w:p w14:paraId="6E754EC0" w14:textId="77777777" w:rsidR="00A86CD9" w:rsidRPr="00534A40" w:rsidRDefault="00A86CD9" w:rsidP="00A86CD9">
                            <w:pPr>
                              <w:jc w:val="center"/>
                              <w:rPr>
                                <w:sz w:val="16"/>
                                <w:szCs w:val="16"/>
                              </w:rPr>
                            </w:pPr>
                            <w:r w:rsidRPr="00534A40">
                              <w:rPr>
                                <w:rFonts w:hAnsi="Calibri"/>
                                <w:color w:val="000000" w:themeColor="text1"/>
                                <w:kern w:val="24"/>
                                <w:sz w:val="20"/>
                                <w:szCs w:val="20"/>
                              </w:rPr>
                              <w:t>Uptake of resource</w:t>
                            </w:r>
                          </w:p>
                        </w:txbxContent>
                      </wps:txbx>
                      <wps:bodyPr wrap="square" rtlCol="0">
                        <a:noAutofit/>
                      </wps:bodyPr>
                    </wps:wsp>
                  </a:graphicData>
                </a:graphic>
              </wp:anchor>
            </w:drawing>
          </mc:Choice>
          <mc:Fallback>
            <w:pict>
              <v:shape w14:anchorId="5AC814C0" id="TextBox 35" o:spid="_x0000_s1046" type="#_x0000_t202" style="position:absolute;margin-left:-30.45pt;margin-top:62.85pt;width:141.4pt;height:18.65pt;z-index:25195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" filled="f" stroked="f">
                <v:textbox>
                  <w:txbxContent>
                    <w:p w14:paraId="6E754EC0" w14:textId="77777777" w:rsidR="00A86CD9" w:rsidRPr="00534A40" w:rsidRDefault="00A86CD9" w:rsidP="00A86CD9">
                      <w:pPr>
                        <w:jc w:val="center"/>
                        <w:rPr>
                          <w:sz w:val="16"/>
                          <w:szCs w:val="16"/>
                        </w:rPr>
                      </w:pPr>
                      <w:r w:rsidRPr="00534A40">
                        <w:rPr>
                          <w:rFonts w:hAnsi="Calibri"/>
                          <w:color w:val="000000" w:themeColor="text1"/>
                          <w:kern w:val="24"/>
                          <w:sz w:val="20"/>
                          <w:szCs w:val="20"/>
                        </w:rPr>
                        <w:t>Uptake of resource</w:t>
                      </w:r>
                    </w:p>
                  </w:txbxContent>
                </v:textbox>
              </v:shape>
            </w:pict>
          </mc:Fallback>
        </mc:AlternateContent>
      </w:r>
      <w:r w:rsidRPr="00A86CD9">
        <w:rPr>
          <w:noProof/>
        </w:rPr>
        <mc:AlternateContent>
          <mc:Choice Requires="wps">
            <w:drawing>
              <wp:anchor distT="0" distB="0" distL="114300" distR="114300" simplePos="0" relativeHeight="251949056" behindDoc="0" locked="0" layoutInCell="1" allowOverlap="1" wp14:anchorId="3FE481AE" wp14:editId="3679C55A">
                <wp:simplePos x="0" y="0"/>
                <wp:positionH relativeFrom="column">
                  <wp:posOffset>1463040</wp:posOffset>
                </wp:positionH>
                <wp:positionV relativeFrom="paragraph">
                  <wp:posOffset>482600</wp:posOffset>
                </wp:positionV>
                <wp:extent cx="141605" cy="599440"/>
                <wp:effectExtent l="0" t="0" r="0" b="0"/>
                <wp:wrapNone/>
                <wp:docPr id="53" name="Right Brace 34"/>
                <wp:cNvGraphicFramePr/>
                <a:graphic xmlns:a="http://schemas.openxmlformats.org/drawingml/2006/main">
                  <a:graphicData uri="http://schemas.microsoft.com/office/word/2010/wordprocessingShape">
                    <wps:wsp>
                      <wps:cNvSpPr/>
                      <wps:spPr>
                        <a:xfrm rot="5400000">
                          <a:off x="0" y="0"/>
                          <a:ext cx="141605" cy="59944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type w14:anchorId="7D472BA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4" o:spid="_x0000_s1026" type="#_x0000_t88" style="position:absolute;margin-left:115.2pt;margin-top:38pt;width:11.15pt;height:47.2pt;rotation:90;z-index:25194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" adj="425" strokecolor="#4579b8 [3044]"/>
            </w:pict>
          </mc:Fallback>
        </mc:AlternateContent>
      </w:r>
      <w:r w:rsidRPr="00A86CD9">
        <w:rPr>
          <w:noProof/>
        </w:rPr>
        <mc:AlternateContent>
          <mc:Choice Requires="wps">
            <w:drawing>
              <wp:anchor distT="0" distB="0" distL="114300" distR="114300" simplePos="0" relativeHeight="251948032" behindDoc="0" locked="0" layoutInCell="1" allowOverlap="1" wp14:anchorId="0740EDB1" wp14:editId="7894DE51">
                <wp:simplePos x="0" y="0"/>
                <wp:positionH relativeFrom="column">
                  <wp:posOffset>580390</wp:posOffset>
                </wp:positionH>
                <wp:positionV relativeFrom="paragraph">
                  <wp:posOffset>516890</wp:posOffset>
                </wp:positionV>
                <wp:extent cx="142240" cy="527050"/>
                <wp:effectExtent l="0" t="0" r="0" b="0"/>
                <wp:wrapNone/>
                <wp:docPr id="52" name="Right Brace 33"/>
                <wp:cNvGraphicFramePr/>
                <a:graphic xmlns:a="http://schemas.openxmlformats.org/drawingml/2006/main">
                  <a:graphicData uri="http://schemas.microsoft.com/office/word/2010/wordprocessingShape">
                    <wps:wsp>
                      <wps:cNvSpPr/>
                      <wps:spPr>
                        <a:xfrm rot="5400000">
                          <a:off x="0" y="0"/>
                          <a:ext cx="142240" cy="52705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03799D61" id="Right Brace 33" o:spid="_x0000_s1026" type="#_x0000_t88" style="position:absolute;margin-left:45.7pt;margin-top:40.7pt;width:11.2pt;height:41.5pt;rotation:90;z-index:25194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" adj="486" strokecolor="#4579b8 [3044]"/>
            </w:pict>
          </mc:Fallback>
        </mc:AlternateContent>
      </w:r>
      <w:r w:rsidRPr="00A86CD9">
        <w:rPr>
          <w:noProof/>
        </w:rPr>
        <mc:AlternateContent>
          <mc:Choice Requires="wps">
            <w:drawing>
              <wp:anchor distT="0" distB="0" distL="114300" distR="114300" simplePos="0" relativeHeight="251947008" behindDoc="0" locked="0" layoutInCell="1" allowOverlap="1" wp14:anchorId="78A7B6D7" wp14:editId="0221B45A">
                <wp:simplePos x="0" y="0"/>
                <wp:positionH relativeFrom="column">
                  <wp:posOffset>1120775</wp:posOffset>
                </wp:positionH>
                <wp:positionV relativeFrom="paragraph">
                  <wp:posOffset>798195</wp:posOffset>
                </wp:positionV>
                <wp:extent cx="886460" cy="236855"/>
                <wp:effectExtent l="0" t="0" r="0" b="0"/>
                <wp:wrapNone/>
                <wp:docPr id="38" name="TextBox 32"/>
                <wp:cNvGraphicFramePr/>
                <a:graphic xmlns:a="http://schemas.openxmlformats.org/drawingml/2006/main">
                  <a:graphicData uri="http://schemas.microsoft.com/office/word/2010/wordprocessingShape">
                    <wps:wsp>
                      <wps:cNvSpPr txBox="1"/>
                      <wps:spPr>
                        <a:xfrm>
                          <a:off x="0" y="0"/>
                          <a:ext cx="886460" cy="236855"/>
                        </a:xfrm>
                        <a:prstGeom prst="rect">
                          <a:avLst/>
                        </a:prstGeom>
                        <a:noFill/>
                      </wps:spPr>
                      <wps:txbx>
                        <w:txbxContent>
                          <w:p w14:paraId="5CBB8EAC" w14:textId="77777777" w:rsidR="00A86CD9" w:rsidRPr="00534A40" w:rsidRDefault="00A86CD9" w:rsidP="00A86CD9">
                            <w:pPr>
                              <w:jc w:val="center"/>
                              <w:rPr>
                                <w:sz w:val="16"/>
                                <w:szCs w:val="16"/>
                              </w:rPr>
                            </w:pPr>
                            <w:r w:rsidRPr="00534A40">
                              <w:rPr>
                                <w:rFonts w:hAnsi="Calibri"/>
                                <w:color w:val="000000" w:themeColor="text1"/>
                                <w:kern w:val="24"/>
                                <w:sz w:val="20"/>
                                <w:szCs w:val="20"/>
                              </w:rPr>
                              <w:t>Predation</w:t>
                            </w:r>
                          </w:p>
                        </w:txbxContent>
                      </wps:txbx>
                      <wps:bodyPr wrap="square" rtlCol="0">
                        <a:noAutofit/>
                      </wps:bodyPr>
                    </wps:wsp>
                  </a:graphicData>
                </a:graphic>
              </wp:anchor>
            </w:drawing>
          </mc:Choice>
          <mc:Fallback>
            <w:pict>
              <v:shape w14:anchorId="78A7B6D7" id="TextBox 32" o:spid="_x0000_s1047" type="#_x0000_t202" style="position:absolute;margin-left:88.25pt;margin-top:62.85pt;width:69.8pt;height:18.65pt;z-index:25194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" filled="f" stroked="f">
                <v:textbox>
                  <w:txbxContent>
                    <w:p w14:paraId="5CBB8EAC" w14:textId="77777777" w:rsidR="00A86CD9" w:rsidRPr="00534A40" w:rsidRDefault="00A86CD9" w:rsidP="00A86CD9">
                      <w:pPr>
                        <w:jc w:val="center"/>
                        <w:rPr>
                          <w:sz w:val="16"/>
                          <w:szCs w:val="16"/>
                        </w:rPr>
                      </w:pPr>
                      <w:r w:rsidRPr="00534A40">
                        <w:rPr>
                          <w:rFonts w:hAnsi="Calibri"/>
                          <w:color w:val="000000" w:themeColor="text1"/>
                          <w:kern w:val="24"/>
                          <w:sz w:val="20"/>
                          <w:szCs w:val="20"/>
                        </w:rPr>
                        <w:t>Predation</w:t>
                      </w:r>
                    </w:p>
                  </w:txbxContent>
                </v:textbox>
              </v:shape>
            </w:pict>
          </mc:Fallback>
        </mc:AlternateContent>
      </w:r>
      <w:r w:rsidRPr="00A86CD9">
        <w:rPr>
          <w:noProof/>
        </w:rPr>
        <mc:AlternateContent>
          <mc:Choice Requires="wps">
            <w:drawing>
              <wp:anchor distT="0" distB="0" distL="114300" distR="114300" simplePos="0" relativeHeight="251945984" behindDoc="0" locked="0" layoutInCell="1" allowOverlap="1" wp14:anchorId="1A2F2AF2" wp14:editId="62109BF6">
                <wp:simplePos x="0" y="0"/>
                <wp:positionH relativeFrom="column">
                  <wp:posOffset>2256710</wp:posOffset>
                </wp:positionH>
                <wp:positionV relativeFrom="paragraph">
                  <wp:posOffset>534339</wp:posOffset>
                </wp:positionV>
                <wp:extent cx="142221" cy="468251"/>
                <wp:effectExtent l="0" t="0" r="0" b="0"/>
                <wp:wrapNone/>
                <wp:docPr id="33" name="Right Brace 31"/>
                <wp:cNvGraphicFramePr/>
                <a:graphic xmlns:a="http://schemas.openxmlformats.org/drawingml/2006/main">
                  <a:graphicData uri="http://schemas.microsoft.com/office/word/2010/wordprocessingShape">
                    <wps:wsp>
                      <wps:cNvSpPr/>
                      <wps:spPr>
                        <a:xfrm rot="5400000">
                          <a:off x="0" y="0"/>
                          <a:ext cx="142221" cy="468251"/>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0C0FB2FD" id="Right Brace 31" o:spid="_x0000_s1026" type="#_x0000_t88" style="position:absolute;margin-left:177.7pt;margin-top:42.05pt;width:11.2pt;height:36.85pt;rotation:90;z-index:25194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" adj="547" strokecolor="#4579b8 [3044]"/>
            </w:pict>
          </mc:Fallback>
        </mc:AlternateContent>
      </w:r>
      <w:r w:rsidRPr="00A86CD9">
        <w:rPr>
          <w:noProof/>
        </w:rPr>
        <mc:AlternateContent>
          <mc:Choice Requires="wps">
            <w:drawing>
              <wp:anchor distT="0" distB="0" distL="114300" distR="114300" simplePos="0" relativeHeight="251943936" behindDoc="0" locked="0" layoutInCell="1" allowOverlap="1" wp14:anchorId="7EF71D8B" wp14:editId="323C2036">
                <wp:simplePos x="0" y="0"/>
                <wp:positionH relativeFrom="column">
                  <wp:posOffset>2282780</wp:posOffset>
                </wp:positionH>
                <wp:positionV relativeFrom="paragraph">
                  <wp:posOffset>-127349</wp:posOffset>
                </wp:positionV>
                <wp:extent cx="1468192" cy="237490"/>
                <wp:effectExtent l="0" t="0" r="0" b="0"/>
                <wp:wrapNone/>
                <wp:docPr id="30" name="TextBox 22"/>
                <wp:cNvGraphicFramePr/>
                <a:graphic xmlns:a="http://schemas.openxmlformats.org/drawingml/2006/main">
                  <a:graphicData uri="http://schemas.microsoft.com/office/word/2010/wordprocessingShape">
                    <wps:wsp>
                      <wps:cNvSpPr txBox="1"/>
                      <wps:spPr>
                        <a:xfrm>
                          <a:off x="0" y="0"/>
                          <a:ext cx="1468192" cy="237490"/>
                        </a:xfrm>
                        <a:prstGeom prst="rect">
                          <a:avLst/>
                        </a:prstGeom>
                        <a:noFill/>
                      </wps:spPr>
                      <wps:txbx>
                        <w:txbxContent>
                          <w:p w14:paraId="30254986" w14:textId="015CCB7B" w:rsidR="00A86CD9" w:rsidRPr="00DC4406" w:rsidRDefault="00A86CD9" w:rsidP="00A86CD9">
                            <w:pPr>
                              <w:jc w:val="center"/>
                              <w:rPr>
                                <w:sz w:val="20"/>
                                <w:szCs w:val="20"/>
                              </w:rPr>
                            </w:pPr>
                            <w:r>
                              <w:rPr>
                                <w:rFonts w:hAnsi="Calibri"/>
                                <w:kern w:val="24"/>
                                <w:sz w:val="20"/>
                                <w:szCs w:val="20"/>
                              </w:rPr>
                              <w:t xml:space="preserve">Nitrogen </w:t>
                            </w:r>
                            <w:r w:rsidR="0031791B">
                              <w:rPr>
                                <w:rFonts w:hAnsi="Calibri"/>
                                <w:kern w:val="24"/>
                                <w:sz w:val="20"/>
                                <w:szCs w:val="20"/>
                              </w:rPr>
                              <w:t>removal</w:t>
                            </w:r>
                          </w:p>
                        </w:txbxContent>
                      </wps:txbx>
                      <wps:bodyPr wrap="square" rtlCol="0">
                        <a:spAutoFit/>
                      </wps:bodyPr>
                    </wps:wsp>
                  </a:graphicData>
                </a:graphic>
                <wp14:sizeRelH relativeFrom="margin">
                  <wp14:pctWidth>0</wp14:pctWidth>
                </wp14:sizeRelH>
              </wp:anchor>
            </w:drawing>
          </mc:Choice>
          <mc:Fallback>
            <w:pict>
              <v:shape w14:anchorId="7EF71D8B" id="TextBox 22" o:spid="_x0000_s1048" type="#_x0000_t202" style="position:absolute;margin-left:179.75pt;margin-top:-10.05pt;width:115.6pt;height:18.7pt;z-index:251943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" filled="f" stroked="f">
                <v:textbox style="mso-fit-shape-to-text:t">
                  <w:txbxContent>
                    <w:p w14:paraId="30254986" w14:textId="015CCB7B" w:rsidR="00A86CD9" w:rsidRPr="00DC4406" w:rsidRDefault="00A86CD9" w:rsidP="00A86CD9">
                      <w:pPr>
                        <w:jc w:val="center"/>
                        <w:rPr>
                          <w:sz w:val="20"/>
                          <w:szCs w:val="20"/>
                        </w:rPr>
                      </w:pPr>
                      <w:r>
                        <w:rPr>
                          <w:rFonts w:hAnsi="Calibri"/>
                          <w:kern w:val="24"/>
                          <w:sz w:val="20"/>
                          <w:szCs w:val="20"/>
                        </w:rPr>
                        <w:t xml:space="preserve">Nitrogen </w:t>
                      </w:r>
                      <w:r w:rsidR="0031791B">
                        <w:rPr>
                          <w:rFonts w:hAnsi="Calibri"/>
                          <w:kern w:val="24"/>
                          <w:sz w:val="20"/>
                          <w:szCs w:val="20"/>
                        </w:rPr>
                        <w:t>removal</w:t>
                      </w:r>
                    </w:p>
                  </w:txbxContent>
                </v:textbox>
              </v:shape>
            </w:pict>
          </mc:Fallback>
        </mc:AlternateContent>
      </w:r>
      <w:r w:rsidRPr="00A86CD9">
        <w:rPr>
          <w:noProof/>
        </w:rPr>
        <mc:AlternateContent>
          <mc:Choice Requires="wps">
            <w:drawing>
              <wp:anchor distT="0" distB="0" distL="114300" distR="114300" simplePos="0" relativeHeight="251941888" behindDoc="0" locked="0" layoutInCell="1" allowOverlap="1" wp14:anchorId="38B06A56" wp14:editId="47AC7B0D">
                <wp:simplePos x="0" y="0"/>
                <wp:positionH relativeFrom="column">
                  <wp:posOffset>2421863</wp:posOffset>
                </wp:positionH>
                <wp:positionV relativeFrom="paragraph">
                  <wp:posOffset>-242543</wp:posOffset>
                </wp:positionV>
                <wp:extent cx="113388" cy="195654"/>
                <wp:effectExtent l="0" t="0" r="0" b="0"/>
                <wp:wrapNone/>
                <wp:docPr id="28" name="Right Brace 20"/>
                <wp:cNvGraphicFramePr/>
                <a:graphic xmlns:a="http://schemas.openxmlformats.org/drawingml/2006/main">
                  <a:graphicData uri="http://schemas.microsoft.com/office/word/2010/wordprocessingShape">
                    <wps:wsp>
                      <wps:cNvSpPr/>
                      <wps:spPr>
                        <a:xfrm rot="5400000">
                          <a:off x="0" y="0"/>
                          <a:ext cx="113388" cy="195654"/>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58E0CB98" id="Right Brace 20" o:spid="_x0000_s1026" type="#_x0000_t88" style="position:absolute;margin-left:190.7pt;margin-top:-19.1pt;width:8.95pt;height:15.4pt;rotation:90;z-index:25194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" adj="1043" strokecolor="#4579b8 [3044]"/>
            </w:pict>
          </mc:Fallback>
        </mc:AlternateContent>
      </w:r>
      <w:r w:rsidRPr="00A86CD9">
        <w:rPr>
          <w:noProof/>
        </w:rPr>
        <mc:AlternateContent>
          <mc:Choice Requires="wps">
            <w:drawing>
              <wp:anchor distT="0" distB="0" distL="114300" distR="114300" simplePos="0" relativeHeight="251939840" behindDoc="0" locked="0" layoutInCell="1" allowOverlap="1" wp14:anchorId="700B86A6" wp14:editId="3EF98DD8">
                <wp:simplePos x="0" y="0"/>
                <wp:positionH relativeFrom="column">
                  <wp:posOffset>913882</wp:posOffset>
                </wp:positionH>
                <wp:positionV relativeFrom="paragraph">
                  <wp:posOffset>-108058</wp:posOffset>
                </wp:positionV>
                <wp:extent cx="1371600" cy="237490"/>
                <wp:effectExtent l="0" t="0" r="0" b="0"/>
                <wp:wrapNone/>
                <wp:docPr id="26" name="TextBox 23"/>
                <wp:cNvGraphicFramePr/>
                <a:graphic xmlns:a="http://schemas.openxmlformats.org/drawingml/2006/main">
                  <a:graphicData uri="http://schemas.microsoft.com/office/word/2010/wordprocessingShape">
                    <wps:wsp>
                      <wps:cNvSpPr txBox="1"/>
                      <wps:spPr>
                        <a:xfrm>
                          <a:off x="0" y="0"/>
                          <a:ext cx="1371600" cy="237490"/>
                        </a:xfrm>
                        <a:prstGeom prst="rect">
                          <a:avLst/>
                        </a:prstGeom>
                        <a:noFill/>
                      </wps:spPr>
                      <wps:txbx>
                        <w:txbxContent>
                          <w:p w14:paraId="00F396F8" w14:textId="77777777" w:rsidR="00A86CD9" w:rsidRPr="00DC4406" w:rsidRDefault="00A86CD9" w:rsidP="00A86CD9">
                            <w:pPr>
                              <w:jc w:val="center"/>
                              <w:rPr>
                                <w:sz w:val="20"/>
                                <w:szCs w:val="20"/>
                              </w:rPr>
                            </w:pPr>
                            <w:r w:rsidRPr="00DC4406">
                              <w:rPr>
                                <w:rFonts w:hAnsi="Calibri"/>
                                <w:kern w:val="24"/>
                                <w:sz w:val="20"/>
                                <w:szCs w:val="20"/>
                              </w:rPr>
                              <w:t>Uptake by Producers</w:t>
                            </w:r>
                          </w:p>
                        </w:txbxContent>
                      </wps:txbx>
                      <wps:bodyPr wrap="square" rtlCol="0">
                        <a:spAutoFit/>
                      </wps:bodyPr>
                    </wps:wsp>
                  </a:graphicData>
                </a:graphic>
              </wp:anchor>
            </w:drawing>
          </mc:Choice>
          <mc:Fallback>
            <w:pict>
              <v:shape w14:anchorId="700B86A6" id="TextBox 23" o:spid="_x0000_s1049" type="#_x0000_t202" style="position:absolute;margin-left:71.95pt;margin-top:-8.5pt;width:108pt;height:18.7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" filled="f" stroked="f">
                <v:textbox style="mso-fit-shape-to-text:t">
                  <w:txbxContent>
                    <w:p w14:paraId="00F396F8" w14:textId="77777777" w:rsidR="00A86CD9" w:rsidRPr="00DC4406" w:rsidRDefault="00A86CD9" w:rsidP="00A86CD9">
                      <w:pPr>
                        <w:jc w:val="center"/>
                        <w:rPr>
                          <w:sz w:val="20"/>
                          <w:szCs w:val="20"/>
                        </w:rPr>
                      </w:pPr>
                      <w:r w:rsidRPr="00DC4406">
                        <w:rPr>
                          <w:rFonts w:hAnsi="Calibri"/>
                          <w:kern w:val="24"/>
                          <w:sz w:val="20"/>
                          <w:szCs w:val="20"/>
                        </w:rPr>
                        <w:t>Uptake by Producers</w:t>
                      </w:r>
                    </w:p>
                  </w:txbxContent>
                </v:textbox>
              </v:shape>
            </w:pict>
          </mc:Fallback>
        </mc:AlternateContent>
      </w:r>
      <w:r w:rsidRPr="00A86CD9">
        <w:rPr>
          <w:noProof/>
        </w:rPr>
        <mc:AlternateContent>
          <mc:Choice Requires="wps">
            <w:drawing>
              <wp:anchor distT="0" distB="0" distL="114300" distR="114300" simplePos="0" relativeHeight="251936768" behindDoc="0" locked="0" layoutInCell="1" allowOverlap="1" wp14:anchorId="22D9A1AC" wp14:editId="06C3756F">
                <wp:simplePos x="0" y="0"/>
                <wp:positionH relativeFrom="column">
                  <wp:posOffset>509092</wp:posOffset>
                </wp:positionH>
                <wp:positionV relativeFrom="paragraph">
                  <wp:posOffset>-253401</wp:posOffset>
                </wp:positionV>
                <wp:extent cx="113388" cy="195654"/>
                <wp:effectExtent l="0" t="0" r="0" b="0"/>
                <wp:wrapNone/>
                <wp:docPr id="18" name="Right Brace 20"/>
                <wp:cNvGraphicFramePr/>
                <a:graphic xmlns:a="http://schemas.openxmlformats.org/drawingml/2006/main">
                  <a:graphicData uri="http://schemas.microsoft.com/office/word/2010/wordprocessingShape">
                    <wps:wsp>
                      <wps:cNvSpPr/>
                      <wps:spPr>
                        <a:xfrm rot="5400000">
                          <a:off x="0" y="0"/>
                          <a:ext cx="113388" cy="195654"/>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16B6BC1D" id="Right Brace 20" o:spid="_x0000_s1026" type="#_x0000_t88" style="position:absolute;margin-left:40.1pt;margin-top:-19.95pt;width:8.95pt;height:15.4pt;rotation:90;z-index:25193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" adj="1043" strokecolor="#4579b8 [3044]"/>
            </w:pict>
          </mc:Fallback>
        </mc:AlternateContent>
      </w:r>
      <w:r w:rsidRPr="00A86CD9">
        <w:rPr>
          <w:noProof/>
        </w:rPr>
        <mc:AlternateContent>
          <mc:Choice Requires="wps">
            <w:drawing>
              <wp:anchor distT="0" distB="0" distL="114300" distR="114300" simplePos="0" relativeHeight="251938816" behindDoc="0" locked="0" layoutInCell="1" allowOverlap="1" wp14:anchorId="2020AD78" wp14:editId="137CCE43">
                <wp:simplePos x="0" y="0"/>
                <wp:positionH relativeFrom="column">
                  <wp:posOffset>0</wp:posOffset>
                </wp:positionH>
                <wp:positionV relativeFrom="paragraph">
                  <wp:posOffset>-126365</wp:posOffset>
                </wp:positionV>
                <wp:extent cx="906780" cy="237490"/>
                <wp:effectExtent l="0" t="0" r="0" b="0"/>
                <wp:wrapNone/>
                <wp:docPr id="25" name="TextBox 22"/>
                <wp:cNvGraphicFramePr/>
                <a:graphic xmlns:a="http://schemas.openxmlformats.org/drawingml/2006/main">
                  <a:graphicData uri="http://schemas.microsoft.com/office/word/2010/wordprocessingShape">
                    <wps:wsp>
                      <wps:cNvSpPr txBox="1"/>
                      <wps:spPr>
                        <a:xfrm>
                          <a:off x="0" y="0"/>
                          <a:ext cx="906780" cy="237490"/>
                        </a:xfrm>
                        <a:prstGeom prst="rect">
                          <a:avLst/>
                        </a:prstGeom>
                        <a:noFill/>
                      </wps:spPr>
                      <wps:txbx>
                        <w:txbxContent>
                          <w:p w14:paraId="08A01934" w14:textId="77777777" w:rsidR="00A86CD9" w:rsidRPr="00DC4406" w:rsidRDefault="00A86CD9" w:rsidP="00A86CD9">
                            <w:pPr>
                              <w:jc w:val="center"/>
                              <w:rPr>
                                <w:sz w:val="20"/>
                                <w:szCs w:val="20"/>
                              </w:rPr>
                            </w:pPr>
                            <w:r w:rsidRPr="00DC4406">
                              <w:rPr>
                                <w:rFonts w:hAnsi="Calibri"/>
                                <w:kern w:val="24"/>
                                <w:sz w:val="20"/>
                                <w:szCs w:val="20"/>
                              </w:rPr>
                              <w:t>Supply rate</w:t>
                            </w:r>
                          </w:p>
                        </w:txbxContent>
                      </wps:txbx>
                      <wps:bodyPr wrap="square" rtlCol="0">
                        <a:spAutoFit/>
                      </wps:bodyPr>
                    </wps:wsp>
                  </a:graphicData>
                </a:graphic>
              </wp:anchor>
            </w:drawing>
          </mc:Choice>
          <mc:Fallback>
            <w:pict>
              <v:shape w14:anchorId="2020AD78" id="_x0000_s1050" type="#_x0000_t202" style="position:absolute;margin-left:0;margin-top:-9.95pt;width:71.4pt;height:18.7pt;z-index:25193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" filled="f" stroked="f">
                <v:textbox style="mso-fit-shape-to-text:t">
                  <w:txbxContent>
                    <w:p w14:paraId="08A01934" w14:textId="77777777" w:rsidR="00A86CD9" w:rsidRPr="00DC4406" w:rsidRDefault="00A86CD9" w:rsidP="00A86CD9">
                      <w:pPr>
                        <w:jc w:val="center"/>
                        <w:rPr>
                          <w:sz w:val="20"/>
                          <w:szCs w:val="20"/>
                        </w:rPr>
                      </w:pPr>
                      <w:r w:rsidRPr="00DC4406">
                        <w:rPr>
                          <w:rFonts w:hAnsi="Calibri"/>
                          <w:kern w:val="24"/>
                          <w:sz w:val="20"/>
                          <w:szCs w:val="20"/>
                        </w:rPr>
                        <w:t>Supply rate</w:t>
                      </w:r>
                    </w:p>
                  </w:txbxContent>
                </v:textbox>
              </v:shape>
            </w:pict>
          </mc:Fallback>
        </mc:AlternateContent>
      </w:r>
      <w:r w:rsidRPr="00A86CD9">
        <w:rPr>
          <w:noProof/>
        </w:rPr>
        <mc:AlternateContent>
          <mc:Choice Requires="wps">
            <w:drawing>
              <wp:anchor distT="0" distB="0" distL="114300" distR="114300" simplePos="0" relativeHeight="251937792" behindDoc="0" locked="0" layoutInCell="1" allowOverlap="1" wp14:anchorId="595C04D1" wp14:editId="360196E3">
                <wp:simplePos x="0" y="0"/>
                <wp:positionH relativeFrom="column">
                  <wp:posOffset>1386840</wp:posOffset>
                </wp:positionH>
                <wp:positionV relativeFrom="paragraph">
                  <wp:posOffset>-812165</wp:posOffset>
                </wp:positionV>
                <wp:extent cx="132715" cy="1343025"/>
                <wp:effectExtent l="0" t="0" r="0" b="0"/>
                <wp:wrapNone/>
                <wp:docPr id="19" name="Right Brace 21"/>
                <wp:cNvGraphicFramePr/>
                <a:graphic xmlns:a="http://schemas.openxmlformats.org/drawingml/2006/main">
                  <a:graphicData uri="http://schemas.microsoft.com/office/word/2010/wordprocessingShape">
                    <wps:wsp>
                      <wps:cNvSpPr/>
                      <wps:spPr>
                        <a:xfrm rot="5400000">
                          <a:off x="0" y="0"/>
                          <a:ext cx="132715" cy="1343025"/>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66C04583" id="Right Brace 21" o:spid="_x0000_s1026" type="#_x0000_t88" style="position:absolute;margin-left:109.2pt;margin-top:-63.95pt;width:10.45pt;height:105.75pt;rotation:90;z-index:25193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" adj="178" strokecolor="#4579b8 [3044]"/>
            </w:pict>
          </mc:Fallback>
        </mc:AlternateContent>
      </w:r>
    </w:p>
    <w:p w14:paraId="0FF6B3AD" w14:textId="2E420C38" w:rsidR="008E1D18" w:rsidRDefault="00A9083D" w:rsidP="008E1D18">
      <w:pPr>
        <w:spacing w:line="480" w:lineRule="auto"/>
      </w:pPr>
      <m:oMath>
        <m:f>
          <m:fPr>
            <m:ctrlPr>
              <w:rPr>
                <w:rFonts w:ascii="Cambria Math" w:hAnsi="Cambria Math"/>
                <w:i/>
                <w:sz w:val="28"/>
                <w:szCs w:val="28"/>
              </w:rPr>
            </m:ctrlPr>
          </m:fPr>
          <m:num>
            <m: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1</m:t>
                </m:r>
              </m:sub>
            </m:sSub>
          </m:num>
          <m:den>
            <m:r>
              <w:rPr>
                <w:rFonts w:ascii="Cambria Math" w:hAnsi="Cambria Math"/>
                <w:sz w:val="28"/>
                <w:szCs w:val="28"/>
              </w:rPr>
              <m:t>dt</m:t>
            </m:r>
          </m:den>
        </m:f>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1</m:t>
            </m:r>
          </m:sub>
        </m:sSub>
        <m:r>
          <w:rPr>
            <w:rFonts w:ascii="Cambria Math" w:hAnsi="Cambria Math"/>
            <w:sz w:val="28"/>
            <w:szCs w:val="28"/>
          </w:rPr>
          <m:t>N</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φ</m:t>
            </m:r>
          </m:e>
          <m:sub>
            <m:r>
              <w:rPr>
                <w:rFonts w:ascii="Cambria Math" w:hAnsi="Cambria Math"/>
                <w:sz w:val="28"/>
                <w:szCs w:val="28"/>
              </w:rPr>
              <m:t>1</m:t>
            </m:r>
          </m:sub>
        </m:sSub>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 xml:space="preserve">C-  </m:t>
        </m:r>
        <m:sSub>
          <m:sSubPr>
            <m:ctrlPr>
              <w:rPr>
                <w:rFonts w:ascii="Cambria Math" w:hAnsi="Cambria Math"/>
                <w:i/>
                <w:sz w:val="28"/>
                <w:szCs w:val="28"/>
              </w:rPr>
            </m:ctrlPr>
          </m:sSubPr>
          <m:e>
            <m:r>
              <w:rPr>
                <w:rFonts w:ascii="Cambria Math" w:hAnsi="Cambria Math"/>
                <w:sz w:val="28"/>
                <w:szCs w:val="28"/>
              </w:rPr>
              <m:t>δ</m:t>
            </m:r>
          </m:e>
          <m:sub>
            <m:r>
              <w:rPr>
                <w:rFonts w:ascii="Cambria Math" w:hAnsi="Cambria Math"/>
                <w:sz w:val="28"/>
                <w:szCs w:val="28"/>
              </w:rPr>
              <m:t>1</m:t>
            </m:r>
          </m:sub>
        </m:sSub>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1</m:t>
            </m:r>
          </m:sub>
        </m:sSub>
      </m:oMath>
      <w:r w:rsidR="008E1D18">
        <w:tab/>
      </w:r>
      <w:r w:rsidR="008E1D18">
        <w:tab/>
      </w:r>
      <w:r w:rsidR="008E1D18">
        <w:tab/>
      </w:r>
      <w:r w:rsidR="008E1D18">
        <w:tab/>
      </w:r>
      <w:r w:rsidR="008E1D18">
        <w:tab/>
      </w:r>
      <w:r w:rsidR="008E1D18">
        <w:tab/>
        <w:t>(2)</w:t>
      </w:r>
    </w:p>
    <w:p w14:paraId="01813B4C" w14:textId="01127AD3" w:rsidR="00A26D38" w:rsidRDefault="00A86CD9" w:rsidP="008E1D18">
      <w:pPr>
        <w:spacing w:line="480" w:lineRule="auto"/>
      </w:pPr>
      <w:r w:rsidRPr="00A86CD9">
        <w:rPr>
          <w:noProof/>
        </w:rPr>
        <mc:AlternateContent>
          <mc:Choice Requires="wps">
            <w:drawing>
              <wp:anchor distT="0" distB="0" distL="114300" distR="114300" simplePos="0" relativeHeight="251960320" behindDoc="0" locked="0" layoutInCell="1" allowOverlap="1" wp14:anchorId="69C0F5CC" wp14:editId="7606654B">
                <wp:simplePos x="0" y="0"/>
                <wp:positionH relativeFrom="column">
                  <wp:posOffset>1165778</wp:posOffset>
                </wp:positionH>
                <wp:positionV relativeFrom="paragraph">
                  <wp:posOffset>833755</wp:posOffset>
                </wp:positionV>
                <wp:extent cx="132716" cy="1530252"/>
                <wp:effectExtent l="0" t="0" r="6985" b="6985"/>
                <wp:wrapNone/>
                <wp:docPr id="101" name="Right Brace 21"/>
                <wp:cNvGraphicFramePr/>
                <a:graphic xmlns:a="http://schemas.openxmlformats.org/drawingml/2006/main">
                  <a:graphicData uri="http://schemas.microsoft.com/office/word/2010/wordprocessingShape">
                    <wps:wsp>
                      <wps:cNvSpPr/>
                      <wps:spPr>
                        <a:xfrm rot="5400000">
                          <a:off x="0" y="0"/>
                          <a:ext cx="132716" cy="1530252"/>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14:sizeRelV relativeFrom="margin">
                  <wp14:pctHeight>0</wp14:pctHeight>
                </wp14:sizeRelV>
              </wp:anchor>
            </w:drawing>
          </mc:Choice>
          <mc:Fallback>
            <w:pict>
              <v:shape w14:anchorId="65CA9D7F" id="Right Brace 21" o:spid="_x0000_s1026" type="#_x0000_t88" style="position:absolute;margin-left:91.8pt;margin-top:65.65pt;width:10.45pt;height:120.5pt;rotation:90;z-index:25196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" adj="156" strokecolor="#4579b8 [3044]"/>
            </w:pict>
          </mc:Fallback>
        </mc:AlternateContent>
      </w:r>
      <w:r w:rsidRPr="00A86CD9">
        <w:rPr>
          <w:noProof/>
        </w:rPr>
        <mc:AlternateContent>
          <mc:Choice Requires="wps">
            <w:drawing>
              <wp:anchor distT="0" distB="0" distL="114300" distR="114300" simplePos="0" relativeHeight="251953152" behindDoc="0" locked="0" layoutInCell="1" allowOverlap="1" wp14:anchorId="32D7B4AB" wp14:editId="6E68DE7C">
                <wp:simplePos x="0" y="0"/>
                <wp:positionH relativeFrom="column">
                  <wp:posOffset>2244725</wp:posOffset>
                </wp:positionH>
                <wp:positionV relativeFrom="paragraph">
                  <wp:posOffset>523240</wp:posOffset>
                </wp:positionV>
                <wp:extent cx="141605" cy="467995"/>
                <wp:effectExtent l="0" t="0" r="0" b="0"/>
                <wp:wrapNone/>
                <wp:docPr id="57" name="Right Brace 31"/>
                <wp:cNvGraphicFramePr/>
                <a:graphic xmlns:a="http://schemas.openxmlformats.org/drawingml/2006/main">
                  <a:graphicData uri="http://schemas.microsoft.com/office/word/2010/wordprocessingShape">
                    <wps:wsp>
                      <wps:cNvSpPr/>
                      <wps:spPr>
                        <a:xfrm rot="5400000">
                          <a:off x="0" y="0"/>
                          <a:ext cx="141605" cy="467995"/>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269B1332" id="Right Brace 31" o:spid="_x0000_s1026" type="#_x0000_t88" style="position:absolute;margin-left:176.75pt;margin-top:41.2pt;width:11.15pt;height:36.85pt;rotation:90;z-index:25195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" adj="545" strokecolor="#4579b8 [3044]"/>
            </w:pict>
          </mc:Fallback>
        </mc:AlternateContent>
      </w:r>
      <w:r w:rsidRPr="00A86CD9">
        <w:rPr>
          <w:noProof/>
        </w:rPr>
        <mc:AlternateContent>
          <mc:Choice Requires="wps">
            <w:drawing>
              <wp:anchor distT="0" distB="0" distL="114300" distR="114300" simplePos="0" relativeHeight="251954176" behindDoc="0" locked="0" layoutInCell="1" allowOverlap="1" wp14:anchorId="230EF2D0" wp14:editId="482C3F25">
                <wp:simplePos x="0" y="0"/>
                <wp:positionH relativeFrom="column">
                  <wp:posOffset>1109345</wp:posOffset>
                </wp:positionH>
                <wp:positionV relativeFrom="paragraph">
                  <wp:posOffset>787400</wp:posOffset>
                </wp:positionV>
                <wp:extent cx="886460" cy="236855"/>
                <wp:effectExtent l="0" t="0" r="0" b="0"/>
                <wp:wrapNone/>
                <wp:docPr id="58" name="TextBox 32"/>
                <wp:cNvGraphicFramePr/>
                <a:graphic xmlns:a="http://schemas.openxmlformats.org/drawingml/2006/main">
                  <a:graphicData uri="http://schemas.microsoft.com/office/word/2010/wordprocessingShape">
                    <wps:wsp>
                      <wps:cNvSpPr txBox="1"/>
                      <wps:spPr>
                        <a:xfrm>
                          <a:off x="0" y="0"/>
                          <a:ext cx="886460" cy="236855"/>
                        </a:xfrm>
                        <a:prstGeom prst="rect">
                          <a:avLst/>
                        </a:prstGeom>
                        <a:noFill/>
                      </wps:spPr>
                      <wps:txbx>
                        <w:txbxContent>
                          <w:p w14:paraId="5BFDFA17" w14:textId="77777777" w:rsidR="00A86CD9" w:rsidRPr="00534A40" w:rsidRDefault="00A86CD9" w:rsidP="00A86CD9">
                            <w:pPr>
                              <w:jc w:val="center"/>
                              <w:rPr>
                                <w:sz w:val="16"/>
                                <w:szCs w:val="16"/>
                              </w:rPr>
                            </w:pPr>
                            <w:r w:rsidRPr="00534A40">
                              <w:rPr>
                                <w:rFonts w:hAnsi="Calibri"/>
                                <w:color w:val="000000" w:themeColor="text1"/>
                                <w:kern w:val="24"/>
                                <w:sz w:val="20"/>
                                <w:szCs w:val="20"/>
                              </w:rPr>
                              <w:t>Predation</w:t>
                            </w:r>
                          </w:p>
                        </w:txbxContent>
                      </wps:txbx>
                      <wps:bodyPr wrap="square" rtlCol="0">
                        <a:noAutofit/>
                      </wps:bodyPr>
                    </wps:wsp>
                  </a:graphicData>
                </a:graphic>
              </wp:anchor>
            </w:drawing>
          </mc:Choice>
          <mc:Fallback>
            <w:pict>
              <v:shape w14:anchorId="230EF2D0" id="_x0000_s1051" type="#_x0000_t202" style="position:absolute;margin-left:87.35pt;margin-top:62pt;width:69.8pt;height:18.65pt;z-index:251954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" filled="f" stroked="f">
                <v:textbox>
                  <w:txbxContent>
                    <w:p w14:paraId="5BFDFA17" w14:textId="77777777" w:rsidR="00A86CD9" w:rsidRPr="00534A40" w:rsidRDefault="00A86CD9" w:rsidP="00A86CD9">
                      <w:pPr>
                        <w:jc w:val="center"/>
                        <w:rPr>
                          <w:sz w:val="16"/>
                          <w:szCs w:val="16"/>
                        </w:rPr>
                      </w:pPr>
                      <w:r w:rsidRPr="00534A40">
                        <w:rPr>
                          <w:rFonts w:hAnsi="Calibri"/>
                          <w:color w:val="000000" w:themeColor="text1"/>
                          <w:kern w:val="24"/>
                          <w:sz w:val="20"/>
                          <w:szCs w:val="20"/>
                        </w:rPr>
                        <w:t>Predation</w:t>
                      </w:r>
                    </w:p>
                  </w:txbxContent>
                </v:textbox>
              </v:shape>
            </w:pict>
          </mc:Fallback>
        </mc:AlternateContent>
      </w:r>
      <w:r w:rsidRPr="00A86CD9">
        <w:rPr>
          <w:noProof/>
        </w:rPr>
        <mc:AlternateContent>
          <mc:Choice Requires="wps">
            <w:drawing>
              <wp:anchor distT="0" distB="0" distL="114300" distR="114300" simplePos="0" relativeHeight="251955200" behindDoc="0" locked="0" layoutInCell="1" allowOverlap="1" wp14:anchorId="1BC8E76F" wp14:editId="647F5145">
                <wp:simplePos x="0" y="0"/>
                <wp:positionH relativeFrom="column">
                  <wp:posOffset>568960</wp:posOffset>
                </wp:positionH>
                <wp:positionV relativeFrom="paragraph">
                  <wp:posOffset>506095</wp:posOffset>
                </wp:positionV>
                <wp:extent cx="142240" cy="527050"/>
                <wp:effectExtent l="0" t="0" r="0" b="0"/>
                <wp:wrapNone/>
                <wp:docPr id="60" name="Right Brace 33"/>
                <wp:cNvGraphicFramePr/>
                <a:graphic xmlns:a="http://schemas.openxmlformats.org/drawingml/2006/main">
                  <a:graphicData uri="http://schemas.microsoft.com/office/word/2010/wordprocessingShape">
                    <wps:wsp>
                      <wps:cNvSpPr/>
                      <wps:spPr>
                        <a:xfrm rot="5400000">
                          <a:off x="0" y="0"/>
                          <a:ext cx="142240" cy="52705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1662C759" id="Right Brace 33" o:spid="_x0000_s1026" type="#_x0000_t88" style="position:absolute;margin-left:44.8pt;margin-top:39.85pt;width:11.2pt;height:41.5pt;rotation:90;z-index:25195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" adj="486" strokecolor="#4579b8 [3044]"/>
            </w:pict>
          </mc:Fallback>
        </mc:AlternateContent>
      </w:r>
      <w:r w:rsidRPr="00A86CD9">
        <w:rPr>
          <w:noProof/>
        </w:rPr>
        <mc:AlternateContent>
          <mc:Choice Requires="wps">
            <w:drawing>
              <wp:anchor distT="0" distB="0" distL="114300" distR="114300" simplePos="0" relativeHeight="251956224" behindDoc="0" locked="0" layoutInCell="1" allowOverlap="1" wp14:anchorId="4F60001D" wp14:editId="035DB450">
                <wp:simplePos x="0" y="0"/>
                <wp:positionH relativeFrom="column">
                  <wp:posOffset>1451610</wp:posOffset>
                </wp:positionH>
                <wp:positionV relativeFrom="paragraph">
                  <wp:posOffset>471170</wp:posOffset>
                </wp:positionV>
                <wp:extent cx="141605" cy="599440"/>
                <wp:effectExtent l="0" t="0" r="0" b="0"/>
                <wp:wrapNone/>
                <wp:docPr id="61" name="Right Brace 34"/>
                <wp:cNvGraphicFramePr/>
                <a:graphic xmlns:a="http://schemas.openxmlformats.org/drawingml/2006/main">
                  <a:graphicData uri="http://schemas.microsoft.com/office/word/2010/wordprocessingShape">
                    <wps:wsp>
                      <wps:cNvSpPr/>
                      <wps:spPr>
                        <a:xfrm rot="5400000">
                          <a:off x="0" y="0"/>
                          <a:ext cx="141605" cy="59944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3496BF8E" id="Right Brace 34" o:spid="_x0000_s1026" type="#_x0000_t88" style="position:absolute;margin-left:114.3pt;margin-top:37.1pt;width:11.15pt;height:47.2pt;rotation:90;z-index:25195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" adj="425" strokecolor="#4579b8 [3044]"/>
            </w:pict>
          </mc:Fallback>
        </mc:AlternateContent>
      </w:r>
      <w:r w:rsidRPr="00A86CD9">
        <w:rPr>
          <w:noProof/>
        </w:rPr>
        <mc:AlternateContent>
          <mc:Choice Requires="wps">
            <w:drawing>
              <wp:anchor distT="0" distB="0" distL="114300" distR="114300" simplePos="0" relativeHeight="251958272" behindDoc="0" locked="0" layoutInCell="1" allowOverlap="1" wp14:anchorId="3FFE6F62" wp14:editId="3CDB1849">
                <wp:simplePos x="0" y="0"/>
                <wp:positionH relativeFrom="column">
                  <wp:posOffset>1822218</wp:posOffset>
                </wp:positionH>
                <wp:positionV relativeFrom="paragraph">
                  <wp:posOffset>787669</wp:posOffset>
                </wp:positionV>
                <wp:extent cx="1208938" cy="383536"/>
                <wp:effectExtent l="0" t="0" r="0" b="0"/>
                <wp:wrapNone/>
                <wp:docPr id="100" name="TextBox 37"/>
                <wp:cNvGraphicFramePr/>
                <a:graphic xmlns:a="http://schemas.openxmlformats.org/drawingml/2006/main">
                  <a:graphicData uri="http://schemas.microsoft.com/office/word/2010/wordprocessingShape">
                    <wps:wsp>
                      <wps:cNvSpPr txBox="1"/>
                      <wps:spPr>
                        <a:xfrm>
                          <a:off x="0" y="0"/>
                          <a:ext cx="1208938" cy="383536"/>
                        </a:xfrm>
                        <a:prstGeom prst="rect">
                          <a:avLst/>
                        </a:prstGeom>
                        <a:noFill/>
                      </wps:spPr>
                      <wps:txbx>
                        <w:txbxContent>
                          <w:p w14:paraId="6EF33470" w14:textId="77777777" w:rsidR="00A86CD9" w:rsidRPr="00534A40" w:rsidRDefault="00A86CD9" w:rsidP="00A86CD9">
                            <w:pPr>
                              <w:jc w:val="center"/>
                              <w:rPr>
                                <w:sz w:val="16"/>
                                <w:szCs w:val="16"/>
                              </w:rPr>
                            </w:pPr>
                            <w:r w:rsidRPr="00534A40">
                              <w:rPr>
                                <w:rFonts w:hAnsi="Calibri"/>
                                <w:color w:val="000000" w:themeColor="text1"/>
                                <w:kern w:val="24"/>
                                <w:sz w:val="20"/>
                                <w:szCs w:val="20"/>
                              </w:rPr>
                              <w:t>Background loss</w:t>
                            </w:r>
                          </w:p>
                        </w:txbxContent>
                      </wps:txbx>
                      <wps:bodyPr wrap="square" rtlCol="0">
                        <a:noAutofit/>
                      </wps:bodyPr>
                    </wps:wsp>
                  </a:graphicData>
                </a:graphic>
              </wp:anchor>
            </w:drawing>
          </mc:Choice>
          <mc:Fallback>
            <w:pict>
              <v:shape w14:anchorId="3FFE6F62" id="_x0000_s1052" type="#_x0000_t202" style="position:absolute;margin-left:143.5pt;margin-top:62pt;width:95.2pt;height:30.2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" filled="f" stroked="f">
                <v:textbox>
                  <w:txbxContent>
                    <w:p w14:paraId="6EF33470" w14:textId="77777777" w:rsidR="00A86CD9" w:rsidRPr="00534A40" w:rsidRDefault="00A86CD9" w:rsidP="00A86CD9">
                      <w:pPr>
                        <w:jc w:val="center"/>
                        <w:rPr>
                          <w:sz w:val="16"/>
                          <w:szCs w:val="16"/>
                        </w:rPr>
                      </w:pPr>
                      <w:r w:rsidRPr="00534A40">
                        <w:rPr>
                          <w:rFonts w:hAnsi="Calibri"/>
                          <w:color w:val="000000" w:themeColor="text1"/>
                          <w:kern w:val="24"/>
                          <w:sz w:val="20"/>
                          <w:szCs w:val="20"/>
                        </w:rPr>
                        <w:t>Background loss</w:t>
                      </w:r>
                    </w:p>
                  </w:txbxContent>
                </v:textbox>
              </v:shape>
            </w:pict>
          </mc:Fallback>
        </mc:AlternateContent>
      </w:r>
      <w:r w:rsidRPr="00A86CD9">
        <w:rPr>
          <w:noProof/>
        </w:rPr>
        <mc:AlternateContent>
          <mc:Choice Requires="wps">
            <w:drawing>
              <wp:anchor distT="0" distB="0" distL="114300" distR="114300" simplePos="0" relativeHeight="251957248" behindDoc="0" locked="0" layoutInCell="1" allowOverlap="1" wp14:anchorId="30967981" wp14:editId="3C3F7D57">
                <wp:simplePos x="0" y="0"/>
                <wp:positionH relativeFrom="column">
                  <wp:posOffset>-313055</wp:posOffset>
                </wp:positionH>
                <wp:positionV relativeFrom="paragraph">
                  <wp:posOffset>798195</wp:posOffset>
                </wp:positionV>
                <wp:extent cx="1795780" cy="236855"/>
                <wp:effectExtent l="0" t="0" r="0" b="0"/>
                <wp:wrapNone/>
                <wp:docPr id="62" name="TextBox 35"/>
                <wp:cNvGraphicFramePr/>
                <a:graphic xmlns:a="http://schemas.openxmlformats.org/drawingml/2006/main">
                  <a:graphicData uri="http://schemas.microsoft.com/office/word/2010/wordprocessingShape">
                    <wps:wsp>
                      <wps:cNvSpPr txBox="1"/>
                      <wps:spPr>
                        <a:xfrm>
                          <a:off x="0" y="0"/>
                          <a:ext cx="1795780" cy="236855"/>
                        </a:xfrm>
                        <a:prstGeom prst="rect">
                          <a:avLst/>
                        </a:prstGeom>
                        <a:noFill/>
                      </wps:spPr>
                      <wps:txbx>
                        <w:txbxContent>
                          <w:p w14:paraId="1F23403E" w14:textId="77777777" w:rsidR="00A86CD9" w:rsidRPr="00534A40" w:rsidRDefault="00A86CD9" w:rsidP="00A86CD9">
                            <w:pPr>
                              <w:jc w:val="center"/>
                              <w:rPr>
                                <w:sz w:val="16"/>
                                <w:szCs w:val="16"/>
                              </w:rPr>
                            </w:pPr>
                            <w:r w:rsidRPr="00534A40">
                              <w:rPr>
                                <w:rFonts w:hAnsi="Calibri"/>
                                <w:color w:val="000000" w:themeColor="text1"/>
                                <w:kern w:val="24"/>
                                <w:sz w:val="20"/>
                                <w:szCs w:val="20"/>
                              </w:rPr>
                              <w:t>Uptake of resource</w:t>
                            </w:r>
                          </w:p>
                        </w:txbxContent>
                      </wps:txbx>
                      <wps:bodyPr wrap="square" rtlCol="0">
                        <a:noAutofit/>
                      </wps:bodyPr>
                    </wps:wsp>
                  </a:graphicData>
                </a:graphic>
              </wp:anchor>
            </w:drawing>
          </mc:Choice>
          <mc:Fallback>
            <w:pict>
              <v:shape w14:anchorId="30967981" id="_x0000_s1053" type="#_x0000_t202" style="position:absolute;margin-left:-24.65pt;margin-top:62.85pt;width:141.4pt;height:18.65pt;z-index:25195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" filled="f" stroked="f">
                <v:textbox>
                  <w:txbxContent>
                    <w:p w14:paraId="1F23403E" w14:textId="77777777" w:rsidR="00A86CD9" w:rsidRPr="00534A40" w:rsidRDefault="00A86CD9" w:rsidP="00A86CD9">
                      <w:pPr>
                        <w:jc w:val="center"/>
                        <w:rPr>
                          <w:sz w:val="16"/>
                          <w:szCs w:val="16"/>
                        </w:rPr>
                      </w:pPr>
                      <w:r w:rsidRPr="00534A40">
                        <w:rPr>
                          <w:rFonts w:hAnsi="Calibri"/>
                          <w:color w:val="000000" w:themeColor="text1"/>
                          <w:kern w:val="24"/>
                          <w:sz w:val="20"/>
                          <w:szCs w:val="20"/>
                        </w:rPr>
                        <w:t>Uptake of resource</w:t>
                      </w:r>
                    </w:p>
                  </w:txbxContent>
                </v:textbox>
              </v:shape>
            </w:pict>
          </mc:Fallback>
        </mc:AlternateContent>
      </w:r>
    </w:p>
    <w:p w14:paraId="230722BE" w14:textId="3CF49712" w:rsidR="00A26D38" w:rsidRDefault="00A9083D" w:rsidP="008E1D18">
      <w:pPr>
        <w:spacing w:line="480" w:lineRule="auto"/>
      </w:pPr>
      <m:oMath>
        <m:f>
          <m:fPr>
            <m:ctrlPr>
              <w:rPr>
                <w:rFonts w:ascii="Cambria Math" w:hAnsi="Cambria Math"/>
                <w:i/>
                <w:sz w:val="28"/>
                <w:szCs w:val="28"/>
              </w:rPr>
            </m:ctrlPr>
          </m:fPr>
          <m:num>
            <m: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2</m:t>
                </m:r>
              </m:sub>
            </m:sSub>
          </m:num>
          <m:den>
            <m:r>
              <w:rPr>
                <w:rFonts w:ascii="Cambria Math" w:hAnsi="Cambria Math"/>
                <w:sz w:val="28"/>
                <w:szCs w:val="28"/>
              </w:rPr>
              <m:t>dt</m:t>
            </m:r>
          </m:den>
        </m:f>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2</m:t>
            </m:r>
          </m:sub>
        </m:sSub>
        <m:r>
          <w:rPr>
            <w:rFonts w:ascii="Cambria Math" w:hAnsi="Cambria Math"/>
            <w:sz w:val="28"/>
            <w:szCs w:val="28"/>
          </w:rPr>
          <m:t>N</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2</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φ</m:t>
            </m:r>
          </m:e>
          <m:sub>
            <m:r>
              <w:rPr>
                <w:rFonts w:ascii="Cambria Math" w:hAnsi="Cambria Math"/>
                <w:sz w:val="28"/>
                <w:szCs w:val="28"/>
              </w:rPr>
              <m:t>2</m:t>
            </m:r>
          </m:sub>
        </m:sSub>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2</m:t>
            </m:r>
          </m:sub>
        </m:sSub>
        <m:r>
          <w:rPr>
            <w:rFonts w:ascii="Cambria Math" w:hAnsi="Cambria Math"/>
            <w:sz w:val="28"/>
            <w:szCs w:val="28"/>
          </w:rPr>
          <m:t xml:space="preserve">C-  </m:t>
        </m:r>
        <m:sSub>
          <m:sSubPr>
            <m:ctrlPr>
              <w:rPr>
                <w:rFonts w:ascii="Cambria Math" w:hAnsi="Cambria Math"/>
                <w:i/>
                <w:sz w:val="28"/>
                <w:szCs w:val="28"/>
              </w:rPr>
            </m:ctrlPr>
          </m:sSubPr>
          <m:e>
            <m:r>
              <w:rPr>
                <w:rFonts w:ascii="Cambria Math" w:hAnsi="Cambria Math"/>
                <w:sz w:val="28"/>
                <w:szCs w:val="28"/>
              </w:rPr>
              <m:t>δ</m:t>
            </m:r>
          </m:e>
          <m:sub>
            <m:r>
              <w:rPr>
                <w:rFonts w:ascii="Cambria Math" w:hAnsi="Cambria Math"/>
                <w:sz w:val="28"/>
                <w:szCs w:val="28"/>
              </w:rPr>
              <m:t>2</m:t>
            </m:r>
          </m:sub>
        </m:sSub>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2</m:t>
            </m:r>
          </m:sub>
        </m:sSub>
      </m:oMath>
      <w:r w:rsidR="00A26D38">
        <w:rPr>
          <w:sz w:val="28"/>
          <w:szCs w:val="28"/>
        </w:rPr>
        <w:tab/>
      </w:r>
      <w:r w:rsidR="00A26D38">
        <w:rPr>
          <w:sz w:val="28"/>
          <w:szCs w:val="28"/>
        </w:rPr>
        <w:tab/>
      </w:r>
      <w:r w:rsidR="00A26D38">
        <w:rPr>
          <w:sz w:val="28"/>
          <w:szCs w:val="28"/>
        </w:rPr>
        <w:tab/>
      </w:r>
      <w:r w:rsidR="00A26D38">
        <w:rPr>
          <w:sz w:val="28"/>
          <w:szCs w:val="28"/>
        </w:rPr>
        <w:tab/>
      </w:r>
      <w:r w:rsidR="00A26D38">
        <w:rPr>
          <w:sz w:val="28"/>
          <w:szCs w:val="28"/>
        </w:rPr>
        <w:tab/>
      </w:r>
      <w:r w:rsidR="00A26D38">
        <w:rPr>
          <w:sz w:val="28"/>
          <w:szCs w:val="28"/>
        </w:rPr>
        <w:tab/>
      </w:r>
      <w:r w:rsidR="00A26D38" w:rsidRPr="00A26D38">
        <w:t>(3)</w:t>
      </w:r>
    </w:p>
    <w:p w14:paraId="0E545E17" w14:textId="6E020F3F" w:rsidR="00A26D38" w:rsidRDefault="00A86CD9" w:rsidP="008E1D18">
      <w:pPr>
        <w:spacing w:line="480" w:lineRule="auto"/>
      </w:pPr>
      <w:r w:rsidRPr="00A86CD9">
        <w:rPr>
          <w:noProof/>
        </w:rPr>
        <mc:AlternateContent>
          <mc:Choice Requires="wps">
            <w:drawing>
              <wp:anchor distT="0" distB="0" distL="114300" distR="114300" simplePos="0" relativeHeight="251963392" behindDoc="0" locked="0" layoutInCell="1" allowOverlap="1" wp14:anchorId="6C410E04" wp14:editId="6AB83DC2">
                <wp:simplePos x="0" y="0"/>
                <wp:positionH relativeFrom="column">
                  <wp:posOffset>2449195</wp:posOffset>
                </wp:positionH>
                <wp:positionV relativeFrom="paragraph">
                  <wp:posOffset>495944</wp:posOffset>
                </wp:positionV>
                <wp:extent cx="141605" cy="467995"/>
                <wp:effectExtent l="0" t="0" r="0" b="0"/>
                <wp:wrapNone/>
                <wp:docPr id="103" name="Right Brace 31"/>
                <wp:cNvGraphicFramePr/>
                <a:graphic xmlns:a="http://schemas.openxmlformats.org/drawingml/2006/main">
                  <a:graphicData uri="http://schemas.microsoft.com/office/word/2010/wordprocessingShape">
                    <wps:wsp>
                      <wps:cNvSpPr/>
                      <wps:spPr>
                        <a:xfrm rot="5400000">
                          <a:off x="0" y="0"/>
                          <a:ext cx="141605" cy="467995"/>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1CF64E26" id="Right Brace 31" o:spid="_x0000_s1026" type="#_x0000_t88" style="position:absolute;margin-left:192.85pt;margin-top:39.05pt;width:11.15pt;height:36.85pt;rotation:90;z-index:2519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" adj="545" strokecolor="#4579b8 [3044]"/>
            </w:pict>
          </mc:Fallback>
        </mc:AlternateContent>
      </w:r>
      <w:r w:rsidRPr="00A86CD9">
        <w:rPr>
          <w:noProof/>
        </w:rPr>
        <mc:AlternateContent>
          <mc:Choice Requires="wps">
            <w:drawing>
              <wp:anchor distT="0" distB="0" distL="114300" distR="114300" simplePos="0" relativeHeight="251961344" behindDoc="0" locked="0" layoutInCell="1" allowOverlap="1" wp14:anchorId="3681FDB2" wp14:editId="39261C6F">
                <wp:simplePos x="0" y="0"/>
                <wp:positionH relativeFrom="column">
                  <wp:posOffset>595648</wp:posOffset>
                </wp:positionH>
                <wp:positionV relativeFrom="paragraph">
                  <wp:posOffset>770836</wp:posOffset>
                </wp:positionV>
                <wp:extent cx="1371600" cy="412124"/>
                <wp:effectExtent l="0" t="0" r="0" b="0"/>
                <wp:wrapNone/>
                <wp:docPr id="102" name="TextBox 23"/>
                <wp:cNvGraphicFramePr/>
                <a:graphic xmlns:a="http://schemas.openxmlformats.org/drawingml/2006/main">
                  <a:graphicData uri="http://schemas.microsoft.com/office/word/2010/wordprocessingShape">
                    <wps:wsp>
                      <wps:cNvSpPr txBox="1"/>
                      <wps:spPr>
                        <a:xfrm>
                          <a:off x="0" y="0"/>
                          <a:ext cx="1371600" cy="412124"/>
                        </a:xfrm>
                        <a:prstGeom prst="rect">
                          <a:avLst/>
                        </a:prstGeom>
                        <a:noFill/>
                      </wps:spPr>
                      <wps:txbx>
                        <w:txbxContent>
                          <w:p w14:paraId="7E892C7F" w14:textId="1FEA83CB" w:rsidR="00A86CD9" w:rsidRPr="00DC4406" w:rsidRDefault="00A86CD9" w:rsidP="00A86CD9">
                            <w:pPr>
                              <w:jc w:val="center"/>
                              <w:rPr>
                                <w:sz w:val="20"/>
                                <w:szCs w:val="20"/>
                              </w:rPr>
                            </w:pPr>
                            <w:r>
                              <w:rPr>
                                <w:rFonts w:hAnsi="Calibri"/>
                                <w:kern w:val="24"/>
                                <w:sz w:val="20"/>
                                <w:szCs w:val="20"/>
                              </w:rPr>
                              <w:t>Consumption of</w:t>
                            </w:r>
                            <w:r w:rsidRPr="00DC4406">
                              <w:rPr>
                                <w:rFonts w:hAnsi="Calibri"/>
                                <w:kern w:val="24"/>
                                <w:sz w:val="20"/>
                                <w:szCs w:val="20"/>
                              </w:rPr>
                              <w:t xml:space="preserve"> Producers</w:t>
                            </w:r>
                          </w:p>
                        </w:txbxContent>
                      </wps:txbx>
                      <wps:bodyPr wrap="square" rtlCol="0">
                        <a:noAutofit/>
                      </wps:bodyPr>
                    </wps:wsp>
                  </a:graphicData>
                </a:graphic>
                <wp14:sizeRelV relativeFrom="margin">
                  <wp14:pctHeight>0</wp14:pctHeight>
                </wp14:sizeRelV>
              </wp:anchor>
            </w:drawing>
          </mc:Choice>
          <mc:Fallback>
            <w:pict>
              <v:shape w14:anchorId="3681FDB2" id="_x0000_s1054" type="#_x0000_t202" style="position:absolute;margin-left:46.9pt;margin-top:60.7pt;width:108pt;height:32.45pt;z-index:25196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" filled="f" stroked="f">
                <v:textbox>
                  <w:txbxContent>
                    <w:p w14:paraId="7E892C7F" w14:textId="1FEA83CB" w:rsidR="00A86CD9" w:rsidRPr="00DC4406" w:rsidRDefault="00A86CD9" w:rsidP="00A86CD9">
                      <w:pPr>
                        <w:jc w:val="center"/>
                        <w:rPr>
                          <w:sz w:val="20"/>
                          <w:szCs w:val="20"/>
                        </w:rPr>
                      </w:pPr>
                      <w:r>
                        <w:rPr>
                          <w:rFonts w:hAnsi="Calibri"/>
                          <w:kern w:val="24"/>
                          <w:sz w:val="20"/>
                          <w:szCs w:val="20"/>
                        </w:rPr>
                        <w:t>Consumption of</w:t>
                      </w:r>
                      <w:r w:rsidRPr="00DC4406">
                        <w:rPr>
                          <w:rFonts w:hAnsi="Calibri"/>
                          <w:kern w:val="24"/>
                          <w:sz w:val="20"/>
                          <w:szCs w:val="20"/>
                        </w:rPr>
                        <w:t xml:space="preserve"> Producers</w:t>
                      </w:r>
                    </w:p>
                  </w:txbxContent>
                </v:textbox>
              </v:shape>
            </w:pict>
          </mc:Fallback>
        </mc:AlternateContent>
      </w:r>
    </w:p>
    <w:p w14:paraId="02B00A99" w14:textId="38C2A073" w:rsidR="00A26D38" w:rsidRPr="00A26D38" w:rsidRDefault="00A86CD9" w:rsidP="008E1D18">
      <w:pPr>
        <w:spacing w:line="480" w:lineRule="auto"/>
        <w:rPr>
          <w:sz w:val="28"/>
          <w:szCs w:val="28"/>
        </w:rPr>
      </w:pPr>
      <w:r w:rsidRPr="00A86CD9">
        <w:rPr>
          <w:noProof/>
        </w:rPr>
        <mc:AlternateContent>
          <mc:Choice Requires="wps">
            <w:drawing>
              <wp:anchor distT="0" distB="0" distL="114300" distR="114300" simplePos="0" relativeHeight="251965440" behindDoc="0" locked="0" layoutInCell="1" allowOverlap="1" wp14:anchorId="4F87D710" wp14:editId="061DA9D1">
                <wp:simplePos x="0" y="0"/>
                <wp:positionH relativeFrom="column">
                  <wp:posOffset>1964028</wp:posOffset>
                </wp:positionH>
                <wp:positionV relativeFrom="paragraph">
                  <wp:posOffset>424367</wp:posOffset>
                </wp:positionV>
                <wp:extent cx="1208938" cy="383536"/>
                <wp:effectExtent l="0" t="0" r="0" b="0"/>
                <wp:wrapNone/>
                <wp:docPr id="104" name="TextBox 37"/>
                <wp:cNvGraphicFramePr/>
                <a:graphic xmlns:a="http://schemas.openxmlformats.org/drawingml/2006/main">
                  <a:graphicData uri="http://schemas.microsoft.com/office/word/2010/wordprocessingShape">
                    <wps:wsp>
                      <wps:cNvSpPr txBox="1"/>
                      <wps:spPr>
                        <a:xfrm>
                          <a:off x="0" y="0"/>
                          <a:ext cx="1208938" cy="383536"/>
                        </a:xfrm>
                        <a:prstGeom prst="rect">
                          <a:avLst/>
                        </a:prstGeom>
                        <a:noFill/>
                      </wps:spPr>
                      <wps:txbx>
                        <w:txbxContent>
                          <w:p w14:paraId="575F4F55" w14:textId="77777777" w:rsidR="00A86CD9" w:rsidRPr="00534A40" w:rsidRDefault="00A86CD9" w:rsidP="00A86CD9">
                            <w:pPr>
                              <w:jc w:val="center"/>
                              <w:rPr>
                                <w:sz w:val="16"/>
                                <w:szCs w:val="16"/>
                              </w:rPr>
                            </w:pPr>
                            <w:r w:rsidRPr="00534A40">
                              <w:rPr>
                                <w:rFonts w:hAnsi="Calibri"/>
                                <w:color w:val="000000" w:themeColor="text1"/>
                                <w:kern w:val="24"/>
                                <w:sz w:val="20"/>
                                <w:szCs w:val="20"/>
                              </w:rPr>
                              <w:t>Background loss</w:t>
                            </w:r>
                          </w:p>
                        </w:txbxContent>
                      </wps:txbx>
                      <wps:bodyPr wrap="square" rtlCol="0">
                        <a:noAutofit/>
                      </wps:bodyPr>
                    </wps:wsp>
                  </a:graphicData>
                </a:graphic>
              </wp:anchor>
            </w:drawing>
          </mc:Choice>
          <mc:Fallback>
            <w:pict>
              <v:shape w14:anchorId="4F87D710" id="_x0000_s1055" type="#_x0000_t202" style="position:absolute;margin-left:154.65pt;margin-top:33.4pt;width:95.2pt;height:30.2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" filled="f" stroked="f">
                <v:textbox>
                  <w:txbxContent>
                    <w:p w14:paraId="575F4F55" w14:textId="77777777" w:rsidR="00A86CD9" w:rsidRPr="00534A40" w:rsidRDefault="00A86CD9" w:rsidP="00A86CD9">
                      <w:pPr>
                        <w:jc w:val="center"/>
                        <w:rPr>
                          <w:sz w:val="16"/>
                          <w:szCs w:val="16"/>
                        </w:rPr>
                      </w:pPr>
                      <w:r w:rsidRPr="00534A40">
                        <w:rPr>
                          <w:rFonts w:hAnsi="Calibri"/>
                          <w:color w:val="000000" w:themeColor="text1"/>
                          <w:kern w:val="24"/>
                          <w:sz w:val="20"/>
                          <w:szCs w:val="20"/>
                        </w:rPr>
                        <w:t>Background loss</w:t>
                      </w:r>
                    </w:p>
                  </w:txbxContent>
                </v:textbox>
              </v:shape>
            </w:pict>
          </mc:Fallback>
        </mc:AlternateContent>
      </w:r>
      <m:oMath>
        <m:f>
          <m:fPr>
            <m:ctrlPr>
              <w:rPr>
                <w:rFonts w:ascii="Cambria Math" w:hAnsi="Cambria Math"/>
                <w:i/>
                <w:sz w:val="28"/>
                <w:szCs w:val="28"/>
              </w:rPr>
            </m:ctrlPr>
          </m:fPr>
          <m:num>
            <m:r>
              <w:rPr>
                <w:rFonts w:ascii="Cambria Math" w:hAnsi="Cambria Math"/>
                <w:sz w:val="28"/>
                <w:szCs w:val="28"/>
              </w:rPr>
              <m:t>dC</m:t>
            </m:r>
          </m:num>
          <m:den>
            <m:r>
              <w:rPr>
                <w:rFonts w:ascii="Cambria Math" w:hAnsi="Cambria Math"/>
                <w:sz w:val="28"/>
                <w:szCs w:val="28"/>
              </w:rPr>
              <m:t>dt</m:t>
            </m:r>
          </m:den>
        </m:f>
        <m:r>
          <w:rPr>
            <w:rFonts w:ascii="Cambria Math" w:hAnsi="Cambria Math"/>
            <w:sz w:val="28"/>
            <w:szCs w:val="28"/>
          </w:rPr>
          <m:t xml:space="preserve">= </m:t>
        </m:r>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1</m:t>
                </m:r>
              </m:sub>
            </m:sSub>
            <m:r>
              <w:rPr>
                <w:rFonts w:ascii="Cambria Math" w:hAnsi="Cambria Math"/>
                <w:sz w:val="28"/>
                <w:szCs w:val="28"/>
              </w:rPr>
              <m:t xml:space="preserve"> φ</m:t>
            </m:r>
          </m:e>
          <m:sub>
            <m:r>
              <w:rPr>
                <w:rFonts w:ascii="Cambria Math" w:hAnsi="Cambria Math"/>
                <w:sz w:val="28"/>
                <w:szCs w:val="28"/>
              </w:rPr>
              <m:t>1</m:t>
            </m:r>
          </m:sub>
        </m:sSub>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 xml:space="preserve">C+ </m:t>
        </m:r>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2</m:t>
                </m:r>
              </m:sub>
            </m:sSub>
            <m:r>
              <w:rPr>
                <w:rFonts w:ascii="Cambria Math" w:hAnsi="Cambria Math"/>
                <w:sz w:val="28"/>
                <w:szCs w:val="28"/>
              </w:rPr>
              <m:t xml:space="preserve"> φ</m:t>
            </m:r>
          </m:e>
          <m:sub>
            <m:r>
              <w:rPr>
                <w:rFonts w:ascii="Cambria Math" w:hAnsi="Cambria Math"/>
                <w:sz w:val="28"/>
                <w:szCs w:val="28"/>
              </w:rPr>
              <m:t>2</m:t>
            </m:r>
          </m:sub>
        </m:sSub>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2</m:t>
            </m:r>
          </m:sub>
        </m:sSub>
        <m:r>
          <w:rPr>
            <w:rFonts w:ascii="Cambria Math" w:hAnsi="Cambria Math"/>
            <w:sz w:val="28"/>
            <w:szCs w:val="28"/>
          </w:rPr>
          <m:t xml:space="preserve">C -  </m:t>
        </m:r>
        <m:sSub>
          <m:sSubPr>
            <m:ctrlPr>
              <w:rPr>
                <w:rFonts w:ascii="Cambria Math" w:hAnsi="Cambria Math"/>
                <w:i/>
                <w:sz w:val="28"/>
                <w:szCs w:val="28"/>
              </w:rPr>
            </m:ctrlPr>
          </m:sSubPr>
          <m:e>
            <m:r>
              <w:rPr>
                <w:rFonts w:ascii="Cambria Math" w:hAnsi="Cambria Math"/>
                <w:sz w:val="28"/>
                <w:szCs w:val="28"/>
              </w:rPr>
              <m:t>δ</m:t>
            </m:r>
          </m:e>
          <m:sub>
            <m:r>
              <w:rPr>
                <w:rFonts w:ascii="Cambria Math" w:hAnsi="Cambria Math"/>
                <w:sz w:val="28"/>
                <w:szCs w:val="28"/>
              </w:rPr>
              <m:t>C</m:t>
            </m:r>
          </m:sub>
        </m:sSub>
        <m:r>
          <w:rPr>
            <w:rFonts w:ascii="Cambria Math" w:hAnsi="Cambria Math"/>
            <w:sz w:val="28"/>
            <w:szCs w:val="28"/>
          </w:rPr>
          <m:t>C</m:t>
        </m:r>
      </m:oMath>
      <w:r w:rsidR="00A26D38">
        <w:rPr>
          <w:sz w:val="28"/>
          <w:szCs w:val="28"/>
        </w:rPr>
        <w:tab/>
      </w:r>
      <w:r w:rsidR="00A26D38">
        <w:rPr>
          <w:sz w:val="28"/>
          <w:szCs w:val="28"/>
        </w:rPr>
        <w:tab/>
      </w:r>
      <w:r w:rsidR="00A26D38">
        <w:rPr>
          <w:sz w:val="28"/>
          <w:szCs w:val="28"/>
        </w:rPr>
        <w:tab/>
      </w:r>
      <w:r w:rsidR="00A26D38">
        <w:rPr>
          <w:sz w:val="28"/>
          <w:szCs w:val="28"/>
        </w:rPr>
        <w:tab/>
      </w:r>
      <w:r w:rsidR="00A26D38">
        <w:rPr>
          <w:sz w:val="28"/>
          <w:szCs w:val="28"/>
        </w:rPr>
        <w:tab/>
      </w:r>
      <w:r w:rsidR="00A26D38">
        <w:rPr>
          <w:sz w:val="28"/>
          <w:szCs w:val="28"/>
        </w:rPr>
        <w:tab/>
      </w:r>
      <w:r w:rsidR="00A26D38" w:rsidRPr="00A26D38">
        <w:t>(4)</w:t>
      </w:r>
    </w:p>
    <w:p w14:paraId="492A2859" w14:textId="5B0EBC5B" w:rsidR="008E1D18" w:rsidRDefault="008E1D18" w:rsidP="008E1D18">
      <w:pPr>
        <w:spacing w:line="480" w:lineRule="auto"/>
      </w:pPr>
    </w:p>
    <w:p w14:paraId="20161856" w14:textId="306D5928" w:rsidR="008E1D18" w:rsidRPr="008E1D18" w:rsidRDefault="008E1D18" w:rsidP="008E1D18">
      <w:pPr>
        <w:spacing w:line="480" w:lineRule="auto"/>
      </w:pPr>
    </w:p>
    <w:p w14:paraId="2B4C9D8C" w14:textId="3544DADA" w:rsidR="008E1D18" w:rsidRDefault="008E1D18" w:rsidP="008E1D18">
      <w:pPr>
        <w:spacing w:line="480" w:lineRule="auto"/>
      </w:pPr>
    </w:p>
    <w:p w14:paraId="2D8CB29D" w14:textId="09AD0D93" w:rsidR="008E1D18" w:rsidRDefault="008E1D18" w:rsidP="008E1D18">
      <w:pPr>
        <w:spacing w:line="480" w:lineRule="auto"/>
      </w:pPr>
    </w:p>
    <w:p w14:paraId="4EEE8064" w14:textId="2EC05AD0" w:rsidR="008E1D18" w:rsidRDefault="008E1D18" w:rsidP="008E1D18">
      <w:pPr>
        <w:spacing w:line="480" w:lineRule="auto"/>
      </w:pPr>
    </w:p>
    <w:p w14:paraId="2468B947" w14:textId="609898DB" w:rsidR="008E1D18" w:rsidRDefault="008E1D18" w:rsidP="008E1D18">
      <w:pPr>
        <w:spacing w:line="480" w:lineRule="auto"/>
      </w:pPr>
    </w:p>
    <w:p w14:paraId="592CEF03" w14:textId="77777777" w:rsidR="008E1D18" w:rsidRDefault="008E1D18" w:rsidP="008E1D18">
      <w:pPr>
        <w:spacing w:line="480" w:lineRule="auto"/>
      </w:pPr>
    </w:p>
    <w:p w14:paraId="6AC3449C" w14:textId="1FB87E5B" w:rsidR="00DC3C5E" w:rsidRDefault="0073710F" w:rsidP="000F264E">
      <w:pPr>
        <w:spacing w:line="480" w:lineRule="auto"/>
      </w:pPr>
      <w:r>
        <w:rPr>
          <w:noProof/>
        </w:rPr>
        <w:lastRenderedPageBreak/>
        <w:drawing>
          <wp:anchor distT="0" distB="0" distL="114300" distR="114300" simplePos="0" relativeHeight="251831296" behindDoc="0" locked="0" layoutInCell="1" allowOverlap="1" wp14:anchorId="20009FFB" wp14:editId="3B086216">
            <wp:simplePos x="0" y="0"/>
            <wp:positionH relativeFrom="column">
              <wp:posOffset>118745</wp:posOffset>
            </wp:positionH>
            <wp:positionV relativeFrom="paragraph">
              <wp:posOffset>0</wp:posOffset>
            </wp:positionV>
            <wp:extent cx="2330450" cy="3988435"/>
            <wp:effectExtent l="0" t="0" r="6350" b="0"/>
            <wp:wrapSquare wrapText="bothSides"/>
            <wp:docPr id="153" name="Picture 1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30450" cy="3988435"/>
                    </a:xfrm>
                    <a:prstGeom prst="rect">
                      <a:avLst/>
                    </a:prstGeom>
                  </pic:spPr>
                </pic:pic>
              </a:graphicData>
            </a:graphic>
            <wp14:sizeRelH relativeFrom="page">
              <wp14:pctWidth>0</wp14:pctWidth>
            </wp14:sizeRelH>
            <wp14:sizeRelV relativeFrom="page">
              <wp14:pctHeight>0</wp14:pctHeight>
            </wp14:sizeRelV>
          </wp:anchor>
        </w:drawing>
      </w:r>
      <w:r w:rsidR="008A6EC2">
        <w:tab/>
      </w:r>
    </w:p>
    <w:p w14:paraId="006C0631" w14:textId="128AA724" w:rsidR="000F264E" w:rsidRDefault="000F264E" w:rsidP="000F264E">
      <w:pPr>
        <w:spacing w:line="480" w:lineRule="auto"/>
      </w:pPr>
    </w:p>
    <w:p w14:paraId="7C065607" w14:textId="48BF97F4" w:rsidR="000F264E" w:rsidRDefault="000F264E" w:rsidP="000F264E">
      <w:pPr>
        <w:spacing w:line="480" w:lineRule="auto"/>
      </w:pPr>
    </w:p>
    <w:p w14:paraId="3F521E3D" w14:textId="0AC9FAF4" w:rsidR="000F264E" w:rsidRDefault="000F264E" w:rsidP="000F264E">
      <w:pPr>
        <w:spacing w:line="480" w:lineRule="auto"/>
      </w:pPr>
    </w:p>
    <w:p w14:paraId="6D9A59F9" w14:textId="005C6BA3" w:rsidR="000F264E" w:rsidRDefault="000F264E" w:rsidP="000F264E">
      <w:pPr>
        <w:spacing w:line="480" w:lineRule="auto"/>
        <w:rPr>
          <w:b/>
          <w:bCs/>
          <w:i/>
          <w:iCs/>
        </w:rPr>
      </w:pPr>
    </w:p>
    <w:p w14:paraId="7499FE90" w14:textId="2C0A6482" w:rsidR="00A26D38" w:rsidRDefault="00A26D38" w:rsidP="000F264E">
      <w:pPr>
        <w:spacing w:line="480" w:lineRule="auto"/>
        <w:rPr>
          <w:b/>
          <w:bCs/>
          <w:i/>
          <w:iCs/>
        </w:rPr>
      </w:pPr>
    </w:p>
    <w:p w14:paraId="5872D5F2" w14:textId="664E7A03" w:rsidR="00A26D38" w:rsidRDefault="00A26D38" w:rsidP="000F264E">
      <w:pPr>
        <w:spacing w:line="480" w:lineRule="auto"/>
        <w:rPr>
          <w:b/>
          <w:bCs/>
          <w:i/>
          <w:iCs/>
        </w:rPr>
      </w:pPr>
    </w:p>
    <w:p w14:paraId="665E2CC2" w14:textId="4AC7066D" w:rsidR="00A26D38" w:rsidRDefault="00A26D38" w:rsidP="000F264E">
      <w:pPr>
        <w:spacing w:line="480" w:lineRule="auto"/>
        <w:rPr>
          <w:b/>
          <w:bCs/>
          <w:i/>
          <w:iCs/>
        </w:rPr>
      </w:pPr>
    </w:p>
    <w:p w14:paraId="48D8B677" w14:textId="314707A4" w:rsidR="00A26D38" w:rsidRDefault="00A26D38" w:rsidP="000F264E">
      <w:pPr>
        <w:spacing w:line="480" w:lineRule="auto"/>
        <w:rPr>
          <w:b/>
          <w:bCs/>
          <w:i/>
          <w:iCs/>
        </w:rPr>
      </w:pPr>
    </w:p>
    <w:p w14:paraId="54945B1C" w14:textId="56E3C10A" w:rsidR="00A26D38" w:rsidRDefault="00A26D38" w:rsidP="000F264E">
      <w:pPr>
        <w:spacing w:line="480" w:lineRule="auto"/>
        <w:rPr>
          <w:b/>
          <w:bCs/>
          <w:i/>
          <w:iCs/>
        </w:rPr>
      </w:pPr>
    </w:p>
    <w:p w14:paraId="4F51B580" w14:textId="7734A3B0" w:rsidR="00A26D38" w:rsidRDefault="00A26D38" w:rsidP="000F264E">
      <w:pPr>
        <w:spacing w:line="480" w:lineRule="auto"/>
        <w:rPr>
          <w:b/>
          <w:bCs/>
          <w:i/>
          <w:iCs/>
        </w:rPr>
      </w:pPr>
    </w:p>
    <w:p w14:paraId="5ADA6A1B" w14:textId="504E5605" w:rsidR="00A26D38" w:rsidRDefault="008517E7" w:rsidP="000F264E">
      <w:pPr>
        <w:spacing w:line="480" w:lineRule="auto"/>
        <w:rPr>
          <w:b/>
          <w:bCs/>
          <w:i/>
          <w:iCs/>
        </w:rPr>
      </w:pPr>
      <w:r>
        <w:rPr>
          <w:noProof/>
        </w:rPr>
        <mc:AlternateContent>
          <mc:Choice Requires="wps">
            <w:drawing>
              <wp:anchor distT="0" distB="0" distL="114300" distR="114300" simplePos="0" relativeHeight="251833344" behindDoc="0" locked="0" layoutInCell="1" allowOverlap="1" wp14:anchorId="4DA8D781" wp14:editId="4BA7B172">
                <wp:simplePos x="0" y="0"/>
                <wp:positionH relativeFrom="column">
                  <wp:posOffset>3175</wp:posOffset>
                </wp:positionH>
                <wp:positionV relativeFrom="paragraph">
                  <wp:posOffset>227160</wp:posOffset>
                </wp:positionV>
                <wp:extent cx="5614670" cy="150622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5614670" cy="1506220"/>
                        </a:xfrm>
                        <a:prstGeom prst="rect">
                          <a:avLst/>
                        </a:prstGeom>
                        <a:solidFill>
                          <a:schemeClr val="lt1"/>
                        </a:solidFill>
                        <a:ln w="6350">
                          <a:noFill/>
                        </a:ln>
                      </wps:spPr>
                      <wps:txbx>
                        <w:txbxContent>
                          <w:p w14:paraId="3D2EE95A" w14:textId="5D9E7BF8" w:rsidR="00C35051" w:rsidRDefault="00464644" w:rsidP="00C35051">
                            <w:pPr>
                              <w:pStyle w:val="Subtitle"/>
                            </w:pPr>
                            <w:bookmarkStart w:id="49" w:name="_Toc98704980"/>
                            <w:r w:rsidRPr="00A26D38">
                              <w:t>Figure 1</w:t>
                            </w:r>
                            <w:r w:rsidR="00A26D38" w:rsidRPr="00A26D38">
                              <w:t>8</w:t>
                            </w:r>
                            <w:r w:rsidRPr="00A26D38">
                              <w:t>: Community Structure Diagrams</w:t>
                            </w:r>
                            <w:bookmarkEnd w:id="49"/>
                            <w:r w:rsidRPr="00A26D38">
                              <w:t xml:space="preserve"> </w:t>
                            </w:r>
                          </w:p>
                          <w:p w14:paraId="0BC99CAA" w14:textId="683E6829" w:rsidR="00464644" w:rsidRPr="00A26D38" w:rsidRDefault="00464644" w:rsidP="00464644">
                            <w:r w:rsidRPr="00A26D38">
                              <w:t>These diagrams are basic community structure graphics used in ecology to visually depict what interactions are occurring in the system. In this figure, supply rate is the nutrient supply into the system (i.e., nitrogen, phosphorus, etc.), the resource pool is nutrient concentrations present in the environment, producer 1 and producer 2 are primary producers such as eukaryotic algae and cyanobacteria. Finally, the grazer is the zooplankton, and, in this case, the grazing group feeds on both pools of producers.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8D781" id="Text Box 154" o:spid="_x0000_s1056" type="#_x0000_t202" style="position:absolute;margin-left:.25pt;margin-top:17.9pt;width:442.1pt;height:118.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" fillcolor="white [3201]" stroked="f" strokeweight=".5pt">
                <v:textbox>
                  <w:txbxContent>
                    <w:p w14:paraId="3D2EE95A" w14:textId="5D9E7BF8" w:rsidR="00C35051" w:rsidRDefault="00464644" w:rsidP="00C35051">
                      <w:pPr>
                        <w:pStyle w:val="Subtitle"/>
                      </w:pPr>
                      <w:bookmarkStart w:id="71" w:name="_Toc98704980"/>
                      <w:r w:rsidRPr="00A26D38">
                        <w:t>Figure 1</w:t>
                      </w:r>
                      <w:r w:rsidR="00A26D38" w:rsidRPr="00A26D38">
                        <w:t>8</w:t>
                      </w:r>
                      <w:r w:rsidRPr="00A26D38">
                        <w:t>: Community Structure Diagrams</w:t>
                      </w:r>
                      <w:bookmarkEnd w:id="71"/>
                      <w:r w:rsidRPr="00A26D38">
                        <w:t xml:space="preserve"> </w:t>
                      </w:r>
                    </w:p>
                    <w:p w14:paraId="0BC99CAA" w14:textId="683E6829" w:rsidR="00464644" w:rsidRPr="00A26D38" w:rsidRDefault="00464644" w:rsidP="00464644">
                      <w:r w:rsidRPr="00A26D38">
                        <w:t>These diagrams are basic community structure graphics used in ecology to visually depict what interactions are occurring in the system. In this figure, supply rate is the nutrient supply into the system (i.e., nitrogen, phosphorus, etc.), the resource pool is nutrient concentrations present in the environment, producer 1 and producer 2 are primary producers such as eukaryotic algae and cyanobacteria. Finally, the grazer is the zooplankton, and, in this case, the grazing group feeds on both pools of producers.</w:t>
                      </w:r>
                    </w:p>
                  </w:txbxContent>
                </v:textbox>
                <w10:wrap type="square"/>
              </v:shape>
            </w:pict>
          </mc:Fallback>
        </mc:AlternateContent>
      </w:r>
    </w:p>
    <w:p w14:paraId="1EE652E4" w14:textId="0506BFAF" w:rsidR="00A26D38" w:rsidRDefault="00A26D38" w:rsidP="000F264E">
      <w:pPr>
        <w:spacing w:line="480" w:lineRule="auto"/>
        <w:rPr>
          <w:b/>
          <w:bCs/>
          <w:i/>
          <w:iCs/>
        </w:rPr>
      </w:pPr>
    </w:p>
    <w:p w14:paraId="6EF461A8" w14:textId="30535601" w:rsidR="00A26D38" w:rsidRDefault="00A26D38" w:rsidP="000F264E">
      <w:pPr>
        <w:spacing w:line="480" w:lineRule="auto"/>
        <w:rPr>
          <w:b/>
          <w:bCs/>
          <w:i/>
          <w:iCs/>
        </w:rPr>
      </w:pPr>
    </w:p>
    <w:p w14:paraId="08173477" w14:textId="7D44735F" w:rsidR="00A26D38" w:rsidRDefault="00A26D38" w:rsidP="000F264E">
      <w:pPr>
        <w:spacing w:line="480" w:lineRule="auto"/>
        <w:rPr>
          <w:b/>
          <w:bCs/>
          <w:i/>
          <w:iCs/>
        </w:rPr>
      </w:pPr>
    </w:p>
    <w:p w14:paraId="460B01EA" w14:textId="2F555855" w:rsidR="00A26D38" w:rsidRDefault="00A26D38" w:rsidP="000F264E">
      <w:pPr>
        <w:spacing w:line="480" w:lineRule="auto"/>
        <w:rPr>
          <w:b/>
          <w:bCs/>
          <w:i/>
          <w:iCs/>
        </w:rPr>
      </w:pPr>
    </w:p>
    <w:p w14:paraId="782A850D" w14:textId="123F2B34" w:rsidR="00A26D38" w:rsidRDefault="00A26D38" w:rsidP="000F264E">
      <w:pPr>
        <w:spacing w:line="480" w:lineRule="auto"/>
        <w:rPr>
          <w:b/>
          <w:bCs/>
          <w:i/>
          <w:iCs/>
        </w:rPr>
      </w:pPr>
    </w:p>
    <w:p w14:paraId="1C691786" w14:textId="69D5F957" w:rsidR="00A26D38" w:rsidRDefault="00A26D38" w:rsidP="000F264E">
      <w:pPr>
        <w:spacing w:line="480" w:lineRule="auto"/>
        <w:rPr>
          <w:b/>
          <w:bCs/>
          <w:i/>
          <w:iCs/>
        </w:rPr>
      </w:pPr>
    </w:p>
    <w:p w14:paraId="50CB5CA4" w14:textId="24ADD7D8" w:rsidR="004D5EAF" w:rsidRDefault="004D5EAF" w:rsidP="000F264E">
      <w:pPr>
        <w:spacing w:line="480" w:lineRule="auto"/>
        <w:rPr>
          <w:b/>
          <w:bCs/>
          <w:i/>
          <w:iCs/>
        </w:rPr>
      </w:pPr>
    </w:p>
    <w:p w14:paraId="3C3E5242" w14:textId="515C7E6E" w:rsidR="004D5EAF" w:rsidRPr="000F264E" w:rsidRDefault="004D5EAF" w:rsidP="000F264E">
      <w:pPr>
        <w:spacing w:line="480" w:lineRule="auto"/>
        <w:rPr>
          <w:b/>
          <w:bCs/>
          <w:i/>
          <w:iCs/>
        </w:rPr>
      </w:pPr>
      <w:r>
        <w:rPr>
          <w:b/>
          <w:bCs/>
          <w:i/>
          <w:iCs/>
          <w:noProof/>
        </w:rPr>
        <w:lastRenderedPageBreak/>
        <mc:AlternateContent>
          <mc:Choice Requires="wps">
            <w:drawing>
              <wp:anchor distT="0" distB="0" distL="114300" distR="114300" simplePos="0" relativeHeight="252023808" behindDoc="0" locked="0" layoutInCell="1" allowOverlap="1" wp14:anchorId="646B314D" wp14:editId="2ED8B882">
                <wp:simplePos x="0" y="0"/>
                <wp:positionH relativeFrom="column">
                  <wp:posOffset>-48895</wp:posOffset>
                </wp:positionH>
                <wp:positionV relativeFrom="paragraph">
                  <wp:posOffset>-52088</wp:posOffset>
                </wp:positionV>
                <wp:extent cx="4868214" cy="334851"/>
                <wp:effectExtent l="0" t="0" r="0" b="0"/>
                <wp:wrapNone/>
                <wp:docPr id="51" name="Text Box 51"/>
                <wp:cNvGraphicFramePr/>
                <a:graphic xmlns:a="http://schemas.openxmlformats.org/drawingml/2006/main">
                  <a:graphicData uri="http://schemas.microsoft.com/office/word/2010/wordprocessingShape">
                    <wps:wsp>
                      <wps:cNvSpPr txBox="1"/>
                      <wps:spPr>
                        <a:xfrm>
                          <a:off x="0" y="0"/>
                          <a:ext cx="4868214" cy="334851"/>
                        </a:xfrm>
                        <a:prstGeom prst="rect">
                          <a:avLst/>
                        </a:prstGeom>
                        <a:solidFill>
                          <a:schemeClr val="lt1"/>
                        </a:solidFill>
                        <a:ln w="6350">
                          <a:noFill/>
                        </a:ln>
                      </wps:spPr>
                      <wps:txbx>
                        <w:txbxContent>
                          <w:p w14:paraId="3281D8CD" w14:textId="1A9E32EA" w:rsidR="004D5EAF" w:rsidRDefault="004D5EAF" w:rsidP="004D5EAF">
                            <w:pPr>
                              <w:pStyle w:val="Heading4"/>
                            </w:pPr>
                            <w:bookmarkStart w:id="50" w:name="_Toc98681741"/>
                            <w:bookmarkStart w:id="51" w:name="_Toc98703545"/>
                            <w:bookmarkStart w:id="52" w:name="_Toc98705427"/>
                            <w:r w:rsidRPr="00D231DB">
                              <w:rPr>
                                <w:rStyle w:val="Strong"/>
                                <w:rFonts w:ascii="Arial" w:hAnsi="Arial"/>
                                <w:b/>
                                <w:bCs w:val="0"/>
                              </w:rPr>
                              <w:t>Table 3.1: Table of Symbols</w:t>
                            </w:r>
                            <w:bookmarkEnd w:id="50"/>
                            <w:bookmarkEnd w:id="51"/>
                            <w:bookmarkEnd w:id="52"/>
                            <w:r w:rsidRPr="00D231D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6B314D" id="Text Box 51" o:spid="_x0000_s1057" type="#_x0000_t202" style="position:absolute;margin-left:-3.85pt;margin-top:-4.1pt;width:383.3pt;height:26.35pt;z-index:25202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" fillcolor="white [3201]" stroked="f" strokeweight=".5pt">
                <v:textbox>
                  <w:txbxContent>
                    <w:p w14:paraId="3281D8CD" w14:textId="1A9E32EA" w:rsidR="004D5EAF" w:rsidRDefault="004D5EAF" w:rsidP="004D5EAF">
                      <w:pPr>
                        <w:pStyle w:val="Heading4"/>
                      </w:pPr>
                      <w:bookmarkStart w:id="75" w:name="_Toc98681741"/>
                      <w:bookmarkStart w:id="76" w:name="_Toc98703545"/>
                      <w:bookmarkStart w:id="77" w:name="_Toc98705427"/>
                      <w:r w:rsidRPr="00D231DB">
                        <w:rPr>
                          <w:rStyle w:val="Strong"/>
                          <w:rFonts w:ascii="Arial" w:hAnsi="Arial"/>
                          <w:b/>
                          <w:bCs w:val="0"/>
                        </w:rPr>
                        <w:t>Table 3.1: Table of Symbols</w:t>
                      </w:r>
                      <w:bookmarkEnd w:id="75"/>
                      <w:bookmarkEnd w:id="76"/>
                      <w:bookmarkEnd w:id="77"/>
                      <w:r w:rsidRPr="00D231DB">
                        <w:t xml:space="preserve"> </w:t>
                      </w:r>
                    </w:p>
                  </w:txbxContent>
                </v:textbox>
              </v:shape>
            </w:pict>
          </mc:Fallback>
        </mc:AlternateContent>
      </w:r>
    </w:p>
    <w:tbl>
      <w:tblPr>
        <w:tblStyle w:val="TableGrid"/>
        <w:tblW w:w="6929" w:type="dxa"/>
        <w:tblLook w:val="04A0" w:firstRow="1" w:lastRow="0" w:firstColumn="1" w:lastColumn="0" w:noHBand="0" w:noVBand="1"/>
      </w:tblPr>
      <w:tblGrid>
        <w:gridCol w:w="1477"/>
        <w:gridCol w:w="3910"/>
        <w:gridCol w:w="1542"/>
      </w:tblGrid>
      <w:tr w:rsidR="00B77FA6" w14:paraId="0F679E07" w14:textId="39B438F3" w:rsidTr="000F264E">
        <w:trPr>
          <w:trHeight w:val="306"/>
        </w:trPr>
        <w:tc>
          <w:tcPr>
            <w:tcW w:w="1477" w:type="dxa"/>
            <w:vAlign w:val="center"/>
          </w:tcPr>
          <w:p w14:paraId="461EB92B" w14:textId="58925791" w:rsidR="00B77FA6" w:rsidRPr="000F264E" w:rsidRDefault="00B77FA6" w:rsidP="00DC3C5E">
            <w:pPr>
              <w:spacing w:line="480" w:lineRule="auto"/>
              <w:jc w:val="center"/>
              <w:rPr>
                <w:b/>
                <w:bCs/>
                <w:sz w:val="22"/>
                <w:szCs w:val="22"/>
              </w:rPr>
            </w:pPr>
            <w:r w:rsidRPr="000F264E">
              <w:rPr>
                <w:b/>
                <w:bCs/>
                <w:sz w:val="22"/>
                <w:szCs w:val="22"/>
              </w:rPr>
              <w:t>Symbol</w:t>
            </w:r>
          </w:p>
        </w:tc>
        <w:tc>
          <w:tcPr>
            <w:tcW w:w="3910" w:type="dxa"/>
            <w:vAlign w:val="center"/>
          </w:tcPr>
          <w:p w14:paraId="23B26F61" w14:textId="6C3D9E90" w:rsidR="00B77FA6" w:rsidRPr="000F264E" w:rsidRDefault="00B77FA6" w:rsidP="00DC3C5E">
            <w:pPr>
              <w:spacing w:line="480" w:lineRule="auto"/>
              <w:jc w:val="center"/>
              <w:rPr>
                <w:b/>
                <w:bCs/>
                <w:sz w:val="22"/>
                <w:szCs w:val="22"/>
              </w:rPr>
            </w:pPr>
            <w:r w:rsidRPr="000F264E">
              <w:rPr>
                <w:b/>
                <w:bCs/>
                <w:sz w:val="22"/>
                <w:szCs w:val="22"/>
              </w:rPr>
              <w:t>Symbol meaning</w:t>
            </w:r>
          </w:p>
        </w:tc>
        <w:tc>
          <w:tcPr>
            <w:tcW w:w="1542" w:type="dxa"/>
          </w:tcPr>
          <w:p w14:paraId="51F98F61" w14:textId="7DABE82A" w:rsidR="00B77FA6" w:rsidRPr="000F264E" w:rsidRDefault="00B77FA6" w:rsidP="00DC3C5E">
            <w:pPr>
              <w:spacing w:line="480" w:lineRule="auto"/>
              <w:jc w:val="center"/>
              <w:rPr>
                <w:b/>
                <w:bCs/>
                <w:sz w:val="22"/>
                <w:szCs w:val="22"/>
              </w:rPr>
            </w:pPr>
            <w:r w:rsidRPr="000F264E">
              <w:rPr>
                <w:b/>
                <w:bCs/>
                <w:sz w:val="22"/>
                <w:szCs w:val="22"/>
              </w:rPr>
              <w:t>Units</w:t>
            </w:r>
          </w:p>
        </w:tc>
      </w:tr>
      <w:tr w:rsidR="00B77FA6" w14:paraId="093ED8E8" w14:textId="6DFE528E" w:rsidTr="000F264E">
        <w:trPr>
          <w:trHeight w:val="496"/>
        </w:trPr>
        <w:tc>
          <w:tcPr>
            <w:tcW w:w="1477" w:type="dxa"/>
            <w:vAlign w:val="center"/>
          </w:tcPr>
          <w:p w14:paraId="15263874" w14:textId="641E5498" w:rsidR="00B77FA6" w:rsidRPr="000F264E" w:rsidRDefault="00B77FA6" w:rsidP="00DC3C5E">
            <w:pPr>
              <w:spacing w:line="480" w:lineRule="auto"/>
              <w:jc w:val="center"/>
              <w:rPr>
                <w:sz w:val="20"/>
                <w:szCs w:val="20"/>
              </w:rPr>
            </w:pPr>
            <m:oMathPara>
              <m:oMath>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R</m:t>
                    </m:r>
                  </m:sub>
                </m:sSub>
              </m:oMath>
            </m:oMathPara>
          </w:p>
        </w:tc>
        <w:tc>
          <w:tcPr>
            <w:tcW w:w="3910" w:type="dxa"/>
            <w:vAlign w:val="center"/>
          </w:tcPr>
          <w:p w14:paraId="76507FAC" w14:textId="7C75AE90" w:rsidR="00B77FA6" w:rsidRPr="000F264E" w:rsidRDefault="00B77FA6" w:rsidP="00DC3C5E">
            <w:pPr>
              <w:spacing w:line="480" w:lineRule="auto"/>
              <w:jc w:val="center"/>
              <w:rPr>
                <w:sz w:val="20"/>
                <w:szCs w:val="20"/>
              </w:rPr>
            </w:pPr>
            <w:r w:rsidRPr="000F264E">
              <w:rPr>
                <w:sz w:val="20"/>
                <w:szCs w:val="20"/>
              </w:rPr>
              <w:t>Supply rate</w:t>
            </w:r>
          </w:p>
        </w:tc>
        <w:tc>
          <w:tcPr>
            <w:tcW w:w="1542" w:type="dxa"/>
          </w:tcPr>
          <w:p w14:paraId="50B1F504" w14:textId="28FC01D1" w:rsidR="00B77FA6" w:rsidRPr="000F264E" w:rsidRDefault="00A9083D" w:rsidP="00DC3C5E">
            <w:pPr>
              <w:spacing w:line="480" w:lineRule="auto"/>
              <w:jc w:val="center"/>
              <w:rPr>
                <w:sz w:val="20"/>
                <w:szCs w:val="20"/>
              </w:rPr>
            </w:pPr>
            <m:oMathPara>
              <m:oMath>
                <m:f>
                  <m:fPr>
                    <m:ctrlPr>
                      <w:rPr>
                        <w:rFonts w:ascii="Cambria Math" w:hAnsi="Cambria Math"/>
                        <w:i/>
                        <w:sz w:val="20"/>
                        <w:szCs w:val="20"/>
                      </w:rPr>
                    </m:ctrlPr>
                  </m:fPr>
                  <m:num>
                    <m:r>
                      <w:rPr>
                        <w:rFonts w:ascii="Cambria Math" w:hAnsi="Cambria Math"/>
                        <w:sz w:val="20"/>
                        <w:szCs w:val="20"/>
                      </w:rPr>
                      <m:t>mmol N</m:t>
                    </m:r>
                  </m:num>
                  <m:den>
                    <m:r>
                      <w:rPr>
                        <w:rFonts w:ascii="Cambria Math" w:hAnsi="Cambria Math"/>
                        <w:sz w:val="20"/>
                        <w:szCs w:val="20"/>
                      </w:rPr>
                      <m:t xml:space="preserve">day </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3</m:t>
                        </m:r>
                      </m:sup>
                    </m:sSup>
                  </m:den>
                </m:f>
              </m:oMath>
            </m:oMathPara>
          </w:p>
        </w:tc>
      </w:tr>
      <w:tr w:rsidR="00B77FA6" w14:paraId="12898883" w14:textId="561175CA" w:rsidTr="000F264E">
        <w:trPr>
          <w:trHeight w:val="496"/>
        </w:trPr>
        <w:tc>
          <w:tcPr>
            <w:tcW w:w="1477" w:type="dxa"/>
            <w:vAlign w:val="center"/>
          </w:tcPr>
          <w:p w14:paraId="4B13F3A7" w14:textId="4AA1B3A9" w:rsidR="00B77FA6" w:rsidRPr="000F264E" w:rsidRDefault="00A9083D" w:rsidP="00DC3C5E">
            <w:pPr>
              <w:spacing w:line="480" w:lineRule="auto"/>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μ</m:t>
                    </m:r>
                  </m:e>
                  <m:sub>
                    <m:r>
                      <w:rPr>
                        <w:rFonts w:ascii="Cambria Math" w:hAnsi="Cambria Math"/>
                        <w:sz w:val="20"/>
                        <w:szCs w:val="20"/>
                      </w:rPr>
                      <m:t>1</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μ</m:t>
                    </m:r>
                  </m:e>
                  <m:sub>
                    <m:r>
                      <w:rPr>
                        <w:rFonts w:ascii="Cambria Math" w:hAnsi="Cambria Math"/>
                        <w:sz w:val="20"/>
                        <w:szCs w:val="20"/>
                      </w:rPr>
                      <m:t>2</m:t>
                    </m:r>
                  </m:sub>
                </m:sSub>
              </m:oMath>
            </m:oMathPara>
          </w:p>
        </w:tc>
        <w:tc>
          <w:tcPr>
            <w:tcW w:w="3910" w:type="dxa"/>
            <w:vAlign w:val="center"/>
          </w:tcPr>
          <w:p w14:paraId="5777306C" w14:textId="4462F610" w:rsidR="00B77FA6" w:rsidRPr="000F264E" w:rsidRDefault="00B77FA6" w:rsidP="00DC3C5E">
            <w:pPr>
              <w:spacing w:line="480" w:lineRule="auto"/>
              <w:jc w:val="center"/>
              <w:rPr>
                <w:sz w:val="20"/>
                <w:szCs w:val="20"/>
              </w:rPr>
            </w:pPr>
            <w:r w:rsidRPr="000F264E">
              <w:rPr>
                <w:sz w:val="20"/>
                <w:szCs w:val="20"/>
              </w:rPr>
              <w:t>Resource affinity</w:t>
            </w:r>
          </w:p>
        </w:tc>
        <w:tc>
          <w:tcPr>
            <w:tcW w:w="1542" w:type="dxa"/>
          </w:tcPr>
          <w:p w14:paraId="76E0B054" w14:textId="3B5689EC" w:rsidR="00B77FA6" w:rsidRPr="000F264E" w:rsidRDefault="00A9083D" w:rsidP="00DC3C5E">
            <w:pPr>
              <w:spacing w:line="480" w:lineRule="auto"/>
              <w:jc w:val="center"/>
              <w:rPr>
                <w:sz w:val="20"/>
                <w:szCs w:val="20"/>
              </w:rPr>
            </w:pPr>
            <m:oMathPara>
              <m:oMath>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3</m:t>
                        </m:r>
                      </m:sup>
                    </m:sSup>
                  </m:num>
                  <m:den>
                    <m:r>
                      <w:rPr>
                        <w:rFonts w:ascii="Cambria Math" w:hAnsi="Cambria Math"/>
                        <w:sz w:val="20"/>
                        <w:szCs w:val="20"/>
                      </w:rPr>
                      <m:t>day mmol N</m:t>
                    </m:r>
                  </m:den>
                </m:f>
              </m:oMath>
            </m:oMathPara>
          </w:p>
        </w:tc>
      </w:tr>
      <w:tr w:rsidR="00B77FA6" w14:paraId="6F84FABD" w14:textId="24D98093" w:rsidTr="000F264E">
        <w:trPr>
          <w:trHeight w:val="396"/>
        </w:trPr>
        <w:tc>
          <w:tcPr>
            <w:tcW w:w="1477" w:type="dxa"/>
            <w:vAlign w:val="center"/>
          </w:tcPr>
          <w:p w14:paraId="4146C4EF" w14:textId="603178A4" w:rsidR="00B77FA6" w:rsidRPr="000F264E" w:rsidRDefault="00A9083D" w:rsidP="00DC3C5E">
            <w:pPr>
              <w:spacing w:line="480" w:lineRule="auto"/>
              <w:jc w:val="center"/>
              <w:rPr>
                <w:sz w:val="20"/>
                <w:szCs w:val="20"/>
              </w:rPr>
            </w:pPr>
            <m:oMathPara>
              <m:oMath>
                <m:sSub>
                  <m:sSubPr>
                    <m:ctrlPr>
                      <w:rPr>
                        <w:rFonts w:ascii="Cambria Math" w:hAnsi="Cambria Math"/>
                        <w:i/>
                        <w:sz w:val="20"/>
                        <w:szCs w:val="20"/>
                      </w:rPr>
                    </m:ctrlPr>
                  </m:sSubPr>
                  <m:e>
                    <m:r>
                      <w:rPr>
                        <w:rFonts w:ascii="Cambria Math" w:hAnsi="Cambria Math"/>
                        <w:sz w:val="20"/>
                        <w:szCs w:val="20"/>
                        <w:lang w:val="el-GR"/>
                      </w:rPr>
                      <m:t>φ</m:t>
                    </m:r>
                  </m:e>
                  <m:sub>
                    <m:r>
                      <w:rPr>
                        <w:rFonts w:ascii="Cambria Math" w:hAnsi="Cambria Math"/>
                        <w:sz w:val="20"/>
                        <w:szCs w:val="20"/>
                      </w:rPr>
                      <m:t>1</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lang w:val="el-GR"/>
                      </w:rPr>
                      <m:t>φ</m:t>
                    </m:r>
                  </m:e>
                  <m:sub>
                    <m:r>
                      <w:rPr>
                        <w:rFonts w:ascii="Cambria Math" w:hAnsi="Cambria Math"/>
                        <w:sz w:val="20"/>
                        <w:szCs w:val="20"/>
                      </w:rPr>
                      <m:t>2</m:t>
                    </m:r>
                  </m:sub>
                </m:sSub>
              </m:oMath>
            </m:oMathPara>
          </w:p>
        </w:tc>
        <w:tc>
          <w:tcPr>
            <w:tcW w:w="3910" w:type="dxa"/>
            <w:vAlign w:val="center"/>
          </w:tcPr>
          <w:p w14:paraId="52FDD944" w14:textId="56883C93" w:rsidR="00B77FA6" w:rsidRPr="000F264E" w:rsidRDefault="00B77FA6" w:rsidP="00DC3C5E">
            <w:pPr>
              <w:spacing w:line="480" w:lineRule="auto"/>
              <w:jc w:val="center"/>
              <w:rPr>
                <w:sz w:val="20"/>
                <w:szCs w:val="20"/>
              </w:rPr>
            </w:pPr>
            <w:r w:rsidRPr="000F264E">
              <w:rPr>
                <w:sz w:val="20"/>
                <w:szCs w:val="20"/>
              </w:rPr>
              <w:t>Interaction strength</w:t>
            </w:r>
          </w:p>
        </w:tc>
        <w:tc>
          <w:tcPr>
            <w:tcW w:w="1542" w:type="dxa"/>
          </w:tcPr>
          <w:p w14:paraId="47265D32" w14:textId="21EEA258" w:rsidR="00B77FA6" w:rsidRPr="000F264E" w:rsidRDefault="00A9083D" w:rsidP="00DC3C5E">
            <w:pPr>
              <w:spacing w:line="480" w:lineRule="auto"/>
              <w:jc w:val="center"/>
              <w:rPr>
                <w:sz w:val="20"/>
                <w:szCs w:val="20"/>
              </w:rPr>
            </w:pPr>
            <m:oMathPara>
              <m:oMath>
                <m:f>
                  <m:fPr>
                    <m:ctrlPr>
                      <w:rPr>
                        <w:rFonts w:ascii="Cambria Math" w:hAnsi="Cambria Math"/>
                        <w:i/>
                        <w:sz w:val="20"/>
                        <w:szCs w:val="20"/>
                      </w:rPr>
                    </m:ctrlPr>
                  </m:fPr>
                  <m:num>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3</m:t>
                        </m:r>
                      </m:sup>
                    </m:sSup>
                  </m:num>
                  <m:den>
                    <m:r>
                      <w:rPr>
                        <w:rFonts w:ascii="Cambria Math" w:hAnsi="Cambria Math"/>
                        <w:sz w:val="20"/>
                        <w:szCs w:val="20"/>
                      </w:rPr>
                      <m:t>day mmol N</m:t>
                    </m:r>
                  </m:den>
                </m:f>
              </m:oMath>
            </m:oMathPara>
          </w:p>
        </w:tc>
      </w:tr>
      <w:tr w:rsidR="00B77FA6" w14:paraId="4333CACA" w14:textId="25D2202E" w:rsidTr="000F264E">
        <w:trPr>
          <w:trHeight w:val="496"/>
        </w:trPr>
        <w:tc>
          <w:tcPr>
            <w:tcW w:w="1477" w:type="dxa"/>
            <w:vAlign w:val="center"/>
          </w:tcPr>
          <w:p w14:paraId="5B941A39" w14:textId="44DCF727" w:rsidR="00B77FA6" w:rsidRPr="000F264E" w:rsidRDefault="00A9083D" w:rsidP="00DC3C5E">
            <w:pPr>
              <w:spacing w:line="480" w:lineRule="auto"/>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δ</m:t>
                    </m:r>
                  </m:e>
                  <m:sub>
                    <m:r>
                      <w:rPr>
                        <w:rFonts w:ascii="Cambria Math" w:hAnsi="Cambria Math"/>
                        <w:sz w:val="20"/>
                        <w:szCs w:val="20"/>
                      </w:rPr>
                      <m:t>N</m:t>
                    </m:r>
                  </m:sub>
                </m:sSub>
                <m:r>
                  <w:rPr>
                    <w:rFonts w:ascii="Cambria Math" w:hAnsi="Cambria Math"/>
                    <w:sz w:val="20"/>
                    <w:szCs w:val="20"/>
                  </w:rPr>
                  <m:t xml:space="preserve">, </m:t>
                </m:r>
                <m:sSub>
                  <m:sSubPr>
                    <m:ctrlPr>
                      <w:rPr>
                        <w:rFonts w:ascii="Cambria Math" w:hAnsi="Cambria Math"/>
                        <w:i/>
                        <w:sz w:val="20"/>
                        <w:szCs w:val="20"/>
                        <w:lang w:val="el-GR"/>
                      </w:rPr>
                    </m:ctrlPr>
                  </m:sSubPr>
                  <m:e>
                    <m:r>
                      <w:rPr>
                        <w:rFonts w:ascii="Cambria Math" w:hAnsi="Cambria Math"/>
                        <w:sz w:val="20"/>
                        <w:szCs w:val="20"/>
                        <w:lang w:val="el-GR"/>
                      </w:rPr>
                      <m:t>δ</m:t>
                    </m:r>
                  </m:e>
                  <m:sub>
                    <m:r>
                      <w:rPr>
                        <w:rFonts w:ascii="Cambria Math" w:hAnsi="Cambria Math"/>
                        <w:sz w:val="20"/>
                        <w:szCs w:val="20"/>
                        <w:lang w:val="el-GR"/>
                      </w:rPr>
                      <m:t>1</m:t>
                    </m:r>
                  </m:sub>
                </m:sSub>
                <m:r>
                  <w:rPr>
                    <w:rFonts w:ascii="Cambria Math" w:hAnsi="Cambria Math"/>
                    <w:sz w:val="20"/>
                    <w:szCs w:val="20"/>
                    <w:lang w:val="el-GR"/>
                  </w:rPr>
                  <m:t xml:space="preserve">, </m:t>
                </m:r>
                <m:sSub>
                  <m:sSubPr>
                    <m:ctrlPr>
                      <w:rPr>
                        <w:rFonts w:ascii="Cambria Math" w:hAnsi="Cambria Math"/>
                        <w:i/>
                        <w:sz w:val="20"/>
                        <w:szCs w:val="20"/>
                        <w:lang w:val="el-GR"/>
                      </w:rPr>
                    </m:ctrlPr>
                  </m:sSubPr>
                  <m:e>
                    <m:r>
                      <w:rPr>
                        <w:rFonts w:ascii="Cambria Math" w:hAnsi="Cambria Math"/>
                        <w:sz w:val="20"/>
                        <w:szCs w:val="20"/>
                        <w:lang w:val="el-GR"/>
                      </w:rPr>
                      <m:t>δ</m:t>
                    </m:r>
                  </m:e>
                  <m:sub>
                    <m:r>
                      <w:rPr>
                        <w:rFonts w:ascii="Cambria Math" w:hAnsi="Cambria Math"/>
                        <w:sz w:val="20"/>
                        <w:szCs w:val="20"/>
                        <w:lang w:val="el-GR"/>
                      </w:rPr>
                      <m:t>2</m:t>
                    </m:r>
                  </m:sub>
                </m:sSub>
                <m:r>
                  <w:rPr>
                    <w:rFonts w:ascii="Cambria Math" w:hAnsi="Cambria Math"/>
                    <w:sz w:val="20"/>
                    <w:szCs w:val="20"/>
                    <w:lang w:val="el-GR"/>
                  </w:rPr>
                  <m:t xml:space="preserve">, </m:t>
                </m:r>
                <m:sSub>
                  <m:sSubPr>
                    <m:ctrlPr>
                      <w:rPr>
                        <w:rFonts w:ascii="Cambria Math" w:hAnsi="Cambria Math"/>
                        <w:i/>
                        <w:sz w:val="20"/>
                        <w:szCs w:val="20"/>
                      </w:rPr>
                    </m:ctrlPr>
                  </m:sSubPr>
                  <m:e>
                    <m:r>
                      <w:rPr>
                        <w:rFonts w:ascii="Cambria Math" w:hAnsi="Cambria Math"/>
                        <w:sz w:val="20"/>
                        <w:szCs w:val="20"/>
                        <w:lang w:val="el-GR"/>
                      </w:rPr>
                      <m:t>δ</m:t>
                    </m:r>
                  </m:e>
                  <m:sub>
                    <m:r>
                      <w:rPr>
                        <w:rFonts w:ascii="Cambria Math" w:hAnsi="Cambria Math"/>
                        <w:sz w:val="20"/>
                        <w:szCs w:val="20"/>
                      </w:rPr>
                      <m:t>C</m:t>
                    </m:r>
                  </m:sub>
                </m:sSub>
              </m:oMath>
            </m:oMathPara>
          </w:p>
        </w:tc>
        <w:tc>
          <w:tcPr>
            <w:tcW w:w="3910" w:type="dxa"/>
            <w:vAlign w:val="center"/>
          </w:tcPr>
          <w:p w14:paraId="5BBED665" w14:textId="186F3136" w:rsidR="00B77FA6" w:rsidRPr="000F264E" w:rsidRDefault="00B77FA6" w:rsidP="00DC3C5E">
            <w:pPr>
              <w:jc w:val="center"/>
              <w:rPr>
                <w:sz w:val="20"/>
                <w:szCs w:val="20"/>
              </w:rPr>
            </w:pPr>
            <w:r w:rsidRPr="000F264E">
              <w:rPr>
                <w:sz w:val="20"/>
                <w:szCs w:val="20"/>
              </w:rPr>
              <w:t>Background death rate/ resource degradation</w:t>
            </w:r>
          </w:p>
        </w:tc>
        <w:tc>
          <w:tcPr>
            <w:tcW w:w="1542" w:type="dxa"/>
          </w:tcPr>
          <w:p w14:paraId="09295676" w14:textId="404E730A" w:rsidR="00B77FA6" w:rsidRPr="000F264E" w:rsidRDefault="00A9083D" w:rsidP="00DC3C5E">
            <w:pPr>
              <w:jc w:val="center"/>
              <w:rPr>
                <w:sz w:val="20"/>
                <w:szCs w:val="20"/>
              </w:rPr>
            </w:pPr>
            <m:oMathPara>
              <m:oMath>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 xml:space="preserve">day </m:t>
                    </m:r>
                  </m:den>
                </m:f>
              </m:oMath>
            </m:oMathPara>
          </w:p>
        </w:tc>
      </w:tr>
      <w:tr w:rsidR="00B77FA6" w14:paraId="79B21C41" w14:textId="11E6A6DD" w:rsidTr="000F264E">
        <w:trPr>
          <w:trHeight w:val="340"/>
        </w:trPr>
        <w:tc>
          <w:tcPr>
            <w:tcW w:w="1477" w:type="dxa"/>
            <w:vAlign w:val="center"/>
          </w:tcPr>
          <w:p w14:paraId="34F78904" w14:textId="4728C636" w:rsidR="00B77FA6" w:rsidRPr="000F264E" w:rsidRDefault="00A9083D" w:rsidP="00DC3C5E">
            <w:pPr>
              <w:spacing w:line="480" w:lineRule="auto"/>
              <w:jc w:val="center"/>
              <w:rPr>
                <w:sz w:val="20"/>
                <w:szCs w:val="20"/>
              </w:rPr>
            </w:pPr>
            <m:oMathPara>
              <m:oMath>
                <m:sSub>
                  <m:sSubPr>
                    <m:ctrlPr>
                      <w:rPr>
                        <w:rFonts w:ascii="Cambria Math" w:hAnsi="Cambria Math"/>
                        <w:i/>
                        <w:sz w:val="20"/>
                        <w:szCs w:val="20"/>
                        <w:lang w:val="el-GR"/>
                      </w:rPr>
                    </m:ctrlPr>
                  </m:sSubPr>
                  <m:e>
                    <m:r>
                      <w:rPr>
                        <w:rFonts w:ascii="Cambria Math" w:hAnsi="Cambria Math"/>
                        <w:sz w:val="20"/>
                        <w:szCs w:val="20"/>
                        <w:lang w:val="el-GR"/>
                      </w:rPr>
                      <m:t>ε</m:t>
                    </m:r>
                  </m:e>
                  <m:sub>
                    <m:r>
                      <w:rPr>
                        <w:rFonts w:ascii="Cambria Math" w:hAnsi="Cambria Math"/>
                        <w:sz w:val="20"/>
                        <w:szCs w:val="20"/>
                        <w:lang w:val="el-GR"/>
                      </w:rPr>
                      <m:t>1</m:t>
                    </m:r>
                  </m:sub>
                </m:sSub>
                <m:r>
                  <w:rPr>
                    <w:rFonts w:ascii="Cambria Math" w:hAnsi="Cambria Math"/>
                    <w:sz w:val="20"/>
                    <w:szCs w:val="20"/>
                    <w:lang w:val="el-GR"/>
                  </w:rPr>
                  <m:t xml:space="preserve">, </m:t>
                </m:r>
                <m:sSub>
                  <m:sSubPr>
                    <m:ctrlPr>
                      <w:rPr>
                        <w:rFonts w:ascii="Cambria Math" w:hAnsi="Cambria Math"/>
                        <w:i/>
                        <w:sz w:val="20"/>
                        <w:szCs w:val="20"/>
                        <w:lang w:val="el-GR"/>
                      </w:rPr>
                    </m:ctrlPr>
                  </m:sSubPr>
                  <m:e>
                    <m:r>
                      <w:rPr>
                        <w:rFonts w:ascii="Cambria Math" w:hAnsi="Cambria Math"/>
                        <w:sz w:val="20"/>
                        <w:szCs w:val="20"/>
                        <w:lang w:val="el-GR"/>
                      </w:rPr>
                      <m:t>ε</m:t>
                    </m:r>
                  </m:e>
                  <m:sub>
                    <m:r>
                      <w:rPr>
                        <w:rFonts w:ascii="Cambria Math" w:hAnsi="Cambria Math"/>
                        <w:sz w:val="20"/>
                        <w:szCs w:val="20"/>
                        <w:lang w:val="el-GR"/>
                      </w:rPr>
                      <m:t>2</m:t>
                    </m:r>
                  </m:sub>
                </m:sSub>
              </m:oMath>
            </m:oMathPara>
          </w:p>
        </w:tc>
        <w:tc>
          <w:tcPr>
            <w:tcW w:w="3910" w:type="dxa"/>
            <w:vAlign w:val="center"/>
          </w:tcPr>
          <w:p w14:paraId="17502BEF" w14:textId="2DCE9E5C" w:rsidR="00B77FA6" w:rsidRPr="000F264E" w:rsidRDefault="00B77FA6" w:rsidP="00DC3C5E">
            <w:pPr>
              <w:spacing w:line="480" w:lineRule="auto"/>
              <w:jc w:val="center"/>
              <w:rPr>
                <w:sz w:val="20"/>
                <w:szCs w:val="20"/>
              </w:rPr>
            </w:pPr>
            <w:r w:rsidRPr="000F264E">
              <w:rPr>
                <w:sz w:val="20"/>
                <w:szCs w:val="20"/>
              </w:rPr>
              <w:t>Transfer efficiency</w:t>
            </w:r>
          </w:p>
        </w:tc>
        <w:tc>
          <w:tcPr>
            <w:tcW w:w="1542" w:type="dxa"/>
          </w:tcPr>
          <w:p w14:paraId="589C3663" w14:textId="794DA869" w:rsidR="00B77FA6" w:rsidRPr="000F264E" w:rsidRDefault="00A9083D" w:rsidP="00DC3C5E">
            <w:pPr>
              <w:spacing w:line="480" w:lineRule="auto"/>
              <w:jc w:val="center"/>
              <w:rPr>
                <w:sz w:val="20"/>
                <w:szCs w:val="20"/>
              </w:rPr>
            </w:pPr>
            <m:oMathPara>
              <m:oMath>
                <m:f>
                  <m:fPr>
                    <m:ctrlPr>
                      <w:rPr>
                        <w:rFonts w:ascii="Cambria Math" w:hAnsi="Cambria Math"/>
                        <w:i/>
                        <w:sz w:val="20"/>
                        <w:szCs w:val="20"/>
                      </w:rPr>
                    </m:ctrlPr>
                  </m:fPr>
                  <m:num>
                    <m:r>
                      <w:rPr>
                        <w:rFonts w:ascii="Cambria Math" w:hAnsi="Cambria Math"/>
                        <w:sz w:val="20"/>
                        <w:szCs w:val="20"/>
                      </w:rPr>
                      <m:t>mmol N</m:t>
                    </m:r>
                  </m:num>
                  <m:den>
                    <m:r>
                      <w:rPr>
                        <w:rFonts w:ascii="Cambria Math" w:hAnsi="Cambria Math"/>
                        <w:sz w:val="20"/>
                        <w:szCs w:val="20"/>
                      </w:rPr>
                      <m:t>mmol  N</m:t>
                    </m:r>
                  </m:den>
                </m:f>
              </m:oMath>
            </m:oMathPara>
          </w:p>
        </w:tc>
      </w:tr>
      <w:tr w:rsidR="0019677A" w14:paraId="773B7506" w14:textId="77777777" w:rsidTr="000F264E">
        <w:trPr>
          <w:trHeight w:val="340"/>
        </w:trPr>
        <w:tc>
          <w:tcPr>
            <w:tcW w:w="1477" w:type="dxa"/>
            <w:vAlign w:val="center"/>
          </w:tcPr>
          <w:p w14:paraId="2D976936" w14:textId="7FFE6430" w:rsidR="0019677A" w:rsidRPr="000F264E" w:rsidRDefault="00A9083D" w:rsidP="00DC3C5E">
            <w:pPr>
              <w:spacing w:line="480" w:lineRule="auto"/>
              <w:jc w:val="center"/>
              <w:rPr>
                <w:sz w:val="20"/>
                <w:szCs w:val="20"/>
              </w:rPr>
            </w:pPr>
            <m:oMathPara>
              <m:oMath>
                <m:f>
                  <m:fPr>
                    <m:ctrlPr>
                      <w:rPr>
                        <w:rFonts w:ascii="Cambria Math" w:hAnsi="Cambria Math"/>
                        <w:i/>
                        <w:sz w:val="20"/>
                        <w:szCs w:val="20"/>
                        <w:lang w:val="el-GR"/>
                      </w:rPr>
                    </m:ctrlPr>
                  </m:fPr>
                  <m:num>
                    <m:r>
                      <w:rPr>
                        <w:rFonts w:ascii="Cambria Math" w:hAnsi="Cambria Math"/>
                        <w:sz w:val="20"/>
                        <w:szCs w:val="20"/>
                        <w:lang w:val="el-GR"/>
                      </w:rPr>
                      <m:t>dN</m:t>
                    </m:r>
                  </m:num>
                  <m:den>
                    <m:r>
                      <w:rPr>
                        <w:rFonts w:ascii="Cambria Math" w:hAnsi="Cambria Math"/>
                        <w:sz w:val="20"/>
                        <w:szCs w:val="20"/>
                        <w:lang w:val="el-GR"/>
                      </w:rPr>
                      <m:t>dt</m:t>
                    </m:r>
                  </m:den>
                </m:f>
              </m:oMath>
            </m:oMathPara>
          </w:p>
        </w:tc>
        <w:tc>
          <w:tcPr>
            <w:tcW w:w="3910" w:type="dxa"/>
            <w:vAlign w:val="center"/>
          </w:tcPr>
          <w:p w14:paraId="24AC0680" w14:textId="56CEBDBD" w:rsidR="0019677A" w:rsidRPr="000F264E" w:rsidRDefault="0019677A" w:rsidP="00DC3C5E">
            <w:pPr>
              <w:spacing w:line="480" w:lineRule="auto"/>
              <w:jc w:val="center"/>
              <w:rPr>
                <w:sz w:val="20"/>
                <w:szCs w:val="20"/>
              </w:rPr>
            </w:pPr>
            <w:r w:rsidRPr="000F264E">
              <w:rPr>
                <w:sz w:val="20"/>
                <w:szCs w:val="20"/>
              </w:rPr>
              <w:t>Change in nitrogen over time</w:t>
            </w:r>
          </w:p>
        </w:tc>
        <w:tc>
          <w:tcPr>
            <w:tcW w:w="1542" w:type="dxa"/>
          </w:tcPr>
          <w:p w14:paraId="768213B8" w14:textId="4975541D" w:rsidR="0019677A" w:rsidRPr="000F264E" w:rsidRDefault="00A9083D" w:rsidP="00DC3C5E">
            <w:pPr>
              <w:spacing w:line="480" w:lineRule="auto"/>
              <w:jc w:val="center"/>
              <w:rPr>
                <w:sz w:val="20"/>
                <w:szCs w:val="20"/>
              </w:rPr>
            </w:pPr>
            <m:oMathPara>
              <m:oMath>
                <m:f>
                  <m:fPr>
                    <m:ctrlPr>
                      <w:rPr>
                        <w:rFonts w:ascii="Cambria Math" w:hAnsi="Cambria Math"/>
                        <w:i/>
                        <w:sz w:val="20"/>
                        <w:szCs w:val="20"/>
                      </w:rPr>
                    </m:ctrlPr>
                  </m:fPr>
                  <m:num>
                    <m:r>
                      <w:rPr>
                        <w:rFonts w:ascii="Cambria Math" w:hAnsi="Cambria Math"/>
                        <w:sz w:val="20"/>
                        <w:szCs w:val="20"/>
                      </w:rPr>
                      <m:t>mmol N</m:t>
                    </m:r>
                  </m:num>
                  <m:den>
                    <m:r>
                      <w:rPr>
                        <w:rFonts w:ascii="Cambria Math" w:hAnsi="Cambria Math"/>
                        <w:sz w:val="20"/>
                        <w:szCs w:val="20"/>
                      </w:rPr>
                      <m:t xml:space="preserve">day </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3</m:t>
                        </m:r>
                      </m:sup>
                    </m:sSup>
                  </m:den>
                </m:f>
              </m:oMath>
            </m:oMathPara>
          </w:p>
        </w:tc>
      </w:tr>
      <w:tr w:rsidR="0019677A" w14:paraId="213255D7" w14:textId="77777777" w:rsidTr="000F264E">
        <w:trPr>
          <w:trHeight w:val="340"/>
        </w:trPr>
        <w:tc>
          <w:tcPr>
            <w:tcW w:w="1477" w:type="dxa"/>
            <w:vAlign w:val="center"/>
          </w:tcPr>
          <w:p w14:paraId="517BCDC5" w14:textId="1B83EFB1" w:rsidR="0019677A" w:rsidRPr="000F264E" w:rsidRDefault="00A9083D" w:rsidP="00DC3C5E">
            <w:pPr>
              <w:spacing w:line="480" w:lineRule="auto"/>
              <w:jc w:val="center"/>
              <w:rPr>
                <w:sz w:val="20"/>
                <w:szCs w:val="20"/>
                <w:lang w:val="el-GR"/>
              </w:rPr>
            </w:pPr>
            <m:oMathPara>
              <m:oMath>
                <m:f>
                  <m:fPr>
                    <m:ctrlPr>
                      <w:rPr>
                        <w:rFonts w:ascii="Cambria Math" w:hAnsi="Cambria Math"/>
                        <w:i/>
                        <w:sz w:val="20"/>
                        <w:szCs w:val="20"/>
                        <w:lang w:val="el-GR"/>
                      </w:rPr>
                    </m:ctrlPr>
                  </m:fPr>
                  <m:num>
                    <m:r>
                      <w:rPr>
                        <w:rFonts w:ascii="Cambria Math" w:hAnsi="Cambria Math"/>
                        <w:sz w:val="20"/>
                        <w:szCs w:val="20"/>
                        <w:lang w:val="el-GR"/>
                      </w:rPr>
                      <m:t>d</m:t>
                    </m:r>
                    <m:sSub>
                      <m:sSubPr>
                        <m:ctrlPr>
                          <w:rPr>
                            <w:rFonts w:ascii="Cambria Math" w:hAnsi="Cambria Math"/>
                            <w:i/>
                            <w:sz w:val="20"/>
                            <w:szCs w:val="20"/>
                            <w:lang w:val="el-GR"/>
                          </w:rPr>
                        </m:ctrlPr>
                      </m:sSubPr>
                      <m:e>
                        <m:r>
                          <w:rPr>
                            <w:rFonts w:ascii="Cambria Math" w:hAnsi="Cambria Math"/>
                            <w:sz w:val="20"/>
                            <w:szCs w:val="20"/>
                            <w:lang w:val="el-GR"/>
                          </w:rPr>
                          <m:t>P</m:t>
                        </m:r>
                      </m:e>
                      <m:sub>
                        <m:r>
                          <w:rPr>
                            <w:rFonts w:ascii="Cambria Math" w:hAnsi="Cambria Math"/>
                            <w:sz w:val="20"/>
                            <w:szCs w:val="20"/>
                            <w:lang w:val="el-GR"/>
                          </w:rPr>
                          <m:t>1</m:t>
                        </m:r>
                      </m:sub>
                    </m:sSub>
                  </m:num>
                  <m:den>
                    <m:r>
                      <w:rPr>
                        <w:rFonts w:ascii="Cambria Math" w:hAnsi="Cambria Math"/>
                        <w:sz w:val="20"/>
                        <w:szCs w:val="20"/>
                        <w:lang w:val="el-GR"/>
                      </w:rPr>
                      <m:t>dt</m:t>
                    </m:r>
                  </m:den>
                </m:f>
                <m:r>
                  <w:rPr>
                    <w:rFonts w:ascii="Cambria Math" w:hAnsi="Cambria Math"/>
                    <w:sz w:val="20"/>
                    <w:szCs w:val="20"/>
                    <w:lang w:val="el-GR"/>
                  </w:rPr>
                  <m:t>,</m:t>
                </m:r>
                <m:f>
                  <m:fPr>
                    <m:ctrlPr>
                      <w:rPr>
                        <w:rFonts w:ascii="Cambria Math" w:hAnsi="Cambria Math"/>
                        <w:i/>
                        <w:sz w:val="20"/>
                        <w:szCs w:val="20"/>
                        <w:lang w:val="el-GR"/>
                      </w:rPr>
                    </m:ctrlPr>
                  </m:fPr>
                  <m:num>
                    <m:r>
                      <w:rPr>
                        <w:rFonts w:ascii="Cambria Math" w:hAnsi="Cambria Math"/>
                        <w:sz w:val="20"/>
                        <w:szCs w:val="20"/>
                        <w:lang w:val="el-GR"/>
                      </w:rPr>
                      <m:t>d</m:t>
                    </m:r>
                    <m:sSub>
                      <m:sSubPr>
                        <m:ctrlPr>
                          <w:rPr>
                            <w:rFonts w:ascii="Cambria Math" w:hAnsi="Cambria Math"/>
                            <w:i/>
                            <w:sz w:val="20"/>
                            <w:szCs w:val="20"/>
                            <w:lang w:val="el-GR"/>
                          </w:rPr>
                        </m:ctrlPr>
                      </m:sSubPr>
                      <m:e>
                        <m:r>
                          <w:rPr>
                            <w:rFonts w:ascii="Cambria Math" w:hAnsi="Cambria Math"/>
                            <w:sz w:val="20"/>
                            <w:szCs w:val="20"/>
                            <w:lang w:val="el-GR"/>
                          </w:rPr>
                          <m:t>P</m:t>
                        </m:r>
                      </m:e>
                      <m:sub>
                        <m:r>
                          <w:rPr>
                            <w:rFonts w:ascii="Cambria Math" w:hAnsi="Cambria Math"/>
                            <w:sz w:val="20"/>
                            <w:szCs w:val="20"/>
                            <w:lang w:val="el-GR"/>
                          </w:rPr>
                          <m:t>2</m:t>
                        </m:r>
                      </m:sub>
                    </m:sSub>
                  </m:num>
                  <m:den>
                    <m:r>
                      <w:rPr>
                        <w:rFonts w:ascii="Cambria Math" w:hAnsi="Cambria Math"/>
                        <w:sz w:val="20"/>
                        <w:szCs w:val="20"/>
                        <w:lang w:val="el-GR"/>
                      </w:rPr>
                      <m:t>dt</m:t>
                    </m:r>
                  </m:den>
                </m:f>
                <m:r>
                  <w:rPr>
                    <w:rFonts w:ascii="Cambria Math" w:hAnsi="Cambria Math"/>
                    <w:sz w:val="20"/>
                    <w:szCs w:val="20"/>
                    <w:lang w:val="el-GR"/>
                  </w:rPr>
                  <m:t xml:space="preserve"> </m:t>
                </m:r>
              </m:oMath>
            </m:oMathPara>
          </w:p>
        </w:tc>
        <w:tc>
          <w:tcPr>
            <w:tcW w:w="3910" w:type="dxa"/>
            <w:vAlign w:val="center"/>
          </w:tcPr>
          <w:p w14:paraId="1591CDEB" w14:textId="7364BF73" w:rsidR="0019677A" w:rsidRPr="000F264E" w:rsidRDefault="0019677A" w:rsidP="0019677A">
            <w:pPr>
              <w:jc w:val="center"/>
              <w:rPr>
                <w:sz w:val="20"/>
                <w:szCs w:val="20"/>
              </w:rPr>
            </w:pPr>
            <w:r w:rsidRPr="000F264E">
              <w:rPr>
                <w:sz w:val="20"/>
                <w:szCs w:val="20"/>
              </w:rPr>
              <w:t>Change in producer 1 and producer 2 over time</w:t>
            </w:r>
          </w:p>
        </w:tc>
        <w:tc>
          <w:tcPr>
            <w:tcW w:w="1542" w:type="dxa"/>
          </w:tcPr>
          <w:p w14:paraId="15957190" w14:textId="3528AA29" w:rsidR="0019677A" w:rsidRPr="000F264E" w:rsidRDefault="00A9083D" w:rsidP="00DC3C5E">
            <w:pPr>
              <w:spacing w:line="480" w:lineRule="auto"/>
              <w:jc w:val="center"/>
              <w:rPr>
                <w:sz w:val="20"/>
                <w:szCs w:val="20"/>
              </w:rPr>
            </w:pPr>
            <m:oMathPara>
              <m:oMath>
                <m:f>
                  <m:fPr>
                    <m:ctrlPr>
                      <w:rPr>
                        <w:rFonts w:ascii="Cambria Math" w:hAnsi="Cambria Math"/>
                        <w:i/>
                        <w:sz w:val="20"/>
                        <w:szCs w:val="20"/>
                      </w:rPr>
                    </m:ctrlPr>
                  </m:fPr>
                  <m:num>
                    <m:r>
                      <w:rPr>
                        <w:rFonts w:ascii="Cambria Math" w:hAnsi="Cambria Math"/>
                        <w:sz w:val="20"/>
                        <w:szCs w:val="20"/>
                      </w:rPr>
                      <m:t>mmol N</m:t>
                    </m:r>
                  </m:num>
                  <m:den>
                    <m:r>
                      <w:rPr>
                        <w:rFonts w:ascii="Cambria Math" w:hAnsi="Cambria Math"/>
                        <w:sz w:val="20"/>
                        <w:szCs w:val="20"/>
                      </w:rPr>
                      <m:t xml:space="preserve">day </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3</m:t>
                        </m:r>
                      </m:sup>
                    </m:sSup>
                  </m:den>
                </m:f>
              </m:oMath>
            </m:oMathPara>
          </w:p>
        </w:tc>
      </w:tr>
      <w:tr w:rsidR="0019677A" w14:paraId="24941439" w14:textId="77777777" w:rsidTr="004D5EAF">
        <w:trPr>
          <w:trHeight w:val="728"/>
        </w:trPr>
        <w:tc>
          <w:tcPr>
            <w:tcW w:w="1477" w:type="dxa"/>
            <w:vAlign w:val="center"/>
          </w:tcPr>
          <w:p w14:paraId="5A883A2B" w14:textId="0DE19E4C" w:rsidR="0019677A" w:rsidRPr="000F264E" w:rsidRDefault="00A9083D" w:rsidP="00DC3C5E">
            <w:pPr>
              <w:spacing w:line="480" w:lineRule="auto"/>
              <w:jc w:val="center"/>
              <w:rPr>
                <w:sz w:val="20"/>
                <w:szCs w:val="20"/>
                <w:lang w:val="el-GR"/>
              </w:rPr>
            </w:pPr>
            <m:oMathPara>
              <m:oMath>
                <m:f>
                  <m:fPr>
                    <m:ctrlPr>
                      <w:rPr>
                        <w:rFonts w:ascii="Cambria Math" w:hAnsi="Cambria Math"/>
                        <w:i/>
                        <w:sz w:val="20"/>
                        <w:szCs w:val="20"/>
                        <w:lang w:val="el-GR"/>
                      </w:rPr>
                    </m:ctrlPr>
                  </m:fPr>
                  <m:num>
                    <m:r>
                      <w:rPr>
                        <w:rFonts w:ascii="Cambria Math" w:hAnsi="Cambria Math"/>
                        <w:sz w:val="20"/>
                        <w:szCs w:val="20"/>
                        <w:lang w:val="el-GR"/>
                      </w:rPr>
                      <m:t>dC</m:t>
                    </m:r>
                  </m:num>
                  <m:den>
                    <m:r>
                      <w:rPr>
                        <w:rFonts w:ascii="Cambria Math" w:hAnsi="Cambria Math"/>
                        <w:sz w:val="20"/>
                        <w:szCs w:val="20"/>
                        <w:lang w:val="el-GR"/>
                      </w:rPr>
                      <m:t>dt</m:t>
                    </m:r>
                  </m:den>
                </m:f>
              </m:oMath>
            </m:oMathPara>
          </w:p>
        </w:tc>
        <w:tc>
          <w:tcPr>
            <w:tcW w:w="3910" w:type="dxa"/>
            <w:vAlign w:val="center"/>
          </w:tcPr>
          <w:p w14:paraId="372C6A5E" w14:textId="733E8105" w:rsidR="0019677A" w:rsidRPr="000F264E" w:rsidRDefault="0019677A" w:rsidP="00DC3C5E">
            <w:pPr>
              <w:spacing w:line="480" w:lineRule="auto"/>
              <w:jc w:val="center"/>
              <w:rPr>
                <w:sz w:val="20"/>
                <w:szCs w:val="20"/>
              </w:rPr>
            </w:pPr>
            <w:r w:rsidRPr="000F264E">
              <w:rPr>
                <w:sz w:val="20"/>
                <w:szCs w:val="20"/>
              </w:rPr>
              <w:t>Change in consumer over time</w:t>
            </w:r>
          </w:p>
        </w:tc>
        <w:tc>
          <w:tcPr>
            <w:tcW w:w="1542" w:type="dxa"/>
          </w:tcPr>
          <w:p w14:paraId="3DF96B3F" w14:textId="7414C7A0" w:rsidR="0019677A" w:rsidRPr="000F264E" w:rsidRDefault="00A9083D" w:rsidP="00DC3C5E">
            <w:pPr>
              <w:spacing w:line="480" w:lineRule="auto"/>
              <w:jc w:val="center"/>
              <w:rPr>
                <w:sz w:val="20"/>
                <w:szCs w:val="20"/>
              </w:rPr>
            </w:pPr>
            <m:oMathPara>
              <m:oMath>
                <m:f>
                  <m:fPr>
                    <m:ctrlPr>
                      <w:rPr>
                        <w:rFonts w:ascii="Cambria Math" w:hAnsi="Cambria Math"/>
                        <w:i/>
                        <w:sz w:val="20"/>
                        <w:szCs w:val="20"/>
                      </w:rPr>
                    </m:ctrlPr>
                  </m:fPr>
                  <m:num>
                    <m:r>
                      <w:rPr>
                        <w:rFonts w:ascii="Cambria Math" w:hAnsi="Cambria Math"/>
                        <w:sz w:val="20"/>
                        <w:szCs w:val="20"/>
                      </w:rPr>
                      <m:t>mmol N</m:t>
                    </m:r>
                  </m:num>
                  <m:den>
                    <m:r>
                      <w:rPr>
                        <w:rFonts w:ascii="Cambria Math" w:hAnsi="Cambria Math"/>
                        <w:sz w:val="20"/>
                        <w:szCs w:val="20"/>
                      </w:rPr>
                      <m:t xml:space="preserve">day </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3</m:t>
                        </m:r>
                      </m:sup>
                    </m:sSup>
                  </m:den>
                </m:f>
              </m:oMath>
            </m:oMathPara>
          </w:p>
        </w:tc>
      </w:tr>
    </w:tbl>
    <w:p w14:paraId="79C2B29F" w14:textId="591F3A2A" w:rsidR="00CD7689" w:rsidRPr="000F264E" w:rsidRDefault="00DC3C5E" w:rsidP="003F4D70">
      <w:pPr>
        <w:spacing w:line="480" w:lineRule="auto"/>
      </w:pPr>
      <w:r w:rsidRPr="002B1DE6">
        <w:rPr>
          <w:noProof/>
        </w:rPr>
        <mc:AlternateContent>
          <mc:Choice Requires="wps">
            <w:drawing>
              <wp:anchor distT="0" distB="0" distL="114300" distR="114300" simplePos="0" relativeHeight="251830272" behindDoc="0" locked="0" layoutInCell="1" allowOverlap="1" wp14:anchorId="278018A8" wp14:editId="26267A61">
                <wp:simplePos x="0" y="0"/>
                <wp:positionH relativeFrom="column">
                  <wp:posOffset>-48895</wp:posOffset>
                </wp:positionH>
                <wp:positionV relativeFrom="paragraph">
                  <wp:posOffset>259500</wp:posOffset>
                </wp:positionV>
                <wp:extent cx="5411470" cy="849630"/>
                <wp:effectExtent l="0" t="0" r="0" b="1270"/>
                <wp:wrapSquare wrapText="bothSides"/>
                <wp:docPr id="143" name="Text Box 143"/>
                <wp:cNvGraphicFramePr/>
                <a:graphic xmlns:a="http://schemas.openxmlformats.org/drawingml/2006/main">
                  <a:graphicData uri="http://schemas.microsoft.com/office/word/2010/wordprocessingShape">
                    <wps:wsp>
                      <wps:cNvSpPr txBox="1"/>
                      <wps:spPr>
                        <a:xfrm>
                          <a:off x="0" y="0"/>
                          <a:ext cx="5411470" cy="849630"/>
                        </a:xfrm>
                        <a:prstGeom prst="rect">
                          <a:avLst/>
                        </a:prstGeom>
                        <a:solidFill>
                          <a:schemeClr val="lt1"/>
                        </a:solidFill>
                        <a:ln w="6350">
                          <a:noFill/>
                        </a:ln>
                      </wps:spPr>
                      <wps:txbx>
                        <w:txbxContent>
                          <w:p w14:paraId="2994DECB" w14:textId="1C1CD1F5" w:rsidR="00DC3C5E" w:rsidRPr="00A26D38" w:rsidRDefault="00D000CC" w:rsidP="00DC3C5E">
                            <w:r w:rsidRPr="00A26D38">
                              <w:t>Parameters</w:t>
                            </w:r>
                            <w:r w:rsidR="00BF5A37" w:rsidRPr="00A26D38">
                              <w:t xml:space="preserve"> and state variables</w:t>
                            </w:r>
                            <w:r w:rsidRPr="00A26D38">
                              <w:t xml:space="preserve"> used in the mathematical model</w:t>
                            </w:r>
                            <w:r w:rsidR="00BF5A37" w:rsidRPr="00A26D38">
                              <w:t xml:space="preserve"> including the symbol, the meaning of the symbol, and the mathematical units of the symbol.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018A8" id="Text Box 143" o:spid="_x0000_s1058" type="#_x0000_t202" style="position:absolute;margin-left:-3.85pt;margin-top:20.45pt;width:426.1pt;height:66.9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" fillcolor="white [3201]" stroked="f" strokeweight=".5pt">
                <v:textbox>
                  <w:txbxContent>
                    <w:p w14:paraId="2994DECB" w14:textId="1C1CD1F5" w:rsidR="00DC3C5E" w:rsidRPr="00A26D38" w:rsidRDefault="00D000CC" w:rsidP="00DC3C5E">
                      <w:r w:rsidRPr="00A26D38">
                        <w:t>Parameters</w:t>
                      </w:r>
                      <w:r w:rsidR="00BF5A37" w:rsidRPr="00A26D38">
                        <w:t xml:space="preserve"> and state variables</w:t>
                      </w:r>
                      <w:r w:rsidRPr="00A26D38">
                        <w:t xml:space="preserve"> used in the mathematical model</w:t>
                      </w:r>
                      <w:r w:rsidR="00BF5A37" w:rsidRPr="00A26D38">
                        <w:t xml:space="preserve"> including the symbol, the meaning of the symbol, and the mathematical units of the symbol.</w:t>
                      </w:r>
                    </w:p>
                  </w:txbxContent>
                </v:textbox>
                <w10:wrap type="square"/>
              </v:shape>
            </w:pict>
          </mc:Fallback>
        </mc:AlternateContent>
      </w:r>
    </w:p>
    <w:p w14:paraId="4C95C90F" w14:textId="77777777" w:rsidR="00A26D38" w:rsidRDefault="00A26D38" w:rsidP="003F4D70">
      <w:pPr>
        <w:spacing w:line="480" w:lineRule="auto"/>
        <w:rPr>
          <w:b/>
          <w:bCs/>
        </w:rPr>
      </w:pPr>
    </w:p>
    <w:p w14:paraId="64B8BE34" w14:textId="77777777" w:rsidR="00A26D38" w:rsidRDefault="00A26D38" w:rsidP="003F4D70">
      <w:pPr>
        <w:spacing w:line="480" w:lineRule="auto"/>
        <w:rPr>
          <w:b/>
          <w:bCs/>
        </w:rPr>
      </w:pPr>
    </w:p>
    <w:p w14:paraId="42B47BA9" w14:textId="77777777" w:rsidR="00A26D38" w:rsidRDefault="00A26D38" w:rsidP="003F4D70">
      <w:pPr>
        <w:spacing w:line="480" w:lineRule="auto"/>
        <w:rPr>
          <w:b/>
          <w:bCs/>
        </w:rPr>
      </w:pPr>
    </w:p>
    <w:p w14:paraId="0376BA62" w14:textId="77777777" w:rsidR="00A26D38" w:rsidRDefault="00A26D38" w:rsidP="003F4D70">
      <w:pPr>
        <w:spacing w:line="480" w:lineRule="auto"/>
        <w:rPr>
          <w:b/>
          <w:bCs/>
        </w:rPr>
      </w:pPr>
    </w:p>
    <w:p w14:paraId="284D8850" w14:textId="77777777" w:rsidR="00A26D38" w:rsidRDefault="00A26D38" w:rsidP="003F4D70">
      <w:pPr>
        <w:spacing w:line="480" w:lineRule="auto"/>
        <w:rPr>
          <w:b/>
          <w:bCs/>
        </w:rPr>
      </w:pPr>
    </w:p>
    <w:p w14:paraId="46724526" w14:textId="77777777" w:rsidR="00A26D38" w:rsidRDefault="00A26D38" w:rsidP="003F4D70">
      <w:pPr>
        <w:spacing w:line="480" w:lineRule="auto"/>
        <w:rPr>
          <w:b/>
          <w:bCs/>
        </w:rPr>
      </w:pPr>
    </w:p>
    <w:p w14:paraId="777565A9" w14:textId="6F1D4E63" w:rsidR="00D11F00" w:rsidRPr="00D11F00" w:rsidRDefault="0067146D" w:rsidP="00240F72">
      <w:pPr>
        <w:pStyle w:val="Heading2"/>
      </w:pPr>
      <w:bookmarkStart w:id="53" w:name="_Toc98870958"/>
      <w:r>
        <w:lastRenderedPageBreak/>
        <w:t>Methods</w:t>
      </w:r>
      <w:bookmarkEnd w:id="53"/>
    </w:p>
    <w:p w14:paraId="2186F556" w14:textId="3C3947FA" w:rsidR="00455B91" w:rsidRDefault="0096399B" w:rsidP="00455B91">
      <w:pPr>
        <w:spacing w:line="480" w:lineRule="auto"/>
        <w:ind w:firstLine="720"/>
      </w:pPr>
      <w:r>
        <w:t xml:space="preserve">In </w:t>
      </w:r>
      <w:r w:rsidRPr="00596720">
        <w:t xml:space="preserve">our experimental approach, we will simulate resource enrichment </w:t>
      </w:r>
      <w:r w:rsidRPr="006413CF">
        <w:rPr>
          <w:b/>
          <w:bCs/>
        </w:rPr>
        <w:t xml:space="preserve">(Figure </w:t>
      </w:r>
      <w:r w:rsidR="00EA2092">
        <w:rPr>
          <w:b/>
          <w:bCs/>
        </w:rPr>
        <w:t>19</w:t>
      </w:r>
      <w:r w:rsidRPr="006413CF">
        <w:rPr>
          <w:b/>
          <w:bCs/>
        </w:rPr>
        <w:t>)</w:t>
      </w:r>
      <w:r w:rsidRPr="00596720">
        <w:t xml:space="preserve"> to investigate the sensitivity of community structure using contrasting food-web structures; one without a consumer and one with a consumer</w:t>
      </w:r>
      <w:r w:rsidR="00E75867">
        <w:t xml:space="preserve"> (Model 1A and Model 1b, respectively)</w:t>
      </w:r>
      <w:r w:rsidRPr="00596720">
        <w:t>. Producers, P</w:t>
      </w:r>
      <w:r w:rsidRPr="00596720">
        <w:rPr>
          <w:vertAlign w:val="subscript"/>
        </w:rPr>
        <w:t>1</w:t>
      </w:r>
      <w:r w:rsidRPr="00596720">
        <w:t xml:space="preserve"> and P</w:t>
      </w:r>
      <w:r w:rsidRPr="00596720">
        <w:rPr>
          <w:vertAlign w:val="subscript"/>
        </w:rPr>
        <w:t>2</w:t>
      </w:r>
      <w:r w:rsidRPr="00596720">
        <w:t>, have contrasting traits with P</w:t>
      </w:r>
      <w:r w:rsidRPr="00596720">
        <w:rPr>
          <w:vertAlign w:val="subscript"/>
        </w:rPr>
        <w:t>1</w:t>
      </w:r>
      <w:r w:rsidRPr="00596720">
        <w:t xml:space="preserve"> strong in resource acquisition and P</w:t>
      </w:r>
      <w:r w:rsidRPr="00596720">
        <w:rPr>
          <w:vertAlign w:val="subscript"/>
        </w:rPr>
        <w:t>2</w:t>
      </w:r>
      <w:r w:rsidRPr="00596720">
        <w:t xml:space="preserve"> strong in defense against predation (Model 1B).</w:t>
      </w:r>
      <w:r w:rsidR="00E75867">
        <w:t xml:space="preserve"> </w:t>
      </w:r>
      <w:r w:rsidR="00CF6BAF">
        <w:t>In these models, P</w:t>
      </w:r>
      <w:r w:rsidR="00CF6BAF">
        <w:rPr>
          <w:vertAlign w:val="subscript"/>
        </w:rPr>
        <w:t>1</w:t>
      </w:r>
      <w:r w:rsidR="00CF6BAF">
        <w:t xml:space="preserve"> and P</w:t>
      </w:r>
      <w:r w:rsidR="00CF6BAF">
        <w:rPr>
          <w:vertAlign w:val="subscript"/>
        </w:rPr>
        <w:t>2</w:t>
      </w:r>
      <w:r w:rsidR="00CF6BAF">
        <w:t xml:space="preserve"> </w:t>
      </w:r>
      <w:r w:rsidR="005B0897">
        <w:t>are</w:t>
      </w:r>
      <w:r w:rsidR="00CF6BAF">
        <w:t xml:space="preserve"> analog</w:t>
      </w:r>
      <w:r w:rsidR="005B0897">
        <w:t>s</w:t>
      </w:r>
      <w:r w:rsidR="00CF6BAF">
        <w:t xml:space="preserve"> of </w:t>
      </w:r>
      <w:r w:rsidR="005B0897">
        <w:t xml:space="preserve">eukaryotic algae and </w:t>
      </w:r>
      <w:r w:rsidR="00CF6BAF">
        <w:rPr>
          <w:i/>
          <w:iCs/>
        </w:rPr>
        <w:t>M. aeruginosa</w:t>
      </w:r>
      <w:r w:rsidR="005B0897">
        <w:rPr>
          <w:i/>
          <w:iCs/>
        </w:rPr>
        <w:t xml:space="preserve">, </w:t>
      </w:r>
      <w:r w:rsidR="005B0897">
        <w:t>respectively</w:t>
      </w:r>
      <w:r w:rsidR="00CF6BAF">
        <w:t xml:space="preserve">. </w:t>
      </w:r>
      <w:r w:rsidR="00233DBA">
        <w:t xml:space="preserve">All parameter values used in our model simulations can be found in </w:t>
      </w:r>
      <w:r w:rsidR="00233DBA" w:rsidRPr="00233DBA">
        <w:rPr>
          <w:b/>
          <w:bCs/>
        </w:rPr>
        <w:t>Table 3.2</w:t>
      </w:r>
      <w:r w:rsidR="00233DBA">
        <w:t xml:space="preserve">. </w:t>
      </w:r>
      <w:r w:rsidR="00CF6BAF">
        <w:t>The goal of our experiment is to determine whether nutrient enrichment can drive a switch from P</w:t>
      </w:r>
      <w:r w:rsidR="00CF6BAF">
        <w:rPr>
          <w:vertAlign w:val="subscript"/>
        </w:rPr>
        <w:t xml:space="preserve">1 </w:t>
      </w:r>
      <w:r w:rsidR="00CF6BAF">
        <w:t>to P</w:t>
      </w:r>
      <w:r w:rsidR="00CF6BAF">
        <w:rPr>
          <w:vertAlign w:val="subscript"/>
        </w:rPr>
        <w:t>2</w:t>
      </w:r>
      <w:r w:rsidR="00CF6BAF">
        <w:t xml:space="preserve"> with and without top-down control.</w:t>
      </w:r>
    </w:p>
    <w:p w14:paraId="7FCE156A" w14:textId="20188FB3" w:rsidR="00C35051" w:rsidRPr="00C35051" w:rsidRDefault="0067146D" w:rsidP="00240F72">
      <w:pPr>
        <w:pStyle w:val="Heading2"/>
      </w:pPr>
      <w:bookmarkStart w:id="54" w:name="_Toc98870959"/>
      <w:r w:rsidRPr="00455B91">
        <w:t>Results and Discussions</w:t>
      </w:r>
      <w:bookmarkEnd w:id="54"/>
    </w:p>
    <w:p w14:paraId="4BAA0D9A" w14:textId="4CC9BEED" w:rsidR="00233DBA" w:rsidRDefault="006413CF" w:rsidP="00455B91">
      <w:pPr>
        <w:spacing w:line="480" w:lineRule="auto"/>
        <w:ind w:firstLine="720"/>
      </w:pPr>
      <w:r w:rsidRPr="00596720">
        <w:t xml:space="preserve">We begin with a mathematical model in which two producers compete for a resource, which is supplied at a </w:t>
      </w:r>
      <w:r w:rsidR="00E17862">
        <w:t xml:space="preserve">piecewise </w:t>
      </w:r>
      <w:r w:rsidRPr="00596720">
        <w:t>constant rate</w:t>
      </w:r>
      <w:r>
        <w:t xml:space="preserve">. </w:t>
      </w:r>
      <w:r w:rsidRPr="00596720">
        <w:t>The system can be characterized using the scheme</w:t>
      </w:r>
      <w:r>
        <w:t xml:space="preserve"> in </w:t>
      </w:r>
      <w:r w:rsidRPr="006413CF">
        <w:rPr>
          <w:b/>
          <w:bCs/>
        </w:rPr>
        <w:t>Figure 2</w:t>
      </w:r>
      <w:r w:rsidR="00EA2092">
        <w:rPr>
          <w:b/>
          <w:bCs/>
        </w:rPr>
        <w:t>0</w:t>
      </w:r>
      <w:r w:rsidRPr="00596720">
        <w:t xml:space="preserve"> and </w:t>
      </w:r>
      <w:r w:rsidR="00385E29" w:rsidRPr="00385E29">
        <w:rPr>
          <w:b/>
          <w:bCs/>
        </w:rPr>
        <w:t>E</w:t>
      </w:r>
      <w:r w:rsidRPr="00385E29">
        <w:rPr>
          <w:b/>
          <w:bCs/>
        </w:rPr>
        <w:t>quations</w:t>
      </w:r>
      <w:r w:rsidR="00385E29" w:rsidRPr="00385E29">
        <w:rPr>
          <w:b/>
          <w:bCs/>
        </w:rPr>
        <w:t xml:space="preserve"> </w:t>
      </w:r>
      <w:r w:rsidR="00C35051">
        <w:rPr>
          <w:b/>
          <w:bCs/>
        </w:rPr>
        <w:t>5</w:t>
      </w:r>
      <w:r w:rsidR="00385E29" w:rsidRPr="00385E29">
        <w:rPr>
          <w:b/>
          <w:bCs/>
        </w:rPr>
        <w:t>-</w:t>
      </w:r>
      <w:r w:rsidR="00C35051">
        <w:rPr>
          <w:b/>
          <w:bCs/>
        </w:rPr>
        <w:t>7</w:t>
      </w:r>
      <w:r w:rsidRPr="00596720">
        <w:t xml:space="preserve">: </w:t>
      </w:r>
    </w:p>
    <w:p w14:paraId="64B2C066" w14:textId="53F0BFD4" w:rsidR="00233DBA" w:rsidRDefault="00A9083D" w:rsidP="00385E29">
      <w:pPr>
        <w:tabs>
          <w:tab w:val="center" w:pos="4320"/>
        </w:tabs>
        <w:spacing w:line="480" w:lineRule="auto"/>
      </w:p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dR</m:t>
            </m:r>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S</m:t>
            </m:r>
          </m:e>
          <m:sub>
            <m:r>
              <w:rPr>
                <w:rFonts w:ascii="Cambria Math" w:eastAsia="Cambria Math" w:hAnsi="Cambria Math"/>
                <w:color w:val="000000" w:themeColor="text1"/>
                <w:kern w:val="24"/>
                <w:sz w:val="28"/>
                <w:szCs w:val="28"/>
              </w:rPr>
              <m:t>R</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μ</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 μ</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oMath>
      <w:r w:rsidR="00385E29">
        <w:tab/>
      </w:r>
      <w:r w:rsidR="00385E29">
        <w:tab/>
      </w:r>
      <w:r w:rsidR="00385E29">
        <w:tab/>
      </w:r>
      <w:r w:rsidR="00385E29">
        <w:tab/>
      </w:r>
      <w:r w:rsidR="00385E29">
        <w:tab/>
      </w:r>
      <w:r w:rsidR="00385E29">
        <w:tab/>
        <w:t>(</w:t>
      </w:r>
      <w:r w:rsidR="00C35051">
        <w:t>5</w:t>
      </w:r>
      <w:r w:rsidR="00385E29">
        <w:t>)</w:t>
      </w:r>
    </w:p>
    <w:p w14:paraId="5B518804" w14:textId="4C90A69E" w:rsidR="00385E29" w:rsidRDefault="00233DBA" w:rsidP="00385E29">
      <w:pPr>
        <w:tabs>
          <w:tab w:val="center" w:pos="4320"/>
        </w:tabs>
        <w:spacing w:line="480" w:lineRule="auto"/>
      </w:pPr>
      <w:r w:rsidRPr="00385E29">
        <w:rPr>
          <w:iCs/>
          <w:noProof/>
          <w:kern w:val="24"/>
        </w:rPr>
        <mc:AlternateContent>
          <mc:Choice Requires="wps">
            <w:drawing>
              <wp:anchor distT="0" distB="0" distL="114300" distR="114300" simplePos="0" relativeHeight="251979776" behindDoc="0" locked="0" layoutInCell="1" allowOverlap="1" wp14:anchorId="5DAB9B8A" wp14:editId="4A722E56">
                <wp:simplePos x="0" y="0"/>
                <wp:positionH relativeFrom="column">
                  <wp:posOffset>64135</wp:posOffset>
                </wp:positionH>
                <wp:positionV relativeFrom="paragraph">
                  <wp:posOffset>-135890</wp:posOffset>
                </wp:positionV>
                <wp:extent cx="906780" cy="236855"/>
                <wp:effectExtent l="0" t="0" r="0" b="0"/>
                <wp:wrapNone/>
                <wp:docPr id="176" name="TextBox 22"/>
                <wp:cNvGraphicFramePr/>
                <a:graphic xmlns:a="http://schemas.openxmlformats.org/drawingml/2006/main">
                  <a:graphicData uri="http://schemas.microsoft.com/office/word/2010/wordprocessingShape">
                    <wps:wsp>
                      <wps:cNvSpPr txBox="1"/>
                      <wps:spPr>
                        <a:xfrm>
                          <a:off x="0" y="0"/>
                          <a:ext cx="906780" cy="236855"/>
                        </a:xfrm>
                        <a:prstGeom prst="rect">
                          <a:avLst/>
                        </a:prstGeom>
                        <a:noFill/>
                      </wps:spPr>
                      <wps:txbx>
                        <w:txbxContent>
                          <w:p w14:paraId="1E714477" w14:textId="77777777" w:rsidR="00385E29" w:rsidRPr="00DC4406" w:rsidRDefault="00385E29" w:rsidP="00385E29">
                            <w:pPr>
                              <w:jc w:val="center"/>
                              <w:rPr>
                                <w:sz w:val="20"/>
                                <w:szCs w:val="20"/>
                              </w:rPr>
                            </w:pPr>
                            <w:r w:rsidRPr="00DC4406">
                              <w:rPr>
                                <w:rFonts w:hAnsi="Calibri"/>
                                <w:kern w:val="24"/>
                                <w:sz w:val="20"/>
                                <w:szCs w:val="20"/>
                              </w:rPr>
                              <w:t>Supply rate</w:t>
                            </w:r>
                          </w:p>
                        </w:txbxContent>
                      </wps:txbx>
                      <wps:bodyPr wrap="square" rtlCol="0">
                        <a:spAutoFit/>
                      </wps:bodyPr>
                    </wps:wsp>
                  </a:graphicData>
                </a:graphic>
              </wp:anchor>
            </w:drawing>
          </mc:Choice>
          <mc:Fallback>
            <w:pict>
              <v:shape w14:anchorId="5DAB9B8A" id="_x0000_s1059" type="#_x0000_t202" style="position:absolute;margin-left:5.05pt;margin-top:-10.7pt;width:71.4pt;height:18.65pt;z-index:25197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" filled="f" stroked="f">
                <v:textbox style="mso-fit-shape-to-text:t">
                  <w:txbxContent>
                    <w:p w14:paraId="1E714477" w14:textId="77777777" w:rsidR="00385E29" w:rsidRPr="00DC4406" w:rsidRDefault="00385E29" w:rsidP="00385E29">
                      <w:pPr>
                        <w:jc w:val="center"/>
                        <w:rPr>
                          <w:sz w:val="20"/>
                          <w:szCs w:val="20"/>
                        </w:rPr>
                      </w:pPr>
                      <w:r w:rsidRPr="00DC4406">
                        <w:rPr>
                          <w:rFonts w:hAnsi="Calibri"/>
                          <w:kern w:val="24"/>
                          <w:sz w:val="20"/>
                          <w:szCs w:val="20"/>
                        </w:rPr>
                        <w:t>Supply rate</w:t>
                      </w:r>
                    </w:p>
                  </w:txbxContent>
                </v:textbox>
              </v:shape>
            </w:pict>
          </mc:Fallback>
        </mc:AlternateContent>
      </w:r>
      <w:r w:rsidRPr="00385E29">
        <w:rPr>
          <w:iCs/>
          <w:noProof/>
          <w:kern w:val="24"/>
        </w:rPr>
        <mc:AlternateContent>
          <mc:Choice Requires="wps">
            <w:drawing>
              <wp:anchor distT="0" distB="0" distL="114300" distR="114300" simplePos="0" relativeHeight="251978752" behindDoc="0" locked="0" layoutInCell="1" allowOverlap="1" wp14:anchorId="40ED8DC7" wp14:editId="611DAC91">
                <wp:simplePos x="0" y="0"/>
                <wp:positionH relativeFrom="column">
                  <wp:posOffset>431800</wp:posOffset>
                </wp:positionH>
                <wp:positionV relativeFrom="paragraph">
                  <wp:posOffset>-247650</wp:posOffset>
                </wp:positionV>
                <wp:extent cx="113030" cy="195580"/>
                <wp:effectExtent l="0" t="0" r="0" b="0"/>
                <wp:wrapNone/>
                <wp:docPr id="174" name="Right Brace 20"/>
                <wp:cNvGraphicFramePr/>
                <a:graphic xmlns:a="http://schemas.openxmlformats.org/drawingml/2006/main">
                  <a:graphicData uri="http://schemas.microsoft.com/office/word/2010/wordprocessingShape">
                    <wps:wsp>
                      <wps:cNvSpPr/>
                      <wps:spPr>
                        <a:xfrm rot="5400000">
                          <a:off x="0" y="0"/>
                          <a:ext cx="113030" cy="19558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50758E1A" id="Right Brace 20" o:spid="_x0000_s1026" type="#_x0000_t88" style="position:absolute;margin-left:34pt;margin-top:-19.5pt;width:8.9pt;height:15.4pt;rotation:90;z-index:25197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" adj="1040" strokecolor="#4579b8 [3044]"/>
            </w:pict>
          </mc:Fallback>
        </mc:AlternateContent>
      </w:r>
      <w:r w:rsidRPr="00385E29">
        <w:rPr>
          <w:noProof/>
        </w:rPr>
        <mc:AlternateContent>
          <mc:Choice Requires="wps">
            <w:drawing>
              <wp:anchor distT="0" distB="0" distL="114300" distR="114300" simplePos="0" relativeHeight="251981824" behindDoc="0" locked="0" layoutInCell="1" allowOverlap="1" wp14:anchorId="45B4F127" wp14:editId="3B8E674C">
                <wp:simplePos x="0" y="0"/>
                <wp:positionH relativeFrom="column">
                  <wp:posOffset>1483360</wp:posOffset>
                </wp:positionH>
                <wp:positionV relativeFrom="paragraph">
                  <wp:posOffset>-774700</wp:posOffset>
                </wp:positionV>
                <wp:extent cx="132715" cy="1343025"/>
                <wp:effectExtent l="0" t="0" r="0" b="0"/>
                <wp:wrapNone/>
                <wp:docPr id="175" name="Right Brace 21"/>
                <wp:cNvGraphicFramePr/>
                <a:graphic xmlns:a="http://schemas.openxmlformats.org/drawingml/2006/main">
                  <a:graphicData uri="http://schemas.microsoft.com/office/word/2010/wordprocessingShape">
                    <wps:wsp>
                      <wps:cNvSpPr/>
                      <wps:spPr>
                        <a:xfrm rot="5400000">
                          <a:off x="0" y="0"/>
                          <a:ext cx="132715" cy="1343025"/>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57DDC61A" id="Right Brace 21" o:spid="_x0000_s1026" type="#_x0000_t88" style="position:absolute;margin-left:116.8pt;margin-top:-61pt;width:10.45pt;height:105.75pt;rotation:90;z-index:25198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" adj="178" strokecolor="#4579b8 [3044]"/>
            </w:pict>
          </mc:Fallback>
        </mc:AlternateContent>
      </w:r>
      <w:r w:rsidRPr="00385E29">
        <w:rPr>
          <w:noProof/>
        </w:rPr>
        <mc:AlternateContent>
          <mc:Choice Requires="wps">
            <w:drawing>
              <wp:anchor distT="0" distB="0" distL="114300" distR="114300" simplePos="0" relativeHeight="251982848" behindDoc="0" locked="0" layoutInCell="1" allowOverlap="1" wp14:anchorId="59C024B0" wp14:editId="79B00D0F">
                <wp:simplePos x="0" y="0"/>
                <wp:positionH relativeFrom="column">
                  <wp:posOffset>1146175</wp:posOffset>
                </wp:positionH>
                <wp:positionV relativeFrom="paragraph">
                  <wp:posOffset>-88721</wp:posOffset>
                </wp:positionV>
                <wp:extent cx="1371600" cy="236855"/>
                <wp:effectExtent l="0" t="0" r="0" b="0"/>
                <wp:wrapNone/>
                <wp:docPr id="177" name="TextBox 23"/>
                <wp:cNvGraphicFramePr/>
                <a:graphic xmlns:a="http://schemas.openxmlformats.org/drawingml/2006/main">
                  <a:graphicData uri="http://schemas.microsoft.com/office/word/2010/wordprocessingShape">
                    <wps:wsp>
                      <wps:cNvSpPr txBox="1"/>
                      <wps:spPr>
                        <a:xfrm>
                          <a:off x="0" y="0"/>
                          <a:ext cx="1371600" cy="236855"/>
                        </a:xfrm>
                        <a:prstGeom prst="rect">
                          <a:avLst/>
                        </a:prstGeom>
                        <a:noFill/>
                      </wps:spPr>
                      <wps:txbx>
                        <w:txbxContent>
                          <w:p w14:paraId="08522CAF" w14:textId="77777777" w:rsidR="00385E29" w:rsidRPr="00DC4406" w:rsidRDefault="00385E29" w:rsidP="00385E29">
                            <w:pPr>
                              <w:jc w:val="center"/>
                              <w:rPr>
                                <w:sz w:val="20"/>
                                <w:szCs w:val="20"/>
                              </w:rPr>
                            </w:pPr>
                            <w:r w:rsidRPr="00DC4406">
                              <w:rPr>
                                <w:rFonts w:hAnsi="Calibri"/>
                                <w:kern w:val="24"/>
                                <w:sz w:val="20"/>
                                <w:szCs w:val="20"/>
                              </w:rPr>
                              <w:t>Uptake by Producers</w:t>
                            </w:r>
                          </w:p>
                        </w:txbxContent>
                      </wps:txbx>
                      <wps:bodyPr wrap="square" rtlCol="0">
                        <a:spAutoFit/>
                      </wps:bodyPr>
                    </wps:wsp>
                  </a:graphicData>
                </a:graphic>
              </wp:anchor>
            </w:drawing>
          </mc:Choice>
          <mc:Fallback>
            <w:pict>
              <v:shape w14:anchorId="59C024B0" id="_x0000_s1060" type="#_x0000_t202" style="position:absolute;margin-left:90.25pt;margin-top:-7pt;width:108pt;height:18.65pt;z-index:25198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" filled="f" stroked="f">
                <v:textbox style="mso-fit-shape-to-text:t">
                  <w:txbxContent>
                    <w:p w14:paraId="08522CAF" w14:textId="77777777" w:rsidR="00385E29" w:rsidRPr="00DC4406" w:rsidRDefault="00385E29" w:rsidP="00385E29">
                      <w:pPr>
                        <w:jc w:val="center"/>
                        <w:rPr>
                          <w:sz w:val="20"/>
                          <w:szCs w:val="20"/>
                        </w:rPr>
                      </w:pPr>
                      <w:r w:rsidRPr="00DC4406">
                        <w:rPr>
                          <w:rFonts w:hAnsi="Calibri"/>
                          <w:kern w:val="24"/>
                          <w:sz w:val="20"/>
                          <w:szCs w:val="20"/>
                        </w:rPr>
                        <w:t>Uptake by Producers</w:t>
                      </w:r>
                    </w:p>
                  </w:txbxContent>
                </v:textbox>
              </v:shape>
            </w:pict>
          </mc:Fallback>
        </mc:AlternateContent>
      </w:r>
      <w:r w:rsidR="00385E29" w:rsidRPr="00385E29">
        <w:rPr>
          <w:iCs/>
          <w:noProof/>
          <w:color w:val="000000" w:themeColor="text1"/>
          <w:kern w:val="24"/>
        </w:rPr>
        <mc:AlternateContent>
          <mc:Choice Requires="wps">
            <w:drawing>
              <wp:anchor distT="0" distB="0" distL="114300" distR="114300" simplePos="0" relativeHeight="251985920" behindDoc="0" locked="0" layoutInCell="1" allowOverlap="1" wp14:anchorId="70B93FC4" wp14:editId="74770697">
                <wp:simplePos x="0" y="0"/>
                <wp:positionH relativeFrom="column">
                  <wp:posOffset>7629</wp:posOffset>
                </wp:positionH>
                <wp:positionV relativeFrom="paragraph">
                  <wp:posOffset>792990</wp:posOffset>
                </wp:positionV>
                <wp:extent cx="1204588" cy="383524"/>
                <wp:effectExtent l="0" t="0" r="0" b="0"/>
                <wp:wrapNone/>
                <wp:docPr id="184" name="TextBox 34"/>
                <wp:cNvGraphicFramePr/>
                <a:graphic xmlns:a="http://schemas.openxmlformats.org/drawingml/2006/main">
                  <a:graphicData uri="http://schemas.microsoft.com/office/word/2010/wordprocessingShape">
                    <wps:wsp>
                      <wps:cNvSpPr txBox="1"/>
                      <wps:spPr>
                        <a:xfrm>
                          <a:off x="0" y="0"/>
                          <a:ext cx="1204588" cy="383524"/>
                        </a:xfrm>
                        <a:prstGeom prst="rect">
                          <a:avLst/>
                        </a:prstGeom>
                        <a:noFill/>
                      </wps:spPr>
                      <wps:txbx>
                        <w:txbxContent>
                          <w:p w14:paraId="13352C7C" w14:textId="77777777" w:rsidR="00385E29" w:rsidRPr="00DC4406" w:rsidRDefault="00385E29" w:rsidP="00385E29">
                            <w:pPr>
                              <w:jc w:val="center"/>
                              <w:rPr>
                                <w:sz w:val="20"/>
                                <w:szCs w:val="20"/>
                              </w:rPr>
                            </w:pPr>
                            <w:r w:rsidRPr="00DC4406">
                              <w:rPr>
                                <w:rFonts w:hAnsi="Calibri"/>
                                <w:kern w:val="24"/>
                                <w:sz w:val="20"/>
                                <w:szCs w:val="20"/>
                              </w:rPr>
                              <w:t>Uptake of resource</w:t>
                            </w:r>
                          </w:p>
                        </w:txbxContent>
                      </wps:txbx>
                      <wps:bodyPr wrap="square" rtlCol="0">
                        <a:spAutoFit/>
                      </wps:bodyPr>
                    </wps:wsp>
                  </a:graphicData>
                </a:graphic>
              </wp:anchor>
            </w:drawing>
          </mc:Choice>
          <mc:Fallback>
            <w:pict>
              <v:shape w14:anchorId="70B93FC4" id="TextBox 34" o:spid="_x0000_s1061" type="#_x0000_t202" style="position:absolute;margin-left:.6pt;margin-top:62.45pt;width:94.85pt;height:30.2pt;z-index:25198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" filled="f" stroked="f">
                <v:textbox style="mso-fit-shape-to-text:t">
                  <w:txbxContent>
                    <w:p w14:paraId="13352C7C" w14:textId="77777777" w:rsidR="00385E29" w:rsidRPr="00DC4406" w:rsidRDefault="00385E29" w:rsidP="00385E29">
                      <w:pPr>
                        <w:jc w:val="center"/>
                        <w:rPr>
                          <w:sz w:val="20"/>
                          <w:szCs w:val="20"/>
                        </w:rPr>
                      </w:pPr>
                      <w:r w:rsidRPr="00DC4406">
                        <w:rPr>
                          <w:rFonts w:hAnsi="Calibri"/>
                          <w:kern w:val="24"/>
                          <w:sz w:val="20"/>
                          <w:szCs w:val="20"/>
                        </w:rPr>
                        <w:t>Uptake of resource</w:t>
                      </w:r>
                    </w:p>
                  </w:txbxContent>
                </v:textbox>
              </v:shape>
            </w:pict>
          </mc:Fallback>
        </mc:AlternateContent>
      </w:r>
      <w:r w:rsidR="00385E29" w:rsidRPr="00385E29">
        <w:rPr>
          <w:iCs/>
          <w:noProof/>
          <w:color w:val="000000" w:themeColor="text1"/>
          <w:kern w:val="24"/>
        </w:rPr>
        <mc:AlternateContent>
          <mc:Choice Requires="wps">
            <w:drawing>
              <wp:anchor distT="0" distB="0" distL="114300" distR="114300" simplePos="0" relativeHeight="251986944" behindDoc="0" locked="0" layoutInCell="1" allowOverlap="1" wp14:anchorId="08684EC7" wp14:editId="1544CB04">
                <wp:simplePos x="0" y="0"/>
                <wp:positionH relativeFrom="column">
                  <wp:posOffset>1131570</wp:posOffset>
                </wp:positionH>
                <wp:positionV relativeFrom="paragraph">
                  <wp:posOffset>791845</wp:posOffset>
                </wp:positionV>
                <wp:extent cx="1327150" cy="236855"/>
                <wp:effectExtent l="0" t="0" r="0" b="0"/>
                <wp:wrapNone/>
                <wp:docPr id="185" name="TextBox 35"/>
                <wp:cNvGraphicFramePr/>
                <a:graphic xmlns:a="http://schemas.openxmlformats.org/drawingml/2006/main">
                  <a:graphicData uri="http://schemas.microsoft.com/office/word/2010/wordprocessingShape">
                    <wps:wsp>
                      <wps:cNvSpPr txBox="1"/>
                      <wps:spPr>
                        <a:xfrm>
                          <a:off x="0" y="0"/>
                          <a:ext cx="1327150" cy="236855"/>
                        </a:xfrm>
                        <a:prstGeom prst="rect">
                          <a:avLst/>
                        </a:prstGeom>
                        <a:noFill/>
                      </wps:spPr>
                      <wps:txbx>
                        <w:txbxContent>
                          <w:p w14:paraId="79F85E72" w14:textId="77777777" w:rsidR="00385E29" w:rsidRPr="00DC4406" w:rsidRDefault="00385E29" w:rsidP="00385E29">
                            <w:pPr>
                              <w:jc w:val="center"/>
                              <w:rPr>
                                <w:sz w:val="20"/>
                                <w:szCs w:val="20"/>
                              </w:rPr>
                            </w:pPr>
                            <w:r w:rsidRPr="00DC4406">
                              <w:rPr>
                                <w:rFonts w:hAnsi="Calibri"/>
                                <w:kern w:val="24"/>
                                <w:sz w:val="20"/>
                                <w:szCs w:val="20"/>
                              </w:rPr>
                              <w:t>Loss of producer 1</w:t>
                            </w:r>
                          </w:p>
                        </w:txbxContent>
                      </wps:txbx>
                      <wps:bodyPr wrap="square" rtlCol="0">
                        <a:spAutoFit/>
                      </wps:bodyPr>
                    </wps:wsp>
                  </a:graphicData>
                </a:graphic>
              </wp:anchor>
            </w:drawing>
          </mc:Choice>
          <mc:Fallback>
            <w:pict>
              <v:shape w14:anchorId="08684EC7" id="_x0000_s1062" type="#_x0000_t202" style="position:absolute;margin-left:89.1pt;margin-top:62.35pt;width:104.5pt;height:18.65pt;z-index:25198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" filled="f" stroked="f">
                <v:textbox style="mso-fit-shape-to-text:t">
                  <w:txbxContent>
                    <w:p w14:paraId="79F85E72" w14:textId="77777777" w:rsidR="00385E29" w:rsidRPr="00DC4406" w:rsidRDefault="00385E29" w:rsidP="00385E29">
                      <w:pPr>
                        <w:jc w:val="center"/>
                        <w:rPr>
                          <w:sz w:val="20"/>
                          <w:szCs w:val="20"/>
                        </w:rPr>
                      </w:pPr>
                      <w:r w:rsidRPr="00DC4406">
                        <w:rPr>
                          <w:rFonts w:hAnsi="Calibri"/>
                          <w:kern w:val="24"/>
                          <w:sz w:val="20"/>
                          <w:szCs w:val="20"/>
                        </w:rPr>
                        <w:t>Loss of producer 1</w:t>
                      </w:r>
                    </w:p>
                  </w:txbxContent>
                </v:textbox>
              </v:shape>
            </w:pict>
          </mc:Fallback>
        </mc:AlternateContent>
      </w:r>
      <w:r w:rsidR="00385E29" w:rsidRPr="00385E29">
        <w:rPr>
          <w:iCs/>
          <w:noProof/>
          <w:color w:val="000000" w:themeColor="text1"/>
          <w:kern w:val="24"/>
        </w:rPr>
        <mc:AlternateContent>
          <mc:Choice Requires="wps">
            <w:drawing>
              <wp:anchor distT="0" distB="0" distL="114300" distR="114300" simplePos="0" relativeHeight="251984896" behindDoc="0" locked="0" layoutInCell="1" allowOverlap="1" wp14:anchorId="2D7E6641" wp14:editId="0B2D0B2F">
                <wp:simplePos x="0" y="0"/>
                <wp:positionH relativeFrom="column">
                  <wp:posOffset>1325245</wp:posOffset>
                </wp:positionH>
                <wp:positionV relativeFrom="paragraph">
                  <wp:posOffset>579549</wp:posOffset>
                </wp:positionV>
                <wp:extent cx="173954" cy="403658"/>
                <wp:effectExtent l="0" t="0" r="0" b="0"/>
                <wp:wrapNone/>
                <wp:docPr id="183" name="Right Brace 32"/>
                <wp:cNvGraphicFramePr/>
                <a:graphic xmlns:a="http://schemas.openxmlformats.org/drawingml/2006/main">
                  <a:graphicData uri="http://schemas.microsoft.com/office/word/2010/wordprocessingShape">
                    <wps:wsp>
                      <wps:cNvSpPr/>
                      <wps:spPr>
                        <a:xfrm rot="5400000">
                          <a:off x="0" y="0"/>
                          <a:ext cx="173954" cy="403658"/>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29DFF5A4" id="Right Brace 32" o:spid="_x0000_s1026" type="#_x0000_t88" style="position:absolute;margin-left:104.35pt;margin-top:45.65pt;width:13.7pt;height:31.8pt;rotation:90;z-index:25198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" adj="776" strokecolor="#4579b8 [3044]"/>
            </w:pict>
          </mc:Fallback>
        </mc:AlternateContent>
      </w:r>
      <w:r w:rsidR="00385E29">
        <w:rPr>
          <w:noProof/>
        </w:rPr>
        <mc:AlternateContent>
          <mc:Choice Requires="wps">
            <w:drawing>
              <wp:anchor distT="0" distB="0" distL="114300" distR="114300" simplePos="0" relativeHeight="251988992" behindDoc="0" locked="0" layoutInCell="1" allowOverlap="1" wp14:anchorId="78FE7899" wp14:editId="5A12BC6D">
                <wp:simplePos x="0" y="0"/>
                <wp:positionH relativeFrom="column">
                  <wp:posOffset>594064</wp:posOffset>
                </wp:positionH>
                <wp:positionV relativeFrom="paragraph">
                  <wp:posOffset>541947</wp:posOffset>
                </wp:positionV>
                <wp:extent cx="138401" cy="439695"/>
                <wp:effectExtent l="0" t="0" r="0" b="0"/>
                <wp:wrapNone/>
                <wp:docPr id="182" name="Right Brace 31"/>
                <wp:cNvGraphicFramePr/>
                <a:graphic xmlns:a="http://schemas.openxmlformats.org/drawingml/2006/main">
                  <a:graphicData uri="http://schemas.microsoft.com/office/word/2010/wordprocessingShape">
                    <wps:wsp>
                      <wps:cNvSpPr/>
                      <wps:spPr>
                        <a:xfrm rot="5400000">
                          <a:off x="0" y="0"/>
                          <a:ext cx="138401" cy="439695"/>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73A18EE4" id="Right Brace 31" o:spid="_x0000_s1026" type="#_x0000_t88" style="position:absolute;margin-left:46.8pt;margin-top:42.65pt;width:10.9pt;height:34.6pt;rotation:90;z-index:25198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" adj="567" strokecolor="#4579b8 [3044]"/>
            </w:pict>
          </mc:Fallback>
        </mc:AlternateContent>
      </w:r>
    </w:p>
    <w:p w14:paraId="3266A436" w14:textId="33271742" w:rsidR="00385E29" w:rsidRDefault="00A9083D" w:rsidP="00385E29">
      <w:pPr>
        <w:tabs>
          <w:tab w:val="center" w:pos="4320"/>
        </w:tabs>
        <w:spacing w:line="480" w:lineRule="auto"/>
        <w:rPr>
          <w:iCs/>
          <w:color w:val="000000" w:themeColor="text1"/>
          <w:kern w:val="24"/>
        </w:rPr>
      </w:p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m:t>
            </m:r>
            <m:sSub>
              <m:sSubPr>
                <m:ctrlPr>
                  <w:rPr>
                    <w:rFonts w:ascii="Cambria Math" w:eastAsiaTheme="minorEastAsia" w:hAnsi="Cambria Math"/>
                    <w:i/>
                    <w:iCs/>
                    <w:color w:val="000000" w:themeColor="text1"/>
                    <w:kern w:val="24"/>
                    <w:sz w:val="28"/>
                    <w:szCs w:val="28"/>
                  </w:rPr>
                </m:ctrlPr>
              </m:sSubPr>
              <m:e>
                <m:r>
                  <w:rPr>
                    <w:rFonts w:ascii="Cambria Math" w:hAnsi="Cambria Math"/>
                    <w:color w:val="000000" w:themeColor="text1"/>
                    <w:kern w:val="24"/>
                    <w:sz w:val="28"/>
                    <w:szCs w:val="28"/>
                  </w:rPr>
                  <m:t>P</m:t>
                </m:r>
              </m:e>
              <m:sub>
                <m:r>
                  <w:rPr>
                    <w:rFonts w:ascii="Cambria Math" w:hAnsi="Cambria Math"/>
                    <w:color w:val="000000" w:themeColor="text1"/>
                    <w:kern w:val="24"/>
                    <w:sz w:val="28"/>
                    <w:szCs w:val="28"/>
                  </w:rPr>
                  <m:t>1</m:t>
                </m:r>
              </m:sub>
            </m:sSub>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μ</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m</m:t>
            </m:r>
          </m:e>
          <m:sub>
            <m:r>
              <w:rPr>
                <w:rFonts w:ascii="Cambria Math" w:eastAsia="Cambria Math" w:hAnsi="Cambria Math"/>
                <w:color w:val="000000" w:themeColor="text1"/>
                <w:kern w:val="24"/>
                <w:sz w:val="28"/>
                <w:szCs w:val="28"/>
              </w:rPr>
              <m:t>p</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oMath>
      <w:r w:rsidR="00385E29">
        <w:rPr>
          <w:iCs/>
          <w:color w:val="000000" w:themeColor="text1"/>
          <w:kern w:val="24"/>
          <w:sz w:val="28"/>
          <w:szCs w:val="28"/>
        </w:rPr>
        <w:tab/>
      </w:r>
      <w:r w:rsidR="00385E29">
        <w:rPr>
          <w:iCs/>
          <w:color w:val="000000" w:themeColor="text1"/>
          <w:kern w:val="24"/>
          <w:sz w:val="28"/>
          <w:szCs w:val="28"/>
        </w:rPr>
        <w:tab/>
      </w:r>
      <w:r w:rsidR="00385E29">
        <w:rPr>
          <w:iCs/>
          <w:color w:val="000000" w:themeColor="text1"/>
          <w:kern w:val="24"/>
          <w:sz w:val="28"/>
          <w:szCs w:val="28"/>
        </w:rPr>
        <w:tab/>
      </w:r>
      <w:r w:rsidR="00385E29">
        <w:rPr>
          <w:iCs/>
          <w:color w:val="000000" w:themeColor="text1"/>
          <w:kern w:val="24"/>
          <w:sz w:val="28"/>
          <w:szCs w:val="28"/>
        </w:rPr>
        <w:tab/>
      </w:r>
      <w:r w:rsidR="00385E29">
        <w:rPr>
          <w:iCs/>
          <w:color w:val="000000" w:themeColor="text1"/>
          <w:kern w:val="24"/>
          <w:sz w:val="28"/>
          <w:szCs w:val="28"/>
        </w:rPr>
        <w:tab/>
      </w:r>
      <w:r w:rsidR="00385E29">
        <w:rPr>
          <w:iCs/>
          <w:color w:val="000000" w:themeColor="text1"/>
          <w:kern w:val="24"/>
          <w:sz w:val="28"/>
          <w:szCs w:val="28"/>
        </w:rPr>
        <w:tab/>
      </w:r>
      <w:r w:rsidR="00385E29" w:rsidRPr="00385E29">
        <w:rPr>
          <w:iCs/>
          <w:color w:val="000000" w:themeColor="text1"/>
          <w:kern w:val="24"/>
        </w:rPr>
        <w:t>(</w:t>
      </w:r>
      <w:r w:rsidR="00C35051">
        <w:rPr>
          <w:iCs/>
          <w:color w:val="000000" w:themeColor="text1"/>
          <w:kern w:val="24"/>
        </w:rPr>
        <w:t>6</w:t>
      </w:r>
      <w:r w:rsidR="00385E29" w:rsidRPr="00385E29">
        <w:rPr>
          <w:iCs/>
          <w:color w:val="000000" w:themeColor="text1"/>
          <w:kern w:val="24"/>
        </w:rPr>
        <w:t>)</w:t>
      </w:r>
    </w:p>
    <w:p w14:paraId="36091BAF" w14:textId="77777777" w:rsidR="00233DBA" w:rsidRPr="00233DBA" w:rsidRDefault="00233DBA" w:rsidP="00385E29">
      <w:pPr>
        <w:tabs>
          <w:tab w:val="center" w:pos="4320"/>
        </w:tabs>
        <w:spacing w:line="480" w:lineRule="auto"/>
        <w:rPr>
          <w:iCs/>
          <w:kern w:val="24"/>
          <w:sz w:val="28"/>
          <w:szCs w:val="28"/>
        </w:rPr>
      </w:pPr>
    </w:p>
    <w:p w14:paraId="417C2224" w14:textId="1226012E" w:rsidR="00385E29" w:rsidRPr="00385E29" w:rsidRDefault="00A9083D" w:rsidP="00385E29">
      <w:pPr>
        <w:tabs>
          <w:tab w:val="center" w:pos="4320"/>
        </w:tabs>
        <w:spacing w:line="480" w:lineRule="auto"/>
      </w:pPr>
      <m:oMath>
        <m:f>
          <m:fPr>
            <m:ctrlPr>
              <w:rPr>
                <w:rFonts w:ascii="Cambria Math" w:eastAsiaTheme="minorEastAsia" w:hAnsi="Cambria Math"/>
                <w:i/>
                <w:iCs/>
                <w:kern w:val="24"/>
                <w:sz w:val="28"/>
                <w:szCs w:val="28"/>
              </w:rPr>
            </m:ctrlPr>
          </m:fPr>
          <m:num>
            <m:r>
              <w:rPr>
                <w:rFonts w:ascii="Cambria Math" w:hAnsi="Cambria Math"/>
                <w:kern w:val="24"/>
                <w:sz w:val="28"/>
                <w:szCs w:val="28"/>
              </w:rPr>
              <m:t>d</m:t>
            </m:r>
            <m:sSub>
              <m:sSubPr>
                <m:ctrlPr>
                  <w:rPr>
                    <w:rFonts w:ascii="Cambria Math" w:eastAsiaTheme="minorEastAsia" w:hAnsi="Cambria Math"/>
                    <w:i/>
                    <w:iCs/>
                    <w:kern w:val="24"/>
                    <w:sz w:val="28"/>
                    <w:szCs w:val="28"/>
                  </w:rPr>
                </m:ctrlPr>
              </m:sSubPr>
              <m:e>
                <m:r>
                  <w:rPr>
                    <w:rFonts w:ascii="Cambria Math" w:hAnsi="Cambria Math"/>
                    <w:kern w:val="24"/>
                    <w:sz w:val="28"/>
                    <w:szCs w:val="28"/>
                  </w:rPr>
                  <m:t>P</m:t>
                </m:r>
              </m:e>
              <m:sub>
                <m:r>
                  <w:rPr>
                    <w:rFonts w:ascii="Cambria Math" w:hAnsi="Cambria Math"/>
                    <w:kern w:val="24"/>
                    <w:sz w:val="28"/>
                    <w:szCs w:val="28"/>
                  </w:rPr>
                  <m:t>2</m:t>
                </m:r>
              </m:sub>
            </m:sSub>
          </m:num>
          <m:den>
            <m:r>
              <w:rPr>
                <w:rFonts w:ascii="Cambria Math" w:hAnsi="Cambria Math"/>
                <w:kern w:val="24"/>
                <w:sz w:val="28"/>
                <w:szCs w:val="28"/>
              </w:rPr>
              <m:t>dt</m:t>
            </m:r>
          </m:den>
        </m:f>
        <m:r>
          <w:rPr>
            <w:rFonts w:ascii="Cambria Math" w:eastAsia="Cambria Math" w:hAnsi="Cambria Math"/>
            <w:kern w:val="24"/>
            <w:sz w:val="28"/>
            <w:szCs w:val="28"/>
          </w:rPr>
          <m:t>=</m:t>
        </m:r>
        <m:sSub>
          <m:sSubPr>
            <m:ctrlPr>
              <w:rPr>
                <w:rFonts w:ascii="Cambria Math" w:eastAsia="Cambria Math" w:hAnsi="Cambria Math"/>
                <w:i/>
                <w:iCs/>
                <w:kern w:val="24"/>
                <w:sz w:val="28"/>
                <w:szCs w:val="28"/>
              </w:rPr>
            </m:ctrlPr>
          </m:sSubPr>
          <m:e>
            <m:r>
              <w:rPr>
                <w:rFonts w:ascii="Cambria Math" w:eastAsia="Cambria Math" w:hAnsi="Cambria Math"/>
                <w:kern w:val="24"/>
                <w:sz w:val="28"/>
                <w:szCs w:val="28"/>
              </w:rPr>
              <m:t>μ</m:t>
            </m:r>
          </m:e>
          <m:sub>
            <m:r>
              <w:rPr>
                <w:rFonts w:ascii="Cambria Math" w:eastAsia="Cambria Math" w:hAnsi="Cambria Math"/>
                <w:kern w:val="24"/>
                <w:sz w:val="28"/>
                <w:szCs w:val="28"/>
              </w:rPr>
              <m:t>2</m:t>
            </m:r>
          </m:sub>
        </m:sSub>
        <m:r>
          <w:rPr>
            <w:rFonts w:ascii="Cambria Math" w:eastAsia="Cambria Math" w:hAnsi="Cambria Math"/>
            <w:kern w:val="24"/>
            <w:sz w:val="28"/>
            <w:szCs w:val="28"/>
          </w:rPr>
          <m:t>R</m:t>
        </m:r>
        <m:sSub>
          <m:sSubPr>
            <m:ctrlPr>
              <w:rPr>
                <w:rFonts w:ascii="Cambria Math" w:eastAsia="Cambria Math" w:hAnsi="Cambria Math"/>
                <w:i/>
                <w:iCs/>
                <w:kern w:val="24"/>
                <w:sz w:val="28"/>
                <w:szCs w:val="28"/>
              </w:rPr>
            </m:ctrlPr>
          </m:sSubPr>
          <m:e>
            <m:r>
              <w:rPr>
                <w:rFonts w:ascii="Cambria Math" w:eastAsia="Cambria Math" w:hAnsi="Cambria Math"/>
                <w:kern w:val="24"/>
                <w:sz w:val="28"/>
                <w:szCs w:val="28"/>
              </w:rPr>
              <m:t>P</m:t>
            </m:r>
          </m:e>
          <m:sub>
            <m:r>
              <w:rPr>
                <w:rFonts w:ascii="Cambria Math" w:eastAsia="Cambria Math" w:hAnsi="Cambria Math"/>
                <w:kern w:val="24"/>
                <w:sz w:val="28"/>
                <w:szCs w:val="28"/>
              </w:rPr>
              <m:t>2</m:t>
            </m:r>
          </m:sub>
        </m:sSub>
        <m:r>
          <w:rPr>
            <w:rFonts w:ascii="Cambria Math" w:eastAsia="Cambria Math" w:hAnsi="Cambria Math"/>
            <w:kern w:val="24"/>
            <w:sz w:val="28"/>
            <w:szCs w:val="28"/>
          </w:rPr>
          <m:t> - </m:t>
        </m:r>
        <m:sSub>
          <m:sSubPr>
            <m:ctrlPr>
              <w:rPr>
                <w:rFonts w:ascii="Cambria Math" w:eastAsia="Cambria Math" w:hAnsi="Cambria Math"/>
                <w:i/>
                <w:iCs/>
                <w:kern w:val="24"/>
                <w:sz w:val="28"/>
                <w:szCs w:val="28"/>
              </w:rPr>
            </m:ctrlPr>
          </m:sSubPr>
          <m:e>
            <m:r>
              <w:rPr>
                <w:rFonts w:ascii="Cambria Math" w:eastAsia="Cambria Math" w:hAnsi="Cambria Math"/>
                <w:kern w:val="24"/>
                <w:sz w:val="28"/>
                <w:szCs w:val="28"/>
              </w:rPr>
              <m:t>m</m:t>
            </m:r>
          </m:e>
          <m:sub>
            <m:r>
              <w:rPr>
                <w:rFonts w:ascii="Cambria Math" w:eastAsia="Cambria Math" w:hAnsi="Cambria Math"/>
                <w:kern w:val="24"/>
                <w:sz w:val="28"/>
                <w:szCs w:val="28"/>
              </w:rPr>
              <m:t>p</m:t>
            </m:r>
          </m:sub>
        </m:sSub>
        <m:sSub>
          <m:sSubPr>
            <m:ctrlPr>
              <w:rPr>
                <w:rFonts w:ascii="Cambria Math" w:eastAsia="Cambria Math" w:hAnsi="Cambria Math"/>
                <w:i/>
                <w:iCs/>
                <w:kern w:val="24"/>
                <w:sz w:val="28"/>
                <w:szCs w:val="28"/>
              </w:rPr>
            </m:ctrlPr>
          </m:sSubPr>
          <m:e>
            <m:r>
              <w:rPr>
                <w:rFonts w:ascii="Cambria Math" w:eastAsia="Cambria Math" w:hAnsi="Cambria Math"/>
                <w:kern w:val="24"/>
                <w:sz w:val="28"/>
                <w:szCs w:val="28"/>
              </w:rPr>
              <m:t>P</m:t>
            </m:r>
          </m:e>
          <m:sub>
            <m:r>
              <w:rPr>
                <w:rFonts w:ascii="Cambria Math" w:eastAsia="Cambria Math" w:hAnsi="Cambria Math"/>
                <w:kern w:val="24"/>
                <w:sz w:val="28"/>
                <w:szCs w:val="28"/>
              </w:rPr>
              <m:t>2</m:t>
            </m:r>
          </m:sub>
        </m:sSub>
      </m:oMath>
      <w:r w:rsidR="00385E29">
        <w:rPr>
          <w:iCs/>
          <w:kern w:val="24"/>
          <w:sz w:val="28"/>
          <w:szCs w:val="28"/>
        </w:rPr>
        <w:tab/>
      </w:r>
      <w:r w:rsidR="00385E29">
        <w:rPr>
          <w:iCs/>
          <w:kern w:val="24"/>
          <w:sz w:val="28"/>
          <w:szCs w:val="28"/>
        </w:rPr>
        <w:tab/>
      </w:r>
      <w:r w:rsidR="00385E29">
        <w:rPr>
          <w:iCs/>
          <w:kern w:val="24"/>
          <w:sz w:val="28"/>
          <w:szCs w:val="28"/>
        </w:rPr>
        <w:tab/>
      </w:r>
      <w:r w:rsidR="00385E29">
        <w:rPr>
          <w:iCs/>
          <w:kern w:val="24"/>
          <w:sz w:val="28"/>
          <w:szCs w:val="28"/>
        </w:rPr>
        <w:tab/>
      </w:r>
      <w:r w:rsidR="00385E29">
        <w:rPr>
          <w:iCs/>
          <w:kern w:val="24"/>
          <w:sz w:val="28"/>
          <w:szCs w:val="28"/>
        </w:rPr>
        <w:tab/>
      </w:r>
      <w:r w:rsidR="00385E29">
        <w:rPr>
          <w:iCs/>
          <w:kern w:val="24"/>
          <w:sz w:val="28"/>
          <w:szCs w:val="28"/>
        </w:rPr>
        <w:tab/>
      </w:r>
      <w:r w:rsidR="00385E29">
        <w:rPr>
          <w:iCs/>
          <w:kern w:val="24"/>
        </w:rPr>
        <w:t>(</w:t>
      </w:r>
      <w:r w:rsidR="00C35051">
        <w:rPr>
          <w:iCs/>
          <w:kern w:val="24"/>
        </w:rPr>
        <w:t>7</w:t>
      </w:r>
      <w:r w:rsidR="00385E29">
        <w:rPr>
          <w:iCs/>
          <w:kern w:val="24"/>
        </w:rPr>
        <w:t>)</w:t>
      </w:r>
      <w:r w:rsidR="00385E29" w:rsidRPr="00385E29">
        <w:rPr>
          <w:noProof/>
        </w:rPr>
        <w:t xml:space="preserve"> </w:t>
      </w:r>
    </w:p>
    <w:p w14:paraId="01304EF2" w14:textId="77777777" w:rsidR="004D5EAF" w:rsidRDefault="00BE0454" w:rsidP="00CF6BAF">
      <w:pPr>
        <w:tabs>
          <w:tab w:val="center" w:pos="4320"/>
        </w:tabs>
        <w:spacing w:line="480" w:lineRule="auto"/>
      </w:pPr>
      <w:r w:rsidRPr="00BE0454">
        <w:rPr>
          <w:noProof/>
        </w:rPr>
        <mc:AlternateContent>
          <mc:Choice Requires="wps">
            <w:drawing>
              <wp:anchor distT="0" distB="0" distL="114300" distR="114300" simplePos="0" relativeHeight="251991040" behindDoc="0" locked="0" layoutInCell="1" allowOverlap="1" wp14:anchorId="056B1CAB" wp14:editId="1BD37DD6">
                <wp:simplePos x="0" y="0"/>
                <wp:positionH relativeFrom="column">
                  <wp:posOffset>40971</wp:posOffset>
                </wp:positionH>
                <wp:positionV relativeFrom="paragraph">
                  <wp:posOffset>-43466</wp:posOffset>
                </wp:positionV>
                <wp:extent cx="1203960" cy="382905"/>
                <wp:effectExtent l="0" t="0" r="0" b="0"/>
                <wp:wrapNone/>
                <wp:docPr id="180" name="TextBox 29"/>
                <wp:cNvGraphicFramePr/>
                <a:graphic xmlns:a="http://schemas.openxmlformats.org/drawingml/2006/main">
                  <a:graphicData uri="http://schemas.microsoft.com/office/word/2010/wordprocessingShape">
                    <wps:wsp>
                      <wps:cNvSpPr txBox="1"/>
                      <wps:spPr>
                        <a:xfrm>
                          <a:off x="0" y="0"/>
                          <a:ext cx="1203960" cy="382905"/>
                        </a:xfrm>
                        <a:prstGeom prst="rect">
                          <a:avLst/>
                        </a:prstGeom>
                        <a:noFill/>
                      </wps:spPr>
                      <wps:txbx>
                        <w:txbxContent>
                          <w:p w14:paraId="38BF2B7B" w14:textId="77777777" w:rsidR="00BE0454" w:rsidRPr="00DC4406" w:rsidRDefault="00BE0454" w:rsidP="00BE0454">
                            <w:pPr>
                              <w:jc w:val="center"/>
                              <w:rPr>
                                <w:sz w:val="16"/>
                                <w:szCs w:val="16"/>
                              </w:rPr>
                            </w:pPr>
                            <w:r w:rsidRPr="00DC4406">
                              <w:rPr>
                                <w:rFonts w:hAnsi="Calibri"/>
                                <w:kern w:val="24"/>
                                <w:sz w:val="20"/>
                                <w:szCs w:val="20"/>
                              </w:rPr>
                              <w:t>Uptake of resource</w:t>
                            </w:r>
                          </w:p>
                        </w:txbxContent>
                      </wps:txbx>
                      <wps:bodyPr wrap="square" rtlCol="0">
                        <a:spAutoFit/>
                      </wps:bodyPr>
                    </wps:wsp>
                  </a:graphicData>
                </a:graphic>
              </wp:anchor>
            </w:drawing>
          </mc:Choice>
          <mc:Fallback>
            <w:pict>
              <v:shape w14:anchorId="056B1CAB" id="TextBox 29" o:spid="_x0000_s1063" type="#_x0000_t202" style="position:absolute;margin-left:3.25pt;margin-top:-3.4pt;width:94.8pt;height:30.15pt;z-index:25199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" filled="f" stroked="f">
                <v:textbox style="mso-fit-shape-to-text:t">
                  <w:txbxContent>
                    <w:p w14:paraId="38BF2B7B" w14:textId="77777777" w:rsidR="00BE0454" w:rsidRPr="00DC4406" w:rsidRDefault="00BE0454" w:rsidP="00BE0454">
                      <w:pPr>
                        <w:jc w:val="center"/>
                        <w:rPr>
                          <w:sz w:val="16"/>
                          <w:szCs w:val="16"/>
                        </w:rPr>
                      </w:pPr>
                      <w:r w:rsidRPr="00DC4406">
                        <w:rPr>
                          <w:rFonts w:hAnsi="Calibri"/>
                          <w:kern w:val="24"/>
                          <w:sz w:val="20"/>
                          <w:szCs w:val="20"/>
                        </w:rPr>
                        <w:t>Uptake of resource</w:t>
                      </w:r>
                    </w:p>
                  </w:txbxContent>
                </v:textbox>
              </v:shape>
            </w:pict>
          </mc:Fallback>
        </mc:AlternateContent>
      </w:r>
      <w:r w:rsidRPr="00BE0454">
        <w:rPr>
          <w:noProof/>
        </w:rPr>
        <mc:AlternateContent>
          <mc:Choice Requires="wps">
            <w:drawing>
              <wp:anchor distT="0" distB="0" distL="114300" distR="114300" simplePos="0" relativeHeight="251992064" behindDoc="0" locked="0" layoutInCell="1" allowOverlap="1" wp14:anchorId="63BC0482" wp14:editId="1B8F4539">
                <wp:simplePos x="0" y="0"/>
                <wp:positionH relativeFrom="column">
                  <wp:posOffset>1131570</wp:posOffset>
                </wp:positionH>
                <wp:positionV relativeFrom="paragraph">
                  <wp:posOffset>-43815</wp:posOffset>
                </wp:positionV>
                <wp:extent cx="1254125" cy="236855"/>
                <wp:effectExtent l="0" t="0" r="0" b="0"/>
                <wp:wrapNone/>
                <wp:docPr id="181" name="TextBox 30"/>
                <wp:cNvGraphicFramePr/>
                <a:graphic xmlns:a="http://schemas.openxmlformats.org/drawingml/2006/main">
                  <a:graphicData uri="http://schemas.microsoft.com/office/word/2010/wordprocessingShape">
                    <wps:wsp>
                      <wps:cNvSpPr txBox="1"/>
                      <wps:spPr>
                        <a:xfrm>
                          <a:off x="0" y="0"/>
                          <a:ext cx="1254125" cy="236855"/>
                        </a:xfrm>
                        <a:prstGeom prst="rect">
                          <a:avLst/>
                        </a:prstGeom>
                        <a:noFill/>
                      </wps:spPr>
                      <wps:txbx>
                        <w:txbxContent>
                          <w:p w14:paraId="18F3ED4B" w14:textId="77777777" w:rsidR="00BE0454" w:rsidRPr="00DC4406" w:rsidRDefault="00BE0454" w:rsidP="00BE0454">
                            <w:pPr>
                              <w:jc w:val="center"/>
                              <w:rPr>
                                <w:sz w:val="16"/>
                                <w:szCs w:val="16"/>
                              </w:rPr>
                            </w:pPr>
                            <w:r w:rsidRPr="00DC4406">
                              <w:rPr>
                                <w:rFonts w:hAnsi="Calibri"/>
                                <w:kern w:val="24"/>
                                <w:sz w:val="20"/>
                                <w:szCs w:val="20"/>
                              </w:rPr>
                              <w:t>Loss of producer 2</w:t>
                            </w:r>
                          </w:p>
                        </w:txbxContent>
                      </wps:txbx>
                      <wps:bodyPr wrap="square" rtlCol="0">
                        <a:spAutoFit/>
                      </wps:bodyPr>
                    </wps:wsp>
                  </a:graphicData>
                </a:graphic>
              </wp:anchor>
            </w:drawing>
          </mc:Choice>
          <mc:Fallback>
            <w:pict>
              <v:shape w14:anchorId="63BC0482" id="TextBox 30" o:spid="_x0000_s1064" type="#_x0000_t202" style="position:absolute;margin-left:89.1pt;margin-top:-3.45pt;width:98.75pt;height:18.65pt;z-index:25199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" filled="f" stroked="f">
                <v:textbox style="mso-fit-shape-to-text:t">
                  <w:txbxContent>
                    <w:p w14:paraId="18F3ED4B" w14:textId="77777777" w:rsidR="00BE0454" w:rsidRPr="00DC4406" w:rsidRDefault="00BE0454" w:rsidP="00BE0454">
                      <w:pPr>
                        <w:jc w:val="center"/>
                        <w:rPr>
                          <w:sz w:val="16"/>
                          <w:szCs w:val="16"/>
                        </w:rPr>
                      </w:pPr>
                      <w:r w:rsidRPr="00DC4406">
                        <w:rPr>
                          <w:rFonts w:hAnsi="Calibri"/>
                          <w:kern w:val="24"/>
                          <w:sz w:val="20"/>
                          <w:szCs w:val="20"/>
                        </w:rPr>
                        <w:t>Loss of producer 2</w:t>
                      </w:r>
                    </w:p>
                  </w:txbxContent>
                </v:textbox>
              </v:shape>
            </w:pict>
          </mc:Fallback>
        </mc:AlternateContent>
      </w:r>
      <w:r w:rsidRPr="00BE0454">
        <w:rPr>
          <w:noProof/>
        </w:rPr>
        <mc:AlternateContent>
          <mc:Choice Requires="wps">
            <w:drawing>
              <wp:anchor distT="0" distB="0" distL="114300" distR="114300" simplePos="0" relativeHeight="251994112" behindDoc="0" locked="0" layoutInCell="1" allowOverlap="1" wp14:anchorId="7D0F52DB" wp14:editId="625F6450">
                <wp:simplePos x="0" y="0"/>
                <wp:positionH relativeFrom="column">
                  <wp:posOffset>589915</wp:posOffset>
                </wp:positionH>
                <wp:positionV relativeFrom="paragraph">
                  <wp:posOffset>-342265</wp:posOffset>
                </wp:positionV>
                <wp:extent cx="137795" cy="442595"/>
                <wp:effectExtent l="0" t="0" r="0" b="0"/>
                <wp:wrapNone/>
                <wp:docPr id="178" name="Right Brace 27"/>
                <wp:cNvGraphicFramePr/>
                <a:graphic xmlns:a="http://schemas.openxmlformats.org/drawingml/2006/main">
                  <a:graphicData uri="http://schemas.microsoft.com/office/word/2010/wordprocessingShape">
                    <wps:wsp>
                      <wps:cNvSpPr/>
                      <wps:spPr>
                        <a:xfrm rot="5400000">
                          <a:off x="0" y="0"/>
                          <a:ext cx="137795" cy="442595"/>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4E16CC53" id="Right Brace 27" o:spid="_x0000_s1026" type="#_x0000_t88" style="position:absolute;margin-left:46.45pt;margin-top:-26.95pt;width:10.85pt;height:34.85pt;rotation:90;z-index:25199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" adj="560" strokecolor="#4579b8 [3044]"/>
            </w:pict>
          </mc:Fallback>
        </mc:AlternateContent>
      </w:r>
      <w:r w:rsidRPr="00BE0454">
        <w:rPr>
          <w:noProof/>
        </w:rPr>
        <mc:AlternateContent>
          <mc:Choice Requires="wps">
            <w:drawing>
              <wp:anchor distT="0" distB="0" distL="114300" distR="114300" simplePos="0" relativeHeight="251995136" behindDoc="0" locked="0" layoutInCell="1" allowOverlap="1" wp14:anchorId="73A61958" wp14:editId="00982B48">
                <wp:simplePos x="0" y="0"/>
                <wp:positionH relativeFrom="column">
                  <wp:posOffset>1331559</wp:posOffset>
                </wp:positionH>
                <wp:positionV relativeFrom="paragraph">
                  <wp:posOffset>-307858</wp:posOffset>
                </wp:positionV>
                <wp:extent cx="138819" cy="380068"/>
                <wp:effectExtent l="0" t="0" r="0" b="0"/>
                <wp:wrapNone/>
                <wp:docPr id="179" name="Right Brace 28"/>
                <wp:cNvGraphicFramePr/>
                <a:graphic xmlns:a="http://schemas.openxmlformats.org/drawingml/2006/main">
                  <a:graphicData uri="http://schemas.microsoft.com/office/word/2010/wordprocessingShape">
                    <wps:wsp>
                      <wps:cNvSpPr/>
                      <wps:spPr>
                        <a:xfrm rot="5400000">
                          <a:off x="0" y="0"/>
                          <a:ext cx="138819" cy="380068"/>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 w14:anchorId="12AE139F" id="Right Brace 28" o:spid="_x0000_s1026" type="#_x0000_t88" style="position:absolute;margin-left:104.85pt;margin-top:-24.25pt;width:10.95pt;height:29.95pt;rotation:90;z-index:25199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" adj="657" strokecolor="#4579b8 [3044]"/>
            </w:pict>
          </mc:Fallback>
        </mc:AlternateContent>
      </w:r>
      <w:r w:rsidR="00385E29">
        <w:tab/>
      </w:r>
      <w:r w:rsidR="00385E29">
        <w:tab/>
      </w:r>
    </w:p>
    <w:p w14:paraId="578998FF" w14:textId="095DDAAA" w:rsidR="00233DBA" w:rsidRDefault="004D5EAF" w:rsidP="00CF6BAF">
      <w:pPr>
        <w:tabs>
          <w:tab w:val="center" w:pos="4320"/>
        </w:tabs>
        <w:spacing w:line="480" w:lineRule="auto"/>
      </w:pPr>
      <w:r>
        <w:rPr>
          <w:noProof/>
        </w:rPr>
        <w:lastRenderedPageBreak/>
        <mc:AlternateContent>
          <mc:Choice Requires="wps">
            <w:drawing>
              <wp:anchor distT="0" distB="0" distL="114300" distR="114300" simplePos="0" relativeHeight="252024832" behindDoc="0" locked="0" layoutInCell="1" allowOverlap="1" wp14:anchorId="709A5082" wp14:editId="11ED6DB4">
                <wp:simplePos x="0" y="0"/>
                <wp:positionH relativeFrom="column">
                  <wp:posOffset>-86360</wp:posOffset>
                </wp:positionH>
                <wp:positionV relativeFrom="paragraph">
                  <wp:posOffset>-12539</wp:posOffset>
                </wp:positionV>
                <wp:extent cx="4597373" cy="334851"/>
                <wp:effectExtent l="0" t="0" r="635" b="0"/>
                <wp:wrapNone/>
                <wp:docPr id="55" name="Text Box 55"/>
                <wp:cNvGraphicFramePr/>
                <a:graphic xmlns:a="http://schemas.openxmlformats.org/drawingml/2006/main">
                  <a:graphicData uri="http://schemas.microsoft.com/office/word/2010/wordprocessingShape">
                    <wps:wsp>
                      <wps:cNvSpPr txBox="1"/>
                      <wps:spPr>
                        <a:xfrm>
                          <a:off x="0" y="0"/>
                          <a:ext cx="4597373" cy="334851"/>
                        </a:xfrm>
                        <a:prstGeom prst="rect">
                          <a:avLst/>
                        </a:prstGeom>
                        <a:solidFill>
                          <a:schemeClr val="lt1"/>
                        </a:solidFill>
                        <a:ln w="6350">
                          <a:noFill/>
                        </a:ln>
                      </wps:spPr>
                      <wps:txbx>
                        <w:txbxContent>
                          <w:p w14:paraId="414C1EA2" w14:textId="77777777" w:rsidR="004D5EAF" w:rsidRPr="00D231DB" w:rsidRDefault="004D5EAF" w:rsidP="004D5EAF">
                            <w:pPr>
                              <w:pStyle w:val="Heading4"/>
                            </w:pPr>
                            <w:bookmarkStart w:id="55" w:name="_Toc98703546"/>
                            <w:bookmarkStart w:id="56" w:name="_Toc98705428"/>
                            <w:r w:rsidRPr="00D231DB">
                              <w:t>Table 3.2: Table of Parameter Values</w:t>
                            </w:r>
                            <w:bookmarkEnd w:id="55"/>
                            <w:bookmarkEnd w:id="56"/>
                          </w:p>
                          <w:p w14:paraId="29F9D7F1" w14:textId="77777777" w:rsidR="004D5EAF" w:rsidRDefault="004D5E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9A5082" id="Text Box 55" o:spid="_x0000_s1065" type="#_x0000_t202" style="position:absolute;margin-left:-6.8pt;margin-top:-1pt;width:362pt;height:26.35pt;z-index:25202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" fillcolor="white [3201]" stroked="f" strokeweight=".5pt">
                <v:textbox>
                  <w:txbxContent>
                    <w:p w14:paraId="414C1EA2" w14:textId="77777777" w:rsidR="004D5EAF" w:rsidRPr="00D231DB" w:rsidRDefault="004D5EAF" w:rsidP="004D5EAF">
                      <w:pPr>
                        <w:pStyle w:val="Heading4"/>
                      </w:pPr>
                      <w:bookmarkStart w:id="82" w:name="_Toc98703546"/>
                      <w:bookmarkStart w:id="83" w:name="_Toc98705428"/>
                      <w:r w:rsidRPr="00D231DB">
                        <w:t>Table 3.2: Table of Parameter Values</w:t>
                      </w:r>
                      <w:bookmarkEnd w:id="82"/>
                      <w:bookmarkEnd w:id="83"/>
                    </w:p>
                    <w:p w14:paraId="29F9D7F1" w14:textId="77777777" w:rsidR="004D5EAF" w:rsidRDefault="004D5EAF"/>
                  </w:txbxContent>
                </v:textbox>
              </v:shape>
            </w:pict>
          </mc:Fallback>
        </mc:AlternateContent>
      </w:r>
      <w:r w:rsidR="00385E29">
        <w:tab/>
      </w:r>
    </w:p>
    <w:tbl>
      <w:tblPr>
        <w:tblStyle w:val="TableGrid"/>
        <w:tblW w:w="0" w:type="auto"/>
        <w:tblLook w:val="04A0" w:firstRow="1" w:lastRow="0" w:firstColumn="1" w:lastColumn="0" w:noHBand="0" w:noVBand="1"/>
      </w:tblPr>
      <w:tblGrid>
        <w:gridCol w:w="1497"/>
        <w:gridCol w:w="2657"/>
      </w:tblGrid>
      <w:tr w:rsidR="000E5031" w14:paraId="6D2BD9A9" w14:textId="1D6329D8" w:rsidTr="002C2E47">
        <w:tc>
          <w:tcPr>
            <w:tcW w:w="1497" w:type="dxa"/>
          </w:tcPr>
          <w:p w14:paraId="4A1F74E4" w14:textId="131C4D68" w:rsidR="000E5031" w:rsidRPr="00C45640" w:rsidRDefault="000E5031" w:rsidP="00C45640">
            <w:pPr>
              <w:tabs>
                <w:tab w:val="center" w:pos="4320"/>
              </w:tabs>
              <w:spacing w:line="480" w:lineRule="auto"/>
              <w:jc w:val="center"/>
              <w:rPr>
                <w:b/>
                <w:bCs/>
              </w:rPr>
            </w:pPr>
            <w:r w:rsidRPr="00C45640">
              <w:rPr>
                <w:b/>
                <w:bCs/>
              </w:rPr>
              <w:t>Parameter</w:t>
            </w:r>
          </w:p>
        </w:tc>
        <w:tc>
          <w:tcPr>
            <w:tcW w:w="2657" w:type="dxa"/>
          </w:tcPr>
          <w:p w14:paraId="33D428BE" w14:textId="3F7A6750" w:rsidR="000E5031" w:rsidRPr="00C45640" w:rsidRDefault="000E5031" w:rsidP="00C45640">
            <w:pPr>
              <w:tabs>
                <w:tab w:val="center" w:pos="4320"/>
              </w:tabs>
              <w:spacing w:line="480" w:lineRule="auto"/>
              <w:jc w:val="center"/>
              <w:rPr>
                <w:b/>
                <w:bCs/>
              </w:rPr>
            </w:pPr>
            <w:r w:rsidRPr="00C45640">
              <w:rPr>
                <w:b/>
                <w:bCs/>
              </w:rPr>
              <w:t>Value</w:t>
            </w:r>
            <w:r>
              <w:rPr>
                <w:b/>
                <w:bCs/>
              </w:rPr>
              <w:t xml:space="preserve"> </w:t>
            </w:r>
          </w:p>
        </w:tc>
      </w:tr>
      <w:tr w:rsidR="000E5031" w14:paraId="466CE66A" w14:textId="0BD18119" w:rsidTr="002C2E47">
        <w:tc>
          <w:tcPr>
            <w:tcW w:w="1497" w:type="dxa"/>
          </w:tcPr>
          <w:p w14:paraId="464A2407" w14:textId="479E9C9C" w:rsidR="000E5031" w:rsidRDefault="00A9083D" w:rsidP="00CF6BAF">
            <w:pPr>
              <w:tabs>
                <w:tab w:val="center" w:pos="4320"/>
              </w:tabs>
              <w:spacing w:line="480" w:lineRule="auto"/>
            </w:pPr>
            <m:oMathPara>
              <m:oMath>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R</m:t>
                    </m:r>
                  </m:sub>
                </m:sSub>
              </m:oMath>
            </m:oMathPara>
          </w:p>
        </w:tc>
        <w:tc>
          <w:tcPr>
            <w:tcW w:w="2657" w:type="dxa"/>
          </w:tcPr>
          <w:p w14:paraId="2554EF4B" w14:textId="4157A18B" w:rsidR="000E5031" w:rsidRDefault="000E5031" w:rsidP="00CF6BAF">
            <w:pPr>
              <w:tabs>
                <w:tab w:val="center" w:pos="4320"/>
              </w:tabs>
              <w:spacing w:line="480" w:lineRule="auto"/>
            </w:pPr>
            <w:r>
              <w:t>0.4 – 1.0</w:t>
            </w:r>
          </w:p>
        </w:tc>
      </w:tr>
      <w:tr w:rsidR="000E5031" w14:paraId="23B5A419" w14:textId="119DF9B4" w:rsidTr="002C2E47">
        <w:tc>
          <w:tcPr>
            <w:tcW w:w="1497" w:type="dxa"/>
          </w:tcPr>
          <w:p w14:paraId="5AD04600" w14:textId="09B1FAEE" w:rsidR="000E5031" w:rsidRDefault="00A9083D" w:rsidP="00CF6BAF">
            <w:pPr>
              <w:tabs>
                <w:tab w:val="center" w:pos="4320"/>
              </w:tabs>
              <w:spacing w:line="480" w:lineRule="auto"/>
            </w:pPr>
            <m:oMathPara>
              <m:oMath>
                <m:sSub>
                  <m:sSubPr>
                    <m:ctrlPr>
                      <w:rPr>
                        <w:rFonts w:ascii="Cambria Math" w:hAnsi="Cambria Math"/>
                        <w:i/>
                        <w:sz w:val="20"/>
                        <w:szCs w:val="20"/>
                      </w:rPr>
                    </m:ctrlPr>
                  </m:sSubPr>
                  <m:e>
                    <m:r>
                      <w:rPr>
                        <w:rFonts w:ascii="Cambria Math" w:hAnsi="Cambria Math"/>
                        <w:sz w:val="20"/>
                        <w:szCs w:val="20"/>
                      </w:rPr>
                      <m:t>μ</m:t>
                    </m:r>
                  </m:e>
                  <m:sub>
                    <m:r>
                      <w:rPr>
                        <w:rFonts w:ascii="Cambria Math" w:hAnsi="Cambria Math"/>
                        <w:sz w:val="20"/>
                        <w:szCs w:val="20"/>
                      </w:rPr>
                      <m:t>1</m:t>
                    </m:r>
                  </m:sub>
                </m:sSub>
              </m:oMath>
            </m:oMathPara>
          </w:p>
        </w:tc>
        <w:tc>
          <w:tcPr>
            <w:tcW w:w="2657" w:type="dxa"/>
          </w:tcPr>
          <w:p w14:paraId="031A5182" w14:textId="307A495F" w:rsidR="000E5031" w:rsidRDefault="000E5031" w:rsidP="00CF6BAF">
            <w:pPr>
              <w:tabs>
                <w:tab w:val="center" w:pos="4320"/>
              </w:tabs>
              <w:spacing w:line="480" w:lineRule="auto"/>
            </w:pPr>
            <w:r>
              <w:t xml:space="preserve">3.0 </w:t>
            </w:r>
          </w:p>
        </w:tc>
      </w:tr>
      <w:tr w:rsidR="000E5031" w14:paraId="779B16C4" w14:textId="18E6145C" w:rsidTr="002C2E47">
        <w:tc>
          <w:tcPr>
            <w:tcW w:w="1497" w:type="dxa"/>
          </w:tcPr>
          <w:p w14:paraId="21FEE8FC" w14:textId="0BF42873" w:rsidR="000E5031" w:rsidRDefault="00A9083D" w:rsidP="00CF6BAF">
            <w:pPr>
              <w:tabs>
                <w:tab w:val="center" w:pos="4320"/>
              </w:tabs>
              <w:spacing w:line="480" w:lineRule="auto"/>
              <w:rPr>
                <w:sz w:val="20"/>
                <w:szCs w:val="20"/>
              </w:rPr>
            </w:pPr>
            <m:oMathPara>
              <m:oMath>
                <m:sSub>
                  <m:sSubPr>
                    <m:ctrlPr>
                      <w:rPr>
                        <w:rFonts w:ascii="Cambria Math" w:hAnsi="Cambria Math"/>
                        <w:i/>
                        <w:sz w:val="20"/>
                        <w:szCs w:val="20"/>
                      </w:rPr>
                    </m:ctrlPr>
                  </m:sSubPr>
                  <m:e>
                    <m:r>
                      <w:rPr>
                        <w:rFonts w:ascii="Cambria Math" w:hAnsi="Cambria Math"/>
                        <w:sz w:val="20"/>
                        <w:szCs w:val="20"/>
                      </w:rPr>
                      <m:t>μ</m:t>
                    </m:r>
                  </m:e>
                  <m:sub>
                    <m:r>
                      <w:rPr>
                        <w:rFonts w:ascii="Cambria Math" w:hAnsi="Cambria Math"/>
                        <w:sz w:val="20"/>
                        <w:szCs w:val="20"/>
                      </w:rPr>
                      <m:t>2</m:t>
                    </m:r>
                  </m:sub>
                </m:sSub>
              </m:oMath>
            </m:oMathPara>
          </w:p>
        </w:tc>
        <w:tc>
          <w:tcPr>
            <w:tcW w:w="2657" w:type="dxa"/>
          </w:tcPr>
          <w:p w14:paraId="4B3CD3ED" w14:textId="5E5D9102" w:rsidR="000E5031" w:rsidRDefault="000E5031" w:rsidP="00CF6BAF">
            <w:pPr>
              <w:tabs>
                <w:tab w:val="center" w:pos="4320"/>
              </w:tabs>
              <w:spacing w:line="480" w:lineRule="auto"/>
            </w:pPr>
            <w:r>
              <w:t xml:space="preserve">2.0 </w:t>
            </w:r>
          </w:p>
        </w:tc>
      </w:tr>
      <w:tr w:rsidR="000E5031" w14:paraId="248F7520" w14:textId="36C5930E" w:rsidTr="002C2E47">
        <w:tc>
          <w:tcPr>
            <w:tcW w:w="1497" w:type="dxa"/>
          </w:tcPr>
          <w:p w14:paraId="0A650B95" w14:textId="1A918BD5" w:rsidR="000E5031" w:rsidRDefault="00A9083D" w:rsidP="00CF6BAF">
            <w:pPr>
              <w:tabs>
                <w:tab w:val="center" w:pos="4320"/>
              </w:tabs>
              <w:spacing w:line="480" w:lineRule="auto"/>
            </w:pPr>
            <m:oMathPara>
              <m:oMath>
                <m:sSub>
                  <m:sSubPr>
                    <m:ctrlPr>
                      <w:rPr>
                        <w:rFonts w:ascii="Cambria Math" w:hAnsi="Cambria Math"/>
                        <w:i/>
                        <w:sz w:val="20"/>
                        <w:szCs w:val="20"/>
                      </w:rPr>
                    </m:ctrlPr>
                  </m:sSubPr>
                  <m:e>
                    <m:r>
                      <w:rPr>
                        <w:rFonts w:ascii="Cambria Math" w:hAnsi="Cambria Math"/>
                        <w:sz w:val="20"/>
                        <w:szCs w:val="20"/>
                        <w:lang w:val="el-GR"/>
                      </w:rPr>
                      <m:t>φ</m:t>
                    </m:r>
                  </m:e>
                  <m:sub>
                    <m:r>
                      <w:rPr>
                        <w:rFonts w:ascii="Cambria Math" w:hAnsi="Cambria Math"/>
                        <w:sz w:val="20"/>
                        <w:szCs w:val="20"/>
                      </w:rPr>
                      <m:t>1</m:t>
                    </m:r>
                  </m:sub>
                </m:sSub>
              </m:oMath>
            </m:oMathPara>
          </w:p>
        </w:tc>
        <w:tc>
          <w:tcPr>
            <w:tcW w:w="2657" w:type="dxa"/>
          </w:tcPr>
          <w:p w14:paraId="617A1BF5" w14:textId="4135E3A0" w:rsidR="000E5031" w:rsidRDefault="000E5031" w:rsidP="00CF6BAF">
            <w:pPr>
              <w:tabs>
                <w:tab w:val="center" w:pos="4320"/>
              </w:tabs>
              <w:spacing w:line="480" w:lineRule="auto"/>
            </w:pPr>
            <w:r>
              <w:t xml:space="preserve">0.2 </w:t>
            </w:r>
          </w:p>
        </w:tc>
      </w:tr>
      <w:tr w:rsidR="000E5031" w14:paraId="578BD467" w14:textId="3411E0AF" w:rsidTr="002C2E47">
        <w:tc>
          <w:tcPr>
            <w:tcW w:w="1497" w:type="dxa"/>
          </w:tcPr>
          <w:p w14:paraId="2E8D0E6A" w14:textId="5CAE2559" w:rsidR="000E5031" w:rsidRDefault="00A9083D" w:rsidP="00CF6BAF">
            <w:pPr>
              <w:tabs>
                <w:tab w:val="center" w:pos="4320"/>
              </w:tabs>
              <w:spacing w:line="480" w:lineRule="auto"/>
            </w:pPr>
            <m:oMathPara>
              <m:oMath>
                <m:sSub>
                  <m:sSubPr>
                    <m:ctrlPr>
                      <w:rPr>
                        <w:rFonts w:ascii="Cambria Math" w:hAnsi="Cambria Math"/>
                        <w:i/>
                        <w:sz w:val="20"/>
                        <w:szCs w:val="20"/>
                      </w:rPr>
                    </m:ctrlPr>
                  </m:sSubPr>
                  <m:e>
                    <m:r>
                      <w:rPr>
                        <w:rFonts w:ascii="Cambria Math" w:hAnsi="Cambria Math"/>
                        <w:sz w:val="20"/>
                        <w:szCs w:val="20"/>
                        <w:lang w:val="el-GR"/>
                      </w:rPr>
                      <m:t>φ</m:t>
                    </m:r>
                  </m:e>
                  <m:sub>
                    <m:r>
                      <w:rPr>
                        <w:rFonts w:ascii="Cambria Math" w:hAnsi="Cambria Math"/>
                        <w:sz w:val="20"/>
                        <w:szCs w:val="20"/>
                      </w:rPr>
                      <m:t>2</m:t>
                    </m:r>
                  </m:sub>
                </m:sSub>
              </m:oMath>
            </m:oMathPara>
          </w:p>
        </w:tc>
        <w:tc>
          <w:tcPr>
            <w:tcW w:w="2657" w:type="dxa"/>
          </w:tcPr>
          <w:p w14:paraId="746EBE6A" w14:textId="4B6A5860" w:rsidR="000E5031" w:rsidRDefault="000E5031" w:rsidP="00CF6BAF">
            <w:pPr>
              <w:tabs>
                <w:tab w:val="center" w:pos="4320"/>
              </w:tabs>
              <w:spacing w:line="480" w:lineRule="auto"/>
            </w:pPr>
            <w:r>
              <w:t xml:space="preserve">0.1 </w:t>
            </w:r>
          </w:p>
        </w:tc>
      </w:tr>
      <w:tr w:rsidR="000E5031" w14:paraId="31F01035" w14:textId="774A950B" w:rsidTr="002C2E47">
        <w:tc>
          <w:tcPr>
            <w:tcW w:w="1497" w:type="dxa"/>
          </w:tcPr>
          <w:p w14:paraId="2A6062D7" w14:textId="10B5FF40" w:rsidR="000E5031" w:rsidRDefault="00A9083D" w:rsidP="00CF6BAF">
            <w:pPr>
              <w:tabs>
                <w:tab w:val="center" w:pos="4320"/>
              </w:tabs>
              <w:spacing w:line="480" w:lineRule="auto"/>
            </w:pPr>
            <m:oMathPara>
              <m:oMath>
                <m:sSub>
                  <m:sSubPr>
                    <m:ctrlPr>
                      <w:rPr>
                        <w:rFonts w:ascii="Cambria Math" w:hAnsi="Cambria Math"/>
                        <w:i/>
                        <w:sz w:val="20"/>
                        <w:szCs w:val="20"/>
                      </w:rPr>
                    </m:ctrlPr>
                  </m:sSubPr>
                  <m:e>
                    <m:r>
                      <w:rPr>
                        <w:rFonts w:ascii="Cambria Math" w:hAnsi="Cambria Math"/>
                        <w:sz w:val="20"/>
                        <w:szCs w:val="20"/>
                      </w:rPr>
                      <m:t>δ</m:t>
                    </m:r>
                  </m:e>
                  <m:sub>
                    <m:r>
                      <w:rPr>
                        <w:rFonts w:ascii="Cambria Math" w:hAnsi="Cambria Math"/>
                        <w:sz w:val="20"/>
                        <w:szCs w:val="20"/>
                      </w:rPr>
                      <m:t>N</m:t>
                    </m:r>
                  </m:sub>
                </m:sSub>
                <m:r>
                  <w:rPr>
                    <w:rFonts w:ascii="Cambria Math" w:hAnsi="Cambria Math"/>
                    <w:sz w:val="20"/>
                    <w:szCs w:val="20"/>
                  </w:rPr>
                  <m:t xml:space="preserve">, </m:t>
                </m:r>
                <m:sSub>
                  <m:sSubPr>
                    <m:ctrlPr>
                      <w:rPr>
                        <w:rFonts w:ascii="Cambria Math" w:hAnsi="Cambria Math"/>
                        <w:i/>
                        <w:sz w:val="20"/>
                        <w:szCs w:val="20"/>
                        <w:lang w:val="el-GR"/>
                      </w:rPr>
                    </m:ctrlPr>
                  </m:sSubPr>
                  <m:e>
                    <m:r>
                      <w:rPr>
                        <w:rFonts w:ascii="Cambria Math" w:hAnsi="Cambria Math"/>
                        <w:sz w:val="20"/>
                        <w:szCs w:val="20"/>
                        <w:lang w:val="el-GR"/>
                      </w:rPr>
                      <m:t>δ</m:t>
                    </m:r>
                  </m:e>
                  <m:sub>
                    <m:r>
                      <w:rPr>
                        <w:rFonts w:ascii="Cambria Math" w:hAnsi="Cambria Math"/>
                        <w:sz w:val="20"/>
                        <w:szCs w:val="20"/>
                        <w:lang w:val="el-GR"/>
                      </w:rPr>
                      <m:t>1</m:t>
                    </m:r>
                  </m:sub>
                </m:sSub>
                <m:r>
                  <w:rPr>
                    <w:rFonts w:ascii="Cambria Math" w:hAnsi="Cambria Math"/>
                    <w:sz w:val="20"/>
                    <w:szCs w:val="20"/>
                    <w:lang w:val="el-GR"/>
                  </w:rPr>
                  <m:t xml:space="preserve">, </m:t>
                </m:r>
                <m:sSub>
                  <m:sSubPr>
                    <m:ctrlPr>
                      <w:rPr>
                        <w:rFonts w:ascii="Cambria Math" w:hAnsi="Cambria Math"/>
                        <w:i/>
                        <w:sz w:val="20"/>
                        <w:szCs w:val="20"/>
                        <w:lang w:val="el-GR"/>
                      </w:rPr>
                    </m:ctrlPr>
                  </m:sSubPr>
                  <m:e>
                    <m:r>
                      <w:rPr>
                        <w:rFonts w:ascii="Cambria Math" w:hAnsi="Cambria Math"/>
                        <w:sz w:val="20"/>
                        <w:szCs w:val="20"/>
                        <w:lang w:val="el-GR"/>
                      </w:rPr>
                      <m:t>δ</m:t>
                    </m:r>
                  </m:e>
                  <m:sub>
                    <m:r>
                      <w:rPr>
                        <w:rFonts w:ascii="Cambria Math" w:hAnsi="Cambria Math"/>
                        <w:sz w:val="20"/>
                        <w:szCs w:val="20"/>
                        <w:lang w:val="el-GR"/>
                      </w:rPr>
                      <m:t>2</m:t>
                    </m:r>
                  </m:sub>
                </m:sSub>
                <m:r>
                  <w:rPr>
                    <w:rFonts w:ascii="Cambria Math" w:hAnsi="Cambria Math"/>
                    <w:sz w:val="20"/>
                    <w:szCs w:val="20"/>
                    <w:lang w:val="el-GR"/>
                  </w:rPr>
                  <m:t xml:space="preserve">, </m:t>
                </m:r>
                <m:sSub>
                  <m:sSubPr>
                    <m:ctrlPr>
                      <w:rPr>
                        <w:rFonts w:ascii="Cambria Math" w:hAnsi="Cambria Math"/>
                        <w:i/>
                        <w:sz w:val="20"/>
                        <w:szCs w:val="20"/>
                      </w:rPr>
                    </m:ctrlPr>
                  </m:sSubPr>
                  <m:e>
                    <m:r>
                      <w:rPr>
                        <w:rFonts w:ascii="Cambria Math" w:hAnsi="Cambria Math"/>
                        <w:sz w:val="20"/>
                        <w:szCs w:val="20"/>
                        <w:lang w:val="el-GR"/>
                      </w:rPr>
                      <m:t>δ</m:t>
                    </m:r>
                  </m:e>
                  <m:sub>
                    <m:r>
                      <w:rPr>
                        <w:rFonts w:ascii="Cambria Math" w:hAnsi="Cambria Math"/>
                        <w:sz w:val="20"/>
                        <w:szCs w:val="20"/>
                      </w:rPr>
                      <m:t>C</m:t>
                    </m:r>
                  </m:sub>
                </m:sSub>
              </m:oMath>
            </m:oMathPara>
          </w:p>
        </w:tc>
        <w:tc>
          <w:tcPr>
            <w:tcW w:w="2657" w:type="dxa"/>
          </w:tcPr>
          <w:p w14:paraId="4EBC8967" w14:textId="23E013AA" w:rsidR="000E5031" w:rsidRDefault="000E5031" w:rsidP="00CF6BAF">
            <w:pPr>
              <w:tabs>
                <w:tab w:val="center" w:pos="4320"/>
              </w:tabs>
              <w:spacing w:line="480" w:lineRule="auto"/>
            </w:pPr>
            <w:r>
              <w:t>0.01, 0.1,0.1, 0.1</w:t>
            </w:r>
          </w:p>
        </w:tc>
      </w:tr>
      <w:tr w:rsidR="000E5031" w14:paraId="0927382A" w14:textId="7D92A430" w:rsidTr="002C2E47">
        <w:tc>
          <w:tcPr>
            <w:tcW w:w="1497" w:type="dxa"/>
          </w:tcPr>
          <w:p w14:paraId="61AA8849" w14:textId="356C8AE0" w:rsidR="000E5031" w:rsidRDefault="00A9083D" w:rsidP="00CF6BAF">
            <w:pPr>
              <w:tabs>
                <w:tab w:val="center" w:pos="4320"/>
              </w:tabs>
              <w:spacing w:line="480" w:lineRule="auto"/>
            </w:pPr>
            <m:oMathPara>
              <m:oMath>
                <m:sSub>
                  <m:sSubPr>
                    <m:ctrlPr>
                      <w:rPr>
                        <w:rFonts w:ascii="Cambria Math" w:hAnsi="Cambria Math"/>
                        <w:i/>
                        <w:sz w:val="20"/>
                        <w:szCs w:val="20"/>
                        <w:lang w:val="el-GR"/>
                      </w:rPr>
                    </m:ctrlPr>
                  </m:sSubPr>
                  <m:e>
                    <m:r>
                      <w:rPr>
                        <w:rFonts w:ascii="Cambria Math" w:hAnsi="Cambria Math"/>
                        <w:sz w:val="20"/>
                        <w:szCs w:val="20"/>
                        <w:lang w:val="el-GR"/>
                      </w:rPr>
                      <m:t>ε</m:t>
                    </m:r>
                  </m:e>
                  <m:sub>
                    <m:r>
                      <w:rPr>
                        <w:rFonts w:ascii="Cambria Math" w:hAnsi="Cambria Math"/>
                        <w:sz w:val="20"/>
                        <w:szCs w:val="20"/>
                        <w:lang w:val="el-GR"/>
                      </w:rPr>
                      <m:t>1</m:t>
                    </m:r>
                  </m:sub>
                </m:sSub>
              </m:oMath>
            </m:oMathPara>
          </w:p>
        </w:tc>
        <w:tc>
          <w:tcPr>
            <w:tcW w:w="2657" w:type="dxa"/>
          </w:tcPr>
          <w:p w14:paraId="663B39D9" w14:textId="4E66831F" w:rsidR="000E5031" w:rsidRDefault="000E5031" w:rsidP="00CF6BAF">
            <w:pPr>
              <w:tabs>
                <w:tab w:val="center" w:pos="4320"/>
              </w:tabs>
              <w:spacing w:line="480" w:lineRule="auto"/>
            </w:pPr>
            <w:r>
              <w:t>0.4</w:t>
            </w:r>
          </w:p>
        </w:tc>
      </w:tr>
      <w:tr w:rsidR="000E5031" w14:paraId="183F90B6" w14:textId="28F7E1D2" w:rsidTr="002C2E47">
        <w:tc>
          <w:tcPr>
            <w:tcW w:w="1497" w:type="dxa"/>
          </w:tcPr>
          <w:p w14:paraId="40A2602D" w14:textId="129B9BEA" w:rsidR="000E5031" w:rsidRDefault="00A9083D" w:rsidP="00CF6BAF">
            <w:pPr>
              <w:tabs>
                <w:tab w:val="center" w:pos="4320"/>
              </w:tabs>
              <w:spacing w:line="480" w:lineRule="auto"/>
            </w:pPr>
            <m:oMathPara>
              <m:oMath>
                <m:sSub>
                  <m:sSubPr>
                    <m:ctrlPr>
                      <w:rPr>
                        <w:rFonts w:ascii="Cambria Math" w:hAnsi="Cambria Math"/>
                        <w:i/>
                        <w:sz w:val="20"/>
                        <w:szCs w:val="20"/>
                        <w:lang w:val="el-GR"/>
                      </w:rPr>
                    </m:ctrlPr>
                  </m:sSubPr>
                  <m:e>
                    <m:r>
                      <w:rPr>
                        <w:rFonts w:ascii="Cambria Math" w:hAnsi="Cambria Math"/>
                        <w:sz w:val="20"/>
                        <w:szCs w:val="20"/>
                        <w:lang w:val="el-GR"/>
                      </w:rPr>
                      <m:t>ε</m:t>
                    </m:r>
                  </m:e>
                  <m:sub>
                    <m:r>
                      <w:rPr>
                        <w:rFonts w:ascii="Cambria Math" w:hAnsi="Cambria Math"/>
                        <w:sz w:val="20"/>
                        <w:szCs w:val="20"/>
                        <w:lang w:val="el-GR"/>
                      </w:rPr>
                      <m:t>2</m:t>
                    </m:r>
                  </m:sub>
                </m:sSub>
              </m:oMath>
            </m:oMathPara>
          </w:p>
        </w:tc>
        <w:tc>
          <w:tcPr>
            <w:tcW w:w="2657" w:type="dxa"/>
          </w:tcPr>
          <w:p w14:paraId="30506BAD" w14:textId="2658DCCA" w:rsidR="000E5031" w:rsidRDefault="000E5031" w:rsidP="00CF6BAF">
            <w:pPr>
              <w:tabs>
                <w:tab w:val="center" w:pos="4320"/>
              </w:tabs>
              <w:spacing w:line="480" w:lineRule="auto"/>
            </w:pPr>
            <w:r>
              <w:t>0.3</w:t>
            </w:r>
          </w:p>
        </w:tc>
      </w:tr>
    </w:tbl>
    <w:p w14:paraId="32A09B4A" w14:textId="2CF2F901" w:rsidR="00BE0454" w:rsidRDefault="00FA5108" w:rsidP="00EA2092">
      <w:pPr>
        <w:tabs>
          <w:tab w:val="center" w:pos="4320"/>
        </w:tabs>
        <w:spacing w:line="480" w:lineRule="auto"/>
      </w:pPr>
      <w:r>
        <w:rPr>
          <w:noProof/>
        </w:rPr>
        <mc:AlternateContent>
          <mc:Choice Requires="wps">
            <w:drawing>
              <wp:anchor distT="0" distB="0" distL="114300" distR="114300" simplePos="0" relativeHeight="252018688" behindDoc="0" locked="0" layoutInCell="1" allowOverlap="1" wp14:anchorId="21073D95" wp14:editId="35B062E5">
                <wp:simplePos x="0" y="0"/>
                <wp:positionH relativeFrom="column">
                  <wp:posOffset>-87335</wp:posOffset>
                </wp:positionH>
                <wp:positionV relativeFrom="paragraph">
                  <wp:posOffset>71755</wp:posOffset>
                </wp:positionV>
                <wp:extent cx="5550795" cy="502276"/>
                <wp:effectExtent l="0" t="0" r="0" b="6350"/>
                <wp:wrapNone/>
                <wp:docPr id="139" name="Text Box 139"/>
                <wp:cNvGraphicFramePr/>
                <a:graphic xmlns:a="http://schemas.openxmlformats.org/drawingml/2006/main">
                  <a:graphicData uri="http://schemas.microsoft.com/office/word/2010/wordprocessingShape">
                    <wps:wsp>
                      <wps:cNvSpPr txBox="1"/>
                      <wps:spPr>
                        <a:xfrm>
                          <a:off x="0" y="0"/>
                          <a:ext cx="5550795" cy="502276"/>
                        </a:xfrm>
                        <a:prstGeom prst="rect">
                          <a:avLst/>
                        </a:prstGeom>
                        <a:solidFill>
                          <a:schemeClr val="lt1"/>
                        </a:solidFill>
                        <a:ln w="6350">
                          <a:noFill/>
                        </a:ln>
                      </wps:spPr>
                      <wps:txbx>
                        <w:txbxContent>
                          <w:p w14:paraId="462C4413" w14:textId="3000EDAF" w:rsidR="00FA5108" w:rsidRDefault="00FA5108">
                            <w:r>
                              <w:t xml:space="preserve">Exhaustive list of all parameters used for each simulation run.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073D95" id="Text Box 139" o:spid="_x0000_s1066" type="#_x0000_t202" style="position:absolute;margin-left:-6.9pt;margin-top:5.65pt;width:437.05pt;height:39.55pt;z-index:25201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" fillcolor="white [3201]" stroked="f" strokeweight=".5pt">
                <v:textbox>
                  <w:txbxContent>
                    <w:p w14:paraId="462C4413" w14:textId="3000EDAF" w:rsidR="00FA5108" w:rsidRDefault="00FA5108">
                      <w:r>
                        <w:t xml:space="preserve">Exhaustive list of all parameters used for each simulation run. </w:t>
                      </w:r>
                    </w:p>
                  </w:txbxContent>
                </v:textbox>
              </v:shape>
            </w:pict>
          </mc:Fallback>
        </mc:AlternateContent>
      </w:r>
    </w:p>
    <w:p w14:paraId="75432D90" w14:textId="004772B2" w:rsidR="00BE0454" w:rsidRDefault="0057471B" w:rsidP="00596720">
      <w:pPr>
        <w:spacing w:line="480" w:lineRule="auto"/>
        <w:ind w:firstLine="720"/>
      </w:pPr>
      <w:r>
        <w:rPr>
          <w:noProof/>
        </w:rPr>
        <w:drawing>
          <wp:anchor distT="0" distB="0" distL="114300" distR="114300" simplePos="0" relativeHeight="251656191" behindDoc="0" locked="0" layoutInCell="1" allowOverlap="1" wp14:anchorId="2D44931F" wp14:editId="570C1B5D">
            <wp:simplePos x="0" y="0"/>
            <wp:positionH relativeFrom="column">
              <wp:posOffset>28387</wp:posOffset>
            </wp:positionH>
            <wp:positionV relativeFrom="paragraph">
              <wp:posOffset>575739</wp:posOffset>
            </wp:positionV>
            <wp:extent cx="4190187" cy="2717443"/>
            <wp:effectExtent l="0" t="0" r="0" b="0"/>
            <wp:wrapNone/>
            <wp:docPr id="63" name="Picture 63"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Shape, rectangl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190187" cy="2717443"/>
                    </a:xfrm>
                    <a:prstGeom prst="rect">
                      <a:avLst/>
                    </a:prstGeom>
                  </pic:spPr>
                </pic:pic>
              </a:graphicData>
            </a:graphic>
            <wp14:sizeRelH relativeFrom="page">
              <wp14:pctWidth>0</wp14:pctWidth>
            </wp14:sizeRelH>
            <wp14:sizeRelV relativeFrom="page">
              <wp14:pctHeight>0</wp14:pctHeight>
            </wp14:sizeRelV>
          </wp:anchor>
        </w:drawing>
      </w:r>
      <w:r w:rsidR="004D5EAF" w:rsidRPr="00D554E5">
        <w:rPr>
          <w:noProof/>
        </w:rPr>
        <mc:AlternateContent>
          <mc:Choice Requires="wps">
            <w:drawing>
              <wp:anchor distT="0" distB="0" distL="114300" distR="114300" simplePos="0" relativeHeight="251824128" behindDoc="0" locked="0" layoutInCell="1" allowOverlap="1" wp14:anchorId="48C5E574" wp14:editId="6268C44B">
                <wp:simplePos x="0" y="0"/>
                <wp:positionH relativeFrom="column">
                  <wp:posOffset>2875209</wp:posOffset>
                </wp:positionH>
                <wp:positionV relativeFrom="paragraph">
                  <wp:posOffset>1529178</wp:posOffset>
                </wp:positionV>
                <wp:extent cx="1146220" cy="861695"/>
                <wp:effectExtent l="0" t="0" r="0" b="1905"/>
                <wp:wrapNone/>
                <wp:docPr id="129" name="Text Box 79"/>
                <wp:cNvGraphicFramePr/>
                <a:graphic xmlns:a="http://schemas.openxmlformats.org/drawingml/2006/main">
                  <a:graphicData uri="http://schemas.microsoft.com/office/word/2010/wordprocessingShape">
                    <wps:wsp>
                      <wps:cNvSpPr txBox="1"/>
                      <wps:spPr>
                        <a:xfrm>
                          <a:off x="0" y="0"/>
                          <a:ext cx="1146220" cy="861695"/>
                        </a:xfrm>
                        <a:prstGeom prst="rect">
                          <a:avLst/>
                        </a:prstGeom>
                        <a:solidFill>
                          <a:schemeClr val="lt1"/>
                        </a:solidFill>
                        <a:ln w="6350">
                          <a:noFill/>
                        </a:ln>
                      </wps:spPr>
                      <wps:txbx>
                        <w:txbxContent>
                          <w:p w14:paraId="69C0BAFC" w14:textId="28FE8E66" w:rsidR="00D554E5" w:rsidRPr="004D5EAF" w:rsidRDefault="00D554E5" w:rsidP="00D554E5">
                            <w:pPr>
                              <w:rPr>
                                <w:rFonts w:ascii="Times" w:eastAsia="Calibri" w:hAnsi="Times"/>
                                <w:color w:val="000000" w:themeColor="text1"/>
                                <w:kern w:val="24"/>
                                <w:sz w:val="32"/>
                                <w:szCs w:val="32"/>
                              </w:rPr>
                            </w:pPr>
                            <w:r w:rsidRPr="004D5EAF">
                              <w:rPr>
                                <w:rFonts w:ascii="Times" w:eastAsia="Calibri" w:hAnsi="Times"/>
                                <w:color w:val="000000" w:themeColor="text1"/>
                                <w:kern w:val="24"/>
                                <w:sz w:val="32"/>
                                <w:szCs w:val="32"/>
                              </w:rPr>
                              <w:t>Simulated Nutrient Enrichment</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5E574" id="Text Box 79" o:spid="_x0000_s1067" type="#_x0000_t202" style="position:absolute;left:0;text-align:left;margin-left:226.4pt;margin-top:120.4pt;width:90.25pt;height:67.8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" fillcolor="white [3201]" stroked="f" strokeweight=".5pt">
                <v:textbox>
                  <w:txbxContent>
                    <w:p w14:paraId="69C0BAFC" w14:textId="28FE8E66" w:rsidR="00D554E5" w:rsidRPr="004D5EAF" w:rsidRDefault="00D554E5" w:rsidP="00D554E5">
                      <w:pPr>
                        <w:rPr>
                          <w:rFonts w:ascii="Times" w:eastAsia="Calibri" w:hAnsi="Times"/>
                          <w:color w:val="000000" w:themeColor="text1"/>
                          <w:kern w:val="24"/>
                          <w:sz w:val="32"/>
                          <w:szCs w:val="32"/>
                        </w:rPr>
                      </w:pPr>
                      <w:r w:rsidRPr="004D5EAF">
                        <w:rPr>
                          <w:rFonts w:ascii="Times" w:eastAsia="Calibri" w:hAnsi="Times"/>
                          <w:color w:val="000000" w:themeColor="text1"/>
                          <w:kern w:val="24"/>
                          <w:sz w:val="32"/>
                          <w:szCs w:val="32"/>
                        </w:rPr>
                        <w:t>Simulated Nutrient Enrichment</w:t>
                      </w:r>
                    </w:p>
                  </w:txbxContent>
                </v:textbox>
              </v:shape>
            </w:pict>
          </mc:Fallback>
        </mc:AlternateContent>
      </w:r>
      <w:r w:rsidR="004D5EAF" w:rsidRPr="00D554E5">
        <w:rPr>
          <w:noProof/>
        </w:rPr>
        <mc:AlternateContent>
          <mc:Choice Requires="wps">
            <w:drawing>
              <wp:anchor distT="0" distB="0" distL="114300" distR="114300" simplePos="0" relativeHeight="251825152" behindDoc="0" locked="0" layoutInCell="1" allowOverlap="1" wp14:anchorId="08FA5B06" wp14:editId="5517BEED">
                <wp:simplePos x="0" y="0"/>
                <wp:positionH relativeFrom="column">
                  <wp:posOffset>2103128</wp:posOffset>
                </wp:positionH>
                <wp:positionV relativeFrom="paragraph">
                  <wp:posOffset>1735455</wp:posOffset>
                </wp:positionV>
                <wp:extent cx="777875" cy="393065"/>
                <wp:effectExtent l="12700" t="12700" r="9525" b="13335"/>
                <wp:wrapNone/>
                <wp:docPr id="130" name="Left Arrow 11"/>
                <wp:cNvGraphicFramePr/>
                <a:graphic xmlns:a="http://schemas.openxmlformats.org/drawingml/2006/main">
                  <a:graphicData uri="http://schemas.microsoft.com/office/word/2010/wordprocessingShape">
                    <wps:wsp>
                      <wps:cNvSpPr/>
                      <wps:spPr>
                        <a:xfrm>
                          <a:off x="0" y="0"/>
                          <a:ext cx="777875" cy="393065"/>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34023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1" o:spid="_x0000_s1026" type="#_x0000_t66" style="position:absolute;margin-left:165.6pt;margin-top:136.65pt;width:61.25pt;height:30.95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" adj="5457" fillcolor="black [3200]" strokecolor="black [1600]" strokeweight="2pt"/>
            </w:pict>
          </mc:Fallback>
        </mc:AlternateContent>
      </w:r>
      <w:r w:rsidR="00EA2092">
        <w:rPr>
          <w:noProof/>
        </w:rPr>
        <mc:AlternateContent>
          <mc:Choice Requires="wps">
            <w:drawing>
              <wp:anchor distT="0" distB="0" distL="114300" distR="114300" simplePos="0" relativeHeight="251846656" behindDoc="0" locked="0" layoutInCell="1" allowOverlap="1" wp14:anchorId="429248C0" wp14:editId="066FE528">
                <wp:simplePos x="0" y="0"/>
                <wp:positionH relativeFrom="column">
                  <wp:posOffset>28575</wp:posOffset>
                </wp:positionH>
                <wp:positionV relativeFrom="paragraph">
                  <wp:posOffset>3710556</wp:posOffset>
                </wp:positionV>
                <wp:extent cx="5060950" cy="591820"/>
                <wp:effectExtent l="0" t="0" r="6350" b="5080"/>
                <wp:wrapSquare wrapText="bothSides"/>
                <wp:docPr id="166" name="Text Box 166"/>
                <wp:cNvGraphicFramePr/>
                <a:graphic xmlns:a="http://schemas.openxmlformats.org/drawingml/2006/main">
                  <a:graphicData uri="http://schemas.microsoft.com/office/word/2010/wordprocessingShape">
                    <wps:wsp>
                      <wps:cNvSpPr txBox="1"/>
                      <wps:spPr>
                        <a:xfrm>
                          <a:off x="0" y="0"/>
                          <a:ext cx="5060950" cy="591820"/>
                        </a:xfrm>
                        <a:prstGeom prst="rect">
                          <a:avLst/>
                        </a:prstGeom>
                        <a:solidFill>
                          <a:schemeClr val="lt1"/>
                        </a:solidFill>
                        <a:ln w="6350">
                          <a:noFill/>
                        </a:ln>
                      </wps:spPr>
                      <wps:txbx>
                        <w:txbxContent>
                          <w:p w14:paraId="17B3E646" w14:textId="24B6C6A5" w:rsidR="00C35051" w:rsidRDefault="00596720" w:rsidP="00C35051">
                            <w:pPr>
                              <w:pStyle w:val="Subtitle"/>
                            </w:pPr>
                            <w:bookmarkStart w:id="57" w:name="_Toc98704981"/>
                            <w:r w:rsidRPr="00BE0454">
                              <w:t xml:space="preserve">Figure </w:t>
                            </w:r>
                            <w:r w:rsidR="00EA2092">
                              <w:t>19</w:t>
                            </w:r>
                            <w:r w:rsidRPr="00BE0454">
                              <w:t xml:space="preserve">: </w:t>
                            </w:r>
                            <w:r w:rsidR="00C35051">
                              <w:t>Nutrient Enrichment</w:t>
                            </w:r>
                            <w:bookmarkEnd w:id="57"/>
                          </w:p>
                          <w:p w14:paraId="6F3C8081" w14:textId="0FC8716C" w:rsidR="00596720" w:rsidRPr="00BE0454" w:rsidRDefault="00596720" w:rsidP="00596720">
                            <w:r w:rsidRPr="00BE0454">
                              <w:t>Simulated resource enrichment at 150 days in both Model 1A and Model 1B.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248C0" id="Text Box 166" o:spid="_x0000_s1068" type="#_x0000_t202" style="position:absolute;left:0;text-align:left;margin-left:2.25pt;margin-top:292.15pt;width:398.5pt;height:46.6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" fillcolor="white [3201]" stroked="f" strokeweight=".5pt">
                <v:textbox>
                  <w:txbxContent>
                    <w:p w14:paraId="17B3E646" w14:textId="24B6C6A5" w:rsidR="00C35051" w:rsidRDefault="00596720" w:rsidP="00C35051">
                      <w:pPr>
                        <w:pStyle w:val="Subtitle"/>
                      </w:pPr>
                      <w:bookmarkStart w:id="85" w:name="_Toc98704981"/>
                      <w:r w:rsidRPr="00BE0454">
                        <w:t xml:space="preserve">Figure </w:t>
                      </w:r>
                      <w:r w:rsidR="00EA2092">
                        <w:t>19</w:t>
                      </w:r>
                      <w:r w:rsidRPr="00BE0454">
                        <w:t xml:space="preserve">: </w:t>
                      </w:r>
                      <w:r w:rsidR="00C35051">
                        <w:t>Nutrient Enrichment</w:t>
                      </w:r>
                      <w:bookmarkEnd w:id="85"/>
                    </w:p>
                    <w:p w14:paraId="6F3C8081" w14:textId="0FC8716C" w:rsidR="00596720" w:rsidRPr="00BE0454" w:rsidRDefault="00596720" w:rsidP="00596720">
                      <w:r w:rsidRPr="00BE0454">
                        <w:t>Simulated resource enrichment at 150 days in both Model 1A and Model 1B.</w:t>
                      </w:r>
                    </w:p>
                  </w:txbxContent>
                </v:textbox>
                <w10:wrap type="square"/>
              </v:shape>
            </w:pict>
          </mc:Fallback>
        </mc:AlternateContent>
      </w:r>
    </w:p>
    <w:p w14:paraId="51A34089" w14:textId="7940B276" w:rsidR="00BE0454" w:rsidRDefault="00BE0454" w:rsidP="00596720">
      <w:pPr>
        <w:spacing w:line="480" w:lineRule="auto"/>
        <w:ind w:firstLine="720"/>
      </w:pPr>
      <w:r w:rsidRPr="006D506E">
        <w:rPr>
          <w:rFonts w:ascii="Times" w:hAnsi="Times"/>
          <w:noProof/>
          <w:u w:val="single"/>
        </w:rPr>
        <w:lastRenderedPageBreak/>
        <mc:AlternateContent>
          <mc:Choice Requires="wps">
            <w:drawing>
              <wp:anchor distT="0" distB="0" distL="114300" distR="114300" simplePos="0" relativeHeight="251850752" behindDoc="0" locked="0" layoutInCell="1" allowOverlap="1" wp14:anchorId="19859FFF" wp14:editId="4F5C413F">
                <wp:simplePos x="0" y="0"/>
                <wp:positionH relativeFrom="column">
                  <wp:posOffset>144780</wp:posOffset>
                </wp:positionH>
                <wp:positionV relativeFrom="paragraph">
                  <wp:posOffset>3116580</wp:posOffset>
                </wp:positionV>
                <wp:extent cx="5563235" cy="669290"/>
                <wp:effectExtent l="0" t="0" r="0" b="3810"/>
                <wp:wrapTopAndBottom/>
                <wp:docPr id="69" name="Text Box 69"/>
                <wp:cNvGraphicFramePr/>
                <a:graphic xmlns:a="http://schemas.openxmlformats.org/drawingml/2006/main">
                  <a:graphicData uri="http://schemas.microsoft.com/office/word/2010/wordprocessingShape">
                    <wps:wsp>
                      <wps:cNvSpPr txBox="1"/>
                      <wps:spPr>
                        <a:xfrm>
                          <a:off x="0" y="0"/>
                          <a:ext cx="5563235" cy="669290"/>
                        </a:xfrm>
                        <a:prstGeom prst="rect">
                          <a:avLst/>
                        </a:prstGeom>
                        <a:solidFill>
                          <a:schemeClr val="lt1"/>
                        </a:solidFill>
                        <a:ln w="6350">
                          <a:noFill/>
                        </a:ln>
                      </wps:spPr>
                      <wps:txbx>
                        <w:txbxContent>
                          <w:p w14:paraId="0CAC19DA" w14:textId="066748F5" w:rsidR="00C35051" w:rsidRDefault="00596720" w:rsidP="00C35051">
                            <w:pPr>
                              <w:pStyle w:val="Subtitle"/>
                            </w:pPr>
                            <w:bookmarkStart w:id="58" w:name="_Toc98704982"/>
                            <w:r w:rsidRPr="00BE0454">
                              <w:t>Figure 2</w:t>
                            </w:r>
                            <w:r w:rsidR="00EA2092">
                              <w:t>0</w:t>
                            </w:r>
                            <w:r w:rsidRPr="00BE0454">
                              <w:t xml:space="preserve">: </w:t>
                            </w:r>
                            <w:r w:rsidR="00C35051" w:rsidRPr="00BE0454">
                              <w:t>Resource Competition Model</w:t>
                            </w:r>
                            <w:bookmarkEnd w:id="58"/>
                          </w:p>
                          <w:p w14:paraId="2E6067C5" w14:textId="31A8037F" w:rsidR="00596720" w:rsidRPr="00BE0454" w:rsidRDefault="00596720" w:rsidP="00596720">
                            <w:r w:rsidRPr="00BE0454">
                              <w:t>Model 1A-Food-web consisting of a supply rate (S</w:t>
                            </w:r>
                            <w:r w:rsidRPr="00BE0454">
                              <w:rPr>
                                <w:vertAlign w:val="subscript"/>
                              </w:rPr>
                              <w:t>R</w:t>
                            </w:r>
                            <w:r w:rsidRPr="00BE0454">
                              <w:t>), a resource, R, and two producers, P</w:t>
                            </w:r>
                            <w:r w:rsidRPr="00BE0454">
                              <w:rPr>
                                <w:vertAlign w:val="subscript"/>
                              </w:rPr>
                              <w:t>1</w:t>
                            </w:r>
                            <w:r w:rsidRPr="00BE0454">
                              <w:t xml:space="preserve"> and P</w:t>
                            </w:r>
                            <w:r w:rsidRPr="00BE0454">
                              <w:rPr>
                                <w:vertAlign w:val="subscript"/>
                              </w:rPr>
                              <w:t>2</w:t>
                            </w:r>
                            <w:r w:rsidRPr="00BE0454">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59FFF" id="Text Box 69" o:spid="_x0000_s1069" type="#_x0000_t202" style="position:absolute;left:0;text-align:left;margin-left:11.4pt;margin-top:245.4pt;width:438.05pt;height:52.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" fillcolor="white [3201]" stroked="f" strokeweight=".5pt">
                <v:textbox>
                  <w:txbxContent>
                    <w:p w14:paraId="0CAC19DA" w14:textId="066748F5" w:rsidR="00C35051" w:rsidRDefault="00596720" w:rsidP="00C35051">
                      <w:pPr>
                        <w:pStyle w:val="Subtitle"/>
                      </w:pPr>
                      <w:bookmarkStart w:id="87" w:name="_Toc98704982"/>
                      <w:r w:rsidRPr="00BE0454">
                        <w:t>Figure 2</w:t>
                      </w:r>
                      <w:r w:rsidR="00EA2092">
                        <w:t>0</w:t>
                      </w:r>
                      <w:r w:rsidRPr="00BE0454">
                        <w:t xml:space="preserve">: </w:t>
                      </w:r>
                      <w:r w:rsidR="00C35051" w:rsidRPr="00BE0454">
                        <w:t>Resource Competition Model</w:t>
                      </w:r>
                      <w:bookmarkEnd w:id="87"/>
                    </w:p>
                    <w:p w14:paraId="2E6067C5" w14:textId="31A8037F" w:rsidR="00596720" w:rsidRPr="00BE0454" w:rsidRDefault="00596720" w:rsidP="00596720">
                      <w:r w:rsidRPr="00BE0454">
                        <w:t>Model 1A-Food-web consisting of a supply rate (S</w:t>
                      </w:r>
                      <w:r w:rsidRPr="00BE0454">
                        <w:rPr>
                          <w:vertAlign w:val="subscript"/>
                        </w:rPr>
                        <w:t>R</w:t>
                      </w:r>
                      <w:r w:rsidRPr="00BE0454">
                        <w:t>), a resource, R, and two producers, P</w:t>
                      </w:r>
                      <w:r w:rsidRPr="00BE0454">
                        <w:rPr>
                          <w:vertAlign w:val="subscript"/>
                        </w:rPr>
                        <w:t>1</w:t>
                      </w:r>
                      <w:r w:rsidRPr="00BE0454">
                        <w:t xml:space="preserve"> and P</w:t>
                      </w:r>
                      <w:r w:rsidRPr="00BE0454">
                        <w:rPr>
                          <w:vertAlign w:val="subscript"/>
                        </w:rPr>
                        <w:t>2</w:t>
                      </w:r>
                      <w:r w:rsidRPr="00BE0454">
                        <w:t>.</w:t>
                      </w:r>
                    </w:p>
                  </w:txbxContent>
                </v:textbox>
                <w10:wrap type="topAndBottom"/>
              </v:shape>
            </w:pict>
          </mc:Fallback>
        </mc:AlternateContent>
      </w:r>
      <w:r>
        <w:rPr>
          <w:noProof/>
        </w:rPr>
        <w:drawing>
          <wp:inline distT="0" distB="0" distL="0" distR="0" wp14:anchorId="5218D8E4" wp14:editId="45C0DB78">
            <wp:extent cx="2044700" cy="2794000"/>
            <wp:effectExtent l="0" t="0" r="0" b="0"/>
            <wp:docPr id="113" name="Picture 113"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A picture containing clock&#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044700" cy="2794000"/>
                    </a:xfrm>
                    <a:prstGeom prst="rect">
                      <a:avLst/>
                    </a:prstGeom>
                  </pic:spPr>
                </pic:pic>
              </a:graphicData>
            </a:graphic>
          </wp:inline>
        </w:drawing>
      </w:r>
    </w:p>
    <w:p w14:paraId="4ACCC732" w14:textId="77D83BF9" w:rsidR="00BE0454" w:rsidRDefault="00BE0454" w:rsidP="00596720">
      <w:pPr>
        <w:spacing w:line="480" w:lineRule="auto"/>
        <w:ind w:firstLine="720"/>
      </w:pPr>
    </w:p>
    <w:p w14:paraId="2CFE4A8C" w14:textId="77777777" w:rsidR="00BE0454" w:rsidRDefault="00BE0454" w:rsidP="00596720">
      <w:pPr>
        <w:spacing w:line="480" w:lineRule="auto"/>
        <w:ind w:firstLine="720"/>
      </w:pPr>
    </w:p>
    <w:p w14:paraId="3EEC6876" w14:textId="77777777" w:rsidR="00BE0454" w:rsidRDefault="00BE0454" w:rsidP="00596720">
      <w:pPr>
        <w:spacing w:line="480" w:lineRule="auto"/>
        <w:ind w:firstLine="720"/>
      </w:pPr>
    </w:p>
    <w:p w14:paraId="07E029E4" w14:textId="14018323" w:rsidR="00BE0454" w:rsidRDefault="00BE0454" w:rsidP="00596720">
      <w:pPr>
        <w:spacing w:line="480" w:lineRule="auto"/>
        <w:ind w:firstLine="720"/>
      </w:pPr>
    </w:p>
    <w:p w14:paraId="24828DDA" w14:textId="77777777" w:rsidR="00BE0454" w:rsidRDefault="00BE0454" w:rsidP="00596720">
      <w:pPr>
        <w:spacing w:line="480" w:lineRule="auto"/>
        <w:ind w:firstLine="720"/>
      </w:pPr>
    </w:p>
    <w:p w14:paraId="77630551" w14:textId="77777777" w:rsidR="00BE0454" w:rsidRDefault="00BE0454" w:rsidP="00596720">
      <w:pPr>
        <w:spacing w:line="480" w:lineRule="auto"/>
        <w:ind w:firstLine="720"/>
      </w:pPr>
    </w:p>
    <w:p w14:paraId="3E0017A8" w14:textId="77777777" w:rsidR="00BE0454" w:rsidRDefault="00BE0454" w:rsidP="00596720">
      <w:pPr>
        <w:spacing w:line="480" w:lineRule="auto"/>
        <w:ind w:firstLine="720"/>
      </w:pPr>
    </w:p>
    <w:p w14:paraId="03D8A63B" w14:textId="77777777" w:rsidR="00BE0454" w:rsidRDefault="00BE0454" w:rsidP="00596720">
      <w:pPr>
        <w:spacing w:line="480" w:lineRule="auto"/>
        <w:ind w:firstLine="720"/>
      </w:pPr>
    </w:p>
    <w:p w14:paraId="787FF949" w14:textId="77777777" w:rsidR="00BE0454" w:rsidRDefault="00BE0454" w:rsidP="00596720">
      <w:pPr>
        <w:spacing w:line="480" w:lineRule="auto"/>
        <w:ind w:firstLine="720"/>
      </w:pPr>
    </w:p>
    <w:p w14:paraId="06D5AE57" w14:textId="524DF810" w:rsidR="00596720" w:rsidRPr="00596720" w:rsidRDefault="00596720" w:rsidP="005B0897">
      <w:pPr>
        <w:spacing w:line="480" w:lineRule="auto"/>
      </w:pPr>
      <w:r w:rsidRPr="006D506E">
        <w:rPr>
          <w:rFonts w:ascii="Times" w:hAnsi="Times"/>
        </w:rPr>
        <w:tab/>
      </w:r>
    </w:p>
    <w:p w14:paraId="3CA9DCD5" w14:textId="77777777" w:rsidR="00455B91" w:rsidRDefault="00455B91" w:rsidP="00455B91">
      <w:pPr>
        <w:tabs>
          <w:tab w:val="center" w:pos="4320"/>
        </w:tabs>
        <w:spacing w:line="480" w:lineRule="auto"/>
      </w:pPr>
    </w:p>
    <w:p w14:paraId="21A38BE1" w14:textId="5AB205F5" w:rsidR="00455B91" w:rsidRDefault="00455B91" w:rsidP="00455B91">
      <w:pPr>
        <w:tabs>
          <w:tab w:val="center" w:pos="4320"/>
        </w:tabs>
        <w:spacing w:line="480" w:lineRule="auto"/>
      </w:pPr>
      <w:r w:rsidRPr="00596720">
        <w:lastRenderedPageBreak/>
        <w:t>These equations were solved numerically and converged to equilibrium solutions. As a result of the model, P</w:t>
      </w:r>
      <w:r w:rsidRPr="00596720">
        <w:rPr>
          <w:vertAlign w:val="subscript"/>
        </w:rPr>
        <w:t>1</w:t>
      </w:r>
      <w:r w:rsidRPr="00596720">
        <w:t xml:space="preserve"> outcompetes P</w:t>
      </w:r>
      <w:r w:rsidRPr="00596720">
        <w:rPr>
          <w:vertAlign w:val="subscript"/>
        </w:rPr>
        <w:t>2</w:t>
      </w:r>
      <w:r w:rsidRPr="00596720">
        <w:t xml:space="preserve"> before and after the nutrient enrichment (shown with the black dotted vertical line). This result suggests that the producer better at resource acquisition will outcompete the other producer regardless of the supply rate due to the R</w:t>
      </w:r>
      <w:r w:rsidRPr="00596720">
        <w:rPr>
          <w:vertAlign w:val="superscript"/>
        </w:rPr>
        <w:t>*</w:t>
      </w:r>
      <w:r w:rsidRPr="00596720">
        <w:t xml:space="preserve"> steady state value of each producer</w:t>
      </w:r>
      <w:r>
        <w:t xml:space="preserve"> </w:t>
      </w:r>
      <w:r w:rsidRPr="00BE0454">
        <w:rPr>
          <w:b/>
          <w:bCs/>
        </w:rPr>
        <w:t>(Figure 2</w:t>
      </w:r>
      <w:r w:rsidR="00D13835">
        <w:rPr>
          <w:b/>
          <w:bCs/>
        </w:rPr>
        <w:t>1</w:t>
      </w:r>
      <w:r w:rsidRPr="00BE0454">
        <w:rPr>
          <w:b/>
          <w:bCs/>
        </w:rPr>
        <w:t>)</w:t>
      </w:r>
      <w:r w:rsidRPr="00596720">
        <w:t xml:space="preserve">. Previous studies by Tilman, Holt, Armstrong, and Hutchinson give us insight into this resource competition theory and classic outcomes seen when using this food-web structure </w:t>
      </w:r>
      <w:r w:rsidRPr="00596720">
        <w:fldChar w:fldCharType="begin" w:fldLock="1"/>
      </w:r>
      <w:r>
        <w:instrText>ADDIN CSL_CITATION {"citationItems":[{"id":"ITEM-1","itemData":{"author":[{"dropping-particle":"","family":"Tilman","given":"D.","non-dropping-particle":"","parse-names":false,"suffix":""}],"container-title":"Princeton University Press, N.J.","id":"ITEM-1","issued":{"date-parts":[["1982"]]},"title":"Resource Competition and Community Structure","type":"article-journal"},"uris":["http://www.mendeley.com/documents/?uuid=da76aa6e-b204-4b6f-a9de-83b3089f87d5"]},{"id":"ITEM-2","itemData":{"DOI":"10.1086/285705","ISSN":"00030147","author":[{"dropping-particle":"","family":"Holt","given":"R. D.","non-dropping-particle":"","parse-names":false,"suffix":""},{"dropping-particle":"","family":"Grover","given":"J.","non-dropping-particle":"","parse-names":false,"suffix":""},{"dropping-particle":"","family":"Tilman","given":"D.","non-dropping-particle":"","parse-names":false,"suffix":""}],"container-title":"American Naturalist","id":"ITEM-2","issue":"5","issued":{"date-parts":[["1994"]]},"page":"741-771","title":"Simple rules for interspecific dominance in systems with exploitative and apparent competition","type":"article-journal","volume":"144"},"uris":["http://www.mendeley.com/documents/?uuid=4d8e6074-2b04-41d6-baa8-60570d1c4812"]},{"id":"ITEM-3","itemData":{"author":[{"dropping-particle":"","family":"Armstrong","given":"R.A.","non-dropping-particle":"","parse-names":false,"suffix":""},{"dropping-particle":"","family":"McGehee","given":"R.","non-dropping-particle":"","parse-names":false,"suffix":""}],"container-title":"The American Naturalist","id":"ITEM-3","issued":{"date-parts":[["1980"]]},"page":"151-170","title":"Competitive Exclusion","type":"article-journal","volume":"115"},"uris":["http://www.mendeley.com/documents/?uuid=ca79618d-1692-414e-82a6-38dbd32b223f"]},{"id":"ITEM-4","itemData":{"DOI":"10.1017/CBO9781139095075.008","ISBN":"9781139095075","abstract":"General background Freshwater streams and lakes are habitats for complex ecosystems, of which plankton is an important component. Even more extensive are the oceans, which cover about 70% of the Earth’s surface. Marine ecosystems including their plankton have very great ecological and economic significance. Although our knowledge of biodiversity patterns in marine phyto- and zooplankton (compared to terrestrial systems) is still very limited (Irigoien et al., 2004), much work, some of it theoretical, some experimental, has led to important insights. The study of plankton has played a crucial historical role in our understanding of ecological processes. The famous “paradox of the plankton” formulated by Hutchinson (1961) drew attention to the fact that many more species coexist in the supposedly homogeneous habitat than permitted under the competitive exclusion principle of Gause. Hutchinson suggested that nonequilibrium conditions might lead to the greater than expected diversity, a suggestion shown to be correct by many subsequent studies. Hutchinson himself thought that seasons and weather-induced fluctuations were responsible. But, in addition, as reviewed by Scheffer et al. (2003), homogeneity due to mixing hardly exists, and even in the open ocean meso-scale vortices and fronts result in spatial heterogeneity. Moreover, modeling of plankton communities has shown that even in homogeneous and constant environments plankton may never reach equilibrium, because multi-species interactions may lead to oscillations and chaos. This is supported by laboratory experiments, which have shown highly irregular and unpredictable long-term fluctuations at the species level (Figure 4.1), although total algal biomass and other indicators at higher aggregation levels may show regular patterns.","author":[{"dropping-particle":"","family":"Hutchinson","given":"G.E.","non-dropping-particle":"","parse-names":false,"suffix":""}],"container-title":"The American Naturalist","id":"ITEM-4","issued":{"date-parts":[["1961"]]},"page":"137-145","title":"The paradox of the plankton","type":"article-journal","volume":"95"},"uris":["http://www.mendeley.com/documents/?uuid=e2295020-18c4-43b6-b2c7-5a45e5ddb341"]}],"mendeley":{"formattedCitation":"(Armstrong &amp; McGehee, 1980; Holt et al., 1994; Hutchinson, 1961; Tilman, 1982)","plainTextFormattedCitation":"(Armstrong &amp; McGehee, 1980; Holt et al., 1994; Hutchinson, 1961; Tilman, 1982)","previouslyFormattedCitation":"(Armstrong &amp; McGehee, 1980; Holt et al., 1994; Hutchinson, 1961; Tilman, 1982)"},"properties":{"noteIndex":0},"schema":"https://github.com/citation-style-language/schema/raw/master/csl-citation.json"}</w:instrText>
      </w:r>
      <w:r w:rsidRPr="00596720">
        <w:fldChar w:fldCharType="separate"/>
      </w:r>
      <w:r w:rsidRPr="00D86575">
        <w:rPr>
          <w:noProof/>
        </w:rPr>
        <w:t>(Armstrong &amp; McGehee, 1980; Holt et al., 1994; Hutchinson, 1961; Tilman, 1982)</w:t>
      </w:r>
      <w:r w:rsidRPr="00596720">
        <w:fldChar w:fldCharType="end"/>
      </w:r>
      <w:r w:rsidRPr="00596720">
        <w:t xml:space="preserve">. However, this model does not </w:t>
      </w:r>
      <w:proofErr w:type="gramStart"/>
      <w:r w:rsidRPr="00596720">
        <w:t>take into account</w:t>
      </w:r>
      <w:proofErr w:type="gramEnd"/>
      <w:r w:rsidRPr="00596720">
        <w:t xml:space="preserve"> the importance of top-down control (Model 1B).</w:t>
      </w:r>
      <w:r w:rsidRPr="006D506E">
        <w:rPr>
          <w:rFonts w:ascii="Times" w:hAnsi="Times"/>
        </w:rPr>
        <w:tab/>
      </w:r>
    </w:p>
    <w:p w14:paraId="4E8DE54B" w14:textId="76426227" w:rsidR="00596720" w:rsidRDefault="00CF6BAF" w:rsidP="00596720">
      <w:pPr>
        <w:spacing w:line="480" w:lineRule="auto"/>
        <w:ind w:firstLine="720"/>
      </w:pPr>
      <w:r>
        <w:rPr>
          <w:noProof/>
        </w:rPr>
        <mc:AlternateContent>
          <mc:Choice Requires="wpg">
            <w:drawing>
              <wp:anchor distT="0" distB="0" distL="114300" distR="114300" simplePos="0" relativeHeight="251862016" behindDoc="0" locked="0" layoutInCell="1" allowOverlap="1" wp14:anchorId="105E523D" wp14:editId="730A012B">
                <wp:simplePos x="0" y="0"/>
                <wp:positionH relativeFrom="column">
                  <wp:posOffset>-318752</wp:posOffset>
                </wp:positionH>
                <wp:positionV relativeFrom="paragraph">
                  <wp:posOffset>1672473</wp:posOffset>
                </wp:positionV>
                <wp:extent cx="3565525" cy="2696399"/>
                <wp:effectExtent l="0" t="0" r="0" b="0"/>
                <wp:wrapTopAndBottom/>
                <wp:docPr id="189" name="Group 189"/>
                <wp:cNvGraphicFramePr/>
                <a:graphic xmlns:a="http://schemas.openxmlformats.org/drawingml/2006/main">
                  <a:graphicData uri="http://schemas.microsoft.com/office/word/2010/wordprocessingGroup">
                    <wpg:wgp>
                      <wpg:cNvGrpSpPr/>
                      <wpg:grpSpPr>
                        <a:xfrm>
                          <a:off x="0" y="0"/>
                          <a:ext cx="3565525" cy="2696399"/>
                          <a:chOff x="-59825" y="53727"/>
                          <a:chExt cx="3169934" cy="2697694"/>
                        </a:xfrm>
                      </wpg:grpSpPr>
                      <wps:wsp>
                        <wps:cNvPr id="190" name="TextBox 21"/>
                        <wps:cNvSpPr txBox="1"/>
                        <wps:spPr>
                          <a:xfrm>
                            <a:off x="63365" y="326511"/>
                            <a:ext cx="2701290" cy="553687"/>
                          </a:xfrm>
                          <a:prstGeom prst="rect">
                            <a:avLst/>
                          </a:prstGeom>
                          <a:noFill/>
                        </wps:spPr>
                        <wps:txbx>
                          <w:txbxContent>
                            <w:p w14:paraId="6E1E7DB2" w14:textId="29B42989" w:rsidR="00596720" w:rsidRPr="00CF6BAF" w:rsidRDefault="00A9083D" w:rsidP="00596720">
                              <w:pPr>
                                <w:rPr>
                                  <w:sz w:val="18"/>
                                  <w:szCs w:val="18"/>
                                </w:rPr>
                              </w:pPr>
                              <m:oMathPara>
                                <m:oMathParaPr>
                                  <m:jc m:val="left"/>
                                </m:oMathPara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m:t>
                                      </m:r>
                                      <m:sSub>
                                        <m:sSubPr>
                                          <m:ctrlPr>
                                            <w:rPr>
                                              <w:rFonts w:ascii="Cambria Math" w:eastAsiaTheme="minorEastAsia" w:hAnsi="Cambria Math"/>
                                              <w:i/>
                                              <w:iCs/>
                                              <w:color w:val="000000" w:themeColor="text1"/>
                                              <w:kern w:val="24"/>
                                              <w:sz w:val="28"/>
                                              <w:szCs w:val="28"/>
                                            </w:rPr>
                                          </m:ctrlPr>
                                        </m:sSubPr>
                                        <m:e>
                                          <m:r>
                                            <w:rPr>
                                              <w:rFonts w:ascii="Cambria Math" w:hAnsi="Cambria Math"/>
                                              <w:color w:val="000000" w:themeColor="text1"/>
                                              <w:kern w:val="24"/>
                                              <w:sz w:val="28"/>
                                              <w:szCs w:val="28"/>
                                            </w:rPr>
                                            <m:t>P</m:t>
                                          </m:r>
                                        </m:e>
                                        <m:sub>
                                          <m:r>
                                            <w:rPr>
                                              <w:rFonts w:ascii="Cambria Math" w:hAnsi="Cambria Math"/>
                                              <w:color w:val="000000" w:themeColor="text1"/>
                                              <w:kern w:val="24"/>
                                              <w:sz w:val="28"/>
                                              <w:szCs w:val="28"/>
                                            </w:rPr>
                                            <m:t>1</m:t>
                                          </m:r>
                                        </m:sub>
                                      </m:sSub>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μ</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φ</m:t>
                                      </m:r>
                                    </m:e>
                                    <m:sub>
                                      <m:r>
                                        <w:rPr>
                                          <w:rFonts w:ascii="Cambria Math" w:eastAsia="Cambria Math" w:hAnsi="Cambria Math"/>
                                          <w:color w:val="000000" w:themeColor="text1"/>
                                          <w:kern w:val="24"/>
                                          <w:sz w:val="28"/>
                                          <w:szCs w:val="28"/>
                                        </w:rPr>
                                        <m:t>1</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C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lang w:val="el-GR"/>
                                        </w:rPr>
                                        <m:t>δ</m:t>
                                      </m:r>
                                    </m:e>
                                    <m:sub>
                                      <m:r>
                                        <w:rPr>
                                          <w:rFonts w:ascii="Cambria Math" w:eastAsia="Cambria Math" w:hAnsi="Cambria Math"/>
                                          <w:color w:val="000000" w:themeColor="text1"/>
                                          <w:kern w:val="24"/>
                                          <w:sz w:val="28"/>
                                          <w:szCs w:val="28"/>
                                        </w:rPr>
                                        <m:t>p</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oMath>
                              </m:oMathPara>
                            </w:p>
                          </w:txbxContent>
                        </wps:txbx>
                        <wps:bodyPr wrap="square" rtlCol="0">
                          <a:noAutofit/>
                        </wps:bodyPr>
                      </wps:wsp>
                      <wps:wsp>
                        <wps:cNvPr id="191" name="TextBox 28"/>
                        <wps:cNvSpPr txBox="1"/>
                        <wps:spPr>
                          <a:xfrm>
                            <a:off x="63365" y="1091476"/>
                            <a:ext cx="2698750" cy="538534"/>
                          </a:xfrm>
                          <a:prstGeom prst="rect">
                            <a:avLst/>
                          </a:prstGeom>
                          <a:noFill/>
                        </wps:spPr>
                        <wps:txbx>
                          <w:txbxContent>
                            <w:p w14:paraId="17DFDFA2" w14:textId="1E2399D5" w:rsidR="00596720" w:rsidRPr="00CF6BAF" w:rsidRDefault="00A9083D" w:rsidP="00596720">
                              <w:pPr>
                                <w:rPr>
                                  <w:sz w:val="18"/>
                                  <w:szCs w:val="18"/>
                                </w:rPr>
                              </w:pPr>
                              <m:oMathPara>
                                <m:oMathParaPr>
                                  <m:jc m:val="left"/>
                                </m:oMathPara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m:t>
                                      </m:r>
                                      <m:sSub>
                                        <m:sSubPr>
                                          <m:ctrlPr>
                                            <w:rPr>
                                              <w:rFonts w:ascii="Cambria Math" w:eastAsiaTheme="minorEastAsia" w:hAnsi="Cambria Math"/>
                                              <w:i/>
                                              <w:iCs/>
                                              <w:color w:val="000000" w:themeColor="text1"/>
                                              <w:kern w:val="24"/>
                                              <w:sz w:val="28"/>
                                              <w:szCs w:val="28"/>
                                            </w:rPr>
                                          </m:ctrlPr>
                                        </m:sSubPr>
                                        <m:e>
                                          <m:r>
                                            <w:rPr>
                                              <w:rFonts w:ascii="Cambria Math" w:hAnsi="Cambria Math"/>
                                              <w:color w:val="000000" w:themeColor="text1"/>
                                              <w:kern w:val="24"/>
                                              <w:sz w:val="28"/>
                                              <w:szCs w:val="28"/>
                                            </w:rPr>
                                            <m:t>P</m:t>
                                          </m:r>
                                        </m:e>
                                        <m:sub>
                                          <m:r>
                                            <w:rPr>
                                              <w:rFonts w:ascii="Cambria Math" w:hAnsi="Cambria Math"/>
                                              <w:color w:val="000000" w:themeColor="text1"/>
                                              <w:kern w:val="24"/>
                                              <w:sz w:val="28"/>
                                              <w:szCs w:val="28"/>
                                            </w:rPr>
                                            <m:t>2</m:t>
                                          </m:r>
                                        </m:sub>
                                      </m:sSub>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μ</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φ</m:t>
                                      </m:r>
                                    </m:e>
                                    <m:sub>
                                      <m:r>
                                        <w:rPr>
                                          <w:rFonts w:ascii="Cambria Math" w:eastAsia="Cambria Math" w:hAnsi="Cambria Math"/>
                                          <w:color w:val="000000" w:themeColor="text1"/>
                                          <w:kern w:val="24"/>
                                          <w:sz w:val="28"/>
                                          <w:szCs w:val="28"/>
                                        </w:rPr>
                                        <m:t>2</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C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δ</m:t>
                                      </m:r>
                                    </m:e>
                                    <m:sub>
                                      <m:r>
                                        <w:rPr>
                                          <w:rFonts w:ascii="Cambria Math" w:eastAsia="Cambria Math" w:hAnsi="Cambria Math"/>
                                          <w:color w:val="000000" w:themeColor="text1"/>
                                          <w:kern w:val="24"/>
                                          <w:sz w:val="28"/>
                                          <w:szCs w:val="28"/>
                                        </w:rPr>
                                        <m:t>p</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oMath>
                              </m:oMathPara>
                            </w:p>
                          </w:txbxContent>
                        </wps:txbx>
                        <wps:bodyPr wrap="square" rtlCol="0">
                          <a:noAutofit/>
                        </wps:bodyPr>
                      </wps:wsp>
                      <wps:wsp>
                        <wps:cNvPr id="64" name="TextBox 36"/>
                        <wps:cNvSpPr txBox="1"/>
                        <wps:spPr>
                          <a:xfrm>
                            <a:off x="99574" y="1804330"/>
                            <a:ext cx="3010535" cy="592667"/>
                          </a:xfrm>
                          <a:prstGeom prst="rect">
                            <a:avLst/>
                          </a:prstGeom>
                          <a:noFill/>
                        </wps:spPr>
                        <wps:txbx>
                          <w:txbxContent>
                            <w:p w14:paraId="5AFC3D79" w14:textId="33C79E55" w:rsidR="00596720" w:rsidRPr="00CF6BAF" w:rsidRDefault="00A9083D" w:rsidP="00596720">
                              <w:pPr>
                                <w:rPr>
                                  <w:sz w:val="18"/>
                                  <w:szCs w:val="18"/>
                                </w:rPr>
                              </w:pPr>
                              <m:oMathPara>
                                <m:oMathParaPr>
                                  <m:jc m:val="left"/>
                                </m:oMathPara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dC</m:t>
                                      </m:r>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ε</m:t>
                                      </m:r>
                                    </m:e>
                                    <m:sub>
                                      <m:r>
                                        <w:rPr>
                                          <w:rFonts w:ascii="Cambria Math" w:eastAsia="Cambria Math" w:hAnsi="Cambria Math"/>
                                          <w:color w:val="000000" w:themeColor="text1"/>
                                          <w:kern w:val="24"/>
                                          <w:sz w:val="28"/>
                                          <w:szCs w:val="28"/>
                                        </w:rPr>
                                        <m:t>1</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φ</m:t>
                                      </m:r>
                                    </m:e>
                                    <m:sub>
                                      <m:r>
                                        <w:rPr>
                                          <w:rFonts w:ascii="Cambria Math" w:eastAsia="Cambria Math" w:hAnsi="Cambria Math"/>
                                          <w:color w:val="000000" w:themeColor="text1"/>
                                          <w:kern w:val="24"/>
                                          <w:sz w:val="28"/>
                                          <w:szCs w:val="28"/>
                                        </w:rPr>
                                        <m:t>1</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C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ε</m:t>
                                      </m:r>
                                    </m:e>
                                    <m:sub>
                                      <m:r>
                                        <w:rPr>
                                          <w:rFonts w:ascii="Cambria Math" w:eastAsia="Cambria Math" w:hAnsi="Cambria Math"/>
                                          <w:color w:val="000000" w:themeColor="text1"/>
                                          <w:kern w:val="24"/>
                                          <w:sz w:val="28"/>
                                          <w:szCs w:val="28"/>
                                        </w:rPr>
                                        <m:t>2</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φ</m:t>
                                      </m:r>
                                    </m:e>
                                    <m:sub>
                                      <m:r>
                                        <w:rPr>
                                          <w:rFonts w:ascii="Cambria Math" w:eastAsia="Cambria Math" w:hAnsi="Cambria Math"/>
                                          <w:color w:val="000000" w:themeColor="text1"/>
                                          <w:kern w:val="24"/>
                                          <w:sz w:val="28"/>
                                          <w:szCs w:val="28"/>
                                        </w:rPr>
                                        <m:t>2</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C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δ</m:t>
                                      </m:r>
                                    </m:e>
                                    <m:sub>
                                      <m:r>
                                        <w:rPr>
                                          <w:rFonts w:ascii="Cambria Math" w:eastAsia="Cambria Math" w:hAnsi="Cambria Math"/>
                                          <w:color w:val="000000" w:themeColor="text1"/>
                                          <w:kern w:val="24"/>
                                          <w:sz w:val="28"/>
                                          <w:szCs w:val="28"/>
                                        </w:rPr>
                                        <m:t>c</m:t>
                                      </m:r>
                                    </m:sub>
                                  </m:sSub>
                                  <m:r>
                                    <w:rPr>
                                      <w:rFonts w:ascii="Cambria Math" w:eastAsia="Cambria Math" w:hAnsi="Cambria Math"/>
                                      <w:color w:val="000000" w:themeColor="text1"/>
                                      <w:kern w:val="24"/>
                                      <w:sz w:val="28"/>
                                      <w:szCs w:val="28"/>
                                    </w:rPr>
                                    <m:t>C</m:t>
                                  </m:r>
                                </m:oMath>
                              </m:oMathPara>
                            </w:p>
                          </w:txbxContent>
                        </wps:txbx>
                        <wps:bodyPr wrap="square" rtlCol="0">
                          <a:noAutofit/>
                        </wps:bodyPr>
                      </wps:wsp>
                      <wps:wsp>
                        <wps:cNvPr id="65" name="Right Brace 24"/>
                        <wps:cNvSpPr/>
                        <wps:spPr>
                          <a:xfrm rot="5400000">
                            <a:off x="579535" y="54071"/>
                            <a:ext cx="118747" cy="19902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66" name="Right Brace 25"/>
                        <wps:cNvSpPr/>
                        <wps:spPr>
                          <a:xfrm rot="5400000">
                            <a:off x="1544829" y="-527478"/>
                            <a:ext cx="159227" cy="1321638"/>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67" name="TextBox 26"/>
                        <wps:cNvSpPr txBox="1"/>
                        <wps:spPr>
                          <a:xfrm>
                            <a:off x="162939" y="150738"/>
                            <a:ext cx="1035227" cy="237519"/>
                          </a:xfrm>
                          <a:prstGeom prst="rect">
                            <a:avLst/>
                          </a:prstGeom>
                          <a:noFill/>
                        </wps:spPr>
                        <wps:txbx>
                          <w:txbxContent>
                            <w:p w14:paraId="3BE021FB" w14:textId="77777777" w:rsidR="00596720" w:rsidRPr="00534A40" w:rsidRDefault="00596720" w:rsidP="00596720">
                              <w:pPr>
                                <w:jc w:val="center"/>
                                <w:rPr>
                                  <w:sz w:val="16"/>
                                  <w:szCs w:val="16"/>
                                </w:rPr>
                              </w:pPr>
                              <w:r w:rsidRPr="00534A40">
                                <w:rPr>
                                  <w:rFonts w:hAnsi="Calibri"/>
                                  <w:color w:val="000000" w:themeColor="text1"/>
                                  <w:kern w:val="24"/>
                                  <w:sz w:val="20"/>
                                  <w:szCs w:val="20"/>
                                </w:rPr>
                                <w:t>Supply rate</w:t>
                              </w:r>
                            </w:p>
                          </w:txbxContent>
                        </wps:txbx>
                        <wps:bodyPr wrap="square" rtlCol="0">
                          <a:noAutofit/>
                        </wps:bodyPr>
                      </wps:wsp>
                      <wps:wsp>
                        <wps:cNvPr id="68" name="TextBox 27"/>
                        <wps:cNvSpPr txBox="1"/>
                        <wps:spPr>
                          <a:xfrm>
                            <a:off x="915879" y="150738"/>
                            <a:ext cx="1700185" cy="253491"/>
                          </a:xfrm>
                          <a:prstGeom prst="rect">
                            <a:avLst/>
                          </a:prstGeom>
                          <a:noFill/>
                        </wps:spPr>
                        <wps:txbx>
                          <w:txbxContent>
                            <w:p w14:paraId="15105418" w14:textId="77777777" w:rsidR="00596720" w:rsidRPr="00534A40" w:rsidRDefault="00596720" w:rsidP="00596720">
                              <w:pPr>
                                <w:jc w:val="center"/>
                                <w:rPr>
                                  <w:sz w:val="16"/>
                                  <w:szCs w:val="16"/>
                                </w:rPr>
                              </w:pPr>
                              <w:r w:rsidRPr="00534A40">
                                <w:rPr>
                                  <w:rFonts w:hAnsi="Calibri"/>
                                  <w:color w:val="000000" w:themeColor="text1"/>
                                  <w:kern w:val="24"/>
                                  <w:sz w:val="20"/>
                                  <w:szCs w:val="20"/>
                                </w:rPr>
                                <w:t xml:space="preserve">Consumption by producers </w:t>
                              </w:r>
                            </w:p>
                          </w:txbxContent>
                        </wps:txbx>
                        <wps:bodyPr wrap="square" rtlCol="0">
                          <a:noAutofit/>
                        </wps:bodyPr>
                      </wps:wsp>
                      <wps:wsp>
                        <wps:cNvPr id="70" name="Right Brace 31"/>
                        <wps:cNvSpPr/>
                        <wps:spPr>
                          <a:xfrm rot="5400000">
                            <a:off x="2084344" y="619977"/>
                            <a:ext cx="142240" cy="41622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71" name="TextBox 32"/>
                        <wps:cNvSpPr txBox="1"/>
                        <wps:spPr>
                          <a:xfrm>
                            <a:off x="1199814" y="867885"/>
                            <a:ext cx="788170" cy="237519"/>
                          </a:xfrm>
                          <a:prstGeom prst="rect">
                            <a:avLst/>
                          </a:prstGeom>
                          <a:noFill/>
                        </wps:spPr>
                        <wps:txbx>
                          <w:txbxContent>
                            <w:p w14:paraId="223CFBE3" w14:textId="77777777" w:rsidR="00596720" w:rsidRPr="00534A40" w:rsidRDefault="00596720" w:rsidP="00596720">
                              <w:pPr>
                                <w:jc w:val="center"/>
                                <w:rPr>
                                  <w:sz w:val="16"/>
                                  <w:szCs w:val="16"/>
                                </w:rPr>
                              </w:pPr>
                              <w:r w:rsidRPr="00534A40">
                                <w:rPr>
                                  <w:rFonts w:hAnsi="Calibri"/>
                                  <w:color w:val="000000" w:themeColor="text1"/>
                                  <w:kern w:val="24"/>
                                  <w:sz w:val="20"/>
                                  <w:szCs w:val="20"/>
                                </w:rPr>
                                <w:t>Predation</w:t>
                              </w:r>
                            </w:p>
                          </w:txbxContent>
                        </wps:txbx>
                        <wps:bodyPr wrap="square" rtlCol="0">
                          <a:noAutofit/>
                        </wps:bodyPr>
                      </wps:wsp>
                      <wps:wsp>
                        <wps:cNvPr id="72" name="Right Brace 33"/>
                        <wps:cNvSpPr/>
                        <wps:spPr>
                          <a:xfrm rot="5400000">
                            <a:off x="702277" y="590440"/>
                            <a:ext cx="142875" cy="46863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73" name="Right Brace 34"/>
                        <wps:cNvSpPr/>
                        <wps:spPr>
                          <a:xfrm rot="5400000">
                            <a:off x="1452645" y="561506"/>
                            <a:ext cx="142043" cy="532964"/>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74" name="TextBox 35"/>
                        <wps:cNvSpPr txBox="1"/>
                        <wps:spPr>
                          <a:xfrm>
                            <a:off x="-59825" y="867885"/>
                            <a:ext cx="1596663" cy="237519"/>
                          </a:xfrm>
                          <a:prstGeom prst="rect">
                            <a:avLst/>
                          </a:prstGeom>
                          <a:noFill/>
                        </wps:spPr>
                        <wps:txbx>
                          <w:txbxContent>
                            <w:p w14:paraId="173B74F3" w14:textId="77777777" w:rsidR="00596720" w:rsidRPr="00534A40" w:rsidRDefault="00596720" w:rsidP="00596720">
                              <w:pPr>
                                <w:jc w:val="center"/>
                                <w:rPr>
                                  <w:sz w:val="16"/>
                                  <w:szCs w:val="16"/>
                                </w:rPr>
                              </w:pPr>
                              <w:r w:rsidRPr="00534A40">
                                <w:rPr>
                                  <w:rFonts w:hAnsi="Calibri"/>
                                  <w:color w:val="000000" w:themeColor="text1"/>
                                  <w:kern w:val="24"/>
                                  <w:sz w:val="20"/>
                                  <w:szCs w:val="20"/>
                                </w:rPr>
                                <w:t>Uptake of resource</w:t>
                              </w:r>
                            </w:p>
                          </w:txbxContent>
                        </wps:txbx>
                        <wps:bodyPr wrap="square" rtlCol="0">
                          <a:noAutofit/>
                        </wps:bodyPr>
                      </wps:wsp>
                      <wps:wsp>
                        <wps:cNvPr id="75" name="TextBox 37"/>
                        <wps:cNvSpPr txBox="1"/>
                        <wps:spPr>
                          <a:xfrm>
                            <a:off x="1879397" y="880197"/>
                            <a:ext cx="1074604" cy="383587"/>
                          </a:xfrm>
                          <a:prstGeom prst="rect">
                            <a:avLst/>
                          </a:prstGeom>
                          <a:noFill/>
                        </wps:spPr>
                        <wps:txbx>
                          <w:txbxContent>
                            <w:p w14:paraId="75481348" w14:textId="77777777" w:rsidR="00596720" w:rsidRPr="00534A40" w:rsidRDefault="00596720" w:rsidP="00596720">
                              <w:pPr>
                                <w:jc w:val="center"/>
                                <w:rPr>
                                  <w:sz w:val="16"/>
                                  <w:szCs w:val="16"/>
                                </w:rPr>
                              </w:pPr>
                              <w:r w:rsidRPr="00534A40">
                                <w:rPr>
                                  <w:rFonts w:hAnsi="Calibri"/>
                                  <w:color w:val="000000" w:themeColor="text1"/>
                                  <w:kern w:val="24"/>
                                  <w:sz w:val="20"/>
                                  <w:szCs w:val="20"/>
                                </w:rPr>
                                <w:t>Background loss</w:t>
                              </w:r>
                            </w:p>
                          </w:txbxContent>
                        </wps:txbx>
                        <wps:bodyPr wrap="square" rtlCol="0">
                          <a:noAutofit/>
                        </wps:bodyPr>
                      </wps:wsp>
                      <wps:wsp>
                        <wps:cNvPr id="76" name="Right Brace 38"/>
                        <wps:cNvSpPr/>
                        <wps:spPr>
                          <a:xfrm rot="5400000">
                            <a:off x="2123816" y="1376534"/>
                            <a:ext cx="132988" cy="433375"/>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77" name="TextBox 39"/>
                        <wps:cNvSpPr txBox="1"/>
                        <wps:spPr>
                          <a:xfrm>
                            <a:off x="1257185" y="1598836"/>
                            <a:ext cx="737996" cy="237519"/>
                          </a:xfrm>
                          <a:prstGeom prst="rect">
                            <a:avLst/>
                          </a:prstGeom>
                          <a:noFill/>
                        </wps:spPr>
                        <wps:txbx>
                          <w:txbxContent>
                            <w:p w14:paraId="71F47834" w14:textId="77777777" w:rsidR="00596720" w:rsidRPr="00534A40" w:rsidRDefault="00596720" w:rsidP="00596720">
                              <w:pPr>
                                <w:jc w:val="center"/>
                                <w:rPr>
                                  <w:sz w:val="16"/>
                                  <w:szCs w:val="16"/>
                                </w:rPr>
                              </w:pPr>
                              <w:r w:rsidRPr="00534A40">
                                <w:rPr>
                                  <w:rFonts w:hAnsi="Calibri"/>
                                  <w:color w:val="000000" w:themeColor="text1"/>
                                  <w:kern w:val="24"/>
                                  <w:sz w:val="20"/>
                                  <w:szCs w:val="20"/>
                                </w:rPr>
                                <w:t>Predation</w:t>
                              </w:r>
                            </w:p>
                          </w:txbxContent>
                        </wps:txbx>
                        <wps:bodyPr wrap="square" rtlCol="0">
                          <a:noAutofit/>
                        </wps:bodyPr>
                      </wps:wsp>
                      <wps:wsp>
                        <wps:cNvPr id="78" name="Right Brace 40"/>
                        <wps:cNvSpPr/>
                        <wps:spPr>
                          <a:xfrm rot="5400000">
                            <a:off x="767217" y="1336604"/>
                            <a:ext cx="110850" cy="448875"/>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79" name="Right Brace 41"/>
                        <wps:cNvSpPr/>
                        <wps:spPr>
                          <a:xfrm rot="5400000">
                            <a:off x="1407378" y="1355423"/>
                            <a:ext cx="151095" cy="451482"/>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80" name="TextBox 42"/>
                        <wps:cNvSpPr txBox="1"/>
                        <wps:spPr>
                          <a:xfrm>
                            <a:off x="199148" y="1575864"/>
                            <a:ext cx="1242907" cy="383587"/>
                          </a:xfrm>
                          <a:prstGeom prst="rect">
                            <a:avLst/>
                          </a:prstGeom>
                          <a:noFill/>
                        </wps:spPr>
                        <wps:txbx>
                          <w:txbxContent>
                            <w:p w14:paraId="025C234C" w14:textId="77777777" w:rsidR="00596720" w:rsidRPr="00534A40" w:rsidRDefault="00596720" w:rsidP="00596720">
                              <w:pPr>
                                <w:jc w:val="center"/>
                                <w:rPr>
                                  <w:sz w:val="16"/>
                                  <w:szCs w:val="16"/>
                                </w:rPr>
                              </w:pPr>
                              <w:r w:rsidRPr="00534A40">
                                <w:rPr>
                                  <w:rFonts w:hAnsi="Calibri"/>
                                  <w:color w:val="000000" w:themeColor="text1"/>
                                  <w:kern w:val="24"/>
                                  <w:sz w:val="20"/>
                                  <w:szCs w:val="20"/>
                                </w:rPr>
                                <w:t>Uptake of resource</w:t>
                              </w:r>
                            </w:p>
                          </w:txbxContent>
                        </wps:txbx>
                        <wps:bodyPr wrap="square" rtlCol="0">
                          <a:noAutofit/>
                        </wps:bodyPr>
                      </wps:wsp>
                      <wps:wsp>
                        <wps:cNvPr id="81" name="TextBox 43"/>
                        <wps:cNvSpPr txBox="1"/>
                        <wps:spPr>
                          <a:xfrm>
                            <a:off x="1894244" y="1604721"/>
                            <a:ext cx="1047294" cy="383587"/>
                          </a:xfrm>
                          <a:prstGeom prst="rect">
                            <a:avLst/>
                          </a:prstGeom>
                          <a:noFill/>
                        </wps:spPr>
                        <wps:txbx>
                          <w:txbxContent>
                            <w:p w14:paraId="05A4F9EF" w14:textId="77777777" w:rsidR="00596720" w:rsidRPr="00FF0596" w:rsidRDefault="00596720" w:rsidP="00596720">
                              <w:pPr>
                                <w:jc w:val="center"/>
                                <w:rPr>
                                  <w:sz w:val="16"/>
                                  <w:szCs w:val="16"/>
                                </w:rPr>
                              </w:pPr>
                              <w:r w:rsidRPr="00FF0596">
                                <w:rPr>
                                  <w:rFonts w:hAnsi="Calibri"/>
                                  <w:color w:val="000000" w:themeColor="text1"/>
                                  <w:kern w:val="24"/>
                                  <w:sz w:val="20"/>
                                  <w:szCs w:val="20"/>
                                </w:rPr>
                                <w:t>Background loss</w:t>
                              </w:r>
                            </w:p>
                          </w:txbxContent>
                        </wps:txbx>
                        <wps:bodyPr wrap="square" rtlCol="0">
                          <a:noAutofit/>
                        </wps:bodyPr>
                      </wps:wsp>
                      <wps:wsp>
                        <wps:cNvPr id="82" name="Right Brace 48"/>
                        <wps:cNvSpPr/>
                        <wps:spPr>
                          <a:xfrm rot="5400000">
                            <a:off x="1192258" y="1635351"/>
                            <a:ext cx="201675" cy="1389780"/>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83" name="Right Brace 49"/>
                        <wps:cNvSpPr/>
                        <wps:spPr>
                          <a:xfrm rot="5400000" flipV="1">
                            <a:off x="2381448" y="2133218"/>
                            <a:ext cx="138428" cy="330803"/>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84" name="TextBox 50"/>
                        <wps:cNvSpPr txBox="1"/>
                        <wps:spPr>
                          <a:xfrm>
                            <a:off x="476698" y="2367834"/>
                            <a:ext cx="1596663" cy="383587"/>
                          </a:xfrm>
                          <a:prstGeom prst="rect">
                            <a:avLst/>
                          </a:prstGeom>
                          <a:noFill/>
                        </wps:spPr>
                        <wps:txbx>
                          <w:txbxContent>
                            <w:p w14:paraId="31E342AE" w14:textId="77777777" w:rsidR="00596720" w:rsidRPr="00FF0596" w:rsidRDefault="00596720" w:rsidP="00596720">
                              <w:pPr>
                                <w:jc w:val="center"/>
                                <w:rPr>
                                  <w:sz w:val="16"/>
                                  <w:szCs w:val="16"/>
                                </w:rPr>
                              </w:pPr>
                              <w:r w:rsidRPr="00FF0596">
                                <w:rPr>
                                  <w:rFonts w:hAnsi="Calibri"/>
                                  <w:color w:val="000000" w:themeColor="text1"/>
                                  <w:kern w:val="24"/>
                                  <w:sz w:val="20"/>
                                  <w:szCs w:val="20"/>
                                </w:rPr>
                                <w:t>Consumption of Producers</w:t>
                              </w:r>
                            </w:p>
                          </w:txbxContent>
                        </wps:txbx>
                        <wps:bodyPr wrap="square" rtlCol="0">
                          <a:noAutofit/>
                        </wps:bodyPr>
                      </wps:wsp>
                      <wps:wsp>
                        <wps:cNvPr id="85" name="TextBox 51"/>
                        <wps:cNvSpPr txBox="1"/>
                        <wps:spPr>
                          <a:xfrm>
                            <a:off x="2073361" y="2367834"/>
                            <a:ext cx="702221" cy="383587"/>
                          </a:xfrm>
                          <a:prstGeom prst="rect">
                            <a:avLst/>
                          </a:prstGeom>
                          <a:noFill/>
                        </wps:spPr>
                        <wps:txbx>
                          <w:txbxContent>
                            <w:p w14:paraId="6D031800" w14:textId="77777777" w:rsidR="00596720" w:rsidRPr="00FF0596" w:rsidRDefault="00596720" w:rsidP="00596720">
                              <w:pPr>
                                <w:jc w:val="center"/>
                                <w:rPr>
                                  <w:sz w:val="16"/>
                                  <w:szCs w:val="16"/>
                                </w:rPr>
                              </w:pPr>
                              <w:r w:rsidRPr="00FF0596">
                                <w:rPr>
                                  <w:rFonts w:hAnsi="Calibri"/>
                                  <w:color w:val="000000" w:themeColor="text1"/>
                                  <w:kern w:val="24"/>
                                  <w:sz w:val="20"/>
                                  <w:szCs w:val="20"/>
                                </w:rPr>
                                <w:t>Loss of consumer</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05E523D" id="Group 189" o:spid="_x0000_s1070" style="position:absolute;left:0;text-align:left;margin-left:-25.1pt;margin-top:131.7pt;width:280.75pt;height:212.3pt;z-index:251862016;mso-width-relative:margin;mso-height-relative:margin" coordorigin="-598,537" coordsize="31699,269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">
                <v:shape id="TextBox 21" o:spid="_x0000_s1071" type="#_x0000_t202" style="position:absolute;left:633;top:3265;width:27013;height:55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" filled="f" stroked="f">
                  <v:textbox>
                    <w:txbxContent>
                      <w:p w14:paraId="6E1E7DB2" w14:textId="29B42989" w:rsidR="00596720" w:rsidRPr="00CF6BAF" w:rsidRDefault="005A7114" w:rsidP="00596720">
                        <w:pPr>
                          <w:rPr>
                            <w:sz w:val="18"/>
                            <w:szCs w:val="18"/>
                          </w:rPr>
                        </w:pPr>
                        <m:oMathPara>
                          <m:oMathParaPr>
                            <m:jc m:val="left"/>
                          </m:oMathPara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m:t>
                                </m:r>
                                <m:sSub>
                                  <m:sSubPr>
                                    <m:ctrlPr>
                                      <w:rPr>
                                        <w:rFonts w:ascii="Cambria Math" w:eastAsiaTheme="minorEastAsia" w:hAnsi="Cambria Math"/>
                                        <w:i/>
                                        <w:iCs/>
                                        <w:color w:val="000000" w:themeColor="text1"/>
                                        <w:kern w:val="24"/>
                                        <w:sz w:val="28"/>
                                        <w:szCs w:val="28"/>
                                      </w:rPr>
                                    </m:ctrlPr>
                                  </m:sSubPr>
                                  <m:e>
                                    <m:r>
                                      <w:rPr>
                                        <w:rFonts w:ascii="Cambria Math" w:hAnsi="Cambria Math"/>
                                        <w:color w:val="000000" w:themeColor="text1"/>
                                        <w:kern w:val="24"/>
                                        <w:sz w:val="28"/>
                                        <w:szCs w:val="28"/>
                                      </w:rPr>
                                      <m:t>P</m:t>
                                    </m:r>
                                  </m:e>
                                  <m:sub>
                                    <m:r>
                                      <w:rPr>
                                        <w:rFonts w:ascii="Cambria Math" w:hAnsi="Cambria Math"/>
                                        <w:color w:val="000000" w:themeColor="text1"/>
                                        <w:kern w:val="24"/>
                                        <w:sz w:val="28"/>
                                        <w:szCs w:val="28"/>
                                      </w:rPr>
                                      <m:t>1</m:t>
                                    </m:r>
                                  </m:sub>
                                </m:sSub>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μ</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φ</m:t>
                                </m:r>
                              </m:e>
                              <m:sub>
                                <m:r>
                                  <w:rPr>
                                    <w:rFonts w:ascii="Cambria Math" w:eastAsia="Cambria Math" w:hAnsi="Cambria Math"/>
                                    <w:color w:val="000000" w:themeColor="text1"/>
                                    <w:kern w:val="24"/>
                                    <w:sz w:val="28"/>
                                    <w:szCs w:val="28"/>
                                  </w:rPr>
                                  <m:t>1</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C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lang w:val="el-GR"/>
                                  </w:rPr>
                                  <m:t>δ</m:t>
                                </m:r>
                              </m:e>
                              <m:sub>
                                <m:r>
                                  <w:rPr>
                                    <w:rFonts w:ascii="Cambria Math" w:eastAsia="Cambria Math" w:hAnsi="Cambria Math"/>
                                    <w:color w:val="000000" w:themeColor="text1"/>
                                    <w:kern w:val="24"/>
                                    <w:sz w:val="28"/>
                                    <w:szCs w:val="28"/>
                                  </w:rPr>
                                  <m:t>p</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oMath>
                        </m:oMathPara>
                      </w:p>
                    </w:txbxContent>
                  </v:textbox>
                </v:shape>
                <v:shape id="TextBox 28" o:spid="_x0000_s1072" type="#_x0000_t202" style="position:absolute;left:633;top:10914;width:26988;height:53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" filled="f" stroked="f">
                  <v:textbox>
                    <w:txbxContent>
                      <w:p w14:paraId="17DFDFA2" w14:textId="1E2399D5" w:rsidR="00596720" w:rsidRPr="00CF6BAF" w:rsidRDefault="005A7114" w:rsidP="00596720">
                        <w:pPr>
                          <w:rPr>
                            <w:sz w:val="18"/>
                            <w:szCs w:val="18"/>
                          </w:rPr>
                        </w:pPr>
                        <m:oMathPara>
                          <m:oMathParaPr>
                            <m:jc m:val="left"/>
                          </m:oMathPara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m:t>
                                </m:r>
                                <m:sSub>
                                  <m:sSubPr>
                                    <m:ctrlPr>
                                      <w:rPr>
                                        <w:rFonts w:ascii="Cambria Math" w:eastAsiaTheme="minorEastAsia" w:hAnsi="Cambria Math"/>
                                        <w:i/>
                                        <w:iCs/>
                                        <w:color w:val="000000" w:themeColor="text1"/>
                                        <w:kern w:val="24"/>
                                        <w:sz w:val="28"/>
                                        <w:szCs w:val="28"/>
                                      </w:rPr>
                                    </m:ctrlPr>
                                  </m:sSubPr>
                                  <m:e>
                                    <m:r>
                                      <w:rPr>
                                        <w:rFonts w:ascii="Cambria Math" w:hAnsi="Cambria Math"/>
                                        <w:color w:val="000000" w:themeColor="text1"/>
                                        <w:kern w:val="24"/>
                                        <w:sz w:val="28"/>
                                        <w:szCs w:val="28"/>
                                      </w:rPr>
                                      <m:t>P</m:t>
                                    </m:r>
                                  </m:e>
                                  <m:sub>
                                    <m:r>
                                      <w:rPr>
                                        <w:rFonts w:ascii="Cambria Math" w:hAnsi="Cambria Math"/>
                                        <w:color w:val="000000" w:themeColor="text1"/>
                                        <w:kern w:val="24"/>
                                        <w:sz w:val="28"/>
                                        <w:szCs w:val="28"/>
                                      </w:rPr>
                                      <m:t>2</m:t>
                                    </m:r>
                                  </m:sub>
                                </m:sSub>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μ</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φ</m:t>
                                </m:r>
                              </m:e>
                              <m:sub>
                                <m:r>
                                  <w:rPr>
                                    <w:rFonts w:ascii="Cambria Math" w:eastAsia="Cambria Math" w:hAnsi="Cambria Math"/>
                                    <w:color w:val="000000" w:themeColor="text1"/>
                                    <w:kern w:val="24"/>
                                    <w:sz w:val="28"/>
                                    <w:szCs w:val="28"/>
                                  </w:rPr>
                                  <m:t>2</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C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δ</m:t>
                                </m:r>
                              </m:e>
                              <m:sub>
                                <m:r>
                                  <w:rPr>
                                    <w:rFonts w:ascii="Cambria Math" w:eastAsia="Cambria Math" w:hAnsi="Cambria Math"/>
                                    <w:color w:val="000000" w:themeColor="text1"/>
                                    <w:kern w:val="24"/>
                                    <w:sz w:val="28"/>
                                    <w:szCs w:val="28"/>
                                  </w:rPr>
                                  <m:t>p</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oMath>
                        </m:oMathPara>
                      </w:p>
                    </w:txbxContent>
                  </v:textbox>
                </v:shape>
                <v:shape id="TextBox 36" o:spid="_x0000_s1073" type="#_x0000_t202" style="position:absolute;left:995;top:18043;width:30106;height:59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" filled="f" stroked="f">
                  <v:textbox>
                    <w:txbxContent>
                      <w:p w14:paraId="5AFC3D79" w14:textId="33C79E55" w:rsidR="00596720" w:rsidRPr="00CF6BAF" w:rsidRDefault="005A7114" w:rsidP="00596720">
                        <w:pPr>
                          <w:rPr>
                            <w:sz w:val="18"/>
                            <w:szCs w:val="18"/>
                          </w:rPr>
                        </w:pPr>
                        <m:oMathPara>
                          <m:oMathParaPr>
                            <m:jc m:val="left"/>
                          </m:oMathPara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dC</m:t>
                                </m:r>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ε</m:t>
                                </m:r>
                              </m:e>
                              <m:sub>
                                <m:r>
                                  <w:rPr>
                                    <w:rFonts w:ascii="Cambria Math" w:eastAsia="Cambria Math" w:hAnsi="Cambria Math"/>
                                    <w:color w:val="000000" w:themeColor="text1"/>
                                    <w:kern w:val="24"/>
                                    <w:sz w:val="28"/>
                                    <w:szCs w:val="28"/>
                                  </w:rPr>
                                  <m:t>1</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φ</m:t>
                                </m:r>
                              </m:e>
                              <m:sub>
                                <m:r>
                                  <w:rPr>
                                    <w:rFonts w:ascii="Cambria Math" w:eastAsia="Cambria Math" w:hAnsi="Cambria Math"/>
                                    <w:color w:val="000000" w:themeColor="text1"/>
                                    <w:kern w:val="24"/>
                                    <w:sz w:val="28"/>
                                    <w:szCs w:val="28"/>
                                  </w:rPr>
                                  <m:t>1</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C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ε</m:t>
                                </m:r>
                              </m:e>
                              <m:sub>
                                <m:r>
                                  <w:rPr>
                                    <w:rFonts w:ascii="Cambria Math" w:eastAsia="Cambria Math" w:hAnsi="Cambria Math"/>
                                    <w:color w:val="000000" w:themeColor="text1"/>
                                    <w:kern w:val="24"/>
                                    <w:sz w:val="28"/>
                                    <w:szCs w:val="28"/>
                                  </w:rPr>
                                  <m:t>2</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φ</m:t>
                                </m:r>
                              </m:e>
                              <m:sub>
                                <m:r>
                                  <w:rPr>
                                    <w:rFonts w:ascii="Cambria Math" w:eastAsia="Cambria Math" w:hAnsi="Cambria Math"/>
                                    <w:color w:val="000000" w:themeColor="text1"/>
                                    <w:kern w:val="24"/>
                                    <w:sz w:val="28"/>
                                    <w:szCs w:val="28"/>
                                  </w:rPr>
                                  <m:t>2</m:t>
                                </m:r>
                              </m:sub>
                            </m:sSub>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C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δ</m:t>
                                </m:r>
                              </m:e>
                              <m:sub>
                                <m:r>
                                  <w:rPr>
                                    <w:rFonts w:ascii="Cambria Math" w:eastAsia="Cambria Math" w:hAnsi="Cambria Math"/>
                                    <w:color w:val="000000" w:themeColor="text1"/>
                                    <w:kern w:val="24"/>
                                    <w:sz w:val="28"/>
                                    <w:szCs w:val="28"/>
                                  </w:rPr>
                                  <m:t>c</m:t>
                                </m:r>
                              </m:sub>
                            </m:sSub>
                            <m:r>
                              <w:rPr>
                                <w:rFonts w:ascii="Cambria Math" w:eastAsia="Cambria Math" w:hAnsi="Cambria Math"/>
                                <w:color w:val="000000" w:themeColor="text1"/>
                                <w:kern w:val="24"/>
                                <w:sz w:val="28"/>
                                <w:szCs w:val="28"/>
                              </w:rPr>
                              <m:t>C</m:t>
                            </m:r>
                          </m:oMath>
                        </m:oMathPara>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4" o:spid="_x0000_s1074" type="#_x0000_t88" style="position:absolute;left:5795;top:540;width:1187;height:1991;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" adj="1074" strokecolor="#4579b8 [3044]"/>
                <v:shape id="Right Brace 25" o:spid="_x0000_s1075" type="#_x0000_t88" style="position:absolute;left:15448;top:-5275;width:1592;height:13216;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" adj="217" strokecolor="#4579b8 [3044]"/>
                <v:shape id="TextBox 26" o:spid="_x0000_s1076" type="#_x0000_t202" style="position:absolute;left:1629;top:1507;width:10352;height:23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" filled="f" stroked="f">
                  <v:textbox>
                    <w:txbxContent>
                      <w:p w14:paraId="3BE021FB" w14:textId="77777777" w:rsidR="00596720" w:rsidRPr="00534A40" w:rsidRDefault="00596720" w:rsidP="00596720">
                        <w:pPr>
                          <w:jc w:val="center"/>
                          <w:rPr>
                            <w:sz w:val="16"/>
                            <w:szCs w:val="16"/>
                          </w:rPr>
                        </w:pPr>
                        <w:r w:rsidRPr="00534A40">
                          <w:rPr>
                            <w:rFonts w:hAnsi="Calibri"/>
                            <w:color w:val="000000" w:themeColor="text1"/>
                            <w:kern w:val="24"/>
                            <w:sz w:val="20"/>
                            <w:szCs w:val="20"/>
                          </w:rPr>
                          <w:t>Supply rate</w:t>
                        </w:r>
                      </w:p>
                    </w:txbxContent>
                  </v:textbox>
                </v:shape>
                <v:shape id="TextBox 27" o:spid="_x0000_s1077" type="#_x0000_t202" style="position:absolute;left:9158;top:1507;width:17002;height:25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" filled="f" stroked="f">
                  <v:textbox>
                    <w:txbxContent>
                      <w:p w14:paraId="15105418" w14:textId="77777777" w:rsidR="00596720" w:rsidRPr="00534A40" w:rsidRDefault="00596720" w:rsidP="00596720">
                        <w:pPr>
                          <w:jc w:val="center"/>
                          <w:rPr>
                            <w:sz w:val="16"/>
                            <w:szCs w:val="16"/>
                          </w:rPr>
                        </w:pPr>
                        <w:r w:rsidRPr="00534A40">
                          <w:rPr>
                            <w:rFonts w:hAnsi="Calibri"/>
                            <w:color w:val="000000" w:themeColor="text1"/>
                            <w:kern w:val="24"/>
                            <w:sz w:val="20"/>
                            <w:szCs w:val="20"/>
                          </w:rPr>
                          <w:t xml:space="preserve">Consumption by producers </w:t>
                        </w:r>
                      </w:p>
                    </w:txbxContent>
                  </v:textbox>
                </v:shape>
                <v:shape id="Right Brace 31" o:spid="_x0000_s1078" type="#_x0000_t88" style="position:absolute;left:20842;top:6200;width:1423;height:416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" adj="615" strokecolor="#4579b8 [3044]"/>
                <v:shape id="_x0000_s1079" type="#_x0000_t202" style="position:absolute;left:11998;top:8678;width:7881;height:23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" filled="f" stroked="f">
                  <v:textbox>
                    <w:txbxContent>
                      <w:p w14:paraId="223CFBE3" w14:textId="77777777" w:rsidR="00596720" w:rsidRPr="00534A40" w:rsidRDefault="00596720" w:rsidP="00596720">
                        <w:pPr>
                          <w:jc w:val="center"/>
                          <w:rPr>
                            <w:sz w:val="16"/>
                            <w:szCs w:val="16"/>
                          </w:rPr>
                        </w:pPr>
                        <w:r w:rsidRPr="00534A40">
                          <w:rPr>
                            <w:rFonts w:hAnsi="Calibri"/>
                            <w:color w:val="000000" w:themeColor="text1"/>
                            <w:kern w:val="24"/>
                            <w:sz w:val="20"/>
                            <w:szCs w:val="20"/>
                          </w:rPr>
                          <w:t>Predation</w:t>
                        </w:r>
                      </w:p>
                    </w:txbxContent>
                  </v:textbox>
                </v:shape>
                <v:shape id="Right Brace 33" o:spid="_x0000_s1080" type="#_x0000_t88" style="position:absolute;left:7023;top:5904;width:1428;height:4686;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" adj="549" strokecolor="#4579b8 [3044]"/>
                <v:shape id="Right Brace 34" o:spid="_x0000_s1081" type="#_x0000_t88" style="position:absolute;left:14525;top:5615;width:1421;height:5330;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" adj="480" strokecolor="#4579b8 [3044]"/>
                <v:shape id="_x0000_s1082" type="#_x0000_t202" style="position:absolute;left:-598;top:8678;width:15966;height:23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" filled="f" stroked="f">
                  <v:textbox>
                    <w:txbxContent>
                      <w:p w14:paraId="173B74F3" w14:textId="77777777" w:rsidR="00596720" w:rsidRPr="00534A40" w:rsidRDefault="00596720" w:rsidP="00596720">
                        <w:pPr>
                          <w:jc w:val="center"/>
                          <w:rPr>
                            <w:sz w:val="16"/>
                            <w:szCs w:val="16"/>
                          </w:rPr>
                        </w:pPr>
                        <w:r w:rsidRPr="00534A40">
                          <w:rPr>
                            <w:rFonts w:hAnsi="Calibri"/>
                            <w:color w:val="000000" w:themeColor="text1"/>
                            <w:kern w:val="24"/>
                            <w:sz w:val="20"/>
                            <w:szCs w:val="20"/>
                          </w:rPr>
                          <w:t>Uptake of resource</w:t>
                        </w:r>
                      </w:p>
                    </w:txbxContent>
                  </v:textbox>
                </v:shape>
                <v:shape id="_x0000_s1083" type="#_x0000_t202" style="position:absolute;left:18793;top:8801;width:10747;height:38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" filled="f" stroked="f">
                  <v:textbox>
                    <w:txbxContent>
                      <w:p w14:paraId="75481348" w14:textId="77777777" w:rsidR="00596720" w:rsidRPr="00534A40" w:rsidRDefault="00596720" w:rsidP="00596720">
                        <w:pPr>
                          <w:jc w:val="center"/>
                          <w:rPr>
                            <w:sz w:val="16"/>
                            <w:szCs w:val="16"/>
                          </w:rPr>
                        </w:pPr>
                        <w:r w:rsidRPr="00534A40">
                          <w:rPr>
                            <w:rFonts w:hAnsi="Calibri"/>
                            <w:color w:val="000000" w:themeColor="text1"/>
                            <w:kern w:val="24"/>
                            <w:sz w:val="20"/>
                            <w:szCs w:val="20"/>
                          </w:rPr>
                          <w:t>Background loss</w:t>
                        </w:r>
                      </w:p>
                    </w:txbxContent>
                  </v:textbox>
                </v:shape>
                <v:shape id="Right Brace 38" o:spid="_x0000_s1084" type="#_x0000_t88" style="position:absolute;left:21238;top:13765;width:1330;height:4333;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" adj="552" strokecolor="#4579b8 [3044]"/>
                <v:shape id="TextBox 39" o:spid="_x0000_s1085" type="#_x0000_t202" style="position:absolute;left:12571;top:15988;width:7380;height:23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" filled="f" stroked="f">
                  <v:textbox>
                    <w:txbxContent>
                      <w:p w14:paraId="71F47834" w14:textId="77777777" w:rsidR="00596720" w:rsidRPr="00534A40" w:rsidRDefault="00596720" w:rsidP="00596720">
                        <w:pPr>
                          <w:jc w:val="center"/>
                          <w:rPr>
                            <w:sz w:val="16"/>
                            <w:szCs w:val="16"/>
                          </w:rPr>
                        </w:pPr>
                        <w:r w:rsidRPr="00534A40">
                          <w:rPr>
                            <w:rFonts w:hAnsi="Calibri"/>
                            <w:color w:val="000000" w:themeColor="text1"/>
                            <w:kern w:val="24"/>
                            <w:sz w:val="20"/>
                            <w:szCs w:val="20"/>
                          </w:rPr>
                          <w:t>Predation</w:t>
                        </w:r>
                      </w:p>
                    </w:txbxContent>
                  </v:textbox>
                </v:shape>
                <v:shape id="Right Brace 40" o:spid="_x0000_s1086" type="#_x0000_t88" style="position:absolute;left:7672;top:13366;width:1108;height:4488;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" adj="444" strokecolor="#4579b8 [3044]"/>
                <v:shape id="Right Brace 41" o:spid="_x0000_s1087" type="#_x0000_t88" style="position:absolute;left:14073;top:13554;width:1511;height:4515;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" adj="602" strokecolor="#4579b8 [3044]"/>
                <v:shape id="TextBox 42" o:spid="_x0000_s1088" type="#_x0000_t202" style="position:absolute;left:1991;top:15758;width:12429;height:38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" filled="f" stroked="f">
                  <v:textbox>
                    <w:txbxContent>
                      <w:p w14:paraId="025C234C" w14:textId="77777777" w:rsidR="00596720" w:rsidRPr="00534A40" w:rsidRDefault="00596720" w:rsidP="00596720">
                        <w:pPr>
                          <w:jc w:val="center"/>
                          <w:rPr>
                            <w:sz w:val="16"/>
                            <w:szCs w:val="16"/>
                          </w:rPr>
                        </w:pPr>
                        <w:r w:rsidRPr="00534A40">
                          <w:rPr>
                            <w:rFonts w:hAnsi="Calibri"/>
                            <w:color w:val="000000" w:themeColor="text1"/>
                            <w:kern w:val="24"/>
                            <w:sz w:val="20"/>
                            <w:szCs w:val="20"/>
                          </w:rPr>
                          <w:t>Uptake of resource</w:t>
                        </w:r>
                      </w:p>
                    </w:txbxContent>
                  </v:textbox>
                </v:shape>
                <v:shape id="TextBox 43" o:spid="_x0000_s1089" type="#_x0000_t202" style="position:absolute;left:18942;top:16047;width:10473;height:38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" filled="f" stroked="f">
                  <v:textbox>
                    <w:txbxContent>
                      <w:p w14:paraId="05A4F9EF" w14:textId="77777777" w:rsidR="00596720" w:rsidRPr="00FF0596" w:rsidRDefault="00596720" w:rsidP="00596720">
                        <w:pPr>
                          <w:jc w:val="center"/>
                          <w:rPr>
                            <w:sz w:val="16"/>
                            <w:szCs w:val="16"/>
                          </w:rPr>
                        </w:pPr>
                        <w:r w:rsidRPr="00FF0596">
                          <w:rPr>
                            <w:rFonts w:hAnsi="Calibri"/>
                            <w:color w:val="000000" w:themeColor="text1"/>
                            <w:kern w:val="24"/>
                            <w:sz w:val="20"/>
                            <w:szCs w:val="20"/>
                          </w:rPr>
                          <w:t>Background loss</w:t>
                        </w:r>
                      </w:p>
                    </w:txbxContent>
                  </v:textbox>
                </v:shape>
                <v:shape id="Right Brace 48" o:spid="_x0000_s1090" type="#_x0000_t88" style="position:absolute;left:11923;top:16353;width:2016;height:1389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" adj="261" strokecolor="#4579b8 [3044]"/>
                <v:shape id="Right Brace 49" o:spid="_x0000_s1091" type="#_x0000_t88" style="position:absolute;left:23814;top:21332;width:1384;height:3308;rotation:-9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" adj="753" strokecolor="#4579b8 [3044]"/>
                <v:shape id="TextBox 50" o:spid="_x0000_s1092" type="#_x0000_t202" style="position:absolute;left:4766;top:23678;width:15967;height:38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" filled="f" stroked="f">
                  <v:textbox>
                    <w:txbxContent>
                      <w:p w14:paraId="31E342AE" w14:textId="77777777" w:rsidR="00596720" w:rsidRPr="00FF0596" w:rsidRDefault="00596720" w:rsidP="00596720">
                        <w:pPr>
                          <w:jc w:val="center"/>
                          <w:rPr>
                            <w:sz w:val="16"/>
                            <w:szCs w:val="16"/>
                          </w:rPr>
                        </w:pPr>
                        <w:r w:rsidRPr="00FF0596">
                          <w:rPr>
                            <w:rFonts w:hAnsi="Calibri"/>
                            <w:color w:val="000000" w:themeColor="text1"/>
                            <w:kern w:val="24"/>
                            <w:sz w:val="20"/>
                            <w:szCs w:val="20"/>
                          </w:rPr>
                          <w:t>Consumption of Producers</w:t>
                        </w:r>
                      </w:p>
                    </w:txbxContent>
                  </v:textbox>
                </v:shape>
                <v:shape id="TextBox 51" o:spid="_x0000_s1093" type="#_x0000_t202" style="position:absolute;left:20733;top:23678;width:7022;height:38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" filled="f" stroked="f">
                  <v:textbox>
                    <w:txbxContent>
                      <w:p w14:paraId="6D031800" w14:textId="77777777" w:rsidR="00596720" w:rsidRPr="00FF0596" w:rsidRDefault="00596720" w:rsidP="00596720">
                        <w:pPr>
                          <w:jc w:val="center"/>
                          <w:rPr>
                            <w:sz w:val="16"/>
                            <w:szCs w:val="16"/>
                          </w:rPr>
                        </w:pPr>
                        <w:r w:rsidRPr="00FF0596">
                          <w:rPr>
                            <w:rFonts w:hAnsi="Calibri"/>
                            <w:color w:val="000000" w:themeColor="text1"/>
                            <w:kern w:val="24"/>
                            <w:sz w:val="20"/>
                            <w:szCs w:val="20"/>
                          </w:rPr>
                          <w:t>Loss of consumer</w:t>
                        </w:r>
                      </w:p>
                    </w:txbxContent>
                  </v:textbox>
                </v:shape>
                <w10:wrap type="topAndBottom"/>
              </v:group>
            </w:pict>
          </mc:Fallback>
        </mc:AlternateContent>
      </w:r>
      <w:r>
        <w:rPr>
          <w:noProof/>
        </w:rPr>
        <mc:AlternateContent>
          <mc:Choice Requires="wps">
            <w:drawing>
              <wp:anchor distT="0" distB="0" distL="114300" distR="114300" simplePos="0" relativeHeight="251860992" behindDoc="0" locked="0" layoutInCell="1" allowOverlap="1" wp14:anchorId="1B0D171A" wp14:editId="603EFD24">
                <wp:simplePos x="0" y="0"/>
                <wp:positionH relativeFrom="column">
                  <wp:posOffset>-183074</wp:posOffset>
                </wp:positionH>
                <wp:positionV relativeFrom="paragraph">
                  <wp:posOffset>1285741</wp:posOffset>
                </wp:positionV>
                <wp:extent cx="2725359" cy="530349"/>
                <wp:effectExtent l="0" t="0" r="0" b="0"/>
                <wp:wrapTopAndBottom/>
                <wp:docPr id="188" name="TextBox 11"/>
                <wp:cNvGraphicFramePr/>
                <a:graphic xmlns:a="http://schemas.openxmlformats.org/drawingml/2006/main">
                  <a:graphicData uri="http://schemas.microsoft.com/office/word/2010/wordprocessingShape">
                    <wps:wsp>
                      <wps:cNvSpPr txBox="1"/>
                      <wps:spPr>
                        <a:xfrm>
                          <a:off x="0" y="0"/>
                          <a:ext cx="2725359" cy="530349"/>
                        </a:xfrm>
                        <a:prstGeom prst="rect">
                          <a:avLst/>
                        </a:prstGeom>
                        <a:noFill/>
                      </wps:spPr>
                      <wps:txbx>
                        <w:txbxContent>
                          <w:p w14:paraId="5DF0F706" w14:textId="77777777" w:rsidR="00596720" w:rsidRPr="00CF6BAF" w:rsidRDefault="00A9083D" w:rsidP="00596720">
                            <w:pPr>
                              <w:rPr>
                                <w:sz w:val="18"/>
                                <w:szCs w:val="18"/>
                              </w:rPr>
                            </w:pPr>
                            <m:oMathPara>
                              <m:oMathParaPr>
                                <m:jc m:val="left"/>
                              </m:oMathPara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dR</m:t>
                                    </m:r>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S</m:t>
                                    </m:r>
                                  </m:e>
                                  <m:sub>
                                    <m:r>
                                      <w:rPr>
                                        <w:rFonts w:ascii="Cambria Math" w:eastAsia="Cambria Math" w:hAnsi="Cambria Math"/>
                                        <w:color w:val="000000" w:themeColor="text1"/>
                                        <w:kern w:val="24"/>
                                        <w:sz w:val="28"/>
                                        <w:szCs w:val="28"/>
                                      </w:rPr>
                                      <m:t>R</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μ</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 μ</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oMath>
                            </m:oMathPara>
                          </w:p>
                        </w:txbxContent>
                      </wps:txbx>
                      <wps:bodyPr wrap="square" rtlCol="0">
                        <a:noAutofit/>
                      </wps:bodyPr>
                    </wps:wsp>
                  </a:graphicData>
                </a:graphic>
              </wp:anchor>
            </w:drawing>
          </mc:Choice>
          <mc:Fallback>
            <w:pict>
              <v:shape w14:anchorId="1B0D171A" id="TextBox 11" o:spid="_x0000_s1094" type="#_x0000_t202" style="position:absolute;left:0;text-align:left;margin-left:-14.4pt;margin-top:101.25pt;width:214.6pt;height:41.75pt;z-index:25186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" filled="f" stroked="f">
                <v:textbox>
                  <w:txbxContent>
                    <w:p w14:paraId="5DF0F706" w14:textId="77777777" w:rsidR="00596720" w:rsidRPr="00CF6BAF" w:rsidRDefault="005A7114" w:rsidP="00596720">
                      <w:pPr>
                        <w:rPr>
                          <w:sz w:val="18"/>
                          <w:szCs w:val="18"/>
                        </w:rPr>
                      </w:pPr>
                      <m:oMathPara>
                        <m:oMathParaPr>
                          <m:jc m:val="left"/>
                        </m:oMathParaPr>
                        <m:oMath>
                          <m:f>
                            <m:fPr>
                              <m:ctrlPr>
                                <w:rPr>
                                  <w:rFonts w:ascii="Cambria Math" w:eastAsiaTheme="minorEastAsia" w:hAnsi="Cambria Math"/>
                                  <w:i/>
                                  <w:iCs/>
                                  <w:color w:val="000000" w:themeColor="text1"/>
                                  <w:kern w:val="24"/>
                                  <w:sz w:val="28"/>
                                  <w:szCs w:val="28"/>
                                </w:rPr>
                              </m:ctrlPr>
                            </m:fPr>
                            <m:num>
                              <m:r>
                                <w:rPr>
                                  <w:rFonts w:ascii="Cambria Math" w:hAnsi="Cambria Math"/>
                                  <w:color w:val="000000" w:themeColor="text1"/>
                                  <w:kern w:val="24"/>
                                  <w:sz w:val="28"/>
                                  <w:szCs w:val="28"/>
                                </w:rPr>
                                <m:t>dR</m:t>
                              </m:r>
                            </m:num>
                            <m:den>
                              <m:r>
                                <w:rPr>
                                  <w:rFonts w:ascii="Cambria Math" w:hAnsi="Cambria Math"/>
                                  <w:color w:val="000000" w:themeColor="text1"/>
                                  <w:kern w:val="24"/>
                                  <w:sz w:val="28"/>
                                  <w:szCs w:val="28"/>
                                </w:rPr>
                                <m:t>dt</m:t>
                              </m:r>
                            </m:den>
                          </m:f>
                          <m:r>
                            <w:rPr>
                              <w:rFonts w:ascii="Cambria Math" w:eastAsia="Cambria Math" w:hAnsi="Cambria Math"/>
                              <w:color w:val="000000" w:themeColor="text1"/>
                              <w:kern w:val="24"/>
                              <w:sz w:val="28"/>
                              <w:szCs w:val="28"/>
                            </w:rPr>
                            <m:t>=</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S</m:t>
                              </m:r>
                            </m:e>
                            <m:sub>
                              <m:r>
                                <w:rPr>
                                  <w:rFonts w:ascii="Cambria Math" w:eastAsia="Cambria Math" w:hAnsi="Cambria Math"/>
                                  <w:color w:val="000000" w:themeColor="text1"/>
                                  <w:kern w:val="24"/>
                                  <w:sz w:val="28"/>
                                  <w:szCs w:val="28"/>
                                </w:rPr>
                                <m:t>R</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μ</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1</m:t>
                              </m:r>
                            </m:sub>
                          </m:sSub>
                          <m:r>
                            <w:rPr>
                              <w:rFonts w:ascii="Cambria Math" w:eastAsia="Cambria Math" w:hAnsi="Cambria Math"/>
                              <w:color w:val="000000" w:themeColor="text1"/>
                              <w:kern w:val="24"/>
                              <w:sz w:val="28"/>
                              <w:szCs w:val="28"/>
                            </w:rPr>
                            <m:t>  - </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 μ</m:t>
                              </m:r>
                            </m:e>
                            <m:sub>
                              <m:r>
                                <w:rPr>
                                  <w:rFonts w:ascii="Cambria Math" w:eastAsia="Cambria Math" w:hAnsi="Cambria Math"/>
                                  <w:color w:val="000000" w:themeColor="text1"/>
                                  <w:kern w:val="24"/>
                                  <w:sz w:val="28"/>
                                  <w:szCs w:val="28"/>
                                </w:rPr>
                                <m:t>2</m:t>
                              </m:r>
                            </m:sub>
                          </m:sSub>
                          <m:r>
                            <w:rPr>
                              <w:rFonts w:ascii="Cambria Math" w:eastAsia="Cambria Math" w:hAnsi="Cambria Math"/>
                              <w:color w:val="000000" w:themeColor="text1"/>
                              <w:kern w:val="24"/>
                              <w:sz w:val="28"/>
                              <w:szCs w:val="28"/>
                            </w:rPr>
                            <m:t>R</m:t>
                          </m:r>
                          <m:sSub>
                            <m:sSubPr>
                              <m:ctrlPr>
                                <w:rPr>
                                  <w:rFonts w:ascii="Cambria Math" w:eastAsia="Cambria Math" w:hAnsi="Cambria Math"/>
                                  <w:i/>
                                  <w:iCs/>
                                  <w:color w:val="000000" w:themeColor="text1"/>
                                  <w:kern w:val="24"/>
                                  <w:sz w:val="28"/>
                                  <w:szCs w:val="28"/>
                                </w:rPr>
                              </m:ctrlPr>
                            </m:sSubPr>
                            <m:e>
                              <m:r>
                                <w:rPr>
                                  <w:rFonts w:ascii="Cambria Math" w:eastAsia="Cambria Math" w:hAnsi="Cambria Math"/>
                                  <w:color w:val="000000" w:themeColor="text1"/>
                                  <w:kern w:val="24"/>
                                  <w:sz w:val="28"/>
                                  <w:szCs w:val="28"/>
                                </w:rPr>
                                <m:t>P</m:t>
                              </m:r>
                            </m:e>
                            <m:sub>
                              <m:r>
                                <w:rPr>
                                  <w:rFonts w:ascii="Cambria Math" w:eastAsia="Cambria Math" w:hAnsi="Cambria Math"/>
                                  <w:color w:val="000000" w:themeColor="text1"/>
                                  <w:kern w:val="24"/>
                                  <w:sz w:val="28"/>
                                  <w:szCs w:val="28"/>
                                </w:rPr>
                                <m:t>2</m:t>
                              </m:r>
                            </m:sub>
                          </m:sSub>
                        </m:oMath>
                      </m:oMathPara>
                    </w:p>
                  </w:txbxContent>
                </v:textbox>
                <w10:wrap type="topAndBottom"/>
              </v:shape>
            </w:pict>
          </mc:Fallback>
        </mc:AlternateContent>
      </w:r>
      <w:r w:rsidR="000D169E" w:rsidRPr="00596720">
        <w:rPr>
          <w:noProof/>
        </w:rPr>
        <mc:AlternateContent>
          <mc:Choice Requires="wps">
            <w:drawing>
              <wp:anchor distT="0" distB="0" distL="114300" distR="114300" simplePos="0" relativeHeight="252004352" behindDoc="0" locked="0" layoutInCell="1" allowOverlap="1" wp14:anchorId="02E6B88B" wp14:editId="5FEBEC73">
                <wp:simplePos x="0" y="0"/>
                <wp:positionH relativeFrom="column">
                  <wp:posOffset>5215943</wp:posOffset>
                </wp:positionH>
                <wp:positionV relativeFrom="paragraph">
                  <wp:posOffset>3639837</wp:posOffset>
                </wp:positionV>
                <wp:extent cx="669290" cy="614705"/>
                <wp:effectExtent l="0" t="0" r="16510" b="7620"/>
                <wp:wrapNone/>
                <wp:docPr id="116" name="Text Box 116"/>
                <wp:cNvGraphicFramePr/>
                <a:graphic xmlns:a="http://schemas.openxmlformats.org/drawingml/2006/main">
                  <a:graphicData uri="http://schemas.microsoft.com/office/word/2010/wordprocessingShape">
                    <wps:wsp>
                      <wps:cNvSpPr txBox="1"/>
                      <wps:spPr>
                        <a:xfrm>
                          <a:off x="0" y="0"/>
                          <a:ext cx="669290" cy="614705"/>
                        </a:xfrm>
                        <a:prstGeom prst="rect">
                          <a:avLst/>
                        </a:prstGeom>
                        <a:solidFill>
                          <a:schemeClr val="bg1"/>
                        </a:solidFill>
                        <a:ln w="6350">
                          <a:solidFill>
                            <a:schemeClr val="bg1"/>
                          </a:solidFill>
                        </a:ln>
                      </wps:spPr>
                      <wps:txbx>
                        <w:txbxContent>
                          <w:p w14:paraId="5F7F1F8F" w14:textId="6D80B62E" w:rsidR="000D169E" w:rsidRPr="00986423" w:rsidRDefault="000D169E" w:rsidP="000D169E">
                            <w:pPr>
                              <w:rPr>
                                <w:lang w:val="el-GR"/>
                              </w:rPr>
                            </w:pPr>
                            <w:r>
                              <w:rPr>
                                <w:lang w:val="el-GR"/>
                              </w:rPr>
                              <w:t>(</w:t>
                            </w:r>
                            <w:r>
                              <w:t>1</w:t>
                            </w:r>
                            <w:r w:rsidR="00D13835">
                              <w:t>1</w:t>
                            </w:r>
                            <w:r>
                              <w:rPr>
                                <w:lang w:val="el-G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E6B88B" id="Text Box 116" o:spid="_x0000_s1095" type="#_x0000_t202" style="position:absolute;left:0;text-align:left;margin-left:410.7pt;margin-top:286.6pt;width:52.7pt;height:48.4pt;z-index:25200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" fillcolor="white [3212]" strokecolor="white [3212]" strokeweight=".5pt">
                <v:textbox>
                  <w:txbxContent>
                    <w:p w14:paraId="5F7F1F8F" w14:textId="6D80B62E" w:rsidR="000D169E" w:rsidRPr="00986423" w:rsidRDefault="000D169E" w:rsidP="000D169E">
                      <w:pPr>
                        <w:rPr>
                          <w:lang w:val="el-GR"/>
                        </w:rPr>
                      </w:pPr>
                      <w:r>
                        <w:rPr>
                          <w:lang w:val="el-GR"/>
                        </w:rPr>
                        <w:t>(</w:t>
                      </w:r>
                      <w:r>
                        <w:t>1</w:t>
                      </w:r>
                      <w:r w:rsidR="00D13835">
                        <w:t>1</w:t>
                      </w:r>
                      <w:r>
                        <w:rPr>
                          <w:lang w:val="el-GR"/>
                        </w:rPr>
                        <w:t>)</w:t>
                      </w:r>
                    </w:p>
                  </w:txbxContent>
                </v:textbox>
              </v:shape>
            </w:pict>
          </mc:Fallback>
        </mc:AlternateContent>
      </w:r>
      <w:r w:rsidR="000D169E" w:rsidRPr="00596720">
        <w:rPr>
          <w:noProof/>
        </w:rPr>
        <mc:AlternateContent>
          <mc:Choice Requires="wps">
            <w:drawing>
              <wp:anchor distT="0" distB="0" distL="114300" distR="114300" simplePos="0" relativeHeight="252000256" behindDoc="0" locked="0" layoutInCell="1" allowOverlap="1" wp14:anchorId="48A1CC13" wp14:editId="78DAF115">
                <wp:simplePos x="0" y="0"/>
                <wp:positionH relativeFrom="column">
                  <wp:posOffset>5231130</wp:posOffset>
                </wp:positionH>
                <wp:positionV relativeFrom="paragraph">
                  <wp:posOffset>2137245</wp:posOffset>
                </wp:positionV>
                <wp:extent cx="669290" cy="614705"/>
                <wp:effectExtent l="0" t="0" r="16510" b="7620"/>
                <wp:wrapNone/>
                <wp:docPr id="114" name="Text Box 114"/>
                <wp:cNvGraphicFramePr/>
                <a:graphic xmlns:a="http://schemas.openxmlformats.org/drawingml/2006/main">
                  <a:graphicData uri="http://schemas.microsoft.com/office/word/2010/wordprocessingShape">
                    <wps:wsp>
                      <wps:cNvSpPr txBox="1"/>
                      <wps:spPr>
                        <a:xfrm>
                          <a:off x="0" y="0"/>
                          <a:ext cx="669290" cy="614705"/>
                        </a:xfrm>
                        <a:prstGeom prst="rect">
                          <a:avLst/>
                        </a:prstGeom>
                        <a:solidFill>
                          <a:schemeClr val="bg1"/>
                        </a:solidFill>
                        <a:ln w="6350">
                          <a:solidFill>
                            <a:schemeClr val="bg1"/>
                          </a:solidFill>
                        </a:ln>
                      </wps:spPr>
                      <wps:txbx>
                        <w:txbxContent>
                          <w:p w14:paraId="3C64D91E" w14:textId="3EF8EDE0" w:rsidR="000D169E" w:rsidRPr="00986423" w:rsidRDefault="000D169E" w:rsidP="000D169E">
                            <w:pPr>
                              <w:rPr>
                                <w:lang w:val="el-GR"/>
                              </w:rPr>
                            </w:pPr>
                            <w:r>
                              <w:rPr>
                                <w:lang w:val="el-GR"/>
                              </w:rPr>
                              <w:t>(</w:t>
                            </w:r>
                            <w:r w:rsidR="00D13835">
                              <w:t>9</w:t>
                            </w:r>
                            <w:r>
                              <w:rPr>
                                <w:lang w:val="el-G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A1CC13" id="Text Box 114" o:spid="_x0000_s1096" type="#_x0000_t202" style="position:absolute;left:0;text-align:left;margin-left:411.9pt;margin-top:168.3pt;width:52.7pt;height:48.4pt;z-index:25200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" fillcolor="white [3212]" strokecolor="white [3212]" strokeweight=".5pt">
                <v:textbox>
                  <w:txbxContent>
                    <w:p w14:paraId="3C64D91E" w14:textId="3EF8EDE0" w:rsidR="000D169E" w:rsidRPr="00986423" w:rsidRDefault="000D169E" w:rsidP="000D169E">
                      <w:pPr>
                        <w:rPr>
                          <w:lang w:val="el-GR"/>
                        </w:rPr>
                      </w:pPr>
                      <w:r>
                        <w:rPr>
                          <w:lang w:val="el-GR"/>
                        </w:rPr>
                        <w:t>(</w:t>
                      </w:r>
                      <w:r w:rsidR="00D13835">
                        <w:t>9</w:t>
                      </w:r>
                      <w:r>
                        <w:rPr>
                          <w:lang w:val="el-GR"/>
                        </w:rPr>
                        <w:t>)</w:t>
                      </w:r>
                    </w:p>
                  </w:txbxContent>
                </v:textbox>
              </v:shape>
            </w:pict>
          </mc:Fallback>
        </mc:AlternateContent>
      </w:r>
      <w:r w:rsidR="000D169E" w:rsidRPr="00596720">
        <w:rPr>
          <w:noProof/>
        </w:rPr>
        <mc:AlternateContent>
          <mc:Choice Requires="wps">
            <w:drawing>
              <wp:anchor distT="0" distB="0" distL="114300" distR="114300" simplePos="0" relativeHeight="252002304" behindDoc="0" locked="0" layoutInCell="1" allowOverlap="1" wp14:anchorId="73763E9C" wp14:editId="5CFDDFE6">
                <wp:simplePos x="0" y="0"/>
                <wp:positionH relativeFrom="column">
                  <wp:posOffset>5228590</wp:posOffset>
                </wp:positionH>
                <wp:positionV relativeFrom="paragraph">
                  <wp:posOffset>2865755</wp:posOffset>
                </wp:positionV>
                <wp:extent cx="669290" cy="612648"/>
                <wp:effectExtent l="0" t="0" r="16510" b="10160"/>
                <wp:wrapNone/>
                <wp:docPr id="115" name="Text Box 115"/>
                <wp:cNvGraphicFramePr/>
                <a:graphic xmlns:a="http://schemas.openxmlformats.org/drawingml/2006/main">
                  <a:graphicData uri="http://schemas.microsoft.com/office/word/2010/wordprocessingShape">
                    <wps:wsp>
                      <wps:cNvSpPr txBox="1"/>
                      <wps:spPr>
                        <a:xfrm>
                          <a:off x="0" y="0"/>
                          <a:ext cx="669290" cy="612648"/>
                        </a:xfrm>
                        <a:prstGeom prst="rect">
                          <a:avLst/>
                        </a:prstGeom>
                        <a:solidFill>
                          <a:schemeClr val="bg1"/>
                        </a:solidFill>
                        <a:ln w="6350">
                          <a:solidFill>
                            <a:schemeClr val="bg1"/>
                          </a:solidFill>
                        </a:ln>
                      </wps:spPr>
                      <wps:txbx>
                        <w:txbxContent>
                          <w:p w14:paraId="7415D1C4" w14:textId="55C1DBE9" w:rsidR="000D169E" w:rsidRPr="00986423" w:rsidRDefault="000D169E" w:rsidP="000D169E">
                            <w:pPr>
                              <w:rPr>
                                <w:lang w:val="el-GR"/>
                              </w:rPr>
                            </w:pPr>
                            <w:r>
                              <w:rPr>
                                <w:lang w:val="el-GR"/>
                              </w:rPr>
                              <w:t>(</w:t>
                            </w:r>
                            <w:r>
                              <w:t>1</w:t>
                            </w:r>
                            <w:r w:rsidR="00D13835">
                              <w:t>0</w:t>
                            </w:r>
                            <w:r>
                              <w:rPr>
                                <w:lang w:val="el-G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763E9C" id="Text Box 115" o:spid="_x0000_s1097" type="#_x0000_t202" style="position:absolute;left:0;text-align:left;margin-left:411.7pt;margin-top:225.65pt;width:52.7pt;height:48.25pt;z-index:25200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" fillcolor="white [3212]" strokecolor="white [3212]" strokeweight=".5pt">
                <v:textbox>
                  <w:txbxContent>
                    <w:p w14:paraId="7415D1C4" w14:textId="55C1DBE9" w:rsidR="000D169E" w:rsidRPr="00986423" w:rsidRDefault="000D169E" w:rsidP="000D169E">
                      <w:pPr>
                        <w:rPr>
                          <w:lang w:val="el-GR"/>
                        </w:rPr>
                      </w:pPr>
                      <w:r>
                        <w:rPr>
                          <w:lang w:val="el-GR"/>
                        </w:rPr>
                        <w:t>(</w:t>
                      </w:r>
                      <w:r>
                        <w:t>1</w:t>
                      </w:r>
                      <w:r w:rsidR="00D13835">
                        <w:t>0</w:t>
                      </w:r>
                      <w:r>
                        <w:rPr>
                          <w:lang w:val="el-GR"/>
                        </w:rPr>
                        <w:t>)</w:t>
                      </w:r>
                    </w:p>
                  </w:txbxContent>
                </v:textbox>
              </v:shape>
            </w:pict>
          </mc:Fallback>
        </mc:AlternateContent>
      </w:r>
      <w:r w:rsidR="000D169E" w:rsidRPr="00596720">
        <w:rPr>
          <w:noProof/>
        </w:rPr>
        <mc:AlternateContent>
          <mc:Choice Requires="wps">
            <w:drawing>
              <wp:anchor distT="0" distB="0" distL="114300" distR="114300" simplePos="0" relativeHeight="251867136" behindDoc="0" locked="0" layoutInCell="1" allowOverlap="1" wp14:anchorId="144DCAC2" wp14:editId="2CCC8229">
                <wp:simplePos x="0" y="0"/>
                <wp:positionH relativeFrom="column">
                  <wp:posOffset>5225845</wp:posOffset>
                </wp:positionH>
                <wp:positionV relativeFrom="paragraph">
                  <wp:posOffset>1481265</wp:posOffset>
                </wp:positionV>
                <wp:extent cx="669290" cy="614705"/>
                <wp:effectExtent l="0" t="0" r="16510" b="7620"/>
                <wp:wrapNone/>
                <wp:docPr id="89" name="Text Box 89"/>
                <wp:cNvGraphicFramePr/>
                <a:graphic xmlns:a="http://schemas.openxmlformats.org/drawingml/2006/main">
                  <a:graphicData uri="http://schemas.microsoft.com/office/word/2010/wordprocessingShape">
                    <wps:wsp>
                      <wps:cNvSpPr txBox="1"/>
                      <wps:spPr>
                        <a:xfrm>
                          <a:off x="0" y="0"/>
                          <a:ext cx="669290" cy="614705"/>
                        </a:xfrm>
                        <a:prstGeom prst="rect">
                          <a:avLst/>
                        </a:prstGeom>
                        <a:solidFill>
                          <a:schemeClr val="bg1"/>
                        </a:solidFill>
                        <a:ln w="6350">
                          <a:solidFill>
                            <a:schemeClr val="bg1"/>
                          </a:solidFill>
                        </a:ln>
                      </wps:spPr>
                      <wps:txbx>
                        <w:txbxContent>
                          <w:p w14:paraId="7FAA276F" w14:textId="247B7C22" w:rsidR="00596720" w:rsidRPr="00986423" w:rsidRDefault="00596720" w:rsidP="00596720">
                            <w:pPr>
                              <w:rPr>
                                <w:lang w:val="el-GR"/>
                              </w:rPr>
                            </w:pPr>
                            <w:r>
                              <w:rPr>
                                <w:lang w:val="el-GR"/>
                              </w:rPr>
                              <w:t>(</w:t>
                            </w:r>
                            <w:r w:rsidR="00D13835">
                              <w:t>8</w:t>
                            </w:r>
                            <w:r>
                              <w:rPr>
                                <w:lang w:val="el-G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4DCAC2" id="Text Box 89" o:spid="_x0000_s1098" type="#_x0000_t202" style="position:absolute;left:0;text-align:left;margin-left:411.5pt;margin-top:116.65pt;width:52.7pt;height:48.4pt;z-index:251867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" fillcolor="white [3212]" strokecolor="white [3212]" strokeweight=".5pt">
                <v:textbox>
                  <w:txbxContent>
                    <w:p w14:paraId="7FAA276F" w14:textId="247B7C22" w:rsidR="00596720" w:rsidRPr="00986423" w:rsidRDefault="00596720" w:rsidP="00596720">
                      <w:pPr>
                        <w:rPr>
                          <w:lang w:val="el-GR"/>
                        </w:rPr>
                      </w:pPr>
                      <w:r>
                        <w:rPr>
                          <w:lang w:val="el-GR"/>
                        </w:rPr>
                        <w:t>(</w:t>
                      </w:r>
                      <w:r w:rsidR="00D13835">
                        <w:t>8</w:t>
                      </w:r>
                      <w:r>
                        <w:rPr>
                          <w:lang w:val="el-GR"/>
                        </w:rPr>
                        <w:t>)</w:t>
                      </w:r>
                    </w:p>
                  </w:txbxContent>
                </v:textbox>
              </v:shape>
            </w:pict>
          </mc:Fallback>
        </mc:AlternateContent>
      </w:r>
      <w:r w:rsidR="00596720" w:rsidRPr="00596720">
        <w:t>Model 1B consists of two producers competing for a resource, which is supplied at a constant rate. The consumer, which could be a zooplankton or a virus, preys on both groups of producers. The system can be characterized using the following scheme</w:t>
      </w:r>
      <w:r w:rsidR="000D169E">
        <w:t xml:space="preserve"> </w:t>
      </w:r>
      <w:r w:rsidR="000D169E" w:rsidRPr="000D169E">
        <w:rPr>
          <w:b/>
          <w:bCs/>
        </w:rPr>
        <w:t>(Figure 2</w:t>
      </w:r>
      <w:r w:rsidR="00D13835">
        <w:rPr>
          <w:b/>
          <w:bCs/>
        </w:rPr>
        <w:t>2</w:t>
      </w:r>
      <w:r w:rsidR="000D169E" w:rsidRPr="000D169E">
        <w:rPr>
          <w:b/>
          <w:bCs/>
        </w:rPr>
        <w:t>)</w:t>
      </w:r>
      <w:r w:rsidR="00596720" w:rsidRPr="00596720">
        <w:t xml:space="preserve"> and </w:t>
      </w:r>
      <w:r w:rsidR="000D169E" w:rsidRPr="000D169E">
        <w:rPr>
          <w:b/>
          <w:bCs/>
        </w:rPr>
        <w:t>E</w:t>
      </w:r>
      <w:r w:rsidR="00596720" w:rsidRPr="000D169E">
        <w:rPr>
          <w:b/>
          <w:bCs/>
        </w:rPr>
        <w:t>quations</w:t>
      </w:r>
      <w:r w:rsidR="000D169E" w:rsidRPr="000D169E">
        <w:rPr>
          <w:b/>
          <w:bCs/>
        </w:rPr>
        <w:t xml:space="preserve"> </w:t>
      </w:r>
      <w:r w:rsidR="00D13835">
        <w:rPr>
          <w:b/>
          <w:bCs/>
        </w:rPr>
        <w:t>8</w:t>
      </w:r>
      <w:r w:rsidR="000D169E" w:rsidRPr="000D169E">
        <w:rPr>
          <w:b/>
          <w:bCs/>
        </w:rPr>
        <w:t>-</w:t>
      </w:r>
      <w:r w:rsidR="00D13835">
        <w:rPr>
          <w:b/>
          <w:bCs/>
        </w:rPr>
        <w:t>9</w:t>
      </w:r>
      <w:r w:rsidR="00596720" w:rsidRPr="00596720">
        <w:t>:</w:t>
      </w:r>
    </w:p>
    <w:p w14:paraId="0FD22BA7" w14:textId="209F86B4" w:rsidR="000D169E" w:rsidRDefault="0057471B" w:rsidP="0057471B">
      <w:pPr>
        <w:spacing w:line="480" w:lineRule="auto"/>
      </w:pPr>
      <w:r w:rsidRPr="00BE0454">
        <w:rPr>
          <w:noProof/>
        </w:rPr>
        <w:lastRenderedPageBreak/>
        <mc:AlternateContent>
          <mc:Choice Requires="wps">
            <w:drawing>
              <wp:anchor distT="0" distB="0" distL="114300" distR="114300" simplePos="0" relativeHeight="251998208" behindDoc="0" locked="0" layoutInCell="1" allowOverlap="1" wp14:anchorId="0CF248F5" wp14:editId="11FF1FC0">
                <wp:simplePos x="0" y="0"/>
                <wp:positionH relativeFrom="column">
                  <wp:posOffset>169983</wp:posOffset>
                </wp:positionH>
                <wp:positionV relativeFrom="paragraph">
                  <wp:posOffset>2470794</wp:posOffset>
                </wp:positionV>
                <wp:extent cx="5396230" cy="709930"/>
                <wp:effectExtent l="0" t="0" r="1270" b="1270"/>
                <wp:wrapTopAndBottom/>
                <wp:docPr id="186" name="Text Box 186"/>
                <wp:cNvGraphicFramePr/>
                <a:graphic xmlns:a="http://schemas.openxmlformats.org/drawingml/2006/main">
                  <a:graphicData uri="http://schemas.microsoft.com/office/word/2010/wordprocessingShape">
                    <wps:wsp>
                      <wps:cNvSpPr txBox="1"/>
                      <wps:spPr>
                        <a:xfrm>
                          <a:off x="0" y="0"/>
                          <a:ext cx="5396230" cy="709930"/>
                        </a:xfrm>
                        <a:prstGeom prst="rect">
                          <a:avLst/>
                        </a:prstGeom>
                        <a:solidFill>
                          <a:schemeClr val="lt1"/>
                        </a:solidFill>
                        <a:ln w="6350">
                          <a:noFill/>
                        </a:ln>
                      </wps:spPr>
                      <wps:txbx>
                        <w:txbxContent>
                          <w:p w14:paraId="2E52DD98" w14:textId="21F01011" w:rsidR="00C35051" w:rsidRDefault="00BE0454" w:rsidP="00EA2092">
                            <w:pPr>
                              <w:pStyle w:val="Subtitle"/>
                            </w:pPr>
                            <w:bookmarkStart w:id="59" w:name="_Toc98704984"/>
                            <w:r w:rsidRPr="000D169E">
                              <w:t>Figure 2</w:t>
                            </w:r>
                            <w:r w:rsidR="00D13835">
                              <w:t>1</w:t>
                            </w:r>
                            <w:r w:rsidRPr="000D169E">
                              <w:t xml:space="preserve">: </w:t>
                            </w:r>
                            <w:r w:rsidR="00EA2092">
                              <w:t>Numerical Solutions for Model 1A</w:t>
                            </w:r>
                            <w:bookmarkEnd w:id="59"/>
                          </w:p>
                          <w:p w14:paraId="28E5AC3A" w14:textId="213FF97C" w:rsidR="00BE0454" w:rsidRPr="000D169E" w:rsidRDefault="00BE0454" w:rsidP="00BE0454">
                            <w:r w:rsidRPr="000D169E">
                              <w:t>Simulation of the equations for Model 1A (Equation Set 7) solved numerically with resource enrichment at 150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248F5" id="Text Box 186" o:spid="_x0000_s1099" type="#_x0000_t202" style="position:absolute;margin-left:13.4pt;margin-top:194.55pt;width:424.9pt;height:55.9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" fillcolor="white [3201]" stroked="f" strokeweight=".5pt">
                <v:textbox>
                  <w:txbxContent>
                    <w:p w14:paraId="2E52DD98" w14:textId="21F01011" w:rsidR="00C35051" w:rsidRDefault="00BE0454" w:rsidP="00EA2092">
                      <w:pPr>
                        <w:pStyle w:val="Subtitle"/>
                      </w:pPr>
                      <w:bookmarkStart w:id="89" w:name="_Toc98704984"/>
                      <w:r w:rsidRPr="000D169E">
                        <w:t>Figure 2</w:t>
                      </w:r>
                      <w:r w:rsidR="00D13835">
                        <w:t>1</w:t>
                      </w:r>
                      <w:r w:rsidRPr="000D169E">
                        <w:t xml:space="preserve">: </w:t>
                      </w:r>
                      <w:r w:rsidR="00EA2092">
                        <w:t>Numerical Solutions for Model 1A</w:t>
                      </w:r>
                      <w:bookmarkEnd w:id="89"/>
                    </w:p>
                    <w:p w14:paraId="28E5AC3A" w14:textId="213FF97C" w:rsidR="00BE0454" w:rsidRPr="000D169E" w:rsidRDefault="00BE0454" w:rsidP="00BE0454">
                      <w:r w:rsidRPr="000D169E">
                        <w:t>Simulation of the equations for Model 1A (Equation Set 7) solved numerically with resource enrichment at 150 days.</w:t>
                      </w:r>
                    </w:p>
                  </w:txbxContent>
                </v:textbox>
                <w10:wrap type="topAndBottom"/>
              </v:shape>
            </w:pict>
          </mc:Fallback>
        </mc:AlternateContent>
      </w:r>
      <w:r w:rsidR="001B4518">
        <w:rPr>
          <w:noProof/>
        </w:rPr>
        <w:drawing>
          <wp:inline distT="0" distB="0" distL="0" distR="0" wp14:anchorId="22FF7013" wp14:editId="358BE5A7">
            <wp:extent cx="3493224" cy="2421228"/>
            <wp:effectExtent l="0" t="0" r="0" b="0"/>
            <wp:docPr id="108" name="Picture 108"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Shape, rectang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500812" cy="2426487"/>
                    </a:xfrm>
                    <a:prstGeom prst="rect">
                      <a:avLst/>
                    </a:prstGeom>
                  </pic:spPr>
                </pic:pic>
              </a:graphicData>
            </a:graphic>
          </wp:inline>
        </w:drawing>
      </w:r>
    </w:p>
    <w:p w14:paraId="3F560D63" w14:textId="78B3C708" w:rsidR="000D169E" w:rsidRDefault="000D169E" w:rsidP="00596720">
      <w:pPr>
        <w:spacing w:line="480" w:lineRule="auto"/>
        <w:ind w:firstLine="720"/>
      </w:pPr>
    </w:p>
    <w:p w14:paraId="2099F8D2" w14:textId="1FE14209" w:rsidR="004D5EAF" w:rsidRDefault="0057471B" w:rsidP="0057471B">
      <w:pPr>
        <w:spacing w:line="480" w:lineRule="auto"/>
        <w:ind w:firstLine="720"/>
      </w:pPr>
      <w:r w:rsidRPr="00596720">
        <w:rPr>
          <w:noProof/>
        </w:rPr>
        <w:drawing>
          <wp:anchor distT="0" distB="0" distL="114300" distR="114300" simplePos="0" relativeHeight="251858944" behindDoc="0" locked="0" layoutInCell="1" allowOverlap="1" wp14:anchorId="2332E152" wp14:editId="754417A0">
            <wp:simplePos x="0" y="0"/>
            <wp:positionH relativeFrom="column">
              <wp:posOffset>171217</wp:posOffset>
            </wp:positionH>
            <wp:positionV relativeFrom="paragraph">
              <wp:posOffset>176530</wp:posOffset>
            </wp:positionV>
            <wp:extent cx="1583690" cy="2723515"/>
            <wp:effectExtent l="0" t="0" r="3810" b="0"/>
            <wp:wrapTopAndBottom/>
            <wp:docPr id="88" name="Picture 88"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1-22 at 11.26.04 PM.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83690" cy="2723515"/>
                    </a:xfrm>
                    <a:prstGeom prst="rect">
                      <a:avLst/>
                    </a:prstGeom>
                  </pic:spPr>
                </pic:pic>
              </a:graphicData>
            </a:graphic>
            <wp14:sizeRelH relativeFrom="page">
              <wp14:pctWidth>0</wp14:pctWidth>
            </wp14:sizeRelH>
            <wp14:sizeRelV relativeFrom="page">
              <wp14:pctHeight>0</wp14:pctHeight>
            </wp14:sizeRelV>
          </wp:anchor>
        </w:drawing>
      </w:r>
      <w:r w:rsidRPr="006D506E">
        <w:rPr>
          <w:rFonts w:ascii="Times" w:hAnsi="Times"/>
          <w:noProof/>
          <w:u w:val="single"/>
        </w:rPr>
        <mc:AlternateContent>
          <mc:Choice Requires="wps">
            <w:drawing>
              <wp:anchor distT="0" distB="0" distL="114300" distR="114300" simplePos="0" relativeHeight="251864064" behindDoc="0" locked="0" layoutInCell="1" allowOverlap="1" wp14:anchorId="0ADE6924" wp14:editId="30E1AB22">
                <wp:simplePos x="0" y="0"/>
                <wp:positionH relativeFrom="column">
                  <wp:posOffset>170582</wp:posOffset>
                </wp:positionH>
                <wp:positionV relativeFrom="paragraph">
                  <wp:posOffset>3049539</wp:posOffset>
                </wp:positionV>
                <wp:extent cx="5653405" cy="694690"/>
                <wp:effectExtent l="0" t="0" r="0" b="3810"/>
                <wp:wrapTopAndBottom/>
                <wp:docPr id="86" name="Text Box 86"/>
                <wp:cNvGraphicFramePr/>
                <a:graphic xmlns:a="http://schemas.openxmlformats.org/drawingml/2006/main">
                  <a:graphicData uri="http://schemas.microsoft.com/office/word/2010/wordprocessingShape">
                    <wps:wsp>
                      <wps:cNvSpPr txBox="1"/>
                      <wps:spPr>
                        <a:xfrm>
                          <a:off x="0" y="0"/>
                          <a:ext cx="5653405" cy="694690"/>
                        </a:xfrm>
                        <a:prstGeom prst="rect">
                          <a:avLst/>
                        </a:prstGeom>
                        <a:solidFill>
                          <a:schemeClr val="lt1"/>
                        </a:solidFill>
                        <a:ln w="6350">
                          <a:noFill/>
                        </a:ln>
                      </wps:spPr>
                      <wps:txbx>
                        <w:txbxContent>
                          <w:p w14:paraId="5781A14C" w14:textId="0519C28D" w:rsidR="00EA2092" w:rsidRDefault="00596720" w:rsidP="00EA2092">
                            <w:pPr>
                              <w:pStyle w:val="Subtitle"/>
                            </w:pPr>
                            <w:bookmarkStart w:id="60" w:name="_Toc98704983"/>
                            <w:r w:rsidRPr="000D169E">
                              <w:t>Figure 2</w:t>
                            </w:r>
                            <w:r w:rsidR="00D13835">
                              <w:t>2</w:t>
                            </w:r>
                            <w:r w:rsidRPr="000D169E">
                              <w:t>: Top-down Control Model</w:t>
                            </w:r>
                            <w:bookmarkEnd w:id="60"/>
                            <w:r w:rsidRPr="000D169E">
                              <w:t xml:space="preserve"> </w:t>
                            </w:r>
                          </w:p>
                          <w:p w14:paraId="06E514C1" w14:textId="64421DE4" w:rsidR="00596720" w:rsidRPr="000D169E" w:rsidRDefault="00596720" w:rsidP="00596720">
                            <w:r w:rsidRPr="000D169E">
                              <w:t>Model 1B - Food-web consisting of a supply rate (S</w:t>
                            </w:r>
                            <w:r w:rsidRPr="000D169E">
                              <w:rPr>
                                <w:vertAlign w:val="subscript"/>
                              </w:rPr>
                              <w:t>R</w:t>
                            </w:r>
                            <w:r w:rsidRPr="000D169E">
                              <w:t>), a resource, R, two producers, P</w:t>
                            </w:r>
                            <w:r w:rsidRPr="000D169E">
                              <w:rPr>
                                <w:vertAlign w:val="subscript"/>
                              </w:rPr>
                              <w:t>1</w:t>
                            </w:r>
                            <w:r w:rsidRPr="000D169E">
                              <w:t xml:space="preserve"> and P</w:t>
                            </w:r>
                            <w:r w:rsidRPr="000D169E">
                              <w:rPr>
                                <w:vertAlign w:val="subscript"/>
                              </w:rPr>
                              <w:t>2</w:t>
                            </w:r>
                            <w:r w:rsidRPr="000D169E">
                              <w:t>, and a consumer, 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6924" id="Text Box 86" o:spid="_x0000_s1100" type="#_x0000_t202" style="position:absolute;left:0;text-align:left;margin-left:13.45pt;margin-top:240.1pt;width:445.15pt;height:54.7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" fillcolor="white [3201]" stroked="f" strokeweight=".5pt">
                <v:textbox>
                  <w:txbxContent>
                    <w:p w14:paraId="5781A14C" w14:textId="0519C28D" w:rsidR="00EA2092" w:rsidRDefault="00596720" w:rsidP="00EA2092">
                      <w:pPr>
                        <w:pStyle w:val="Subtitle"/>
                      </w:pPr>
                      <w:bookmarkStart w:id="91" w:name="_Toc98704983"/>
                      <w:r w:rsidRPr="000D169E">
                        <w:t>Figure 2</w:t>
                      </w:r>
                      <w:r w:rsidR="00D13835">
                        <w:t>2</w:t>
                      </w:r>
                      <w:r w:rsidRPr="000D169E">
                        <w:t>: Top-down Control Model</w:t>
                      </w:r>
                      <w:bookmarkEnd w:id="91"/>
                      <w:r w:rsidRPr="000D169E">
                        <w:t xml:space="preserve"> </w:t>
                      </w:r>
                    </w:p>
                    <w:p w14:paraId="06E514C1" w14:textId="64421DE4" w:rsidR="00596720" w:rsidRPr="000D169E" w:rsidRDefault="00596720" w:rsidP="00596720">
                      <w:r w:rsidRPr="000D169E">
                        <w:t>Model 1B - Food-web consisting of a supply rate (S</w:t>
                      </w:r>
                      <w:r w:rsidRPr="000D169E">
                        <w:rPr>
                          <w:vertAlign w:val="subscript"/>
                        </w:rPr>
                        <w:t>R</w:t>
                      </w:r>
                      <w:r w:rsidRPr="000D169E">
                        <w:t>), a resource, R, two producers, P</w:t>
                      </w:r>
                      <w:r w:rsidRPr="000D169E">
                        <w:rPr>
                          <w:vertAlign w:val="subscript"/>
                        </w:rPr>
                        <w:t>1</w:t>
                      </w:r>
                      <w:r w:rsidRPr="000D169E">
                        <w:t xml:space="preserve"> and P</w:t>
                      </w:r>
                      <w:r w:rsidRPr="000D169E">
                        <w:rPr>
                          <w:vertAlign w:val="subscript"/>
                        </w:rPr>
                        <w:t>2</w:t>
                      </w:r>
                      <w:r w:rsidRPr="000D169E">
                        <w:t>, and a consumer, C.</w:t>
                      </w:r>
                    </w:p>
                  </w:txbxContent>
                </v:textbox>
                <w10:wrap type="topAndBottom"/>
              </v:shape>
            </w:pict>
          </mc:Fallback>
        </mc:AlternateContent>
      </w:r>
    </w:p>
    <w:p w14:paraId="1FAF05D9" w14:textId="77777777" w:rsidR="0057471B" w:rsidRDefault="0057471B" w:rsidP="0057471B">
      <w:pPr>
        <w:spacing w:line="480" w:lineRule="auto"/>
        <w:ind w:firstLine="720"/>
      </w:pPr>
    </w:p>
    <w:p w14:paraId="4CCBD2B3" w14:textId="15A7E1DD" w:rsidR="00055388" w:rsidRDefault="00596720" w:rsidP="000D169E">
      <w:pPr>
        <w:spacing w:line="480" w:lineRule="auto"/>
        <w:ind w:firstLine="720"/>
      </w:pPr>
      <w:r w:rsidRPr="00596720">
        <w:lastRenderedPageBreak/>
        <w:t>These equations were solved numerically and converged to equilibrium solutions</w:t>
      </w:r>
      <w:r w:rsidR="000D169E">
        <w:t xml:space="preserve"> </w:t>
      </w:r>
      <w:r w:rsidR="000D169E" w:rsidRPr="000D169E">
        <w:rPr>
          <w:b/>
          <w:bCs/>
        </w:rPr>
        <w:t>(Figure 2</w:t>
      </w:r>
      <w:r w:rsidR="00D13835">
        <w:rPr>
          <w:b/>
          <w:bCs/>
        </w:rPr>
        <w:t>3</w:t>
      </w:r>
      <w:r w:rsidR="000D169E" w:rsidRPr="000D169E">
        <w:rPr>
          <w:b/>
          <w:bCs/>
        </w:rPr>
        <w:t>)</w:t>
      </w:r>
      <w:r w:rsidRPr="000D169E">
        <w:rPr>
          <w:b/>
          <w:bCs/>
        </w:rPr>
        <w:t>.</w:t>
      </w:r>
      <w:r w:rsidRPr="00596720">
        <w:t xml:space="preserve"> As a result, P</w:t>
      </w:r>
      <w:r w:rsidRPr="00596720">
        <w:rPr>
          <w:vertAlign w:val="subscript"/>
        </w:rPr>
        <w:t xml:space="preserve">1 </w:t>
      </w:r>
      <w:r w:rsidRPr="00596720">
        <w:t>starts to outcompete P</w:t>
      </w:r>
      <w:r w:rsidRPr="00596720">
        <w:rPr>
          <w:vertAlign w:val="subscript"/>
        </w:rPr>
        <w:t>2</w:t>
      </w:r>
      <w:r w:rsidRPr="00596720">
        <w:t xml:space="preserve"> before nutrient enrichment.  Increases in the resource input (shown as the black dotted vertical line) allows for a transition from the producer better at resource acquisition (P</w:t>
      </w:r>
      <w:r w:rsidRPr="00596720">
        <w:rPr>
          <w:vertAlign w:val="subscript"/>
        </w:rPr>
        <w:t>1</w:t>
      </w:r>
      <w:r w:rsidRPr="00596720">
        <w:t>) to the producer better at defending against predation (P</w:t>
      </w:r>
      <w:r w:rsidRPr="00596720">
        <w:rPr>
          <w:vertAlign w:val="subscript"/>
        </w:rPr>
        <w:t>2</w:t>
      </w:r>
      <w:r w:rsidRPr="00596720">
        <w:t xml:space="preserve">). </w:t>
      </w:r>
    </w:p>
    <w:p w14:paraId="21B755CC" w14:textId="71E974D7" w:rsidR="00AE508E" w:rsidRPr="00896151" w:rsidRDefault="00055388" w:rsidP="00AE508E">
      <w:pPr>
        <w:spacing w:line="480" w:lineRule="auto"/>
        <w:ind w:firstLine="720"/>
      </w:pPr>
      <w:r>
        <w:t xml:space="preserve">These results in </w:t>
      </w:r>
      <w:r w:rsidRPr="00AE508E">
        <w:rPr>
          <w:b/>
          <w:bCs/>
        </w:rPr>
        <w:t>Figure 2</w:t>
      </w:r>
      <w:r w:rsidR="00D13835">
        <w:rPr>
          <w:b/>
          <w:bCs/>
        </w:rPr>
        <w:t>1</w:t>
      </w:r>
      <w:r>
        <w:t xml:space="preserve"> and </w:t>
      </w:r>
      <w:r w:rsidRPr="00AE508E">
        <w:rPr>
          <w:b/>
          <w:bCs/>
        </w:rPr>
        <w:t>Figure 2</w:t>
      </w:r>
      <w:r w:rsidR="00D13835">
        <w:rPr>
          <w:b/>
          <w:bCs/>
        </w:rPr>
        <w:t>3</w:t>
      </w:r>
      <w:r>
        <w:t xml:space="preserve"> imply that the system converges to equilibrium states for fixed supply rates. We calculated all possible equilibrium states (see Appendix). </w:t>
      </w:r>
      <w:r w:rsidR="00AE508E">
        <w:t xml:space="preserve">Using our analytical steady-state solutions we can determine how our model will transition from one steady-state to another by increasing our supply rate: </w:t>
      </w:r>
      <w:r w:rsidR="00AE508E" w:rsidRPr="006413CF">
        <w:rPr>
          <w:b/>
          <w:bCs/>
        </w:rPr>
        <w:t>Figure 24</w:t>
      </w:r>
      <w:r w:rsidR="00AE508E">
        <w:t xml:space="preserve">. </w:t>
      </w:r>
      <w:r w:rsidR="00AE508E" w:rsidRPr="006413CF">
        <w:rPr>
          <w:b/>
          <w:bCs/>
        </w:rPr>
        <w:t>Figure 24</w:t>
      </w:r>
      <w:r w:rsidR="00AE508E">
        <w:t xml:space="preserve"> shows that at low supply rate (S</w:t>
      </w:r>
      <w:r w:rsidR="00AE508E">
        <w:rPr>
          <w:vertAlign w:val="subscript"/>
        </w:rPr>
        <w:t>R</w:t>
      </w:r>
      <w:r w:rsidR="00AE508E">
        <w:t>&lt;0.4) we will have steady state solution 1, intermediate supply rates (0.4&lt;S</w:t>
      </w:r>
      <w:r w:rsidR="00AE508E">
        <w:rPr>
          <w:vertAlign w:val="subscript"/>
        </w:rPr>
        <w:t>R</w:t>
      </w:r>
      <w:r w:rsidR="00AE508E">
        <w:t>&lt;0.65) we will have steady state solution 5, and high supply rates (S</w:t>
      </w:r>
      <w:r w:rsidR="00AE508E">
        <w:rPr>
          <w:vertAlign w:val="subscript"/>
        </w:rPr>
        <w:t>R</w:t>
      </w:r>
      <w:r w:rsidR="00AE508E">
        <w:t>&gt;0.65) we will have steady state solution 2. This analysis does not account for the potential of sudden influxes of nutrients throughout the year that will affect the populations of producers.</w:t>
      </w:r>
    </w:p>
    <w:p w14:paraId="418A0A0E" w14:textId="77777777" w:rsidR="00D13835" w:rsidRDefault="00596720" w:rsidP="00D13835">
      <w:pPr>
        <w:spacing w:line="480" w:lineRule="auto"/>
        <w:ind w:firstLine="720"/>
      </w:pPr>
      <w:r w:rsidRPr="00596720">
        <w:t xml:space="preserve">These different model predictions are theoretical scenarios in equilibrium. However, we are unsure of how these equilibrium theories play out in true non-equilibrium conditions. Model 1A and Model 1B have been an important part of our learning process and have given us a good idea of how to build a </w:t>
      </w:r>
      <w:r>
        <w:t>model</w:t>
      </w:r>
      <w:r w:rsidRPr="00596720">
        <w:t xml:space="preserve"> that mathematically accounts for non-equilibrium environmental variables such as temperature. </w:t>
      </w:r>
    </w:p>
    <w:p w14:paraId="639B875B" w14:textId="0682B52D" w:rsidR="000D169E" w:rsidRPr="00D13835" w:rsidRDefault="000D169E" w:rsidP="00D13835">
      <w:pPr>
        <w:spacing w:line="480" w:lineRule="auto"/>
        <w:ind w:firstLine="720"/>
      </w:pPr>
    </w:p>
    <w:p w14:paraId="23856E26" w14:textId="6E56369D" w:rsidR="000D169E" w:rsidRDefault="0057471B" w:rsidP="0096399B">
      <w:pPr>
        <w:spacing w:line="480" w:lineRule="auto"/>
        <w:rPr>
          <w:b/>
          <w:bCs/>
          <w:i/>
          <w:iCs/>
        </w:rPr>
      </w:pPr>
      <w:r w:rsidRPr="006D506E">
        <w:rPr>
          <w:rFonts w:ascii="Times" w:hAnsi="Times"/>
          <w:noProof/>
          <w:u w:val="single"/>
        </w:rPr>
        <w:lastRenderedPageBreak/>
        <mc:AlternateContent>
          <mc:Choice Requires="wps">
            <w:drawing>
              <wp:anchor distT="0" distB="0" distL="114300" distR="114300" simplePos="0" relativeHeight="252008448" behindDoc="1" locked="0" layoutInCell="1" allowOverlap="1" wp14:anchorId="39E1B5B2" wp14:editId="7BA1F2AD">
                <wp:simplePos x="0" y="0"/>
                <wp:positionH relativeFrom="column">
                  <wp:posOffset>67310</wp:posOffset>
                </wp:positionH>
                <wp:positionV relativeFrom="paragraph">
                  <wp:posOffset>2768600</wp:posOffset>
                </wp:positionV>
                <wp:extent cx="5112385" cy="681990"/>
                <wp:effectExtent l="0" t="0" r="5715" b="3810"/>
                <wp:wrapTight wrapText="bothSides">
                  <wp:wrapPolygon edited="0">
                    <wp:start x="0" y="0"/>
                    <wp:lineTo x="0" y="21318"/>
                    <wp:lineTo x="21570" y="21318"/>
                    <wp:lineTo x="21570" y="0"/>
                    <wp:lineTo x="0" y="0"/>
                  </wp:wrapPolygon>
                </wp:wrapTight>
                <wp:docPr id="118" name="Text Box 118"/>
                <wp:cNvGraphicFramePr/>
                <a:graphic xmlns:a="http://schemas.openxmlformats.org/drawingml/2006/main">
                  <a:graphicData uri="http://schemas.microsoft.com/office/word/2010/wordprocessingShape">
                    <wps:wsp>
                      <wps:cNvSpPr txBox="1"/>
                      <wps:spPr>
                        <a:xfrm>
                          <a:off x="0" y="0"/>
                          <a:ext cx="5112385" cy="681990"/>
                        </a:xfrm>
                        <a:prstGeom prst="rect">
                          <a:avLst/>
                        </a:prstGeom>
                        <a:solidFill>
                          <a:schemeClr val="lt1"/>
                        </a:solidFill>
                        <a:ln w="6350">
                          <a:noFill/>
                        </a:ln>
                      </wps:spPr>
                      <wps:txbx>
                        <w:txbxContent>
                          <w:p w14:paraId="513C9AAB" w14:textId="3406B89C" w:rsidR="00EA2092" w:rsidRDefault="000D169E" w:rsidP="00EA2092">
                            <w:pPr>
                              <w:pStyle w:val="Subtitle"/>
                            </w:pPr>
                            <w:bookmarkStart w:id="61" w:name="_Toc98704985"/>
                            <w:r w:rsidRPr="000D169E">
                              <w:t>Figure 2</w:t>
                            </w:r>
                            <w:r w:rsidR="00D13835">
                              <w:t>3</w:t>
                            </w:r>
                            <w:r w:rsidRPr="000D169E">
                              <w:t xml:space="preserve">: </w:t>
                            </w:r>
                            <w:r w:rsidR="00EA2092">
                              <w:t>Numerical Solutions for Model 1B</w:t>
                            </w:r>
                            <w:bookmarkEnd w:id="61"/>
                          </w:p>
                          <w:p w14:paraId="4FADB35B" w14:textId="534B7B67" w:rsidR="000D169E" w:rsidRPr="000D169E" w:rsidRDefault="000D169E" w:rsidP="000D169E">
                            <w:r w:rsidRPr="000D169E">
                              <w:t xml:space="preserve">Simulation of the equations for Model 1B (Equation Set 8) solved numerically with </w:t>
                            </w:r>
                            <w:r w:rsidR="00E17862">
                              <w:t>nutrient</w:t>
                            </w:r>
                            <w:r w:rsidRPr="000D169E">
                              <w:t xml:space="preserve"> enrichment at 150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E1B5B2" id="_x0000_t202" coordsize="21600,21600" o:spt="202" path="m,l,21600r21600,l21600,xe">
                <v:stroke joinstyle="miter"/>
                <v:path gradientshapeok="t" o:connecttype="rect"/>
              </v:shapetype>
              <v:shape id="Text Box 118" o:spid="_x0000_s1101" type="#_x0000_t202" style="position:absolute;margin-left:5.3pt;margin-top:218pt;width:402.55pt;height:53.7pt;z-index:-2513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" fillcolor="white [3201]" stroked="f" strokeweight=".5pt">
                <v:textbox>
                  <w:txbxContent>
                    <w:p w14:paraId="513C9AAB" w14:textId="3406B89C" w:rsidR="00EA2092" w:rsidRDefault="000D169E" w:rsidP="00EA2092">
                      <w:pPr>
                        <w:pStyle w:val="Subtitle"/>
                      </w:pPr>
                      <w:bookmarkStart w:id="62" w:name="_Toc98704985"/>
                      <w:r w:rsidRPr="000D169E">
                        <w:t>Figure 2</w:t>
                      </w:r>
                      <w:r w:rsidR="00D13835">
                        <w:t>3</w:t>
                      </w:r>
                      <w:r w:rsidRPr="000D169E">
                        <w:t xml:space="preserve">: </w:t>
                      </w:r>
                      <w:r w:rsidR="00EA2092">
                        <w:t>Numerical Solutions for Model 1B</w:t>
                      </w:r>
                      <w:bookmarkEnd w:id="62"/>
                    </w:p>
                    <w:p w14:paraId="4FADB35B" w14:textId="534B7B67" w:rsidR="000D169E" w:rsidRPr="000D169E" w:rsidRDefault="000D169E" w:rsidP="000D169E">
                      <w:r w:rsidRPr="000D169E">
                        <w:t xml:space="preserve">Simulation of the equations for Model 1B (Equation Set 8) solved numerically with </w:t>
                      </w:r>
                      <w:r w:rsidR="00E17862">
                        <w:t>nutrient</w:t>
                      </w:r>
                      <w:r w:rsidRPr="000D169E">
                        <w:t xml:space="preserve"> enrichment at 150 days.</w:t>
                      </w:r>
                    </w:p>
                  </w:txbxContent>
                </v:textbox>
                <w10:wrap type="tight"/>
              </v:shape>
            </w:pict>
          </mc:Fallback>
        </mc:AlternateContent>
      </w:r>
      <w:r>
        <w:rPr>
          <w:b/>
          <w:bCs/>
          <w:i/>
          <w:iCs/>
          <w:noProof/>
        </w:rPr>
        <w:drawing>
          <wp:inline distT="0" distB="0" distL="0" distR="0" wp14:anchorId="326A93FB" wp14:editId="1D1099C8">
            <wp:extent cx="3953814" cy="2669843"/>
            <wp:effectExtent l="0" t="0" r="0" b="0"/>
            <wp:docPr id="95" name="Picture 95"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Chart&#10;&#10;Description automatically generated with low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962153" cy="2675474"/>
                    </a:xfrm>
                    <a:prstGeom prst="rect">
                      <a:avLst/>
                    </a:prstGeom>
                  </pic:spPr>
                </pic:pic>
              </a:graphicData>
            </a:graphic>
          </wp:inline>
        </w:drawing>
      </w:r>
    </w:p>
    <w:p w14:paraId="29244CA0" w14:textId="4A88E910" w:rsidR="000D169E" w:rsidRDefault="000D169E" w:rsidP="0096399B">
      <w:pPr>
        <w:spacing w:line="480" w:lineRule="auto"/>
        <w:rPr>
          <w:b/>
          <w:bCs/>
          <w:i/>
          <w:iCs/>
        </w:rPr>
      </w:pPr>
    </w:p>
    <w:p w14:paraId="3894F58A" w14:textId="629B1884" w:rsidR="000D169E" w:rsidRDefault="000D169E" w:rsidP="0096399B">
      <w:pPr>
        <w:spacing w:line="480" w:lineRule="auto"/>
        <w:rPr>
          <w:b/>
          <w:bCs/>
          <w:i/>
          <w:iCs/>
        </w:rPr>
      </w:pPr>
    </w:p>
    <w:p w14:paraId="0E862E63" w14:textId="490A4EA1" w:rsidR="00AE508E" w:rsidRDefault="0057471B" w:rsidP="0096399B">
      <w:pPr>
        <w:spacing w:line="480" w:lineRule="auto"/>
        <w:rPr>
          <w:b/>
          <w:bCs/>
          <w:i/>
          <w:iCs/>
        </w:rPr>
      </w:pPr>
      <w:r w:rsidRPr="00EA2092">
        <w:rPr>
          <w:b/>
          <w:bCs/>
          <w:i/>
          <w:iCs/>
          <w:noProof/>
        </w:rPr>
        <mc:AlternateContent>
          <mc:Choice Requires="wps">
            <w:drawing>
              <wp:anchor distT="0" distB="0" distL="114300" distR="114300" simplePos="0" relativeHeight="252021760" behindDoc="0" locked="0" layoutInCell="1" allowOverlap="1" wp14:anchorId="301D2304" wp14:editId="14D5B92F">
                <wp:simplePos x="0" y="0"/>
                <wp:positionH relativeFrom="column">
                  <wp:posOffset>192387</wp:posOffset>
                </wp:positionH>
                <wp:positionV relativeFrom="paragraph">
                  <wp:posOffset>2873563</wp:posOffset>
                </wp:positionV>
                <wp:extent cx="5241290" cy="488950"/>
                <wp:effectExtent l="0" t="0" r="3810" b="6350"/>
                <wp:wrapSquare wrapText="bothSides"/>
                <wp:docPr id="91" name="Text Box 91"/>
                <wp:cNvGraphicFramePr/>
                <a:graphic xmlns:a="http://schemas.openxmlformats.org/drawingml/2006/main">
                  <a:graphicData uri="http://schemas.microsoft.com/office/word/2010/wordprocessingShape">
                    <wps:wsp>
                      <wps:cNvSpPr txBox="1"/>
                      <wps:spPr>
                        <a:xfrm>
                          <a:off x="0" y="0"/>
                          <a:ext cx="5241290" cy="488950"/>
                        </a:xfrm>
                        <a:prstGeom prst="rect">
                          <a:avLst/>
                        </a:prstGeom>
                        <a:solidFill>
                          <a:schemeClr val="lt1"/>
                        </a:solidFill>
                        <a:ln w="6350">
                          <a:noFill/>
                        </a:ln>
                      </wps:spPr>
                      <wps:txbx>
                        <w:txbxContent>
                          <w:p w14:paraId="44D2189F" w14:textId="77777777" w:rsidR="00EA2092" w:rsidRDefault="00EA2092" w:rsidP="00D13835">
                            <w:pPr>
                              <w:pStyle w:val="Subtitle"/>
                            </w:pPr>
                            <w:bookmarkStart w:id="63" w:name="_Toc98704986"/>
                            <w:r w:rsidRPr="00BE0454">
                              <w:t>Figure 2</w:t>
                            </w:r>
                            <w:r>
                              <w:t>4:</w:t>
                            </w:r>
                            <w:r w:rsidRPr="00BE0454">
                              <w:t xml:space="preserve"> </w:t>
                            </w:r>
                            <w:r>
                              <w:t>Steady-state Solutions</w:t>
                            </w:r>
                            <w:bookmarkEnd w:id="63"/>
                          </w:p>
                          <w:p w14:paraId="4B075C9C" w14:textId="77777777" w:rsidR="00EA2092" w:rsidRPr="00BE0454" w:rsidRDefault="00EA2092" w:rsidP="00EA2092">
                            <w:r w:rsidRPr="00BE0454">
                              <w:t>Analytical steady state solutions for increasing supply rates.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D2304" id="Text Box 91" o:spid="_x0000_s1102" type="#_x0000_t202" style="position:absolute;margin-left:15.15pt;margin-top:226.25pt;width:412.7pt;height:3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" fillcolor="white [3201]" stroked="f" strokeweight=".5pt">
                <v:textbox>
                  <w:txbxContent>
                    <w:p w14:paraId="44D2189F" w14:textId="77777777" w:rsidR="00EA2092" w:rsidRDefault="00EA2092" w:rsidP="00D13835">
                      <w:pPr>
                        <w:pStyle w:val="Subtitle"/>
                      </w:pPr>
                      <w:bookmarkStart w:id="95" w:name="_Toc98704986"/>
                      <w:r w:rsidRPr="00BE0454">
                        <w:t>Figure 2</w:t>
                      </w:r>
                      <w:r>
                        <w:t>4:</w:t>
                      </w:r>
                      <w:r w:rsidRPr="00BE0454">
                        <w:t xml:space="preserve"> </w:t>
                      </w:r>
                      <w:r>
                        <w:t>Steady-state Solutions</w:t>
                      </w:r>
                      <w:bookmarkEnd w:id="95"/>
                    </w:p>
                    <w:p w14:paraId="4B075C9C" w14:textId="77777777" w:rsidR="00EA2092" w:rsidRPr="00BE0454" w:rsidRDefault="00EA2092" w:rsidP="00EA2092">
                      <w:r w:rsidRPr="00BE0454">
                        <w:t>Analytical steady state solutions for increasing supply rates.</w:t>
                      </w:r>
                    </w:p>
                  </w:txbxContent>
                </v:textbox>
                <w10:wrap type="square"/>
              </v:shape>
            </w:pict>
          </mc:Fallback>
        </mc:AlternateContent>
      </w:r>
      <w:r>
        <w:rPr>
          <w:b/>
          <w:bCs/>
          <w:i/>
          <w:iCs/>
          <w:noProof/>
        </w:rPr>
        <w:drawing>
          <wp:inline distT="0" distB="0" distL="0" distR="0" wp14:anchorId="26822AFF" wp14:editId="413C29E2">
            <wp:extent cx="4108360" cy="2738906"/>
            <wp:effectExtent l="0" t="0" r="0" b="4445"/>
            <wp:docPr id="96" name="Picture 96"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Chart&#10;&#10;Description automatically generated with low confidence"/>
                    <pic:cNvPicPr/>
                  </pic:nvPicPr>
                  <pic:blipFill>
                    <a:blip r:embed="rId40">
                      <a:extLst>
                        <a:ext uri="{28A0092B-C50C-407E-A947-70E740481C1C}">
                          <a14:useLocalDpi xmlns:a14="http://schemas.microsoft.com/office/drawing/2010/main" val="0"/>
                        </a:ext>
                      </a:extLst>
                    </a:blip>
                    <a:stretch>
                      <a:fillRect/>
                    </a:stretch>
                  </pic:blipFill>
                  <pic:spPr>
                    <a:xfrm>
                      <a:off x="0" y="0"/>
                      <a:ext cx="4124893" cy="2749928"/>
                    </a:xfrm>
                    <a:prstGeom prst="rect">
                      <a:avLst/>
                    </a:prstGeom>
                  </pic:spPr>
                </pic:pic>
              </a:graphicData>
            </a:graphic>
          </wp:inline>
        </w:drawing>
      </w:r>
    </w:p>
    <w:p w14:paraId="04F301E2" w14:textId="271EF3E3" w:rsidR="004D24C7" w:rsidRDefault="004D24C7" w:rsidP="0057471B">
      <w:pPr>
        <w:pStyle w:val="Heading2"/>
      </w:pPr>
      <w:bookmarkStart w:id="64" w:name="_Toc98870960"/>
      <w:r>
        <w:lastRenderedPageBreak/>
        <w:t>Temperature impacts</w:t>
      </w:r>
      <w:bookmarkEnd w:id="64"/>
    </w:p>
    <w:p w14:paraId="697F0648" w14:textId="77777777" w:rsidR="00AE508E" w:rsidRPr="00AE508E" w:rsidRDefault="00AE508E" w:rsidP="00AE508E"/>
    <w:p w14:paraId="529EC469" w14:textId="6187A9A8" w:rsidR="00C80C34" w:rsidRDefault="009359F8" w:rsidP="0096399B">
      <w:pPr>
        <w:spacing w:line="480" w:lineRule="auto"/>
      </w:pPr>
      <w:r>
        <w:tab/>
        <w:t>A model simulation with a</w:t>
      </w:r>
      <w:r w:rsidR="00B13E4C">
        <w:t xml:space="preserve"> sudden increase in nutrients part of the way through the year is not environmentally realistic. </w:t>
      </w:r>
      <w:r w:rsidR="00C80C34">
        <w:t>We have solved our model for different nutrient inflows</w:t>
      </w:r>
      <w:r w:rsidR="00B13E4C">
        <w:t>,</w:t>
      </w:r>
      <w:r w:rsidR="00C80C34">
        <w:t xml:space="preserve"> but we think temperature is likely to be a more variable driver of system structure intra-annually. </w:t>
      </w:r>
      <w:r w:rsidR="00AE508E">
        <w:t xml:space="preserve">We therefore altered our model by implementing a linear relationship between resource acquisition parameters and temperature. We also implemented a </w:t>
      </w:r>
      <w:r w:rsidR="001B4518">
        <w:t xml:space="preserve">multiplicative </w:t>
      </w:r>
      <w:r w:rsidR="00AE508E">
        <w:t>linear relationship between interaction strength of producers and consumers and temperature.</w:t>
      </w:r>
    </w:p>
    <w:p w14:paraId="0D44E26A" w14:textId="6F1405EE" w:rsidR="009359F8" w:rsidRDefault="00C80C34" w:rsidP="00FA0C5E">
      <w:pPr>
        <w:spacing w:line="480" w:lineRule="auto"/>
        <w:ind w:firstLine="720"/>
      </w:pPr>
      <w:r>
        <w:t xml:space="preserve">We have solved our model, </w:t>
      </w:r>
      <w:r w:rsidRPr="00C80C34">
        <w:rPr>
          <w:b/>
          <w:bCs/>
        </w:rPr>
        <w:t>Equations 1-4</w:t>
      </w:r>
      <w:r>
        <w:t>, numerically at a low temperature</w:t>
      </w:r>
      <w:r w:rsidR="00AE508E">
        <w:t xml:space="preserve"> (</w:t>
      </w:r>
      <w:r w:rsidR="001B4518">
        <w:t>4</w:t>
      </w:r>
      <w:r w:rsidR="00AE508E">
        <w:t xml:space="preserve"> degrees </w:t>
      </w:r>
      <w:r w:rsidR="00D13835">
        <w:t>Celsius</w:t>
      </w:r>
      <w:r w:rsidR="00AE508E">
        <w:t>)</w:t>
      </w:r>
      <w:r>
        <w:t xml:space="preserve">, </w:t>
      </w:r>
      <w:r w:rsidR="00B13E4C" w:rsidRPr="00C80C34">
        <w:rPr>
          <w:b/>
          <w:bCs/>
        </w:rPr>
        <w:t xml:space="preserve">Figure </w:t>
      </w:r>
      <w:r w:rsidR="00D13835">
        <w:rPr>
          <w:b/>
          <w:bCs/>
        </w:rPr>
        <w:t>25</w:t>
      </w:r>
      <w:r w:rsidR="00B13E4C">
        <w:t xml:space="preserve">. This run of the model shows that at low </w:t>
      </w:r>
      <w:r>
        <w:t>temperature</w:t>
      </w:r>
      <w:r w:rsidR="00B13E4C">
        <w:t xml:space="preserve"> the producer better at nutrient acquisition will survive better than the producer better at defense against predation. This is what we expected to see because at a </w:t>
      </w:r>
      <w:r>
        <w:t>low temperature</w:t>
      </w:r>
      <w:r w:rsidR="00B13E4C">
        <w:t xml:space="preserve"> the producer better at resource acquisition will have better fitness due to the consumer group having a low biomass.  </w:t>
      </w:r>
    </w:p>
    <w:p w14:paraId="446FBBF9" w14:textId="6A122D33" w:rsidR="00FA0C5E" w:rsidRDefault="00FA0C5E" w:rsidP="00FA0C5E">
      <w:pPr>
        <w:spacing w:line="480" w:lineRule="auto"/>
        <w:ind w:firstLine="720"/>
      </w:pPr>
      <w:r>
        <w:t xml:space="preserve">Additionally, we have rerun our model, </w:t>
      </w:r>
      <w:r w:rsidRPr="00C80C34">
        <w:rPr>
          <w:b/>
          <w:bCs/>
        </w:rPr>
        <w:t>Equations 1-4</w:t>
      </w:r>
      <w:r>
        <w:t>, to numerically solve the equations for high temperature</w:t>
      </w:r>
      <w:r w:rsidR="00AE508E">
        <w:t xml:space="preserve"> (2</w:t>
      </w:r>
      <w:r w:rsidR="001B4518">
        <w:t>4</w:t>
      </w:r>
      <w:r w:rsidR="00AE508E">
        <w:t xml:space="preserve"> degrees </w:t>
      </w:r>
      <w:r w:rsidR="00D13835">
        <w:t>Celsius</w:t>
      </w:r>
      <w:r w:rsidR="00AE508E">
        <w:t>)</w:t>
      </w:r>
      <w:r>
        <w:t xml:space="preserve">, </w:t>
      </w:r>
      <w:r w:rsidRPr="00C80C34">
        <w:rPr>
          <w:b/>
          <w:bCs/>
        </w:rPr>
        <w:t xml:space="preserve">Figure </w:t>
      </w:r>
      <w:r w:rsidR="00D13835">
        <w:rPr>
          <w:b/>
          <w:bCs/>
        </w:rPr>
        <w:t>26</w:t>
      </w:r>
      <w:r>
        <w:t xml:space="preserve">. This run of the model shows that at high nutrients the producer better at nutrient acquisition survives better at first but after a short time the producer that is better at defense against predation becomes the dominant producer group. This is what we expected to see because at a </w:t>
      </w:r>
      <w:r w:rsidR="00305C66">
        <w:t>high temperature</w:t>
      </w:r>
      <w:r>
        <w:t xml:space="preserve"> the producer better at defense against predation will have better fitness due to the consumer group having a high biomass.  </w:t>
      </w:r>
    </w:p>
    <w:p w14:paraId="58C7523D" w14:textId="3369285A" w:rsidR="000944BC" w:rsidRPr="000944BC" w:rsidRDefault="00CD1CA6" w:rsidP="000944BC">
      <w:pPr>
        <w:spacing w:line="480" w:lineRule="auto"/>
        <w:jc w:val="both"/>
        <w:rPr>
          <w:rFonts w:ascii="Times" w:hAnsi="Times"/>
          <w:noProof/>
        </w:rPr>
      </w:pPr>
      <w:r w:rsidRPr="006D506E">
        <w:rPr>
          <w:rFonts w:ascii="Times" w:hAnsi="Times"/>
          <w:noProof/>
          <w:u w:val="single"/>
        </w:rPr>
        <w:lastRenderedPageBreak/>
        <mc:AlternateContent>
          <mc:Choice Requires="wps">
            <w:drawing>
              <wp:anchor distT="0" distB="0" distL="114300" distR="114300" simplePos="0" relativeHeight="251875328" behindDoc="1" locked="0" layoutInCell="1" allowOverlap="1" wp14:anchorId="32B341AA" wp14:editId="1A00FA62">
                <wp:simplePos x="0" y="0"/>
                <wp:positionH relativeFrom="column">
                  <wp:posOffset>27940</wp:posOffset>
                </wp:positionH>
                <wp:positionV relativeFrom="paragraph">
                  <wp:posOffset>2651098</wp:posOffset>
                </wp:positionV>
                <wp:extent cx="5589270" cy="681990"/>
                <wp:effectExtent l="0" t="0" r="0" b="3810"/>
                <wp:wrapTight wrapText="bothSides">
                  <wp:wrapPolygon edited="0">
                    <wp:start x="0" y="0"/>
                    <wp:lineTo x="0" y="21318"/>
                    <wp:lineTo x="21546" y="21318"/>
                    <wp:lineTo x="21546" y="0"/>
                    <wp:lineTo x="0" y="0"/>
                  </wp:wrapPolygon>
                </wp:wrapTight>
                <wp:docPr id="92" name="Text Box 92"/>
                <wp:cNvGraphicFramePr/>
                <a:graphic xmlns:a="http://schemas.openxmlformats.org/drawingml/2006/main">
                  <a:graphicData uri="http://schemas.microsoft.com/office/word/2010/wordprocessingShape">
                    <wps:wsp>
                      <wps:cNvSpPr txBox="1"/>
                      <wps:spPr>
                        <a:xfrm>
                          <a:off x="0" y="0"/>
                          <a:ext cx="5589270" cy="681990"/>
                        </a:xfrm>
                        <a:prstGeom prst="rect">
                          <a:avLst/>
                        </a:prstGeom>
                        <a:solidFill>
                          <a:schemeClr val="lt1"/>
                        </a:solidFill>
                        <a:ln w="6350">
                          <a:noFill/>
                        </a:ln>
                      </wps:spPr>
                      <wps:txbx>
                        <w:txbxContent>
                          <w:p w14:paraId="0CBC726C" w14:textId="62C1D5DD" w:rsidR="00EA2092" w:rsidRDefault="00B13E4C" w:rsidP="00EA2092">
                            <w:pPr>
                              <w:pStyle w:val="Subtitle"/>
                            </w:pPr>
                            <w:bookmarkStart w:id="65" w:name="_Toc98704987"/>
                            <w:r w:rsidRPr="00265172">
                              <w:t xml:space="preserve">Figure </w:t>
                            </w:r>
                            <w:r w:rsidR="00D13835">
                              <w:t>25</w:t>
                            </w:r>
                            <w:r w:rsidRPr="00265172">
                              <w:t xml:space="preserve">: </w:t>
                            </w:r>
                            <w:r w:rsidR="00EA2092">
                              <w:t>Numerical Simulation at Low Temperature</w:t>
                            </w:r>
                            <w:bookmarkEnd w:id="65"/>
                          </w:p>
                          <w:p w14:paraId="305C17ED" w14:textId="1984D425" w:rsidR="00B13E4C" w:rsidRPr="00265172" w:rsidRDefault="00EA2092" w:rsidP="00B13E4C">
                            <w:r>
                              <w:t>Numerical s</w:t>
                            </w:r>
                            <w:r w:rsidR="00B13E4C" w:rsidRPr="00265172">
                              <w:t>imulation of Equation</w:t>
                            </w:r>
                            <w:r w:rsidR="007A1578">
                              <w:t>s 1-4</w:t>
                            </w:r>
                            <w:r w:rsidR="00B13E4C" w:rsidRPr="00265172">
                              <w:t xml:space="preserve"> at low </w:t>
                            </w:r>
                            <w:r w:rsidR="007A1578">
                              <w:t>temperature</w:t>
                            </w:r>
                            <w:r w:rsidR="00FA7849">
                              <w:t xml:space="preserve">. </w:t>
                            </w:r>
                            <w:r w:rsidR="007861D0">
                              <w:t>The tradeoff would not come into effect because the consumer population would stay 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341AA" id="Text Box 92" o:spid="_x0000_s1103" type="#_x0000_t202" style="position:absolute;left:0;text-align:left;margin-left:2.2pt;margin-top:208.75pt;width:440.1pt;height:53.7pt;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" fillcolor="white [3201]" stroked="f" strokeweight=".5pt">
                <v:textbox>
                  <w:txbxContent>
                    <w:p w14:paraId="0CBC726C" w14:textId="62C1D5DD" w:rsidR="00EA2092" w:rsidRDefault="00B13E4C" w:rsidP="00EA2092">
                      <w:pPr>
                        <w:pStyle w:val="Subtitle"/>
                      </w:pPr>
                      <w:bookmarkStart w:id="98" w:name="_Toc98704987"/>
                      <w:r w:rsidRPr="00265172">
                        <w:t xml:space="preserve">Figure </w:t>
                      </w:r>
                      <w:r w:rsidR="00D13835">
                        <w:t>25</w:t>
                      </w:r>
                      <w:r w:rsidRPr="00265172">
                        <w:t xml:space="preserve">: </w:t>
                      </w:r>
                      <w:r w:rsidR="00EA2092">
                        <w:t>Numerical Simulation at Low Temperature</w:t>
                      </w:r>
                      <w:bookmarkEnd w:id="98"/>
                    </w:p>
                    <w:p w14:paraId="305C17ED" w14:textId="1984D425" w:rsidR="00B13E4C" w:rsidRPr="00265172" w:rsidRDefault="00EA2092" w:rsidP="00B13E4C">
                      <w:r>
                        <w:t>Numerical s</w:t>
                      </w:r>
                      <w:r w:rsidR="00B13E4C" w:rsidRPr="00265172">
                        <w:t>imulation of Equation</w:t>
                      </w:r>
                      <w:r w:rsidR="007A1578">
                        <w:t>s 1-4</w:t>
                      </w:r>
                      <w:r w:rsidR="00B13E4C" w:rsidRPr="00265172">
                        <w:t xml:space="preserve"> at low </w:t>
                      </w:r>
                      <w:r w:rsidR="007A1578">
                        <w:t>temperature</w:t>
                      </w:r>
                      <w:r w:rsidR="00FA7849">
                        <w:t xml:space="preserve">. </w:t>
                      </w:r>
                      <w:r w:rsidR="007861D0">
                        <w:t>The tradeoff would not come into effect because the consumer population would stay low.</w:t>
                      </w:r>
                    </w:p>
                  </w:txbxContent>
                </v:textbox>
                <w10:wrap type="tight"/>
              </v:shape>
            </w:pict>
          </mc:Fallback>
        </mc:AlternateContent>
      </w:r>
      <w:r w:rsidR="0018250A">
        <w:rPr>
          <w:rFonts w:ascii="Times" w:hAnsi="Times"/>
          <w:noProof/>
        </w:rPr>
        <w:drawing>
          <wp:inline distT="0" distB="0" distL="0" distR="0" wp14:anchorId="7924CC96" wp14:editId="13111BC4">
            <wp:extent cx="3812146" cy="2569256"/>
            <wp:effectExtent l="0" t="0" r="0" b="0"/>
            <wp:docPr id="97" name="Picture 9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picture containing graphical user interfac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830171" cy="2581404"/>
                    </a:xfrm>
                    <a:prstGeom prst="rect">
                      <a:avLst/>
                    </a:prstGeom>
                  </pic:spPr>
                </pic:pic>
              </a:graphicData>
            </a:graphic>
          </wp:inline>
        </w:drawing>
      </w:r>
    </w:p>
    <w:p w14:paraId="4D2033C7" w14:textId="3970B1FE" w:rsidR="000944BC" w:rsidRDefault="000944BC" w:rsidP="000944BC">
      <w:pPr>
        <w:rPr>
          <w:rFonts w:ascii="Times" w:hAnsi="Times"/>
        </w:rPr>
      </w:pPr>
    </w:p>
    <w:p w14:paraId="7ED6CB4B" w14:textId="28B7EFDA" w:rsidR="00240F72" w:rsidRDefault="00240F72" w:rsidP="000944BC">
      <w:pPr>
        <w:rPr>
          <w:rFonts w:ascii="Times" w:hAnsi="Times"/>
        </w:rPr>
      </w:pPr>
    </w:p>
    <w:p w14:paraId="3379386A" w14:textId="4C761984" w:rsidR="00CD1CA6" w:rsidRDefault="00CD1CA6" w:rsidP="000944BC">
      <w:pPr>
        <w:rPr>
          <w:rFonts w:ascii="Times" w:hAnsi="Times"/>
        </w:rPr>
      </w:pPr>
    </w:p>
    <w:p w14:paraId="69BDC314" w14:textId="77777777" w:rsidR="00CD1CA6" w:rsidRDefault="00CD1CA6" w:rsidP="000944BC">
      <w:pPr>
        <w:rPr>
          <w:rFonts w:ascii="Times" w:hAnsi="Times"/>
        </w:rPr>
      </w:pPr>
    </w:p>
    <w:p w14:paraId="4ED1FC7F" w14:textId="3C2E828B" w:rsidR="00FA7849" w:rsidRPr="00FA7849" w:rsidRDefault="00CD1CA6" w:rsidP="00CD1CA6">
      <w:pPr>
        <w:rPr>
          <w:rFonts w:ascii="Times" w:hAnsi="Times"/>
        </w:rPr>
      </w:pPr>
      <w:r>
        <w:rPr>
          <w:rFonts w:ascii="Times" w:hAnsi="Times"/>
          <w:noProof/>
        </w:rPr>
        <w:drawing>
          <wp:inline distT="0" distB="0" distL="0" distR="0" wp14:anchorId="1D0EDD3D" wp14:editId="1E86E159">
            <wp:extent cx="3726272" cy="2511380"/>
            <wp:effectExtent l="0" t="0" r="0" b="0"/>
            <wp:docPr id="105" name="Picture 10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57358" cy="2532331"/>
                    </a:xfrm>
                    <a:prstGeom prst="rect">
                      <a:avLst/>
                    </a:prstGeom>
                  </pic:spPr>
                </pic:pic>
              </a:graphicData>
            </a:graphic>
          </wp:inline>
        </w:drawing>
      </w:r>
      <w:r w:rsidR="00240F72" w:rsidRPr="006D506E">
        <w:rPr>
          <w:rFonts w:ascii="Times" w:hAnsi="Times"/>
          <w:noProof/>
          <w:u w:val="single"/>
        </w:rPr>
        <mc:AlternateContent>
          <mc:Choice Requires="wps">
            <w:drawing>
              <wp:anchor distT="0" distB="0" distL="114300" distR="114300" simplePos="0" relativeHeight="251877376" behindDoc="1" locked="0" layoutInCell="1" allowOverlap="1" wp14:anchorId="1503996F" wp14:editId="7A12C1C9">
                <wp:simplePos x="0" y="0"/>
                <wp:positionH relativeFrom="column">
                  <wp:posOffset>28575</wp:posOffset>
                </wp:positionH>
                <wp:positionV relativeFrom="paragraph">
                  <wp:posOffset>2676265</wp:posOffset>
                </wp:positionV>
                <wp:extent cx="5318760" cy="1003935"/>
                <wp:effectExtent l="0" t="0" r="2540" b="0"/>
                <wp:wrapTight wrapText="bothSides">
                  <wp:wrapPolygon edited="0">
                    <wp:start x="0" y="0"/>
                    <wp:lineTo x="0" y="21313"/>
                    <wp:lineTo x="21559" y="21313"/>
                    <wp:lineTo x="21559" y="0"/>
                    <wp:lineTo x="0" y="0"/>
                  </wp:wrapPolygon>
                </wp:wrapTight>
                <wp:docPr id="93" name="Text Box 93"/>
                <wp:cNvGraphicFramePr/>
                <a:graphic xmlns:a="http://schemas.openxmlformats.org/drawingml/2006/main">
                  <a:graphicData uri="http://schemas.microsoft.com/office/word/2010/wordprocessingShape">
                    <wps:wsp>
                      <wps:cNvSpPr txBox="1"/>
                      <wps:spPr>
                        <a:xfrm>
                          <a:off x="0" y="0"/>
                          <a:ext cx="5318760" cy="1003935"/>
                        </a:xfrm>
                        <a:prstGeom prst="rect">
                          <a:avLst/>
                        </a:prstGeom>
                        <a:solidFill>
                          <a:schemeClr val="lt1"/>
                        </a:solidFill>
                        <a:ln w="6350">
                          <a:noFill/>
                        </a:ln>
                      </wps:spPr>
                      <wps:txbx>
                        <w:txbxContent>
                          <w:p w14:paraId="79F784B2" w14:textId="640BBE25" w:rsidR="00EA2092" w:rsidRDefault="00B13E4C" w:rsidP="00EA2092">
                            <w:pPr>
                              <w:pStyle w:val="Subtitle"/>
                            </w:pPr>
                            <w:bookmarkStart w:id="66" w:name="_Toc98704988"/>
                            <w:r w:rsidRPr="005D7A61">
                              <w:t xml:space="preserve">Figure </w:t>
                            </w:r>
                            <w:r w:rsidR="00D13835">
                              <w:t>26</w:t>
                            </w:r>
                            <w:r w:rsidRPr="005D7A61">
                              <w:t xml:space="preserve">: </w:t>
                            </w:r>
                            <w:r w:rsidR="00EA2092">
                              <w:t>Numerical Simulation at High Temperature</w:t>
                            </w:r>
                            <w:bookmarkEnd w:id="66"/>
                          </w:p>
                          <w:p w14:paraId="0BDED6C7" w14:textId="40FE19AA" w:rsidR="00121A72" w:rsidRPr="00265172" w:rsidRDefault="00121A72" w:rsidP="00121A72">
                            <w:r>
                              <w:t>Numerical s</w:t>
                            </w:r>
                            <w:r w:rsidRPr="00265172">
                              <w:t>imulation of Equation</w:t>
                            </w:r>
                            <w:r>
                              <w:t>s 1-4</w:t>
                            </w:r>
                            <w:r w:rsidRPr="00265172">
                              <w:t xml:space="preserve"> at </w:t>
                            </w:r>
                            <w:r>
                              <w:t>high</w:t>
                            </w:r>
                            <w:r w:rsidRPr="00265172">
                              <w:t xml:space="preserve"> </w:t>
                            </w:r>
                            <w:r>
                              <w:t>temperature</w:t>
                            </w:r>
                            <w:r w:rsidR="00FA7849">
                              <w:t xml:space="preserve">. </w:t>
                            </w:r>
                            <w:r>
                              <w:t>The tradeoff would come into effect because the consumer population would grow large enough to have an effect of the producer populations.</w:t>
                            </w:r>
                          </w:p>
                          <w:p w14:paraId="5AD4EB0A" w14:textId="44DDCBC3" w:rsidR="00B13E4C" w:rsidRPr="005D7A61" w:rsidRDefault="00B13E4C" w:rsidP="00121A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3996F" id="Text Box 93" o:spid="_x0000_s1104" type="#_x0000_t202" style="position:absolute;margin-left:2.25pt;margin-top:210.75pt;width:418.8pt;height:79.05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" fillcolor="white [3201]" stroked="f" strokeweight=".5pt">
                <v:textbox>
                  <w:txbxContent>
                    <w:p w14:paraId="79F784B2" w14:textId="640BBE25" w:rsidR="00EA2092" w:rsidRDefault="00B13E4C" w:rsidP="00EA2092">
                      <w:pPr>
                        <w:pStyle w:val="Subtitle"/>
                      </w:pPr>
                      <w:bookmarkStart w:id="100" w:name="_Toc98704988"/>
                      <w:r w:rsidRPr="005D7A61">
                        <w:t xml:space="preserve">Figure </w:t>
                      </w:r>
                      <w:r w:rsidR="00D13835">
                        <w:t>26</w:t>
                      </w:r>
                      <w:r w:rsidRPr="005D7A61">
                        <w:t xml:space="preserve">: </w:t>
                      </w:r>
                      <w:r w:rsidR="00EA2092">
                        <w:t>Numerical Simulation at High Temperature</w:t>
                      </w:r>
                      <w:bookmarkEnd w:id="100"/>
                    </w:p>
                    <w:p w14:paraId="0BDED6C7" w14:textId="40FE19AA" w:rsidR="00121A72" w:rsidRPr="00265172" w:rsidRDefault="00121A72" w:rsidP="00121A72">
                      <w:r>
                        <w:t>Numerical s</w:t>
                      </w:r>
                      <w:r w:rsidRPr="00265172">
                        <w:t>imulation of Equation</w:t>
                      </w:r>
                      <w:r>
                        <w:t>s 1-4</w:t>
                      </w:r>
                      <w:r w:rsidRPr="00265172">
                        <w:t xml:space="preserve"> at </w:t>
                      </w:r>
                      <w:r>
                        <w:t>high</w:t>
                      </w:r>
                      <w:r w:rsidRPr="00265172">
                        <w:t xml:space="preserve"> </w:t>
                      </w:r>
                      <w:r>
                        <w:t>temperature</w:t>
                      </w:r>
                      <w:r w:rsidR="00FA7849">
                        <w:t xml:space="preserve">. </w:t>
                      </w:r>
                      <w:r>
                        <w:t>The tradeoff would come into effect because the consumer population would grow large enough to have an effect of the producer populations.</w:t>
                      </w:r>
                    </w:p>
                    <w:p w14:paraId="5AD4EB0A" w14:textId="44DDCBC3" w:rsidR="00B13E4C" w:rsidRPr="005D7A61" w:rsidRDefault="00B13E4C" w:rsidP="00121A72"/>
                  </w:txbxContent>
                </v:textbox>
                <w10:wrap type="tight"/>
              </v:shape>
            </w:pict>
          </mc:Fallback>
        </mc:AlternateContent>
      </w:r>
    </w:p>
    <w:p w14:paraId="2650A609" w14:textId="11AE58E2" w:rsidR="00CD7689" w:rsidRPr="005D7A61" w:rsidRDefault="005D7A61" w:rsidP="00FA7849">
      <w:pPr>
        <w:spacing w:line="480" w:lineRule="auto"/>
        <w:ind w:firstLine="720"/>
      </w:pPr>
      <w:r w:rsidRPr="00CD7689">
        <w:rPr>
          <w:noProof/>
        </w:rPr>
        <w:lastRenderedPageBreak/>
        <mc:AlternateContent>
          <mc:Choice Requires="wps">
            <w:drawing>
              <wp:anchor distT="0" distB="0" distL="114300" distR="114300" simplePos="0" relativeHeight="251828224" behindDoc="0" locked="0" layoutInCell="1" allowOverlap="1" wp14:anchorId="56CAFEC0" wp14:editId="38C56277">
                <wp:simplePos x="0" y="0"/>
                <wp:positionH relativeFrom="column">
                  <wp:posOffset>4929505</wp:posOffset>
                </wp:positionH>
                <wp:positionV relativeFrom="paragraph">
                  <wp:posOffset>2121795</wp:posOffset>
                </wp:positionV>
                <wp:extent cx="669290" cy="527685"/>
                <wp:effectExtent l="0" t="0" r="16510" b="18415"/>
                <wp:wrapNone/>
                <wp:docPr id="24" name="Text Box 24"/>
                <wp:cNvGraphicFramePr/>
                <a:graphic xmlns:a="http://schemas.openxmlformats.org/drawingml/2006/main">
                  <a:graphicData uri="http://schemas.microsoft.com/office/word/2010/wordprocessingShape">
                    <wps:wsp>
                      <wps:cNvSpPr txBox="1"/>
                      <wps:spPr>
                        <a:xfrm>
                          <a:off x="0" y="0"/>
                          <a:ext cx="669290" cy="527685"/>
                        </a:xfrm>
                        <a:prstGeom prst="rect">
                          <a:avLst/>
                        </a:prstGeom>
                        <a:solidFill>
                          <a:schemeClr val="bg1"/>
                        </a:solidFill>
                        <a:ln w="6350">
                          <a:solidFill>
                            <a:schemeClr val="bg1"/>
                          </a:solidFill>
                        </a:ln>
                      </wps:spPr>
                      <wps:txbx>
                        <w:txbxContent>
                          <w:p w14:paraId="30A1218D" w14:textId="6FBD1A07" w:rsidR="00CD7689" w:rsidRPr="00986423" w:rsidRDefault="00CD7689" w:rsidP="00CD7689">
                            <w:pPr>
                              <w:rPr>
                                <w:lang w:val="el-GR"/>
                              </w:rPr>
                            </w:pPr>
                            <w:r>
                              <w:rPr>
                                <w:lang w:val="el-GR"/>
                              </w:rPr>
                              <w:t>(</w:t>
                            </w:r>
                            <w:r w:rsidR="00C80C34">
                              <w:t>1</w:t>
                            </w:r>
                            <w:r w:rsidR="00D13835">
                              <w:t>2</w:t>
                            </w:r>
                            <w:r>
                              <w:rPr>
                                <w:lang w:val="el-GR"/>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CAFEC0" id="Text Box 24" o:spid="_x0000_s1105" type="#_x0000_t202" style="position:absolute;left:0;text-align:left;margin-left:388.15pt;margin-top:167.05pt;width:52.7pt;height:41.5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" fillcolor="white [3212]" strokecolor="white [3212]" strokeweight=".5pt">
                <v:textbox>
                  <w:txbxContent>
                    <w:p w14:paraId="30A1218D" w14:textId="6FBD1A07" w:rsidR="00CD7689" w:rsidRPr="00986423" w:rsidRDefault="00CD7689" w:rsidP="00CD7689">
                      <w:pPr>
                        <w:rPr>
                          <w:lang w:val="el-GR"/>
                        </w:rPr>
                      </w:pPr>
                      <w:r>
                        <w:rPr>
                          <w:lang w:val="el-GR"/>
                        </w:rPr>
                        <w:t>(</w:t>
                      </w:r>
                      <w:r w:rsidR="00C80C34">
                        <w:t>1</w:t>
                      </w:r>
                      <w:r w:rsidR="00D13835">
                        <w:t>2</w:t>
                      </w:r>
                      <w:r>
                        <w:rPr>
                          <w:lang w:val="el-GR"/>
                        </w:rPr>
                        <w:t>)</w:t>
                      </w:r>
                    </w:p>
                  </w:txbxContent>
                </v:textbox>
              </v:shape>
            </w:pict>
          </mc:Fallback>
        </mc:AlternateContent>
      </w:r>
      <w:r w:rsidR="00B13E4C">
        <w:t>Temperatures have a relatively consistent cycle throughout the year</w:t>
      </w:r>
      <w:r w:rsidR="00FA0C5E">
        <w:t xml:space="preserve"> </w:t>
      </w:r>
      <w:r w:rsidR="00FA0C5E" w:rsidRPr="00FA0C5E">
        <w:rPr>
          <w:b/>
          <w:bCs/>
        </w:rPr>
        <w:t xml:space="preserve">(Figure </w:t>
      </w:r>
      <w:r w:rsidR="00D13835">
        <w:rPr>
          <w:b/>
          <w:bCs/>
        </w:rPr>
        <w:t>27</w:t>
      </w:r>
      <w:r w:rsidR="00FA0C5E" w:rsidRPr="00FA0C5E">
        <w:rPr>
          <w:b/>
          <w:bCs/>
        </w:rPr>
        <w:t>)</w:t>
      </w:r>
      <w:r w:rsidR="00B13E4C" w:rsidRPr="00FA0C5E">
        <w:rPr>
          <w:b/>
          <w:bCs/>
        </w:rPr>
        <w:t>.</w:t>
      </w:r>
      <w:r w:rsidR="00B13E4C">
        <w:t xml:space="preserve"> This cycle can be captured using a sine function, </w:t>
      </w:r>
      <w:r w:rsidR="00B13E4C" w:rsidRPr="00C80C34">
        <w:rPr>
          <w:b/>
          <w:bCs/>
        </w:rPr>
        <w:t xml:space="preserve">Equation </w:t>
      </w:r>
      <w:r w:rsidR="00C80C34" w:rsidRPr="00C80C34">
        <w:rPr>
          <w:b/>
          <w:bCs/>
        </w:rPr>
        <w:t>1</w:t>
      </w:r>
      <w:r w:rsidR="00D13835">
        <w:rPr>
          <w:b/>
          <w:bCs/>
        </w:rPr>
        <w:t>2</w:t>
      </w:r>
      <w:r w:rsidR="00B13E4C">
        <w:t xml:space="preserve">. We ran this function for three years to show the yearly cycle, </w:t>
      </w:r>
      <w:r w:rsidR="00B13E4C" w:rsidRPr="00C80C34">
        <w:rPr>
          <w:b/>
          <w:bCs/>
        </w:rPr>
        <w:t xml:space="preserve">Figure </w:t>
      </w:r>
      <w:r w:rsidR="00D13835">
        <w:rPr>
          <w:b/>
          <w:bCs/>
        </w:rPr>
        <w:t>28</w:t>
      </w:r>
      <w:r w:rsidR="00B13E4C">
        <w:t xml:space="preserve">. In this function, we used a </w:t>
      </w:r>
      <w:proofErr w:type="spellStart"/>
      <w:r w:rsidR="00B13E4C">
        <w:t>T</w:t>
      </w:r>
      <w:r w:rsidR="00B13E4C">
        <w:rPr>
          <w:vertAlign w:val="subscript"/>
        </w:rPr>
        <w:t>min</w:t>
      </w:r>
      <w:proofErr w:type="spellEnd"/>
      <w:r w:rsidR="00B13E4C">
        <w:t xml:space="preserve"> of </w:t>
      </w:r>
      <w:r w:rsidR="00E4625D">
        <w:t>4</w:t>
      </w:r>
      <w:r w:rsidR="00B13E4C">
        <w:t xml:space="preserve"> degrees Celsius and a </w:t>
      </w:r>
      <w:proofErr w:type="spellStart"/>
      <w:r w:rsidR="00B13E4C">
        <w:t>T</w:t>
      </w:r>
      <w:r w:rsidR="00B13E4C">
        <w:rPr>
          <w:vertAlign w:val="subscript"/>
        </w:rPr>
        <w:t>max</w:t>
      </w:r>
      <w:proofErr w:type="spellEnd"/>
      <w:r w:rsidR="00B13E4C">
        <w:rPr>
          <w:vertAlign w:val="subscript"/>
        </w:rPr>
        <w:t xml:space="preserve"> </w:t>
      </w:r>
      <w:r w:rsidR="00B13E4C">
        <w:t>of 2</w:t>
      </w:r>
      <w:r w:rsidR="00E4625D">
        <w:t>4</w:t>
      </w:r>
      <w:r w:rsidR="00B13E4C">
        <w:t xml:space="preserve"> degrees Celsius which are the average monthly temperatures at Lake Erie in January and July</w:t>
      </w:r>
      <w:r w:rsidR="00535439">
        <w:t xml:space="preserve"> </w:t>
      </w:r>
      <w:r w:rsidR="00535439">
        <w:fldChar w:fldCharType="begin" w:fldLock="1"/>
      </w:r>
      <w:r w:rsidR="006624A9">
        <w:instrText>ADDIN CSL_CITATION {"citationItems":[{"id":"ITEM-1","itemData":{"DOI":"10.1016/S0380-1330(87)71667-0","ISSN":"03801330","abstract":"A summary of the seasonal water temperature characteristics of Lake Erie and the 1979 and 1980 thermal structure in the central basin is described. Ice cover extends over 90% of Lake Erie most winters. Minimum surface temperature usually occurs in February (0.1° C) but fully mixed conditions at 1°C or less occur in January with isothermal conditions at (1°C) occurring from mid-February to mid-March. The thermal bar advance lasts about 5 to 6 weeks from April to mid-May and permanent stratification usually begins in mid-June with maximum heat storage in mid-August and overturn in mid-September. The central basin thermocline position varies significantly from year to year, the variability of the upper and lower mesolimnion boundaries being as large as 10 m. Thermocline position shows some dependence on prevailing meteorological conditions and has implications to the development of central basin anoxia. Temperature increases and decreases depicted on isotherm plots for stations in the central basin show correspondence with peak wind stress events. During fragile stability conditions, even moderate wind stresses of less than 0.5 dynes/cm2 are capable of producing upper layer deepening. Episodes of complete vertical mixing in response to high wind stresses of 3 dynes/cm2 during storm periods are observed. Double thermoclines are evident at several locations within the basin and temperature changes resulting from an influx of hypolimnetic water from the Pennsylvania Ridge is documented. Periods of hypolimnetic entrainment are clearly observed along with thermocline tilting of 1 to 2 meters toward the south. © 1987, International Association for Great Lakes Research. All rights reserved.","author":[{"dropping-particle":"","family":"Schertzer","given":"W. M.","non-dropping-particle":"","parse-names":false,"suffix":""},{"dropping-particle":"","family":"Saylor","given":"J. H.","non-dropping-particle":"","parse-names":false,"suffix":""},{"dropping-particle":"","family":"Boyce","given":"F. M.","non-dropping-particle":"","parse-names":false,"suffix":""},{"dropping-particle":"","family":"Robertson","given":"D. G.","non-dropping-particle":"","parse-names":false,"suffix":""},{"dropping-particle":"","family":"Rosa","given":"F.","non-dropping-particle":"","parse-names":false,"suffix":""}],"container-title":"Journal of Great Lakes Research","id":"ITEM-1","issue":"4","issued":{"date-parts":[["1987"]]},"page":"468-486","publisher":"Elsevier","title":"Seasonal Thermal Cycle of Lake Erie","type":"article-journal","volume":"13"},"uris":["http://www.mendeley.com/documents/?uuid=6ac13645-d23e-4654-b8af-5f810547fe5d"]}],"mendeley":{"formattedCitation":"(Schertzer et al., 1987)","plainTextFormattedCitation":"(Schertzer et al., 1987)","previouslyFormattedCitation":"(Schertzer et al., 1987)"},"properties":{"noteIndex":0},"schema":"https://github.com/citation-style-language/schema/raw/master/csl-citation.json"}</w:instrText>
      </w:r>
      <w:r w:rsidR="00535439">
        <w:fldChar w:fldCharType="separate"/>
      </w:r>
      <w:r w:rsidR="00535439" w:rsidRPr="00535439">
        <w:rPr>
          <w:noProof/>
        </w:rPr>
        <w:t>(Schertzer et al., 1987)</w:t>
      </w:r>
      <w:r w:rsidR="00535439">
        <w:fldChar w:fldCharType="end"/>
      </w:r>
      <w:r w:rsidR="00535439">
        <w:t>.</w:t>
      </w:r>
    </w:p>
    <w:p w14:paraId="3C36593D" w14:textId="61AAAEB0" w:rsidR="00CD7689" w:rsidRPr="00CD7689" w:rsidRDefault="00A9083D" w:rsidP="00CD7689">
      <m:oMathPara>
        <m:oMathParaPr>
          <m:jc m:val="left"/>
        </m:oMathParaPr>
        <m:oMath>
          <m:sSub>
            <m:sSubPr>
              <m:ctrlPr>
                <w:rPr>
                  <w:rFonts w:ascii="Cambria Math" w:hAnsi="Cambria Math"/>
                  <w:i/>
                </w:rPr>
              </m:ctrlPr>
            </m:sSubPr>
            <m:e>
              <m:r>
                <w:rPr>
                  <w:rFonts w:ascii="Cambria Math" w:hAnsi="Cambria Math"/>
                </w:rPr>
                <m:t>T</m:t>
              </m:r>
            </m:e>
            <m:sub>
              <m:r>
                <w:rPr>
                  <w:rFonts w:ascii="Cambria Math" w:hAnsi="Cambria Math"/>
                </w:rPr>
                <m:t xml:space="preserve">0 </m:t>
              </m:r>
            </m:sub>
          </m:sSub>
          <m:r>
            <w:rPr>
              <w:rFonts w:ascii="Cambria Math" w:hAnsi="Cambria Math"/>
            </w:rPr>
            <m:t>=</m:t>
          </m:r>
          <m:func>
            <m:funcPr>
              <m:ctrlPr>
                <w:rPr>
                  <w:rFonts w:ascii="Cambria Math" w:hAnsi="Cambria Math"/>
                  <w:i/>
                </w:rPr>
              </m:ctrlPr>
            </m:funcPr>
            <m:fName>
              <m:sSub>
                <m:sSubPr>
                  <m:ctrlPr>
                    <w:rPr>
                      <w:rFonts w:ascii="Cambria Math" w:hAnsi="Cambria Math"/>
                      <w:i/>
                    </w:rPr>
                  </m:ctrlPr>
                </m:sSubPr>
                <m:e>
                  <m:r>
                    <w:rPr>
                      <w:rFonts w:ascii="Cambria Math" w:hAnsi="Cambria Math"/>
                    </w:rPr>
                    <m:t>T</m:t>
                  </m:r>
                </m:e>
                <m:sub>
                  <m:r>
                    <w:rPr>
                      <w:rFonts w:ascii="Cambria Math" w:hAnsi="Cambria Math"/>
                    </w:rPr>
                    <m:t>min</m:t>
                  </m:r>
                </m:sub>
              </m:sSub>
              <m:r>
                <w:rPr>
                  <w:rFonts w:ascii="Cambria Math" w:hAnsi="Cambria Math"/>
                </w:rPr>
                <m:t>+</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max</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min</m:t>
                          </m:r>
                        </m:sub>
                      </m:sSub>
                    </m:num>
                    <m:den>
                      <m:r>
                        <w:rPr>
                          <w:rFonts w:ascii="Cambria Math" w:hAnsi="Cambria Math"/>
                        </w:rPr>
                        <m:t>2</m:t>
                      </m:r>
                    </m:den>
                  </m:f>
                </m:e>
              </m:d>
              <m:f>
                <m:fPr>
                  <m:ctrlPr>
                    <w:rPr>
                      <w:rFonts w:ascii="Cambria Math" w:hAnsi="Cambria Math"/>
                    </w:rPr>
                  </m:ctrlPr>
                </m:fPr>
                <m:num>
                  <m:r>
                    <w:rPr>
                      <w:rFonts w:ascii="Cambria Math" w:hAnsi="Cambria Math"/>
                    </w:rPr>
                    <m:t>1</m:t>
                  </m:r>
                </m:num>
                <m:den>
                  <m:r>
                    <w:rPr>
                      <w:rFonts w:ascii="Cambria Math" w:hAnsi="Cambria Math"/>
                    </w:rPr>
                    <m:t>2</m:t>
                  </m:r>
                </m:den>
              </m:f>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*2</m:t>
                  </m:r>
                  <m:r>
                    <w:rPr>
                      <w:rFonts w:ascii="Cambria Math" w:hAnsi="Cambria Math"/>
                      <w:lang w:val="el-GR"/>
                    </w:rPr>
                    <m:t>π</m:t>
                  </m:r>
                  <m:r>
                    <w:rPr>
                      <w:rFonts w:ascii="Cambria Math" w:hAnsi="Cambria Math"/>
                    </w:rPr>
                    <m:t xml:space="preserve">- </m:t>
                  </m:r>
                  <m:f>
                    <m:fPr>
                      <m:ctrlPr>
                        <w:rPr>
                          <w:rFonts w:ascii="Cambria Math" w:hAnsi="Cambria Math"/>
                          <w:i/>
                          <w:lang w:val="el-GR"/>
                        </w:rPr>
                      </m:ctrlPr>
                    </m:fPr>
                    <m:num>
                      <m:r>
                        <w:rPr>
                          <w:rFonts w:ascii="Cambria Math" w:hAnsi="Cambria Math"/>
                          <w:lang w:val="el-GR"/>
                        </w:rPr>
                        <m:t>π</m:t>
                      </m:r>
                    </m:num>
                    <m:den>
                      <m:r>
                        <w:rPr>
                          <w:rFonts w:ascii="Cambria Math" w:hAnsi="Cambria Math"/>
                        </w:rPr>
                        <m:t>2</m:t>
                      </m:r>
                    </m:den>
                  </m:f>
                  <m:ctrlPr>
                    <w:rPr>
                      <w:rFonts w:ascii="Cambria Math" w:hAnsi="Cambria Math"/>
                      <w:i/>
                      <w:lang w:val="el-GR"/>
                    </w:rPr>
                  </m:ctrlPr>
                </m:e>
              </m:d>
            </m:e>
          </m:func>
          <m:r>
            <w:rPr>
              <w:rFonts w:ascii="Cambria Math" w:hAnsi="Cambria Math"/>
            </w:rPr>
            <m:t>+1)</m:t>
          </m:r>
        </m:oMath>
      </m:oMathPara>
    </w:p>
    <w:p w14:paraId="2E3A3C63" w14:textId="59DEFC1F" w:rsidR="00CD7689" w:rsidRDefault="00CD7689" w:rsidP="00CD7689">
      <w:pPr>
        <w:rPr>
          <w:highlight w:val="yellow"/>
        </w:rPr>
      </w:pPr>
    </w:p>
    <w:p w14:paraId="5A7B2314" w14:textId="40FD8CBC" w:rsidR="005D7A61" w:rsidRDefault="005D7A61" w:rsidP="00CD7689">
      <w:pPr>
        <w:rPr>
          <w:highlight w:val="yellow"/>
        </w:rPr>
      </w:pPr>
    </w:p>
    <w:p w14:paraId="298D0B01" w14:textId="153DC8FB" w:rsidR="005D7A61" w:rsidRDefault="005D7A61" w:rsidP="005D7A61">
      <w:pPr>
        <w:spacing w:line="480" w:lineRule="auto"/>
        <w:ind w:firstLine="720"/>
      </w:pPr>
      <w:r w:rsidRPr="007F7D65">
        <w:t>We have implemented</w:t>
      </w:r>
      <w:r>
        <w:t xml:space="preserve"> </w:t>
      </w:r>
      <w:proofErr w:type="gramStart"/>
      <w:r>
        <w:t xml:space="preserve">a </w:t>
      </w:r>
      <w:r w:rsidR="001B4518">
        <w:t xml:space="preserve"> multiplicative</w:t>
      </w:r>
      <w:proofErr w:type="gramEnd"/>
      <w:r w:rsidR="001B4518">
        <w:t xml:space="preserve"> </w:t>
      </w:r>
      <w:r>
        <w:t>linear relationship between</w:t>
      </w:r>
      <w:r w:rsidRPr="007F7D65">
        <w:t xml:space="preserve"> </w:t>
      </w:r>
      <w:r>
        <w:t xml:space="preserve">resource acquisition parameters and temperature. We have also </w:t>
      </w:r>
      <w:r w:rsidRPr="007F7D65">
        <w:t>implemented</w:t>
      </w:r>
      <w:r>
        <w:t xml:space="preserve"> a linear relationship between interaction strength of producers and consumers and temperature. This change in parameters has shown that the producer better at resource acquisition (eukaryotic algae) increases in biomass as the temperature warms but as the consumer biomass grows this allows for the growth of the defense specialist (</w:t>
      </w:r>
      <w:r>
        <w:rPr>
          <w:i/>
          <w:iCs/>
        </w:rPr>
        <w:t>Microcystis)</w:t>
      </w:r>
      <w:r>
        <w:t xml:space="preserve">. </w:t>
      </w:r>
    </w:p>
    <w:p w14:paraId="22EBF623" w14:textId="537BC4A2" w:rsidR="005D7A61" w:rsidRPr="005C41E2" w:rsidRDefault="005D7A61" w:rsidP="005D7A61">
      <w:pPr>
        <w:spacing w:line="480" w:lineRule="auto"/>
      </w:pPr>
      <w:r>
        <w:tab/>
        <w:t>Overall, high nutrients and temperature changes allow for the</w:t>
      </w:r>
      <w:r w:rsidR="00D55C90">
        <w:t xml:space="preserve"> seasonal</w:t>
      </w:r>
      <w:r>
        <w:t xml:space="preserve"> transition of dominant species from the species good at resource acquisition to the species good at defending against predation. These simulations show the trade-off of resource acquisition and defense occurring between eukaryotic algae (Producer 1) and </w:t>
      </w:r>
      <w:r>
        <w:rPr>
          <w:i/>
          <w:iCs/>
        </w:rPr>
        <w:t>Microcystis</w:t>
      </w:r>
      <w:r>
        <w:t xml:space="preserve"> (Producer 2)</w:t>
      </w:r>
      <w:r w:rsidR="008C74A9">
        <w:t xml:space="preserve"> </w:t>
      </w:r>
      <w:r w:rsidR="008C74A9" w:rsidRPr="008C74A9">
        <w:rPr>
          <w:b/>
          <w:bCs/>
        </w:rPr>
        <w:t xml:space="preserve">(Figure </w:t>
      </w:r>
      <w:r w:rsidR="00D13835">
        <w:rPr>
          <w:b/>
          <w:bCs/>
        </w:rPr>
        <w:t>29</w:t>
      </w:r>
      <w:r w:rsidR="008C74A9">
        <w:rPr>
          <w:b/>
          <w:bCs/>
        </w:rPr>
        <w:t>A</w:t>
      </w:r>
      <w:r w:rsidR="008C74A9" w:rsidRPr="008C74A9">
        <w:rPr>
          <w:b/>
          <w:bCs/>
        </w:rPr>
        <w:t>).</w:t>
      </w:r>
      <w:r w:rsidR="008C74A9">
        <w:t xml:space="preserve"> We compare this to the same model without a trade-off in resource acquisition and defense against predation and do not see a seasonal transition in dominant producer </w:t>
      </w:r>
      <w:r w:rsidR="008C74A9" w:rsidRPr="008C74A9">
        <w:rPr>
          <w:b/>
          <w:bCs/>
        </w:rPr>
        <w:t xml:space="preserve">(Figure </w:t>
      </w:r>
      <w:r w:rsidR="00D13835">
        <w:rPr>
          <w:b/>
          <w:bCs/>
        </w:rPr>
        <w:lastRenderedPageBreak/>
        <w:t>29</w:t>
      </w:r>
      <w:r w:rsidR="008C74A9" w:rsidRPr="008C74A9">
        <w:rPr>
          <w:b/>
          <w:bCs/>
        </w:rPr>
        <w:t>B)</w:t>
      </w:r>
      <w:r w:rsidR="008C74A9">
        <w:t xml:space="preserve">. Finally, we compare these model simulations to the data found from Lake Taihu and find that the model with the trade-off </w:t>
      </w:r>
      <w:r w:rsidR="005B52FB" w:rsidRPr="005B52FB">
        <w:rPr>
          <w:b/>
          <w:bCs/>
        </w:rPr>
        <w:t>(Figure 29A)</w:t>
      </w:r>
      <w:r w:rsidR="005B52FB">
        <w:t xml:space="preserve"> </w:t>
      </w:r>
      <w:r w:rsidR="008C74A9">
        <w:t xml:space="preserve">fits the data qualitatively better </w:t>
      </w:r>
      <w:r w:rsidR="005B52FB">
        <w:t xml:space="preserve">as there is a transition between the dominant producers in the later days of the year as seen in the environmental data </w:t>
      </w:r>
      <w:r w:rsidR="008C74A9" w:rsidRPr="008C74A9">
        <w:rPr>
          <w:b/>
          <w:bCs/>
        </w:rPr>
        <w:t xml:space="preserve">(Figure </w:t>
      </w:r>
      <w:r w:rsidR="00D13835">
        <w:rPr>
          <w:b/>
          <w:bCs/>
        </w:rPr>
        <w:t>29</w:t>
      </w:r>
      <w:r w:rsidR="008C74A9" w:rsidRPr="008C74A9">
        <w:rPr>
          <w:b/>
          <w:bCs/>
        </w:rPr>
        <w:t>C).</w:t>
      </w:r>
      <w:r w:rsidR="008C74A9">
        <w:t xml:space="preserve"> </w:t>
      </w:r>
      <w:r>
        <w:t>Thus</w:t>
      </w:r>
      <w:r w:rsidRPr="00891D93">
        <w:t xml:space="preserve">, we believe that this </w:t>
      </w:r>
      <w:r>
        <w:t>model development</w:t>
      </w:r>
      <w:r w:rsidRPr="00891D93">
        <w:t xml:space="preserve"> support</w:t>
      </w:r>
      <w:r>
        <w:t>s</w:t>
      </w:r>
      <w:r w:rsidRPr="00891D93">
        <w:t xml:space="preserve"> our hypothesis that </w:t>
      </w:r>
      <w:r w:rsidR="00991646" w:rsidRPr="00991646">
        <w:rPr>
          <w:i/>
          <w:iCs/>
        </w:rPr>
        <w:t>Microcystis</w:t>
      </w:r>
      <w:r w:rsidR="00991646">
        <w:t xml:space="preserve"> ability to protect against predation may be a major reason why it is selected in hyper-eutrophic lakes in the warm late summer months.</w:t>
      </w:r>
    </w:p>
    <w:p w14:paraId="5A0CD34D" w14:textId="1CF3EF15" w:rsidR="005D7A61" w:rsidRDefault="005D7A61" w:rsidP="00CD7689">
      <w:pPr>
        <w:rPr>
          <w:highlight w:val="yellow"/>
        </w:rPr>
      </w:pPr>
    </w:p>
    <w:p w14:paraId="5527C880" w14:textId="7243C877" w:rsidR="005D7A61" w:rsidRDefault="005D7A61" w:rsidP="00CD7689">
      <w:pPr>
        <w:rPr>
          <w:highlight w:val="yellow"/>
        </w:rPr>
      </w:pPr>
    </w:p>
    <w:p w14:paraId="2D6E61A3" w14:textId="7EA46CF9" w:rsidR="005D7A61" w:rsidRDefault="005D7A61" w:rsidP="00CD7689">
      <w:pPr>
        <w:rPr>
          <w:highlight w:val="yellow"/>
        </w:rPr>
      </w:pPr>
    </w:p>
    <w:p w14:paraId="04F58698" w14:textId="5A392BB1" w:rsidR="005D7A61" w:rsidRDefault="005D7A61" w:rsidP="00CD7689">
      <w:pPr>
        <w:rPr>
          <w:highlight w:val="yellow"/>
        </w:rPr>
      </w:pPr>
    </w:p>
    <w:p w14:paraId="5E4E0129" w14:textId="718F7641" w:rsidR="005D7A61" w:rsidRDefault="005D7A61" w:rsidP="00CD7689">
      <w:pPr>
        <w:rPr>
          <w:highlight w:val="yellow"/>
        </w:rPr>
      </w:pPr>
    </w:p>
    <w:p w14:paraId="27B89F30" w14:textId="70BFCCC6" w:rsidR="005D7A61" w:rsidRDefault="005D7A61" w:rsidP="00CD7689">
      <w:pPr>
        <w:rPr>
          <w:highlight w:val="yellow"/>
        </w:rPr>
      </w:pPr>
    </w:p>
    <w:p w14:paraId="091FCE0E" w14:textId="2430A7F5" w:rsidR="005D7A61" w:rsidRDefault="005D7A61" w:rsidP="00CD7689">
      <w:pPr>
        <w:rPr>
          <w:highlight w:val="yellow"/>
        </w:rPr>
      </w:pPr>
    </w:p>
    <w:p w14:paraId="79A836AB" w14:textId="45464810" w:rsidR="005D7A61" w:rsidRDefault="005D7A61" w:rsidP="00CD7689">
      <w:pPr>
        <w:rPr>
          <w:highlight w:val="yellow"/>
        </w:rPr>
      </w:pPr>
    </w:p>
    <w:p w14:paraId="34477716" w14:textId="34B068B3" w:rsidR="005D7A61" w:rsidRDefault="005D7A61" w:rsidP="00CD7689">
      <w:pPr>
        <w:rPr>
          <w:highlight w:val="yellow"/>
        </w:rPr>
      </w:pPr>
    </w:p>
    <w:p w14:paraId="6EAD6F78" w14:textId="0E9A43A3" w:rsidR="005D7A61" w:rsidRDefault="005D7A61" w:rsidP="00CD7689">
      <w:pPr>
        <w:rPr>
          <w:highlight w:val="yellow"/>
        </w:rPr>
      </w:pPr>
    </w:p>
    <w:p w14:paraId="4F216D33" w14:textId="50672514" w:rsidR="005D7A61" w:rsidRDefault="005D7A61" w:rsidP="00CD7689">
      <w:pPr>
        <w:rPr>
          <w:highlight w:val="yellow"/>
        </w:rPr>
      </w:pPr>
    </w:p>
    <w:p w14:paraId="20064B28" w14:textId="2C7DFDAC" w:rsidR="005D7A61" w:rsidRDefault="005D7A61" w:rsidP="00CD7689">
      <w:pPr>
        <w:rPr>
          <w:highlight w:val="yellow"/>
        </w:rPr>
      </w:pPr>
    </w:p>
    <w:p w14:paraId="7879758A" w14:textId="669F28F7" w:rsidR="005D7A61" w:rsidRDefault="005D7A61" w:rsidP="00CD7689">
      <w:pPr>
        <w:rPr>
          <w:highlight w:val="yellow"/>
        </w:rPr>
      </w:pPr>
    </w:p>
    <w:p w14:paraId="02F37310" w14:textId="5091CC6E" w:rsidR="005D7A61" w:rsidRDefault="005D7A61" w:rsidP="00CD7689">
      <w:pPr>
        <w:rPr>
          <w:highlight w:val="yellow"/>
        </w:rPr>
      </w:pPr>
    </w:p>
    <w:p w14:paraId="045C8AD5" w14:textId="6D46C2F3" w:rsidR="005D7A61" w:rsidRDefault="005D7A61" w:rsidP="00CD7689">
      <w:pPr>
        <w:rPr>
          <w:highlight w:val="yellow"/>
        </w:rPr>
      </w:pPr>
    </w:p>
    <w:p w14:paraId="4EB1DF9C" w14:textId="18DC3CEA" w:rsidR="005D7A61" w:rsidRDefault="005D7A61" w:rsidP="00CD7689">
      <w:pPr>
        <w:rPr>
          <w:highlight w:val="yellow"/>
        </w:rPr>
      </w:pPr>
    </w:p>
    <w:p w14:paraId="54199D4C" w14:textId="75B4409A" w:rsidR="005D7A61" w:rsidRDefault="005D7A61" w:rsidP="00CD7689">
      <w:pPr>
        <w:rPr>
          <w:highlight w:val="yellow"/>
        </w:rPr>
      </w:pPr>
    </w:p>
    <w:p w14:paraId="1F1F458A" w14:textId="0DBB80B3" w:rsidR="005D7A61" w:rsidRDefault="005D7A61" w:rsidP="00CD7689">
      <w:pPr>
        <w:rPr>
          <w:highlight w:val="yellow"/>
        </w:rPr>
      </w:pPr>
    </w:p>
    <w:p w14:paraId="6D450407" w14:textId="67D26A1F" w:rsidR="005D7A61" w:rsidRDefault="005D7A61" w:rsidP="00CD7689">
      <w:pPr>
        <w:rPr>
          <w:highlight w:val="yellow"/>
        </w:rPr>
      </w:pPr>
    </w:p>
    <w:p w14:paraId="0E3E26DE" w14:textId="0165D2F1" w:rsidR="005D7A61" w:rsidRDefault="005D7A61" w:rsidP="00CD7689">
      <w:pPr>
        <w:rPr>
          <w:highlight w:val="yellow"/>
        </w:rPr>
      </w:pPr>
    </w:p>
    <w:p w14:paraId="3A5A152F" w14:textId="2CEB774E" w:rsidR="005D7A61" w:rsidRDefault="005D7A61" w:rsidP="00CD7689">
      <w:pPr>
        <w:rPr>
          <w:highlight w:val="yellow"/>
        </w:rPr>
      </w:pPr>
    </w:p>
    <w:p w14:paraId="604CB85C" w14:textId="77777777" w:rsidR="005D7A61" w:rsidRDefault="005D7A61" w:rsidP="00CD7689">
      <w:pPr>
        <w:rPr>
          <w:highlight w:val="yellow"/>
        </w:rPr>
      </w:pPr>
    </w:p>
    <w:p w14:paraId="3EFF3ED8" w14:textId="611AAD4C" w:rsidR="005D7A61" w:rsidRDefault="005D7A61" w:rsidP="00CD7689">
      <w:pPr>
        <w:rPr>
          <w:highlight w:val="yellow"/>
        </w:rPr>
      </w:pPr>
    </w:p>
    <w:p w14:paraId="57772BBA" w14:textId="77777777" w:rsidR="005D7A61" w:rsidRDefault="005D7A61" w:rsidP="00CD7689">
      <w:pPr>
        <w:rPr>
          <w:highlight w:val="yellow"/>
        </w:rPr>
      </w:pPr>
    </w:p>
    <w:p w14:paraId="61FB4111" w14:textId="7AB4A318" w:rsidR="005D7A61" w:rsidRDefault="00E4625D" w:rsidP="00CD7689">
      <w:r>
        <w:rPr>
          <w:noProof/>
        </w:rPr>
        <w:lastRenderedPageBreak/>
        <w:drawing>
          <wp:inline distT="0" distB="0" distL="0" distR="0" wp14:anchorId="7EE1CC06" wp14:editId="31CF829E">
            <wp:extent cx="3580326" cy="2529975"/>
            <wp:effectExtent l="0" t="0" r="1270" b="0"/>
            <wp:docPr id="157" name="Picture 15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Diagram&#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594223" cy="2539795"/>
                    </a:xfrm>
                    <a:prstGeom prst="rect">
                      <a:avLst/>
                    </a:prstGeom>
                  </pic:spPr>
                </pic:pic>
              </a:graphicData>
            </a:graphic>
          </wp:inline>
        </w:drawing>
      </w:r>
    </w:p>
    <w:p w14:paraId="7CB516A5" w14:textId="7F079C11" w:rsidR="00B13E4C" w:rsidRDefault="00B13E4C" w:rsidP="00CD7689">
      <w:pPr>
        <w:rPr>
          <w:highlight w:val="yellow"/>
        </w:rPr>
      </w:pPr>
      <w:r w:rsidRPr="006D506E">
        <w:rPr>
          <w:rFonts w:ascii="Times" w:hAnsi="Times"/>
          <w:noProof/>
          <w:u w:val="single"/>
        </w:rPr>
        <mc:AlternateContent>
          <mc:Choice Requires="wps">
            <w:drawing>
              <wp:anchor distT="0" distB="0" distL="114300" distR="114300" simplePos="0" relativeHeight="251879424" behindDoc="1" locked="0" layoutInCell="1" allowOverlap="1" wp14:anchorId="21173024" wp14:editId="1D9BF7D4">
                <wp:simplePos x="0" y="0"/>
                <wp:positionH relativeFrom="column">
                  <wp:posOffset>3175</wp:posOffset>
                </wp:positionH>
                <wp:positionV relativeFrom="paragraph">
                  <wp:posOffset>65781</wp:posOffset>
                </wp:positionV>
                <wp:extent cx="5086985" cy="488950"/>
                <wp:effectExtent l="0" t="0" r="5715" b="6350"/>
                <wp:wrapTight wrapText="bothSides">
                  <wp:wrapPolygon edited="0">
                    <wp:start x="0" y="0"/>
                    <wp:lineTo x="0" y="21319"/>
                    <wp:lineTo x="21570" y="21319"/>
                    <wp:lineTo x="21570" y="0"/>
                    <wp:lineTo x="0" y="0"/>
                  </wp:wrapPolygon>
                </wp:wrapTight>
                <wp:docPr id="94" name="Text Box 94"/>
                <wp:cNvGraphicFramePr/>
                <a:graphic xmlns:a="http://schemas.openxmlformats.org/drawingml/2006/main">
                  <a:graphicData uri="http://schemas.microsoft.com/office/word/2010/wordprocessingShape">
                    <wps:wsp>
                      <wps:cNvSpPr txBox="1"/>
                      <wps:spPr>
                        <a:xfrm>
                          <a:off x="0" y="0"/>
                          <a:ext cx="5086985" cy="488950"/>
                        </a:xfrm>
                        <a:prstGeom prst="rect">
                          <a:avLst/>
                        </a:prstGeom>
                        <a:solidFill>
                          <a:schemeClr val="lt1"/>
                        </a:solidFill>
                        <a:ln w="6350">
                          <a:noFill/>
                        </a:ln>
                      </wps:spPr>
                      <wps:txbx>
                        <w:txbxContent>
                          <w:p w14:paraId="2BA98CE5" w14:textId="3544E23D" w:rsidR="00EA2092" w:rsidRDefault="00B13E4C" w:rsidP="00EA2092">
                            <w:pPr>
                              <w:pStyle w:val="Subtitle"/>
                            </w:pPr>
                            <w:bookmarkStart w:id="67" w:name="_Toc98704989"/>
                            <w:r w:rsidRPr="005D7A61">
                              <w:t xml:space="preserve">Figure </w:t>
                            </w:r>
                            <w:r w:rsidR="00D13835">
                              <w:t>27</w:t>
                            </w:r>
                            <w:r w:rsidRPr="005D7A61">
                              <w:t xml:space="preserve">: </w:t>
                            </w:r>
                            <w:r w:rsidR="00EA2092">
                              <w:t>Average Temperature Fluctuation</w:t>
                            </w:r>
                            <w:bookmarkEnd w:id="67"/>
                          </w:p>
                          <w:p w14:paraId="4A32ADBA" w14:textId="45F03838" w:rsidR="00B13E4C" w:rsidRPr="005D7A61" w:rsidRDefault="00B13E4C" w:rsidP="00B13E4C">
                            <w:r w:rsidRPr="005D7A61">
                              <w:t xml:space="preserve">Simulation of average temperatures (degrees Celsius) from Equation </w:t>
                            </w:r>
                            <w:r w:rsidR="005D7A61">
                              <w:t>17</w:t>
                            </w:r>
                            <w:r w:rsidRPr="005D7A61">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173024" id="Text Box 94" o:spid="_x0000_s1106" type="#_x0000_t202" style="position:absolute;margin-left:.25pt;margin-top:5.2pt;width:400.55pt;height:38.5pt;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" fillcolor="white [3201]" stroked="f" strokeweight=".5pt">
                <v:textbox>
                  <w:txbxContent>
                    <w:p w14:paraId="2BA98CE5" w14:textId="3544E23D" w:rsidR="00EA2092" w:rsidRDefault="00B13E4C" w:rsidP="00EA2092">
                      <w:pPr>
                        <w:pStyle w:val="Subtitle"/>
                      </w:pPr>
                      <w:bookmarkStart w:id="102" w:name="_Toc98704989"/>
                      <w:r w:rsidRPr="005D7A61">
                        <w:t xml:space="preserve">Figure </w:t>
                      </w:r>
                      <w:r w:rsidR="00D13835">
                        <w:t>27</w:t>
                      </w:r>
                      <w:r w:rsidRPr="005D7A61">
                        <w:t xml:space="preserve">: </w:t>
                      </w:r>
                      <w:r w:rsidR="00EA2092">
                        <w:t>Average Temperature Fluctuation</w:t>
                      </w:r>
                      <w:bookmarkEnd w:id="102"/>
                    </w:p>
                    <w:p w14:paraId="4A32ADBA" w14:textId="45F03838" w:rsidR="00B13E4C" w:rsidRPr="005D7A61" w:rsidRDefault="00B13E4C" w:rsidP="00B13E4C">
                      <w:r w:rsidRPr="005D7A61">
                        <w:t xml:space="preserve">Simulation of average temperatures (degrees Celsius) from Equation </w:t>
                      </w:r>
                      <w:r w:rsidR="005D7A61">
                        <w:t>17</w:t>
                      </w:r>
                      <w:r w:rsidRPr="005D7A61">
                        <w:t>.</w:t>
                      </w:r>
                    </w:p>
                  </w:txbxContent>
                </v:textbox>
                <w10:wrap type="tight"/>
              </v:shape>
            </w:pict>
          </mc:Fallback>
        </mc:AlternateContent>
      </w:r>
    </w:p>
    <w:p w14:paraId="4A654F5C" w14:textId="2BA25E94" w:rsidR="005D6ADC" w:rsidRDefault="005D6ADC" w:rsidP="00CD7689">
      <w:pPr>
        <w:rPr>
          <w:highlight w:val="yellow"/>
        </w:rPr>
      </w:pPr>
    </w:p>
    <w:p w14:paraId="1D5A295D" w14:textId="00D2AD50" w:rsidR="00CD7689" w:rsidRDefault="00CD7689" w:rsidP="00CD7689">
      <w:pPr>
        <w:rPr>
          <w:highlight w:val="yellow"/>
        </w:rPr>
      </w:pPr>
    </w:p>
    <w:p w14:paraId="2D4F753C" w14:textId="34DD1075" w:rsidR="005A5498" w:rsidRDefault="005A5498" w:rsidP="00CD7689">
      <w:pPr>
        <w:rPr>
          <w:highlight w:val="yellow"/>
        </w:rPr>
      </w:pPr>
    </w:p>
    <w:p w14:paraId="1FCD2FA6" w14:textId="77777777" w:rsidR="005A5498" w:rsidRDefault="005A5498" w:rsidP="00CD7689">
      <w:pPr>
        <w:rPr>
          <w:highlight w:val="yellow"/>
        </w:rPr>
      </w:pPr>
    </w:p>
    <w:p w14:paraId="3A463D7D" w14:textId="2E642BFF" w:rsidR="00BA7975" w:rsidRDefault="00BA7975" w:rsidP="00CD7689">
      <w:pPr>
        <w:rPr>
          <w:highlight w:val="yellow"/>
        </w:rPr>
      </w:pPr>
    </w:p>
    <w:p w14:paraId="1A93218C" w14:textId="536D45B7" w:rsidR="002667F0" w:rsidRDefault="005A5498" w:rsidP="00CD7689">
      <w:pPr>
        <w:rPr>
          <w:highlight w:val="yellow"/>
        </w:rPr>
      </w:pPr>
      <w:r w:rsidRPr="005A5498">
        <w:rPr>
          <w:rFonts w:ascii="Times" w:hAnsi="Times"/>
          <w:noProof/>
        </w:rPr>
        <w:drawing>
          <wp:inline distT="0" distB="0" distL="0" distR="0" wp14:anchorId="22185303" wp14:editId="3CBFD884">
            <wp:extent cx="4095481" cy="2941731"/>
            <wp:effectExtent l="0" t="0" r="0" b="5080"/>
            <wp:docPr id="106" name="Picture 106"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Chart, box and whisker char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119588" cy="2959046"/>
                    </a:xfrm>
                    <a:prstGeom prst="rect">
                      <a:avLst/>
                    </a:prstGeom>
                  </pic:spPr>
                </pic:pic>
              </a:graphicData>
            </a:graphic>
          </wp:inline>
        </w:drawing>
      </w:r>
      <w:r w:rsidR="00D13835" w:rsidRPr="006D506E">
        <w:rPr>
          <w:rFonts w:ascii="Times" w:hAnsi="Times"/>
          <w:noProof/>
          <w:u w:val="single"/>
        </w:rPr>
        <mc:AlternateContent>
          <mc:Choice Requires="wps">
            <w:drawing>
              <wp:anchor distT="0" distB="0" distL="114300" distR="114300" simplePos="0" relativeHeight="251881472" behindDoc="1" locked="0" layoutInCell="1" allowOverlap="1" wp14:anchorId="79EA937A" wp14:editId="1FED05B1">
                <wp:simplePos x="0" y="0"/>
                <wp:positionH relativeFrom="column">
                  <wp:posOffset>83927</wp:posOffset>
                </wp:positionH>
                <wp:positionV relativeFrom="paragraph">
                  <wp:posOffset>3166110</wp:posOffset>
                </wp:positionV>
                <wp:extent cx="5092700" cy="772160"/>
                <wp:effectExtent l="0" t="0" r="0" b="2540"/>
                <wp:wrapTight wrapText="bothSides">
                  <wp:wrapPolygon edited="0">
                    <wp:start x="0" y="0"/>
                    <wp:lineTo x="0" y="21316"/>
                    <wp:lineTo x="21546" y="21316"/>
                    <wp:lineTo x="21546" y="0"/>
                    <wp:lineTo x="0" y="0"/>
                  </wp:wrapPolygon>
                </wp:wrapTight>
                <wp:docPr id="99" name="Text Box 99"/>
                <wp:cNvGraphicFramePr/>
                <a:graphic xmlns:a="http://schemas.openxmlformats.org/drawingml/2006/main">
                  <a:graphicData uri="http://schemas.microsoft.com/office/word/2010/wordprocessingShape">
                    <wps:wsp>
                      <wps:cNvSpPr txBox="1"/>
                      <wps:spPr>
                        <a:xfrm>
                          <a:off x="0" y="0"/>
                          <a:ext cx="5092700" cy="772160"/>
                        </a:xfrm>
                        <a:prstGeom prst="rect">
                          <a:avLst/>
                        </a:prstGeom>
                        <a:solidFill>
                          <a:schemeClr val="lt1"/>
                        </a:solidFill>
                        <a:ln w="6350">
                          <a:noFill/>
                        </a:ln>
                      </wps:spPr>
                      <wps:txbx>
                        <w:txbxContent>
                          <w:p w14:paraId="77AD7AE7" w14:textId="6284F461" w:rsidR="00EA2092" w:rsidRDefault="002667F0" w:rsidP="00EA2092">
                            <w:pPr>
                              <w:pStyle w:val="Subtitle"/>
                            </w:pPr>
                            <w:bookmarkStart w:id="68" w:name="_Toc98704990"/>
                            <w:r w:rsidRPr="005D7A61">
                              <w:t xml:space="preserve">Figure </w:t>
                            </w:r>
                            <w:r w:rsidR="00D13835">
                              <w:t>28</w:t>
                            </w:r>
                            <w:r w:rsidRPr="005D7A61">
                              <w:t xml:space="preserve">: </w:t>
                            </w:r>
                            <w:r w:rsidR="00EA2092">
                              <w:t>Numerical Simulation at Cycling Temperatures</w:t>
                            </w:r>
                            <w:bookmarkEnd w:id="68"/>
                          </w:p>
                          <w:p w14:paraId="2D55EC05" w14:textId="36E12DF9" w:rsidR="002667F0" w:rsidRPr="005D7A61" w:rsidRDefault="002667F0" w:rsidP="002667F0">
                            <w:r w:rsidRPr="005D7A61">
                              <w:t>Nitrogen concentration and biomasses of both producers and consumer when growth rates and consumption rates of producers are impacted by 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A937A" id="Text Box 99" o:spid="_x0000_s1107" type="#_x0000_t202" style="position:absolute;margin-left:6.6pt;margin-top:249.3pt;width:401pt;height:60.8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" fillcolor="white [3201]" stroked="f" strokeweight=".5pt">
                <v:textbox>
                  <w:txbxContent>
                    <w:p w14:paraId="77AD7AE7" w14:textId="6284F461" w:rsidR="00EA2092" w:rsidRDefault="002667F0" w:rsidP="00EA2092">
                      <w:pPr>
                        <w:pStyle w:val="Subtitle"/>
                      </w:pPr>
                      <w:bookmarkStart w:id="104" w:name="_Toc98704990"/>
                      <w:r w:rsidRPr="005D7A61">
                        <w:t xml:space="preserve">Figure </w:t>
                      </w:r>
                      <w:r w:rsidR="00D13835">
                        <w:t>28</w:t>
                      </w:r>
                      <w:r w:rsidRPr="005D7A61">
                        <w:t xml:space="preserve">: </w:t>
                      </w:r>
                      <w:r w:rsidR="00EA2092">
                        <w:t>Numerical Simulation at Cycling Temperatures</w:t>
                      </w:r>
                      <w:bookmarkEnd w:id="104"/>
                    </w:p>
                    <w:p w14:paraId="2D55EC05" w14:textId="36E12DF9" w:rsidR="002667F0" w:rsidRPr="005D7A61" w:rsidRDefault="002667F0" w:rsidP="002667F0">
                      <w:r w:rsidRPr="005D7A61">
                        <w:t>Nitrogen concentration and biomasses of both producers and consumer when growth rates and consumption rates of producers are impacted by temperature.</w:t>
                      </w:r>
                    </w:p>
                  </w:txbxContent>
                </v:textbox>
                <w10:wrap type="tight"/>
              </v:shape>
            </w:pict>
          </mc:Fallback>
        </mc:AlternateContent>
      </w:r>
    </w:p>
    <w:p w14:paraId="42CE2DEF" w14:textId="1FDDFA47" w:rsidR="008C74A9" w:rsidRPr="00EA2092" w:rsidRDefault="005A5498" w:rsidP="00EA2092">
      <w:pPr>
        <w:rPr>
          <w:highlight w:val="yellow"/>
        </w:rPr>
      </w:pPr>
      <w:r w:rsidRPr="005A5498">
        <w:rPr>
          <w:rFonts w:ascii="Times" w:hAnsi="Times"/>
          <w:noProof/>
        </w:rPr>
        <w:lastRenderedPageBreak/>
        <w:drawing>
          <wp:inline distT="0" distB="0" distL="0" distR="0" wp14:anchorId="21D72BF8" wp14:editId="14623E1D">
            <wp:extent cx="3543013" cy="6014434"/>
            <wp:effectExtent l="0" t="0" r="635" b="5715"/>
            <wp:docPr id="107" name="Picture 10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applica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3571248" cy="6062364"/>
                    </a:xfrm>
                    <a:prstGeom prst="rect">
                      <a:avLst/>
                    </a:prstGeom>
                  </pic:spPr>
                </pic:pic>
              </a:graphicData>
            </a:graphic>
          </wp:inline>
        </w:drawing>
      </w:r>
      <w:r w:rsidR="008C74A9" w:rsidRPr="006D506E">
        <w:rPr>
          <w:rFonts w:ascii="Times" w:hAnsi="Times"/>
          <w:noProof/>
          <w:u w:val="single"/>
        </w:rPr>
        <mc:AlternateContent>
          <mc:Choice Requires="wps">
            <w:drawing>
              <wp:anchor distT="0" distB="0" distL="114300" distR="114300" simplePos="0" relativeHeight="252010496" behindDoc="1" locked="0" layoutInCell="1" allowOverlap="1" wp14:anchorId="0F710B48" wp14:editId="5276EC0D">
                <wp:simplePos x="0" y="0"/>
                <wp:positionH relativeFrom="column">
                  <wp:posOffset>3175</wp:posOffset>
                </wp:positionH>
                <wp:positionV relativeFrom="paragraph">
                  <wp:posOffset>6078220</wp:posOffset>
                </wp:positionV>
                <wp:extent cx="5499100" cy="1480820"/>
                <wp:effectExtent l="0" t="0" r="0" b="5080"/>
                <wp:wrapTight wrapText="bothSides">
                  <wp:wrapPolygon edited="0">
                    <wp:start x="0" y="0"/>
                    <wp:lineTo x="0" y="21489"/>
                    <wp:lineTo x="21550" y="21489"/>
                    <wp:lineTo x="21550" y="0"/>
                    <wp:lineTo x="0" y="0"/>
                  </wp:wrapPolygon>
                </wp:wrapTight>
                <wp:docPr id="121" name="Text Box 121"/>
                <wp:cNvGraphicFramePr/>
                <a:graphic xmlns:a="http://schemas.openxmlformats.org/drawingml/2006/main">
                  <a:graphicData uri="http://schemas.microsoft.com/office/word/2010/wordprocessingShape">
                    <wps:wsp>
                      <wps:cNvSpPr txBox="1"/>
                      <wps:spPr>
                        <a:xfrm>
                          <a:off x="0" y="0"/>
                          <a:ext cx="5499100" cy="1480820"/>
                        </a:xfrm>
                        <a:prstGeom prst="rect">
                          <a:avLst/>
                        </a:prstGeom>
                        <a:solidFill>
                          <a:schemeClr val="lt1"/>
                        </a:solidFill>
                        <a:ln w="6350">
                          <a:noFill/>
                        </a:ln>
                      </wps:spPr>
                      <wps:txbx>
                        <w:txbxContent>
                          <w:p w14:paraId="040B3A1E" w14:textId="5047FA62" w:rsidR="00EA2092" w:rsidRDefault="008C74A9" w:rsidP="00EA2092">
                            <w:pPr>
                              <w:pStyle w:val="Subtitle"/>
                            </w:pPr>
                            <w:bookmarkStart w:id="69" w:name="_Toc98704991"/>
                            <w:r w:rsidRPr="005D7A61">
                              <w:t xml:space="preserve">Figure </w:t>
                            </w:r>
                            <w:r w:rsidR="00D13835">
                              <w:t>29</w:t>
                            </w:r>
                            <w:r w:rsidRPr="005D7A61">
                              <w:t xml:space="preserve">: </w:t>
                            </w:r>
                            <w:r w:rsidR="00EA2092">
                              <w:t>Comparison of Model and Environmental Data</w:t>
                            </w:r>
                            <w:bookmarkEnd w:id="69"/>
                          </w:p>
                          <w:p w14:paraId="4EE65A9E" w14:textId="2A6872DC" w:rsidR="008C74A9" w:rsidRDefault="008C74A9" w:rsidP="008C74A9">
                            <w:r>
                              <w:t>A) Numerically solved equations 1-4</w:t>
                            </w:r>
                            <w:r w:rsidR="00B73145">
                              <w:t xml:space="preserve">, showing a trade-off between the producer better at resource acquisition (Producer 1) and the producer better at defending against predation (Producer 2). </w:t>
                            </w:r>
                          </w:p>
                          <w:p w14:paraId="2A09AEEB" w14:textId="1611CB1E" w:rsidR="00B73145" w:rsidRDefault="00B73145" w:rsidP="008C74A9">
                            <w:r>
                              <w:t>B) Numerically solved equations 1-4 with no trade-off showing no dominant species transition.</w:t>
                            </w:r>
                          </w:p>
                          <w:p w14:paraId="43AA0515" w14:textId="34BB033E" w:rsidR="00B73145" w:rsidRPr="005D7A61" w:rsidRDefault="00B73145" w:rsidP="008C74A9">
                            <w:r>
                              <w:t xml:space="preserve">C) Data from Lake Taihu showing successional pattern between eukaryotic algae and </w:t>
                            </w:r>
                            <w:r>
                              <w:rPr>
                                <w:i/>
                                <w:iCs/>
                              </w:rPr>
                              <w:t xml:space="preserve">Microcystis </w:t>
                            </w:r>
                            <w:r>
                              <w:rPr>
                                <w:rFonts w:cstheme="minorHAnsi"/>
                              </w:rPr>
                              <w:fldChar w:fldCharType="begin" w:fldLock="1"/>
                            </w:r>
                            <w:r>
                              <w:rPr>
                                <w:rFonts w:cstheme="minorHAnsi"/>
                              </w:rPr>
                              <w:instrText>ADDIN CSL_CITATION {"citationItems":[{"id":"ITEM-1","itemData":{"DOI":"10.1007/s10750-008-9365-5","ISSN":"00188158","abstract":"The spring-summer successions of phytoplankton and crustacean zooplankton were examined weekly in Meiliang Bay of the subtropical Lake Taihu in 2004 and 2005. During the study period, the ecosystem of Meiliang Bay was characterized by (i) clearly declined nitrogen compounds (nitrate, TN, and ammonium) and slowly increased phosphorus compounds (TP and SRP), (ii) increased total phytoplankton density and rapid replacement of chlorophyta (mainly Ulothrix) by cyanobacteria (mainly Microcystis), and (iii) rapid replacement of large-sized crustaceans (Daphnia and Moina) by small-sized ones (Bosmina, Limnoithona, and Ceriodaphnia). Results from the CCA and correlation analysis indicate that the spring-summer phytoplankton succession was primarily controlled by abiotic factors. Cyanobacteria were mainly promoted by increased temperature and decreased concentrations of nitrogen compounds. The pure contribution of crustacean was low for the variation of phytoplankton suggesting a weak top-down control by crustacean zooplankton in the subtropical Lake Taihu. © 2008 Springer Science+Business Media B.V.","author":[{"dropping-particle":"","family":"Ke","given":"Zhixin","non-dropping-particle":"","parse-names":false,"suffix":""},{"dropping-particle":"","family":"Xie","given":"Ping","non-dropping-particle":"","parse-names":false,"suffix":""},{"dropping-particle":"","family":"Guo","given":"Longgen","non-dropping-particle":"","parse-names":false,"suffix":""}],"container-title":"Hydrobiologia","id":"ITEM-1","issue":"1","issued":{"date-parts":[["2008"]]},"page":"41-49","title":"Controlling factors of spring-summer phytoplankton succession in Lake Taihu (Meiliang Bay, China)","type":"article-journal","volume":"607"},"uris":["http://www.mendeley.com/documents/?uuid=5f90a3e5-0821-41b0-8925-96d841f686a0"]}],"mendeley":{"formattedCitation":"(Ke et al., 2008)","plainTextFormattedCitation":"(Ke et al., 2008)","previouslyFormattedCitation":"(Ke et al., 2008)"},"properties":{"noteIndex":0},"schema":"https://github.com/citation-style-language/schema/raw/master/csl-citation.json"}</w:instrText>
                            </w:r>
                            <w:r>
                              <w:rPr>
                                <w:rFonts w:cstheme="minorHAnsi"/>
                              </w:rPr>
                              <w:fldChar w:fldCharType="separate"/>
                            </w:r>
                            <w:r w:rsidRPr="00AE5F44">
                              <w:rPr>
                                <w:rFonts w:cstheme="minorHAnsi"/>
                                <w:noProof/>
                              </w:rPr>
                              <w:t>(Ke et al., 2008)</w:t>
                            </w:r>
                            <w:r>
                              <w:rPr>
                                <w:rFonts w:cstheme="minorHAnsi"/>
                              </w:rPr>
                              <w:fldChar w:fldCharType="end"/>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10B48" id="Text Box 121" o:spid="_x0000_s1108" type="#_x0000_t202" style="position:absolute;margin-left:.25pt;margin-top:478.6pt;width:433pt;height:116.6pt;z-index:-25130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" fillcolor="white [3201]" stroked="f" strokeweight=".5pt">
                <v:textbox>
                  <w:txbxContent>
                    <w:p w14:paraId="040B3A1E" w14:textId="5047FA62" w:rsidR="00EA2092" w:rsidRDefault="008C74A9" w:rsidP="00EA2092">
                      <w:pPr>
                        <w:pStyle w:val="Subtitle"/>
                      </w:pPr>
                      <w:bookmarkStart w:id="106" w:name="_Toc98704991"/>
                      <w:r w:rsidRPr="005D7A61">
                        <w:t xml:space="preserve">Figure </w:t>
                      </w:r>
                      <w:r w:rsidR="00D13835">
                        <w:t>29</w:t>
                      </w:r>
                      <w:r w:rsidRPr="005D7A61">
                        <w:t xml:space="preserve">: </w:t>
                      </w:r>
                      <w:r w:rsidR="00EA2092">
                        <w:t>Comparison of Model and Environmental Data</w:t>
                      </w:r>
                      <w:bookmarkEnd w:id="106"/>
                    </w:p>
                    <w:p w14:paraId="4EE65A9E" w14:textId="2A6872DC" w:rsidR="008C74A9" w:rsidRDefault="008C74A9" w:rsidP="008C74A9">
                      <w:r>
                        <w:t>A) Numerically solved equations 1-4</w:t>
                      </w:r>
                      <w:r w:rsidR="00B73145">
                        <w:t xml:space="preserve">, showing a trade-off between the producer better at resource acquisition (Producer 1) and the producer better at defending against predation (Producer 2). </w:t>
                      </w:r>
                    </w:p>
                    <w:p w14:paraId="2A09AEEB" w14:textId="1611CB1E" w:rsidR="00B73145" w:rsidRDefault="00B73145" w:rsidP="008C74A9">
                      <w:r>
                        <w:t>B) Numerically solved equations 1-4 with no trade-off showing no dominant species transition.</w:t>
                      </w:r>
                    </w:p>
                    <w:p w14:paraId="43AA0515" w14:textId="34BB033E" w:rsidR="00B73145" w:rsidRPr="005D7A61" w:rsidRDefault="00B73145" w:rsidP="008C74A9">
                      <w:r>
                        <w:t xml:space="preserve">C) Data from Lake Taihu showing successional pattern between eukaryotic algae and </w:t>
                      </w:r>
                      <w:r>
                        <w:rPr>
                          <w:i/>
                          <w:iCs/>
                        </w:rPr>
                        <w:t xml:space="preserve">Microcystis </w:t>
                      </w:r>
                      <w:r>
                        <w:rPr>
                          <w:rFonts w:cstheme="minorHAnsi"/>
                        </w:rPr>
                        <w:fldChar w:fldCharType="begin" w:fldLock="1"/>
                      </w:r>
                      <w:r>
                        <w:rPr>
                          <w:rFonts w:cstheme="minorHAnsi"/>
                        </w:rPr>
                        <w:instrText>ADDIN CSL_CITATION {"citationItems":[{"id":"ITEM-1","itemData":{"DOI":"10.1007/s10750-008-9365-5","ISSN":"00188158","abstract":"The spring-summer successions of phytoplankton and crustacean zooplankton were examined weekly in Meiliang Bay of the subtropical Lake Taihu in 2004 and 2005. During the study period, the ecosystem of Meiliang Bay was characterized by (i) clearly declined nitrogen compounds (nitrate, TN, and ammonium) and slowly increased phosphorus compounds (TP and SRP), (ii) increased total phytoplankton density and rapid replacement of chlorophyta (mainly Ulothrix) by cyanobacteria (mainly Microcystis), and (iii) rapid replacement of large-sized crustaceans (Daphnia and Moina) by small-sized ones (Bosmina, Limnoithona, and Ceriodaphnia). Results from the CCA and correlation analysis indicate that the spring-summer phytoplankton succession was primarily controlled by abiotic factors. Cyanobacteria were mainly promoted by increased temperature and decreased concentrations of nitrogen compounds. The pure contribution of crustacean was low for the variation of phytoplankton suggesting a weak top-down control by crustacean zooplankton in the subtropical Lake Taihu. © 2008 Springer Science+Business Media B.V.","author":[{"dropping-particle":"","family":"Ke","given":"Zhixin","non-dropping-particle":"","parse-names":false,"suffix":""},{"dropping-particle":"","family":"Xie","given":"Ping","non-dropping-particle":"","parse-names":false,"suffix":""},{"dropping-particle":"","family":"Guo","given":"Longgen","non-dropping-particle":"","parse-names":false,"suffix":""}],"container-title":"Hydrobiologia","id":"ITEM-1","issue":"1","issued":{"date-parts":[["2008"]]},"page":"41-49","title":"Controlling factors of spring-summer phytoplankton succession in Lake Taihu (Meiliang Bay, China)","type":"article-journal","volume":"607"},"uris":["http://www.mendeley.com/documents/?uuid=5f90a3e5-0821-41b0-8925-96d841f686a0"]}],"mendeley":{"formattedCitation":"(Ke et al., 2008)","plainTextFormattedCitation":"(Ke et al., 2008)","previouslyFormattedCitation":"(Ke et al., 2008)"},"properties":{"noteIndex":0},"schema":"https://github.com/citation-style-language/schema/raw/master/csl-citation.json"}</w:instrText>
                      </w:r>
                      <w:r>
                        <w:rPr>
                          <w:rFonts w:cstheme="minorHAnsi"/>
                        </w:rPr>
                        <w:fldChar w:fldCharType="separate"/>
                      </w:r>
                      <w:r w:rsidRPr="00AE5F44">
                        <w:rPr>
                          <w:rFonts w:cstheme="minorHAnsi"/>
                          <w:noProof/>
                        </w:rPr>
                        <w:t>(Ke et al., 2008)</w:t>
                      </w:r>
                      <w:r>
                        <w:rPr>
                          <w:rFonts w:cstheme="minorHAnsi"/>
                        </w:rPr>
                        <w:fldChar w:fldCharType="end"/>
                      </w:r>
                      <w:r>
                        <w:rPr>
                          <w:rFonts w:cstheme="minorHAnsi"/>
                        </w:rPr>
                        <w:t>.</w:t>
                      </w:r>
                    </w:p>
                  </w:txbxContent>
                </v:textbox>
                <w10:wrap type="tight"/>
              </v:shape>
            </w:pict>
          </mc:Fallback>
        </mc:AlternateContent>
      </w:r>
      <w:bookmarkStart w:id="70" w:name="_Toc420995908"/>
      <w:bookmarkStart w:id="71" w:name="_Toc422997495"/>
      <w:bookmarkStart w:id="72" w:name="_Toc427156478"/>
    </w:p>
    <w:p w14:paraId="0FCE16A8" w14:textId="0B5291FE" w:rsidR="006624A9" w:rsidRDefault="00FA535B" w:rsidP="009962CE">
      <w:pPr>
        <w:pStyle w:val="Heading1"/>
      </w:pPr>
      <w:bookmarkStart w:id="73" w:name="_Toc98870961"/>
      <w:r w:rsidRPr="00A06FF4">
        <w:lastRenderedPageBreak/>
        <w:t xml:space="preserve">Chapter </w:t>
      </w:r>
      <w:r w:rsidR="00912CA9">
        <w:t>F</w:t>
      </w:r>
      <w:r w:rsidRPr="00A06FF4">
        <w:t>our</w:t>
      </w:r>
      <w:r w:rsidR="004D24C7">
        <w:t xml:space="preserve">: </w:t>
      </w:r>
      <w:r w:rsidR="003D63DF" w:rsidRPr="00A06FF4">
        <w:t>Discussion</w:t>
      </w:r>
      <w:bookmarkEnd w:id="70"/>
      <w:bookmarkEnd w:id="71"/>
      <w:bookmarkEnd w:id="72"/>
      <w:bookmarkEnd w:id="73"/>
    </w:p>
    <w:p w14:paraId="79B77072" w14:textId="77777777" w:rsidR="009962CE" w:rsidRPr="009962CE" w:rsidRDefault="009962CE" w:rsidP="009962CE"/>
    <w:p w14:paraId="0B8BB27C" w14:textId="34263AD8" w:rsidR="007F7D65" w:rsidRDefault="007F7D65" w:rsidP="007F7D65">
      <w:pPr>
        <w:spacing w:line="480" w:lineRule="auto"/>
        <w:ind w:firstLine="720"/>
      </w:pPr>
      <w:r w:rsidRPr="00891D93">
        <w:t xml:space="preserve">Our data analysis shows that </w:t>
      </w:r>
      <w:r>
        <w:t xml:space="preserve">during summer there is a slight draw down of nutrients during an increase in the biomass of both eukaryotic algae and </w:t>
      </w:r>
      <w:r>
        <w:rPr>
          <w:i/>
          <w:iCs/>
        </w:rPr>
        <w:t xml:space="preserve">Microcystis. </w:t>
      </w:r>
      <w:r>
        <w:t xml:space="preserve">As the biomass of phytoplankton increases, we find an increase in the biomass of zooplankton. As the zooplankton biomass increases, we see an increase in the phycocyanin to chlorophyll-a ratio. Thus, supporting the growth of cyanobacteria. </w:t>
      </w:r>
      <w:r w:rsidR="00994B9C">
        <w:t>Our environmental data analysis led to the</w:t>
      </w:r>
      <w:r w:rsidR="00994B9C" w:rsidRPr="00891D93">
        <w:t xml:space="preserve"> hypothesis that shifts in resource inflow </w:t>
      </w:r>
      <w:r w:rsidR="00A46597">
        <w:t>causes an increase in contact rates between producers and consumers</w:t>
      </w:r>
      <w:r w:rsidR="00615323">
        <w:t>. Thus</w:t>
      </w:r>
      <w:r w:rsidR="00A46597">
        <w:t xml:space="preserve">, </w:t>
      </w:r>
      <w:r w:rsidR="00994B9C" w:rsidRPr="00891D93">
        <w:t>select</w:t>
      </w:r>
      <w:r w:rsidR="00A46597">
        <w:t>ing</w:t>
      </w:r>
      <w:r w:rsidR="00994B9C" w:rsidRPr="00891D93">
        <w:t xml:space="preserve"> for </w:t>
      </w:r>
      <w:r w:rsidR="009962CE">
        <w:t>organisms’</w:t>
      </w:r>
      <w:r w:rsidR="00A46597">
        <w:t xml:space="preserve"> better </w:t>
      </w:r>
      <w:r w:rsidR="00994B9C" w:rsidRPr="00891D93">
        <w:t xml:space="preserve">defense against predation, which may be a major reason why </w:t>
      </w:r>
      <w:r w:rsidR="00994B9C" w:rsidRPr="00891D93">
        <w:rPr>
          <w:i/>
          <w:iCs/>
        </w:rPr>
        <w:t>Microcystis aeruginosa</w:t>
      </w:r>
      <w:r w:rsidR="00994B9C" w:rsidRPr="00891D93">
        <w:t xml:space="preserve"> are selected for in hyper-eutrophic lakes</w:t>
      </w:r>
      <w:r w:rsidR="00615323">
        <w:t>. W</w:t>
      </w:r>
      <w:r w:rsidR="00994B9C">
        <w:t xml:space="preserve">e can test </w:t>
      </w:r>
      <w:r w:rsidR="00615323">
        <w:t xml:space="preserve">this hypothesis </w:t>
      </w:r>
      <w:r w:rsidR="00994B9C">
        <w:t xml:space="preserve">using our mathematical model. </w:t>
      </w:r>
    </w:p>
    <w:p w14:paraId="3F130DE7" w14:textId="53AB69CD" w:rsidR="006624A9" w:rsidRDefault="006624A9" w:rsidP="0080310F">
      <w:pPr>
        <w:spacing w:line="480" w:lineRule="auto"/>
        <w:ind w:firstLine="720"/>
      </w:pPr>
      <w:r>
        <w:t xml:space="preserve">In previous research, </w:t>
      </w:r>
      <w:r w:rsidRPr="009962CE">
        <w:rPr>
          <w:i/>
          <w:iCs/>
        </w:rPr>
        <w:t>Microcystis</w:t>
      </w:r>
      <w:r>
        <w:t xml:space="preserve"> has been implicated as a defense specialist </w:t>
      </w:r>
      <w:r>
        <w:fldChar w:fldCharType="begin" w:fldLock="1"/>
      </w:r>
      <w:r w:rsidR="003C73DE">
        <w:instrText>ADDIN CSL_CITATION {"citationItems":[{"id":"ITEM-1","itemData":{"DOI":"10.1007/s10750-020-04370-3","ISBN":"0123456789","ISSN":"15735117","abstract":"Phytoplankton is confronted with a variable assemblage of zooplankton grazers that create a strong selection pressure for traits that reduce mortality. Phytoplankton is, however, also challenged to remain suspended and to acquire sufficient resources for growth. Consequently, phytoplanktic organisms have evolved a variety of strategies to survive in a variable environment. An overview is presented of the various phytoplankton defense strategies, and costs and benefits of phytoplankton defenses with a zooming in on grazer-induced colony formation. The trade-off between phytoplankton competitive abilities and defenses against grazing favor adaptive trait changes—rapid evolution and phenotypic plasticity—that have the potential to influence population and community dynamics, as exemplified by controlled chemostat experiments. An interspecific defense–growth trade-off could explain seasonal shifts in the species composition of an in situ phytoplankton community yielding defense and growth rate as key traits of the phytoplankton. The importance of grazing and protection against grazing in shaping the phytoplankton community structure should not be underestimated. The trade-offs between nutrient acquisition, remaining suspended, and grazing resistance generate the dynamic phytoplankton community composition.","author":[{"dropping-particle":"","family":"Lürling","given":"Miquel","non-dropping-particle":"","parse-names":false,"suffix":""}],"container-title":"Hydrobiologia","id":"ITEM-1","issue":"1","issued":{"date-parts":[["2021"]]},"page":"237-249","title":"Grazing resistance in phytoplankton","type":"article-journal","volume":"848"},"uris":["http://www.mendeley.com/documents/?uuid=a494490e-4589-4d96-8dde-3e18400f105c"]}],"mendeley":{"formattedCitation":"(Lürling, 2021)","plainTextFormattedCitation":"(Lürling, 2021)","previouslyFormattedCitation":"(Lürling, 2021)"},"properties":{"noteIndex":0},"schema":"https://github.com/citation-style-language/schema/raw/master/csl-citation.json"}</w:instrText>
      </w:r>
      <w:r>
        <w:fldChar w:fldCharType="separate"/>
      </w:r>
      <w:r w:rsidRPr="006624A9">
        <w:rPr>
          <w:noProof/>
        </w:rPr>
        <w:t>(Lürling, 2021)</w:t>
      </w:r>
      <w:r>
        <w:fldChar w:fldCharType="end"/>
      </w:r>
      <w:r>
        <w:t xml:space="preserve">. </w:t>
      </w:r>
      <w:r w:rsidR="00615323">
        <w:t xml:space="preserve">Lurling determined that increased zooplankton activity </w:t>
      </w:r>
      <w:r w:rsidR="003C73DE">
        <w:t xml:space="preserve">select for phytoplankton with defensive traits such as </w:t>
      </w:r>
      <w:r w:rsidR="003C73DE">
        <w:rPr>
          <w:i/>
          <w:iCs/>
        </w:rPr>
        <w:t>Microcystis</w:t>
      </w:r>
      <w:r w:rsidR="003C73DE">
        <w:t xml:space="preserve"> colony formation </w:t>
      </w:r>
      <w:r w:rsidR="003C73DE">
        <w:fldChar w:fldCharType="begin" w:fldLock="1"/>
      </w:r>
      <w:r w:rsidR="0076257F">
        <w:instrText>ADDIN CSL_CITATION {"citationItems":[{"id":"ITEM-1","itemData":{"DOI":"10.1007/s10750-020-04370-3","ISBN":"0123456789","ISSN":"15735117","abstract":"Phytoplankton is confronted with a variable assemblage of zooplankton grazers that create a strong selection pressure for traits that reduce mortality. Phytoplankton is, however, also challenged to remain suspended and to acquire sufficient resources for growth. Consequently, phytoplanktic organisms have evolved a variety of strategies to survive in a variable environment. An overview is presented of the various phytoplankton defense strategies, and costs and benefits of phytoplankton defenses with a zooming in on grazer-induced colony formation. The trade-off between phytoplankton competitive abilities and defenses against grazing favor adaptive trait changes—rapid evolution and phenotypic plasticity—that have the potential to influence population and community dynamics, as exemplified by controlled chemostat experiments. An interspecific defense–growth trade-off could explain seasonal shifts in the species composition of an in situ phytoplankton community yielding defense and growth rate as key traits of the phytoplankton. The importance of grazing and protection against grazing in shaping the phytoplankton community structure should not be underestimated. The trade-offs between nutrient acquisition, remaining suspended, and grazing resistance generate the dynamic phytoplankton community composition.","author":[{"dropping-particle":"","family":"Lürling","given":"Miquel","non-dropping-particle":"","parse-names":false,"suffix":""}],"container-title":"Hydrobiologia","id":"ITEM-1","issue":"1","issued":{"date-parts":[["2021"]]},"page":"237-249","title":"Grazing resistance in phytoplankton","type":"article-journal","volume":"848"},"uris":["http://www.mendeley.com/documents/?uuid=a494490e-4589-4d96-8dde-3e18400f105c"]}],"mendeley":{"formattedCitation":"(Lürling, 2021)","plainTextFormattedCitation":"(Lürling, 2021)","previouslyFormattedCitation":"(Lürling, 2021)"},"properties":{"noteIndex":0},"schema":"https://github.com/citation-style-language/schema/raw/master/csl-citation.json"}</w:instrText>
      </w:r>
      <w:r w:rsidR="003C73DE">
        <w:fldChar w:fldCharType="separate"/>
      </w:r>
      <w:r w:rsidR="003C73DE" w:rsidRPr="003C73DE">
        <w:rPr>
          <w:noProof/>
        </w:rPr>
        <w:t>(Lürling, 2021)</w:t>
      </w:r>
      <w:r w:rsidR="003C73DE">
        <w:fldChar w:fldCharType="end"/>
      </w:r>
      <w:r w:rsidR="003C73DE">
        <w:t xml:space="preserve">. </w:t>
      </w:r>
      <w:r w:rsidR="0076257F">
        <w:t>Lurling</w:t>
      </w:r>
      <w:r w:rsidR="0066053D">
        <w:t xml:space="preserve"> and Ehrlich et al.</w:t>
      </w:r>
      <w:r w:rsidR="0076257F">
        <w:t xml:space="preserve"> proposed that the tradeoff between nutrient acquisition and defense abilities against predation could explain the seasonal shifts in community composition </w:t>
      </w:r>
      <w:r w:rsidR="0076257F">
        <w:fldChar w:fldCharType="begin" w:fldLock="1"/>
      </w:r>
      <w:r w:rsidR="0066053D">
        <w:instrText>ADDIN CSL_CITATION {"citationItems":[{"id":"ITEM-1","itemData":{"DOI":"10.1007/s10750-020-04370-3","ISBN":"0123456789","ISSN":"15735117","abstract":"Phytoplankton is confronted with a variable assemblage of zooplankton grazers that create a strong selection pressure for traits that reduce mortality. Phytoplankton is, however, also challenged to remain suspended and to acquire sufficient resources for growth. Consequently, phytoplanktic organisms have evolved a variety of strategies to survive in a variable environment. An overview is presented of the various phytoplankton defense strategies, and costs and benefits of phytoplankton defenses with a zooming in on grazer-induced colony formation. The trade-off between phytoplankton competitive abilities and defenses against grazing favor adaptive trait changes—rapid evolution and phenotypic plasticity—that have the potential to influence population and community dynamics, as exemplified by controlled chemostat experiments. An interspecific defense–growth trade-off could explain seasonal shifts in the species composition of an in situ phytoplankton community yielding defense and growth rate as key traits of the phytoplankton. The importance of grazing and protection against grazing in shaping the phytoplankton community structure should not be underestimated. The trade-offs between nutrient acquisition, remaining suspended, and grazing resistance generate the dynamic phytoplankton community composition.","author":[{"dropping-particle":"","family":"Lürling","given":"Miquel","non-dropping-particle":"","parse-names":false,"suffix":""}],"container-title":"Hydrobiologia","id":"ITEM-1","issue":"1","issued":{"date-parts":[["2021"]]},"page":"237-249","title":"Grazing resistance in phytoplankton","type":"article-journal","volume":"848"},"uris":["http://www.mendeley.com/documents/?uuid=a494490e-4589-4d96-8dde-3e18400f105c"]},{"id":"ITEM-2","itemData":{"DOI":"10.1038/s41396-020-0619-1","ISSN":"17517370","PMID":"32127656","abstract":"Theory predicts that trade-offs, quantifying costs of functional trait adjustments, crucially affect community trait adaptation to altered environmental conditions, but empirical verification is scarce. We evaluated trait dynamics (antipredator defense, maximum growth rate, and phosphate affinity) of a lake phytoplankton community in a seasonally changing environment, using literature trait data and 21 years of species-resolved high-frequency biomass measurements. The trait data indicated a concave defense-growth trade-off, promoting fast-growing species with intermediate defense. With seasonally increasing grazing pressure, the community shifted toward higher defense levels at the cost of lower growth rates along the trade-off curve, while phosphate affinity explained some deviations from it. We discuss how low fitness differences of species, inferred from model simulations, in concert with stabilizing mechanisms, e.g., arising from further trait dimensions, may lead to the observed phytoplankton diversity. In conclusion, quantifying trade-offs is key for predictions of community trait adaptation and biodiversity under environmental change.","author":[{"dropping-particle":"","family":"Ehrlich","given":"Elias","non-dropping-particle":"","parse-names":false,"suffix":""},{"dropping-particle":"","family":"Kath","given":"Nadja J.","non-dropping-particle":"","parse-names":false,"suffix":""},{"dropping-particle":"","family":"Gaedke","given":"Ursula","non-dropping-particle":"","parse-names":false,"suffix":""}],"container-title":"ISME Journal","id":"ITEM-2","issue":"6","issued":{"date-parts":[["2020"]]},"page":"1451-1462","publisher":"Springer US","title":"The shape of a defense-growth trade-off governs seasonal trait dynamics in natural phytoplankton","type":"article-journal","volume":"14"},"uris":["http://www.mendeley.com/documents/?uuid=d47825c6-7ab3-4363-bc57-996e4f457825"]}],"mendeley":{"formattedCitation":"(Ehrlich et al., 2020; Lürling, 2021)","plainTextFormattedCitation":"(Ehrlich et al., 2020; Lürling, 2021)","previouslyFormattedCitation":"(Lürling, 2021)"},"properties":{"noteIndex":0},"schema":"https://github.com/citation-style-language/schema/raw/master/csl-citation.json"}</w:instrText>
      </w:r>
      <w:r w:rsidR="0076257F">
        <w:fldChar w:fldCharType="separate"/>
      </w:r>
      <w:r w:rsidR="0066053D" w:rsidRPr="0066053D">
        <w:rPr>
          <w:noProof/>
        </w:rPr>
        <w:t>(Ehrlich et al., 2020; Lürling, 2021)</w:t>
      </w:r>
      <w:r w:rsidR="0076257F">
        <w:fldChar w:fldCharType="end"/>
      </w:r>
      <w:r w:rsidR="0076257F">
        <w:t>.</w:t>
      </w:r>
      <w:r w:rsidR="0080310F">
        <w:t xml:space="preserve"> </w:t>
      </w:r>
      <w:r>
        <w:t xml:space="preserve">However, this idea has not been invoked for </w:t>
      </w:r>
      <w:r w:rsidRPr="009962CE">
        <w:rPr>
          <w:i/>
          <w:iCs/>
        </w:rPr>
        <w:t>Microcystis</w:t>
      </w:r>
      <w:r>
        <w:t xml:space="preserve"> successional dynamics in lake ecosystems.</w:t>
      </w:r>
      <w:r w:rsidR="009962CE">
        <w:t xml:space="preserve"> </w:t>
      </w:r>
      <w:r w:rsidR="0080310F">
        <w:t xml:space="preserve">We developed a model to explore the link between a trade-off and the successional pattern occurring in Lake Erie that result in late summer HABs. </w:t>
      </w:r>
      <w:r w:rsidR="00155078">
        <w:t xml:space="preserve">We have also invoked changes in environmental variables such as </w:t>
      </w:r>
      <w:r w:rsidR="00155078">
        <w:lastRenderedPageBreak/>
        <w:t>increased nutrient concentrations and temperature fluctuation to determine if this tradeoff and successional pattern hold true in non-equilibrium environmental factors.</w:t>
      </w:r>
    </w:p>
    <w:p w14:paraId="1EAF3096" w14:textId="20776289" w:rsidR="00A80FC8" w:rsidRDefault="007F7D65" w:rsidP="0080310F">
      <w:pPr>
        <w:spacing w:line="480" w:lineRule="auto"/>
        <w:ind w:firstLine="720"/>
      </w:pPr>
      <w:r>
        <w:t xml:space="preserve">Our model development shows that high nutrients and temperature changes allow for the transition of dominant species from the species good at resource acquisition to the species good at defending against predation. </w:t>
      </w:r>
      <w:r w:rsidR="00994B9C">
        <w:t>Temperature drives an increase in phytoplankton growth and in turn drives an increase in grazing pressure. Thus, leading to a shift in selection pressure from resource acquisition to resisting top-down control. Our</w:t>
      </w:r>
      <w:r>
        <w:t xml:space="preserve"> simulations show the trade-off of resource acquisition and defense occurring between eukaryotic algae (Producer 1) and </w:t>
      </w:r>
      <w:r>
        <w:rPr>
          <w:i/>
          <w:iCs/>
        </w:rPr>
        <w:t>Microcystis</w:t>
      </w:r>
      <w:r>
        <w:t xml:space="preserve"> (Producer 2)</w:t>
      </w:r>
      <w:r w:rsidR="00994B9C">
        <w:t xml:space="preserve"> in both </w:t>
      </w:r>
      <w:r w:rsidR="00A80FC8">
        <w:t xml:space="preserve">a </w:t>
      </w:r>
      <w:r w:rsidR="00994B9C">
        <w:t>variable nutrient</w:t>
      </w:r>
      <w:r w:rsidR="00A80FC8">
        <w:t xml:space="preserve"> model and a variable temperature model</w:t>
      </w:r>
      <w:r>
        <w:t>. Thus</w:t>
      </w:r>
      <w:r w:rsidRPr="00891D93">
        <w:t>, we believe that th</w:t>
      </w:r>
      <w:r>
        <w:t>e environmental data analysis and model development</w:t>
      </w:r>
      <w:r w:rsidRPr="00891D93">
        <w:t xml:space="preserve"> support our hypothesis </w:t>
      </w:r>
      <w:r w:rsidR="00E5258E" w:rsidRPr="00E5258E">
        <w:t>that enriched resource inflow and temperature selects for defense against predation, which may be a major reason why Microcystis aeruginosa are selected for in hyper-eutrophic lakes.</w:t>
      </w:r>
    </w:p>
    <w:p w14:paraId="46777A37" w14:textId="3A048C05" w:rsidR="008F2A6C" w:rsidRDefault="007E0728" w:rsidP="00240F72">
      <w:pPr>
        <w:spacing w:line="480" w:lineRule="auto"/>
        <w:ind w:firstLine="720"/>
      </w:pPr>
      <w:r>
        <w:t xml:space="preserve">Limitations of this study include that the study only includes data analysis from one lake that has these seasonal HABs, the model is not in a fully realistic construct and thus, there could be outcomes missed by the lack of non-equilibrium environmental factors included in the model runs. </w:t>
      </w:r>
      <w:r w:rsidR="00A80FC8">
        <w:t xml:space="preserve">Our model can be amended in future projects to account for other non-equilibrium environmental factors such as irradiance, pH, vertical mixing, etc. The model could also be </w:t>
      </w:r>
      <w:r w:rsidR="00A80FC8">
        <w:lastRenderedPageBreak/>
        <w:t xml:space="preserve">amended to test other classic food-web models in these environmentally realistic constructs to determine if these other model theories hold true. </w:t>
      </w:r>
      <w:r w:rsidR="008F60C3">
        <w:br w:type="page"/>
      </w:r>
      <w:bookmarkStart w:id="74" w:name="_Toc420995911"/>
      <w:bookmarkStart w:id="75" w:name="_Toc422997498"/>
    </w:p>
    <w:p w14:paraId="70986FE3" w14:textId="77777777" w:rsidR="008F2A6C" w:rsidRDefault="008F2A6C" w:rsidP="00311F1A">
      <w:pPr>
        <w:numPr>
          <w:ilvl w:val="12"/>
          <w:numId w:val="0"/>
        </w:numPr>
        <w:jc w:val="center"/>
      </w:pPr>
    </w:p>
    <w:p w14:paraId="2309447D" w14:textId="68495417" w:rsidR="00236E6D" w:rsidRDefault="00236E6D" w:rsidP="008058FE">
      <w:pPr>
        <w:pStyle w:val="AltHeading1"/>
      </w:pPr>
      <w:bookmarkStart w:id="76" w:name="_Toc427156483"/>
      <w:bookmarkStart w:id="77" w:name="_Toc98680881"/>
      <w:bookmarkStart w:id="78" w:name="_Toc98680922"/>
      <w:bookmarkStart w:id="79" w:name="_Toc98870962"/>
      <w:r w:rsidRPr="00311F1A">
        <w:t>L</w:t>
      </w:r>
      <w:r w:rsidR="00E91931">
        <w:t>ist of References</w:t>
      </w:r>
      <w:bookmarkEnd w:id="74"/>
      <w:bookmarkEnd w:id="75"/>
      <w:bookmarkEnd w:id="76"/>
      <w:bookmarkEnd w:id="77"/>
      <w:bookmarkEnd w:id="78"/>
      <w:bookmarkEnd w:id="79"/>
    </w:p>
    <w:p w14:paraId="3B958D7E" w14:textId="4DB182AA" w:rsidR="0066053D" w:rsidRPr="0066053D" w:rsidRDefault="00236E6D" w:rsidP="0066053D">
      <w:pPr>
        <w:widowControl w:val="0"/>
        <w:autoSpaceDE w:val="0"/>
        <w:autoSpaceDN w:val="0"/>
        <w:adjustRightInd w:val="0"/>
        <w:ind w:left="480" w:hanging="480"/>
        <w:rPr>
          <w:noProof/>
          <w:sz w:val="28"/>
        </w:rPr>
      </w:pPr>
      <w:r>
        <w:rPr>
          <w:sz w:val="28"/>
          <w:szCs w:val="28"/>
        </w:rPr>
        <w:br w:type="page"/>
      </w:r>
      <w:r w:rsidR="00FA535B">
        <w:rPr>
          <w:sz w:val="28"/>
          <w:szCs w:val="28"/>
        </w:rPr>
        <w:lastRenderedPageBreak/>
        <w:fldChar w:fldCharType="begin" w:fldLock="1"/>
      </w:r>
      <w:r w:rsidR="00FA535B">
        <w:rPr>
          <w:sz w:val="28"/>
          <w:szCs w:val="28"/>
        </w:rPr>
        <w:instrText xml:space="preserve">ADDIN Mendeley Bibliography CSL_BIBLIOGRAPHY </w:instrText>
      </w:r>
      <w:r w:rsidR="00FA535B">
        <w:rPr>
          <w:sz w:val="28"/>
          <w:szCs w:val="28"/>
        </w:rPr>
        <w:fldChar w:fldCharType="separate"/>
      </w:r>
      <w:r w:rsidR="0066053D" w:rsidRPr="0066053D">
        <w:rPr>
          <w:noProof/>
          <w:sz w:val="28"/>
        </w:rPr>
        <w:t xml:space="preserve">Aguirre, L. E., Ouyang, L., Elfwing, A., Hedblom, M., Wulff, A., &amp; Inganäs, O. (2018). Diatom frustules protect DNA from ultraviolet light. </w:t>
      </w:r>
      <w:r w:rsidR="0066053D" w:rsidRPr="0066053D">
        <w:rPr>
          <w:i/>
          <w:iCs/>
          <w:noProof/>
          <w:sz w:val="28"/>
        </w:rPr>
        <w:t>Scientific Reports</w:t>
      </w:r>
      <w:r w:rsidR="0066053D" w:rsidRPr="0066053D">
        <w:rPr>
          <w:noProof/>
          <w:sz w:val="28"/>
        </w:rPr>
        <w:t xml:space="preserve">, </w:t>
      </w:r>
      <w:r w:rsidR="0066053D" w:rsidRPr="0066053D">
        <w:rPr>
          <w:i/>
          <w:iCs/>
          <w:noProof/>
          <w:sz w:val="28"/>
        </w:rPr>
        <w:t>8</w:t>
      </w:r>
      <w:r w:rsidR="0066053D" w:rsidRPr="0066053D">
        <w:rPr>
          <w:noProof/>
          <w:sz w:val="28"/>
        </w:rPr>
        <w:t>(1), 1–6. https://doi.org/10.1038/s41598-018-21810-2</w:t>
      </w:r>
    </w:p>
    <w:p w14:paraId="7361E613"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Armstrong, R. A., &amp; McGehee, R. (1980). Competitive Exclusion. </w:t>
      </w:r>
      <w:r w:rsidRPr="0066053D">
        <w:rPr>
          <w:i/>
          <w:iCs/>
          <w:noProof/>
          <w:sz w:val="28"/>
        </w:rPr>
        <w:t>The American Naturalist</w:t>
      </w:r>
      <w:r w:rsidRPr="0066053D">
        <w:rPr>
          <w:noProof/>
          <w:sz w:val="28"/>
        </w:rPr>
        <w:t xml:space="preserve">, </w:t>
      </w:r>
      <w:r w:rsidRPr="0066053D">
        <w:rPr>
          <w:i/>
          <w:iCs/>
          <w:noProof/>
          <w:sz w:val="28"/>
        </w:rPr>
        <w:t>115</w:t>
      </w:r>
      <w:r w:rsidRPr="0066053D">
        <w:rPr>
          <w:noProof/>
          <w:sz w:val="28"/>
        </w:rPr>
        <w:t>, 151–170.</w:t>
      </w:r>
    </w:p>
    <w:p w14:paraId="0DC455CD"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Bhagowati, B., &amp; Ahamad, K. (2019a). A review on lake eutrophication dynamics and recent developments in lake modeling. </w:t>
      </w:r>
      <w:r w:rsidRPr="0066053D">
        <w:rPr>
          <w:i/>
          <w:iCs/>
          <w:noProof/>
          <w:sz w:val="28"/>
        </w:rPr>
        <w:t>Ecohydrology and Hydrobiology</w:t>
      </w:r>
      <w:r w:rsidRPr="0066053D">
        <w:rPr>
          <w:noProof/>
          <w:sz w:val="28"/>
        </w:rPr>
        <w:t xml:space="preserve">, </w:t>
      </w:r>
      <w:r w:rsidRPr="0066053D">
        <w:rPr>
          <w:i/>
          <w:iCs/>
          <w:noProof/>
          <w:sz w:val="28"/>
        </w:rPr>
        <w:t>19</w:t>
      </w:r>
      <w:r w:rsidRPr="0066053D">
        <w:rPr>
          <w:noProof/>
          <w:sz w:val="28"/>
        </w:rPr>
        <w:t>(1), 155–166. https://doi.org/10.1016/j.ecohyd.2018.03.002</w:t>
      </w:r>
    </w:p>
    <w:p w14:paraId="401C465B"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Bhagowati, B., &amp; Ahamad, K. (2019b). A review on lake eutrophication dynamics and recent developments in lake modeling. </w:t>
      </w:r>
      <w:r w:rsidRPr="0066053D">
        <w:rPr>
          <w:i/>
          <w:iCs/>
          <w:noProof/>
          <w:sz w:val="28"/>
        </w:rPr>
        <w:t>Ecohydrology and Hydrobiology</w:t>
      </w:r>
      <w:r w:rsidRPr="0066053D">
        <w:rPr>
          <w:noProof/>
          <w:sz w:val="28"/>
        </w:rPr>
        <w:t xml:space="preserve">, </w:t>
      </w:r>
      <w:r w:rsidRPr="0066053D">
        <w:rPr>
          <w:i/>
          <w:iCs/>
          <w:noProof/>
          <w:sz w:val="28"/>
        </w:rPr>
        <w:t>19</w:t>
      </w:r>
      <w:r w:rsidRPr="0066053D">
        <w:rPr>
          <w:noProof/>
          <w:sz w:val="28"/>
        </w:rPr>
        <w:t>, 155–166. https://doi.org/10.1016/j.ecohyd.2018.03.002</w:t>
      </w:r>
    </w:p>
    <w:p w14:paraId="17C3E355"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Brookes, J. D., &amp; Ganf, G. G. (2001). Variations in the buoyancy response of microcystis aeruginosa to nitrogen, phosphorus and light. </w:t>
      </w:r>
      <w:r w:rsidRPr="0066053D">
        <w:rPr>
          <w:i/>
          <w:iCs/>
          <w:noProof/>
          <w:sz w:val="28"/>
        </w:rPr>
        <w:t>Journal of Plankton Research</w:t>
      </w:r>
      <w:r w:rsidRPr="0066053D">
        <w:rPr>
          <w:noProof/>
          <w:sz w:val="28"/>
        </w:rPr>
        <w:t xml:space="preserve">, </w:t>
      </w:r>
      <w:r w:rsidRPr="0066053D">
        <w:rPr>
          <w:i/>
          <w:iCs/>
          <w:noProof/>
          <w:sz w:val="28"/>
        </w:rPr>
        <w:t>23</w:t>
      </w:r>
      <w:r w:rsidRPr="0066053D">
        <w:rPr>
          <w:noProof/>
          <w:sz w:val="28"/>
        </w:rPr>
        <w:t>(12), 1399–1411. https://doi.org/10.1093/plankt/23.12.1399</w:t>
      </w:r>
    </w:p>
    <w:p w14:paraId="50F4F84A"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Bruggeman, J., &amp; Bolding, K. (2014). A general framework for aquatic biogeochemical models. </w:t>
      </w:r>
      <w:r w:rsidRPr="0066053D">
        <w:rPr>
          <w:i/>
          <w:iCs/>
          <w:noProof/>
          <w:sz w:val="28"/>
        </w:rPr>
        <w:t>Environmental Modelling and Software</w:t>
      </w:r>
      <w:r w:rsidRPr="0066053D">
        <w:rPr>
          <w:noProof/>
          <w:sz w:val="28"/>
        </w:rPr>
        <w:t xml:space="preserve">, </w:t>
      </w:r>
      <w:r w:rsidRPr="0066053D">
        <w:rPr>
          <w:i/>
          <w:iCs/>
          <w:noProof/>
          <w:sz w:val="28"/>
        </w:rPr>
        <w:t>61</w:t>
      </w:r>
      <w:r w:rsidRPr="0066053D">
        <w:rPr>
          <w:noProof/>
          <w:sz w:val="28"/>
        </w:rPr>
        <w:t>, 249–265. https://doi.org/10.1016/j.envsoft.2014.04.002</w:t>
      </w:r>
    </w:p>
    <w:p w14:paraId="60E60280"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Burtner, A., Palladino, D., Kitchens, C., Fyffe, D., Johengen, T., &amp; Stuart, D. (2019). Cooperative Institute for Great Lakes Research, University of Michigan; Fanslow, David; Gossiaux, Duane; National Oceanic and Atmospheric Administration; Great Lakes Environmental Research Laboratory. </w:t>
      </w:r>
      <w:r w:rsidRPr="0066053D">
        <w:rPr>
          <w:i/>
          <w:iCs/>
          <w:noProof/>
          <w:sz w:val="28"/>
        </w:rPr>
        <w:t>Physical, Chemical, and Biological Water Quality Data Collected from a Small Boat in Western Lake Erie, Great Lakes from 2012-05-15 to 2018-10-09 (NCEI Accession 0187718).</w:t>
      </w:r>
      <w:r w:rsidRPr="0066053D">
        <w:rPr>
          <w:noProof/>
          <w:sz w:val="28"/>
        </w:rPr>
        <w:t xml:space="preserve"> https://doi.org/https://www.ncei.noaa.gov/archive/accession/0187718</w:t>
      </w:r>
    </w:p>
    <w:p w14:paraId="72FADD9C"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Campbell, D., Hurry, V., Clarke, A. K., Gustafsson, P., &amp; Öquist, G. (1998). Chlorophyll Fluorescence Analysis of Cyanobacterial Photosynthesis and Acclimation. </w:t>
      </w:r>
      <w:r w:rsidRPr="0066053D">
        <w:rPr>
          <w:i/>
          <w:iCs/>
          <w:noProof/>
          <w:sz w:val="28"/>
        </w:rPr>
        <w:t>Microbiology and Molecular Biology Reviews</w:t>
      </w:r>
      <w:r w:rsidRPr="0066053D">
        <w:rPr>
          <w:noProof/>
          <w:sz w:val="28"/>
        </w:rPr>
        <w:t xml:space="preserve">, </w:t>
      </w:r>
      <w:r w:rsidRPr="0066053D">
        <w:rPr>
          <w:i/>
          <w:iCs/>
          <w:noProof/>
          <w:sz w:val="28"/>
        </w:rPr>
        <w:t>62</w:t>
      </w:r>
      <w:r w:rsidRPr="0066053D">
        <w:rPr>
          <w:noProof/>
          <w:sz w:val="28"/>
        </w:rPr>
        <w:t>(3), 667–683. https://doi.org/10.1128/mmbr.62.3.667-683.1998</w:t>
      </w:r>
    </w:p>
    <w:p w14:paraId="1D14A635"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Cao, H. S., Kong, F. X., Luo, L. C., Shi, X. L., Yang, Z., Zhang, X. F., &amp; Tao, Y. (2006). Effects of wind and wind-induced waves on </w:t>
      </w:r>
      <w:r w:rsidRPr="0066053D">
        <w:rPr>
          <w:noProof/>
          <w:sz w:val="28"/>
        </w:rPr>
        <w:lastRenderedPageBreak/>
        <w:t xml:space="preserve">vertical phytoplankton distribution and surface blooms of microcystis aeruginosa in lake taihu. </w:t>
      </w:r>
      <w:r w:rsidRPr="0066053D">
        <w:rPr>
          <w:i/>
          <w:iCs/>
          <w:noProof/>
          <w:sz w:val="28"/>
        </w:rPr>
        <w:t>Journal of Freshwater Ecology</w:t>
      </w:r>
      <w:r w:rsidRPr="0066053D">
        <w:rPr>
          <w:noProof/>
          <w:sz w:val="28"/>
        </w:rPr>
        <w:t xml:space="preserve">, </w:t>
      </w:r>
      <w:r w:rsidRPr="0066053D">
        <w:rPr>
          <w:i/>
          <w:iCs/>
          <w:noProof/>
          <w:sz w:val="28"/>
        </w:rPr>
        <w:t>21</w:t>
      </w:r>
      <w:r w:rsidRPr="0066053D">
        <w:rPr>
          <w:noProof/>
          <w:sz w:val="28"/>
        </w:rPr>
        <w:t>(2), 231–238. https://doi.org/10.1080/02705060.2006.9664991</w:t>
      </w:r>
    </w:p>
    <w:p w14:paraId="3C38EE89"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Carmichael, W. W. (1994a). The toxins of cyanobacteria. In </w:t>
      </w:r>
      <w:r w:rsidRPr="0066053D">
        <w:rPr>
          <w:i/>
          <w:iCs/>
          <w:noProof/>
          <w:sz w:val="28"/>
        </w:rPr>
        <w:t>Scientific American</w:t>
      </w:r>
      <w:r w:rsidRPr="0066053D">
        <w:rPr>
          <w:noProof/>
          <w:sz w:val="28"/>
        </w:rPr>
        <w:t xml:space="preserve"> (Vol. 270, pp. 78–86). https://doi.org/10.1038/scientificamerican0194-78</w:t>
      </w:r>
    </w:p>
    <w:p w14:paraId="6F23C8D8"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Carmichael, W. W. (1994b). The toxins of cyanobacteria. </w:t>
      </w:r>
      <w:r w:rsidRPr="0066053D">
        <w:rPr>
          <w:i/>
          <w:iCs/>
          <w:noProof/>
          <w:sz w:val="28"/>
        </w:rPr>
        <w:t>Scientific American</w:t>
      </w:r>
      <w:r w:rsidRPr="0066053D">
        <w:rPr>
          <w:noProof/>
          <w:sz w:val="28"/>
        </w:rPr>
        <w:t xml:space="preserve">, </w:t>
      </w:r>
      <w:r w:rsidRPr="0066053D">
        <w:rPr>
          <w:i/>
          <w:iCs/>
          <w:noProof/>
          <w:sz w:val="28"/>
        </w:rPr>
        <w:t>270</w:t>
      </w:r>
      <w:r w:rsidRPr="0066053D">
        <w:rPr>
          <w:noProof/>
          <w:sz w:val="28"/>
        </w:rPr>
        <w:t>, 78–86. https://doi.org/10.1038/scientificamerican0194-78</w:t>
      </w:r>
    </w:p>
    <w:p w14:paraId="4ADD06D2"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Carmichael, W. W. (1997). The Cyanotoxins. In </w:t>
      </w:r>
      <w:r w:rsidRPr="0066053D">
        <w:rPr>
          <w:i/>
          <w:iCs/>
          <w:noProof/>
          <w:sz w:val="28"/>
        </w:rPr>
        <w:t>Advances in Botanical Research</w:t>
      </w:r>
      <w:r w:rsidRPr="0066053D">
        <w:rPr>
          <w:noProof/>
          <w:sz w:val="28"/>
        </w:rPr>
        <w:t xml:space="preserve"> (Vol. 27, Issue C). https://doi.org/10.1016/S0065-2296(08)60282-7</w:t>
      </w:r>
    </w:p>
    <w:p w14:paraId="1C5B85FA"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Chunni, Z., Guijun, Y., Boqiang, Q., Wilhelm, S. W., Yu, L., Lihua, H., Zheng, R., Hongwei, Y., &amp; Zhou, Z. (2019). Effects of mixing intensity on colony size and growth of Microcystis aeruginosa. </w:t>
      </w:r>
      <w:r w:rsidRPr="0066053D">
        <w:rPr>
          <w:i/>
          <w:iCs/>
          <w:noProof/>
          <w:sz w:val="28"/>
        </w:rPr>
        <w:t>Annales de Limnologie</w:t>
      </w:r>
      <w:r w:rsidRPr="0066053D">
        <w:rPr>
          <w:noProof/>
          <w:sz w:val="28"/>
        </w:rPr>
        <w:t xml:space="preserve">, </w:t>
      </w:r>
      <w:r w:rsidRPr="0066053D">
        <w:rPr>
          <w:i/>
          <w:iCs/>
          <w:noProof/>
          <w:sz w:val="28"/>
        </w:rPr>
        <w:t>55</w:t>
      </w:r>
      <w:r w:rsidRPr="0066053D">
        <w:rPr>
          <w:noProof/>
          <w:sz w:val="28"/>
        </w:rPr>
        <w:t>. https://doi.org/10.1051/limn/2019011</w:t>
      </w:r>
    </w:p>
    <w:p w14:paraId="7E2F7992"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Dittmann, E., Neilan, B. A., Erhard, M., Von Döhren, H., &amp; Börner, T. (1997). Insertional mutagenesis of a peptide synthetase gene that is responsible for hepatotoxin production in the cyanobacterium Microcystis aeruginosa PCC 7806. </w:t>
      </w:r>
      <w:r w:rsidRPr="0066053D">
        <w:rPr>
          <w:i/>
          <w:iCs/>
          <w:noProof/>
          <w:sz w:val="28"/>
        </w:rPr>
        <w:t>Molecular Microbiology</w:t>
      </w:r>
      <w:r w:rsidRPr="0066053D">
        <w:rPr>
          <w:noProof/>
          <w:sz w:val="28"/>
        </w:rPr>
        <w:t xml:space="preserve">, </w:t>
      </w:r>
      <w:r w:rsidRPr="0066053D">
        <w:rPr>
          <w:i/>
          <w:iCs/>
          <w:noProof/>
          <w:sz w:val="28"/>
        </w:rPr>
        <w:t>26</w:t>
      </w:r>
      <w:r w:rsidRPr="0066053D">
        <w:rPr>
          <w:noProof/>
          <w:sz w:val="28"/>
        </w:rPr>
        <w:t>(4), 779–787. https://doi.org/10.1046/j.1365-2958.1997.6131982.x</w:t>
      </w:r>
    </w:p>
    <w:p w14:paraId="7E57C741"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Ebert, U., Arrayás, M., Temme, N., Sommeijer, B., &amp; Huisman, J. (2001). Critical conditions for phytoplankton blooms. </w:t>
      </w:r>
      <w:r w:rsidRPr="0066053D">
        <w:rPr>
          <w:i/>
          <w:iCs/>
          <w:noProof/>
          <w:sz w:val="28"/>
        </w:rPr>
        <w:t>Bulletin of Mathematical Biology</w:t>
      </w:r>
      <w:r w:rsidRPr="0066053D">
        <w:rPr>
          <w:noProof/>
          <w:sz w:val="28"/>
        </w:rPr>
        <w:t xml:space="preserve">, </w:t>
      </w:r>
      <w:r w:rsidRPr="0066053D">
        <w:rPr>
          <w:i/>
          <w:iCs/>
          <w:noProof/>
          <w:sz w:val="28"/>
        </w:rPr>
        <w:t>63</w:t>
      </w:r>
      <w:r w:rsidRPr="0066053D">
        <w:rPr>
          <w:noProof/>
          <w:sz w:val="28"/>
        </w:rPr>
        <w:t>, 1095–1124. https://doi.org/10.1006/bulm.2001.0261</w:t>
      </w:r>
    </w:p>
    <w:p w14:paraId="0883F424"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Ehrlich, E., Kath, N. J., &amp; Gaedke, U. (2020). The shape of a defense-growth trade-off governs seasonal trait dynamics in natural phytoplankton. </w:t>
      </w:r>
      <w:r w:rsidRPr="0066053D">
        <w:rPr>
          <w:i/>
          <w:iCs/>
          <w:noProof/>
          <w:sz w:val="28"/>
        </w:rPr>
        <w:t>ISME Journal</w:t>
      </w:r>
      <w:r w:rsidRPr="0066053D">
        <w:rPr>
          <w:noProof/>
          <w:sz w:val="28"/>
        </w:rPr>
        <w:t xml:space="preserve">, </w:t>
      </w:r>
      <w:r w:rsidRPr="0066053D">
        <w:rPr>
          <w:i/>
          <w:iCs/>
          <w:noProof/>
          <w:sz w:val="28"/>
        </w:rPr>
        <w:t>14</w:t>
      </w:r>
      <w:r w:rsidRPr="0066053D">
        <w:rPr>
          <w:noProof/>
          <w:sz w:val="28"/>
        </w:rPr>
        <w:t>(6), 1451–1462. https://doi.org/10.1038/s41396-020-0619-1</w:t>
      </w:r>
    </w:p>
    <w:p w14:paraId="4939AF5E"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EPA, U. S. (2019). Great Lakes National Program Office. </w:t>
      </w:r>
      <w:r w:rsidRPr="0066053D">
        <w:rPr>
          <w:i/>
          <w:iCs/>
          <w:noProof/>
          <w:sz w:val="28"/>
        </w:rPr>
        <w:t>Flat File Data From Zoop Database 4.02_07242019 [Microsoft Excel File]. Retrieved from Https://Cdx.Epa.Gov/</w:t>
      </w:r>
      <w:r w:rsidRPr="0066053D">
        <w:rPr>
          <w:noProof/>
          <w:sz w:val="28"/>
        </w:rPr>
        <w:t>.</w:t>
      </w:r>
    </w:p>
    <w:p w14:paraId="45097C05"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EPA, U. S. E. P. A. (2015). </w:t>
      </w:r>
      <w:r w:rsidRPr="0066053D">
        <w:rPr>
          <w:i/>
          <w:iCs/>
          <w:noProof/>
          <w:sz w:val="28"/>
        </w:rPr>
        <w:t>Drinking Water Health Advisory for the Cyanobacterial Microcystin Toxins - 2015</w:t>
      </w:r>
      <w:r w:rsidRPr="0066053D">
        <w:rPr>
          <w:noProof/>
          <w:sz w:val="28"/>
        </w:rPr>
        <w:t xml:space="preserve">. </w:t>
      </w:r>
      <w:r w:rsidRPr="0066053D">
        <w:rPr>
          <w:i/>
          <w:iCs/>
          <w:noProof/>
          <w:sz w:val="28"/>
        </w:rPr>
        <w:t>June</w:t>
      </w:r>
      <w:r w:rsidRPr="0066053D">
        <w:rPr>
          <w:noProof/>
          <w:sz w:val="28"/>
        </w:rPr>
        <w:t>, 1–75.</w:t>
      </w:r>
    </w:p>
    <w:p w14:paraId="17E7A19D"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Fang, F., Gao, Y., Gan, L., He, X., &amp; Yang, L. (2018). Effects of different initial pH and irradiance levels on cyanobacterial colonies from Lake Taihu, China. </w:t>
      </w:r>
      <w:r w:rsidRPr="0066053D">
        <w:rPr>
          <w:i/>
          <w:iCs/>
          <w:noProof/>
          <w:sz w:val="28"/>
        </w:rPr>
        <w:t>Journal of Applied Phycology</w:t>
      </w:r>
      <w:r w:rsidRPr="0066053D">
        <w:rPr>
          <w:noProof/>
          <w:sz w:val="28"/>
        </w:rPr>
        <w:t xml:space="preserve">, </w:t>
      </w:r>
      <w:r w:rsidRPr="0066053D">
        <w:rPr>
          <w:i/>
          <w:iCs/>
          <w:noProof/>
          <w:sz w:val="28"/>
        </w:rPr>
        <w:lastRenderedPageBreak/>
        <w:t>30</w:t>
      </w:r>
      <w:r w:rsidRPr="0066053D">
        <w:rPr>
          <w:noProof/>
          <w:sz w:val="28"/>
        </w:rPr>
        <w:t>(3), 1777–1793. https://doi.org/10.1007/s10811-018-1394-5</w:t>
      </w:r>
    </w:p>
    <w:p w14:paraId="2C2FB6B0"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Fernández-Rojas, B., Hernández-Juárez, J., &amp; Pedraza-Chaverri, J. (2014). Nutraceutical properties of phycocyanin. </w:t>
      </w:r>
      <w:r w:rsidRPr="0066053D">
        <w:rPr>
          <w:i/>
          <w:iCs/>
          <w:noProof/>
          <w:sz w:val="28"/>
        </w:rPr>
        <w:t>Journal of Functional Foods</w:t>
      </w:r>
      <w:r w:rsidRPr="0066053D">
        <w:rPr>
          <w:noProof/>
          <w:sz w:val="28"/>
        </w:rPr>
        <w:t xml:space="preserve">, </w:t>
      </w:r>
      <w:r w:rsidRPr="0066053D">
        <w:rPr>
          <w:i/>
          <w:iCs/>
          <w:noProof/>
          <w:sz w:val="28"/>
        </w:rPr>
        <w:t>11</w:t>
      </w:r>
      <w:r w:rsidRPr="0066053D">
        <w:rPr>
          <w:noProof/>
          <w:sz w:val="28"/>
        </w:rPr>
        <w:t>(C), 375–392. https://doi.org/10.1016/j.jff.2014.10.011</w:t>
      </w:r>
    </w:p>
    <w:p w14:paraId="3D804FAF"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Ger, Kemal A., Hansson, L. A., &amp; Lürling, M. (2014). Understanding cyanobacteria-zooplankton interactions in a more eutrophic world. </w:t>
      </w:r>
      <w:r w:rsidRPr="0066053D">
        <w:rPr>
          <w:i/>
          <w:iCs/>
          <w:noProof/>
          <w:sz w:val="28"/>
        </w:rPr>
        <w:t>Freshwater Biology</w:t>
      </w:r>
      <w:r w:rsidRPr="0066053D">
        <w:rPr>
          <w:noProof/>
          <w:sz w:val="28"/>
        </w:rPr>
        <w:t xml:space="preserve">, </w:t>
      </w:r>
      <w:r w:rsidRPr="0066053D">
        <w:rPr>
          <w:i/>
          <w:iCs/>
          <w:noProof/>
          <w:sz w:val="28"/>
        </w:rPr>
        <w:t>59</w:t>
      </w:r>
      <w:r w:rsidRPr="0066053D">
        <w:rPr>
          <w:noProof/>
          <w:sz w:val="28"/>
        </w:rPr>
        <w:t>(9), 1783–1798. https://doi.org/10.1111/fwb.12393</w:t>
      </w:r>
    </w:p>
    <w:p w14:paraId="7E7DCCEE"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Ger, Kemal Ali, Naus-Wiezer, S., De Meester, L., &amp; Lürling, M. (2019). Zooplankton grazing selectivity regulates herbivory and dominance of toxic phytoplankton over multiple prey generations. </w:t>
      </w:r>
      <w:r w:rsidRPr="0066053D">
        <w:rPr>
          <w:i/>
          <w:iCs/>
          <w:noProof/>
          <w:sz w:val="28"/>
        </w:rPr>
        <w:t>Limnology and Oceanography</w:t>
      </w:r>
      <w:r w:rsidRPr="0066053D">
        <w:rPr>
          <w:noProof/>
          <w:sz w:val="28"/>
        </w:rPr>
        <w:t xml:space="preserve">, </w:t>
      </w:r>
      <w:r w:rsidRPr="0066053D">
        <w:rPr>
          <w:i/>
          <w:iCs/>
          <w:noProof/>
          <w:sz w:val="28"/>
        </w:rPr>
        <w:t>64</w:t>
      </w:r>
      <w:r w:rsidRPr="0066053D">
        <w:rPr>
          <w:noProof/>
          <w:sz w:val="28"/>
        </w:rPr>
        <w:t>(3), 1214–1227. https://doi.org/10.1002/lno.11108</w:t>
      </w:r>
    </w:p>
    <w:p w14:paraId="3B2BB6EE"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Hansson, L. A., Annadotter, H., Bergman, E., Hamrin, S. F., Jeppesen, E., Kairesalo, T., Luokkanen, E., Nilsson, P. Å., Søndergaard, M., &amp; Strand, J. (1998). Biomanipulation as an application of food-chain theory: Constraints, synthesis, and recommendations for temperate lakes. </w:t>
      </w:r>
      <w:r w:rsidRPr="0066053D">
        <w:rPr>
          <w:i/>
          <w:iCs/>
          <w:noProof/>
          <w:sz w:val="28"/>
        </w:rPr>
        <w:t>Ecosystems</w:t>
      </w:r>
      <w:r w:rsidRPr="0066053D">
        <w:rPr>
          <w:noProof/>
          <w:sz w:val="28"/>
        </w:rPr>
        <w:t xml:space="preserve">, </w:t>
      </w:r>
      <w:r w:rsidRPr="0066053D">
        <w:rPr>
          <w:i/>
          <w:iCs/>
          <w:noProof/>
          <w:sz w:val="28"/>
        </w:rPr>
        <w:t>1</w:t>
      </w:r>
      <w:r w:rsidRPr="0066053D">
        <w:rPr>
          <w:noProof/>
          <w:sz w:val="28"/>
        </w:rPr>
        <w:t>(6), 558–574. https://doi.org/10.1007/s100219900051</w:t>
      </w:r>
    </w:p>
    <w:p w14:paraId="171594AA"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Havens, K. E. (2008). Cyanobacteria blooms: effects on aquatic ecosystems. </w:t>
      </w:r>
      <w:r w:rsidRPr="0066053D">
        <w:rPr>
          <w:i/>
          <w:iCs/>
          <w:noProof/>
          <w:sz w:val="28"/>
        </w:rPr>
        <w:t>Advances in Experimental Medicine and Biology</w:t>
      </w:r>
      <w:r w:rsidRPr="0066053D">
        <w:rPr>
          <w:noProof/>
          <w:sz w:val="28"/>
        </w:rPr>
        <w:t xml:space="preserve">, </w:t>
      </w:r>
      <w:r w:rsidRPr="0066053D">
        <w:rPr>
          <w:i/>
          <w:iCs/>
          <w:noProof/>
          <w:sz w:val="28"/>
        </w:rPr>
        <w:t>619</w:t>
      </w:r>
      <w:r w:rsidRPr="0066053D">
        <w:rPr>
          <w:noProof/>
          <w:sz w:val="28"/>
        </w:rPr>
        <w:t>, 733–747. https://doi.org/10.1007/978-0-387-75865-7_33</w:t>
      </w:r>
    </w:p>
    <w:p w14:paraId="31F50D2F"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Hellweger, F. L., &amp; Kianirad, E. (2007). Individual-based modeling of phytoplankton: Evaluating approaches for applying the cell quota model. </w:t>
      </w:r>
      <w:r w:rsidRPr="0066053D">
        <w:rPr>
          <w:i/>
          <w:iCs/>
          <w:noProof/>
          <w:sz w:val="28"/>
        </w:rPr>
        <w:t>Journal of Theoretical Biology</w:t>
      </w:r>
      <w:r w:rsidRPr="0066053D">
        <w:rPr>
          <w:noProof/>
          <w:sz w:val="28"/>
        </w:rPr>
        <w:t xml:space="preserve">, </w:t>
      </w:r>
      <w:r w:rsidRPr="0066053D">
        <w:rPr>
          <w:i/>
          <w:iCs/>
          <w:noProof/>
          <w:sz w:val="28"/>
        </w:rPr>
        <w:t>249</w:t>
      </w:r>
      <w:r w:rsidRPr="0066053D">
        <w:rPr>
          <w:noProof/>
          <w:sz w:val="28"/>
        </w:rPr>
        <w:t>(3), 554–565. https://doi.org/10.1016/j.jtbi.2007.08.020</w:t>
      </w:r>
    </w:p>
    <w:p w14:paraId="21078C3B"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Ho, J. C., &amp; Michalak, A. M. (2015). Challenges in tracking harmful algal blooms: A synthesis of evidence from Lake Erie. </w:t>
      </w:r>
      <w:r w:rsidRPr="0066053D">
        <w:rPr>
          <w:i/>
          <w:iCs/>
          <w:noProof/>
          <w:sz w:val="28"/>
        </w:rPr>
        <w:t>Journal of Great Lakes Research</w:t>
      </w:r>
      <w:r w:rsidRPr="0066053D">
        <w:rPr>
          <w:noProof/>
          <w:sz w:val="28"/>
        </w:rPr>
        <w:t xml:space="preserve">, </w:t>
      </w:r>
      <w:r w:rsidRPr="0066053D">
        <w:rPr>
          <w:i/>
          <w:iCs/>
          <w:noProof/>
          <w:sz w:val="28"/>
        </w:rPr>
        <w:t>41</w:t>
      </w:r>
      <w:r w:rsidRPr="0066053D">
        <w:rPr>
          <w:noProof/>
          <w:sz w:val="28"/>
        </w:rPr>
        <w:t>(2), 317–325. https://doi.org/10.1016/j.jglr.2015.01.001</w:t>
      </w:r>
    </w:p>
    <w:p w14:paraId="399B8A34"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Holt, R. D., Grover, J., &amp; Tilman, D. (1994). Simple rules for interspecific dominance in systems with exploitative and apparent competition. </w:t>
      </w:r>
      <w:r w:rsidRPr="0066053D">
        <w:rPr>
          <w:i/>
          <w:iCs/>
          <w:noProof/>
          <w:sz w:val="28"/>
        </w:rPr>
        <w:t>American Naturalist</w:t>
      </w:r>
      <w:r w:rsidRPr="0066053D">
        <w:rPr>
          <w:noProof/>
          <w:sz w:val="28"/>
        </w:rPr>
        <w:t xml:space="preserve">, </w:t>
      </w:r>
      <w:r w:rsidRPr="0066053D">
        <w:rPr>
          <w:i/>
          <w:iCs/>
          <w:noProof/>
          <w:sz w:val="28"/>
        </w:rPr>
        <w:t>144</w:t>
      </w:r>
      <w:r w:rsidRPr="0066053D">
        <w:rPr>
          <w:noProof/>
          <w:sz w:val="28"/>
        </w:rPr>
        <w:t>(5), 741–771. https://doi.org/10.1086/285705</w:t>
      </w:r>
    </w:p>
    <w:p w14:paraId="1F11AD68"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Hu, C., &amp; Rzymski, P. (2019). Programmed cell death-like and accompanying release of microcystin in freshwater bloom-forming cyanobacterium microcystis: From identification to ecological </w:t>
      </w:r>
      <w:r w:rsidRPr="0066053D">
        <w:rPr>
          <w:noProof/>
          <w:sz w:val="28"/>
        </w:rPr>
        <w:lastRenderedPageBreak/>
        <w:t xml:space="preserve">relevance. </w:t>
      </w:r>
      <w:r w:rsidRPr="0066053D">
        <w:rPr>
          <w:i/>
          <w:iCs/>
          <w:noProof/>
          <w:sz w:val="28"/>
        </w:rPr>
        <w:t>Toxins</w:t>
      </w:r>
      <w:r w:rsidRPr="0066053D">
        <w:rPr>
          <w:noProof/>
          <w:sz w:val="28"/>
        </w:rPr>
        <w:t xml:space="preserve">, </w:t>
      </w:r>
      <w:r w:rsidRPr="0066053D">
        <w:rPr>
          <w:i/>
          <w:iCs/>
          <w:noProof/>
          <w:sz w:val="28"/>
        </w:rPr>
        <w:t>11</w:t>
      </w:r>
      <w:r w:rsidRPr="0066053D">
        <w:rPr>
          <w:noProof/>
          <w:sz w:val="28"/>
        </w:rPr>
        <w:t>(12), 1–19. https://doi.org/10.3390/toxins11120706</w:t>
      </w:r>
    </w:p>
    <w:p w14:paraId="04363152"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Hutchinson, G. E. (1961). The paradox of the plankton. </w:t>
      </w:r>
      <w:r w:rsidRPr="0066053D">
        <w:rPr>
          <w:i/>
          <w:iCs/>
          <w:noProof/>
          <w:sz w:val="28"/>
        </w:rPr>
        <w:t>The American Naturalist</w:t>
      </w:r>
      <w:r w:rsidRPr="0066053D">
        <w:rPr>
          <w:noProof/>
          <w:sz w:val="28"/>
        </w:rPr>
        <w:t xml:space="preserve">, </w:t>
      </w:r>
      <w:r w:rsidRPr="0066053D">
        <w:rPr>
          <w:i/>
          <w:iCs/>
          <w:noProof/>
          <w:sz w:val="28"/>
        </w:rPr>
        <w:t>95</w:t>
      </w:r>
      <w:r w:rsidRPr="0066053D">
        <w:rPr>
          <w:noProof/>
          <w:sz w:val="28"/>
        </w:rPr>
        <w:t>, 137–145. https://doi.org/10.1017/CBO9781139095075.008</w:t>
      </w:r>
    </w:p>
    <w:p w14:paraId="2E0ED5A8"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Imai, H., Chang, K. H., Kusaba, M., &amp; Nakano, S. I. (2009). Temperature-dependent dominance of Microcystis (Cyanophyceae) species: M. aeruginosa and M. wesenbergii. </w:t>
      </w:r>
      <w:r w:rsidRPr="0066053D">
        <w:rPr>
          <w:i/>
          <w:iCs/>
          <w:noProof/>
          <w:sz w:val="28"/>
        </w:rPr>
        <w:t>Journal of Plankton Research</w:t>
      </w:r>
      <w:r w:rsidRPr="0066053D">
        <w:rPr>
          <w:noProof/>
          <w:sz w:val="28"/>
        </w:rPr>
        <w:t xml:space="preserve">, </w:t>
      </w:r>
      <w:r w:rsidRPr="0066053D">
        <w:rPr>
          <w:i/>
          <w:iCs/>
          <w:noProof/>
          <w:sz w:val="28"/>
        </w:rPr>
        <w:t>31</w:t>
      </w:r>
      <w:r w:rsidRPr="0066053D">
        <w:rPr>
          <w:noProof/>
          <w:sz w:val="28"/>
        </w:rPr>
        <w:t>(2), 171–178. https://doi.org/10.1093/plankt/fbn110</w:t>
      </w:r>
    </w:p>
    <w:p w14:paraId="0A2750B9"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Jiang, L., Xia, M., Ludsin, S. A., Rutherford, E. S., Mason, D. M., Marin Jarrin, J., &amp; Pangle, K. L. (2015). Biophysical modeling assessment of the drivers for plankton dynamics in dreissenid-colonized western Lake Erie. </w:t>
      </w:r>
      <w:r w:rsidRPr="0066053D">
        <w:rPr>
          <w:i/>
          <w:iCs/>
          <w:noProof/>
          <w:sz w:val="28"/>
        </w:rPr>
        <w:t>Ecological Modelling</w:t>
      </w:r>
      <w:r w:rsidRPr="0066053D">
        <w:rPr>
          <w:noProof/>
          <w:sz w:val="28"/>
        </w:rPr>
        <w:t xml:space="preserve">, </w:t>
      </w:r>
      <w:r w:rsidRPr="0066053D">
        <w:rPr>
          <w:i/>
          <w:iCs/>
          <w:noProof/>
          <w:sz w:val="28"/>
        </w:rPr>
        <w:t>308</w:t>
      </w:r>
      <w:r w:rsidRPr="0066053D">
        <w:rPr>
          <w:noProof/>
          <w:sz w:val="28"/>
        </w:rPr>
        <w:t>, 18–33. https://doi.org/10.1016/j.ecolmodel.2015.04.004</w:t>
      </w:r>
    </w:p>
    <w:p w14:paraId="21506FA6"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Jung, S. W., Kim, B. H., Katano, T., Kong, D. S., &amp; Han, M. S. (2008). Pseudomonas fluorescens HYK0210-SK09 offers species-specific biological control of winter algal blooms caused by freshwater diatom Stephanodiscus hantzschii. </w:t>
      </w:r>
      <w:r w:rsidRPr="0066053D">
        <w:rPr>
          <w:i/>
          <w:iCs/>
          <w:noProof/>
          <w:sz w:val="28"/>
        </w:rPr>
        <w:t>Journal of Applied Microbiology</w:t>
      </w:r>
      <w:r w:rsidRPr="0066053D">
        <w:rPr>
          <w:noProof/>
          <w:sz w:val="28"/>
        </w:rPr>
        <w:t xml:space="preserve">, </w:t>
      </w:r>
      <w:r w:rsidRPr="0066053D">
        <w:rPr>
          <w:i/>
          <w:iCs/>
          <w:noProof/>
          <w:sz w:val="28"/>
        </w:rPr>
        <w:t>105</w:t>
      </w:r>
      <w:r w:rsidRPr="0066053D">
        <w:rPr>
          <w:noProof/>
          <w:sz w:val="28"/>
        </w:rPr>
        <w:t>(1), 186–195. https://doi.org/10.1111/j.1365-2672.2008.03733.x</w:t>
      </w:r>
    </w:p>
    <w:p w14:paraId="25D7EDC0"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Kale, A., &amp; Karthick, B. (2015). The diatoms. </w:t>
      </w:r>
      <w:r w:rsidRPr="0066053D">
        <w:rPr>
          <w:i/>
          <w:iCs/>
          <w:noProof/>
          <w:sz w:val="28"/>
        </w:rPr>
        <w:t>Resonance</w:t>
      </w:r>
      <w:r w:rsidRPr="0066053D">
        <w:rPr>
          <w:noProof/>
          <w:sz w:val="28"/>
        </w:rPr>
        <w:t xml:space="preserve">, </w:t>
      </w:r>
      <w:r w:rsidRPr="0066053D">
        <w:rPr>
          <w:i/>
          <w:iCs/>
          <w:noProof/>
          <w:sz w:val="28"/>
        </w:rPr>
        <w:t>20</w:t>
      </w:r>
      <w:r w:rsidRPr="0066053D">
        <w:rPr>
          <w:noProof/>
          <w:sz w:val="28"/>
        </w:rPr>
        <w:t>(10), 919–930. https://doi.org/10.1007/s12045-015-0256-6</w:t>
      </w:r>
    </w:p>
    <w:p w14:paraId="67C8AC4C"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Ke, Z., Xie, P., &amp; Guo, L. (2008). Controlling factors of spring-summer phytoplankton succession in Lake Taihu (Meiliang Bay, China). </w:t>
      </w:r>
      <w:r w:rsidRPr="0066053D">
        <w:rPr>
          <w:i/>
          <w:iCs/>
          <w:noProof/>
          <w:sz w:val="28"/>
        </w:rPr>
        <w:t>Hydrobiologia</w:t>
      </w:r>
      <w:r w:rsidRPr="0066053D">
        <w:rPr>
          <w:noProof/>
          <w:sz w:val="28"/>
        </w:rPr>
        <w:t xml:space="preserve">, </w:t>
      </w:r>
      <w:r w:rsidRPr="0066053D">
        <w:rPr>
          <w:i/>
          <w:iCs/>
          <w:noProof/>
          <w:sz w:val="28"/>
        </w:rPr>
        <w:t>607</w:t>
      </w:r>
      <w:r w:rsidRPr="0066053D">
        <w:rPr>
          <w:noProof/>
          <w:sz w:val="28"/>
        </w:rPr>
        <w:t>(1), 41–49. https://doi.org/10.1007/s10750-008-9365-5</w:t>
      </w:r>
    </w:p>
    <w:p w14:paraId="1886DFBD"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Krishnamurthy, T., Szafraniec, L., Hunt, D. F., Shabanowitz, J., Yates, J. R., Hauer, C. R., Carmichael, W. W., Skulberg, O., Codd, G. A., &amp; Missler, S. (1989). Structural characterization of toxic cyclic peptides from blue-green algae by tandem mass spectrometry. </w:t>
      </w:r>
      <w:r w:rsidRPr="0066053D">
        <w:rPr>
          <w:i/>
          <w:iCs/>
          <w:noProof/>
          <w:sz w:val="28"/>
        </w:rPr>
        <w:t>Proceedings of the National Academy of Sciences of the United States of America</w:t>
      </w:r>
      <w:r w:rsidRPr="0066053D">
        <w:rPr>
          <w:noProof/>
          <w:sz w:val="28"/>
        </w:rPr>
        <w:t xml:space="preserve">, </w:t>
      </w:r>
      <w:r w:rsidRPr="0066053D">
        <w:rPr>
          <w:i/>
          <w:iCs/>
          <w:noProof/>
          <w:sz w:val="28"/>
        </w:rPr>
        <w:t>86</w:t>
      </w:r>
      <w:r w:rsidRPr="0066053D">
        <w:rPr>
          <w:noProof/>
          <w:sz w:val="28"/>
        </w:rPr>
        <w:t>(3), 770–774. https://doi.org/10.1073/pnas.86.3.770</w:t>
      </w:r>
    </w:p>
    <w:p w14:paraId="0942205E"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Lampert, W. (1987). Laboratory studies on zooplankton</w:t>
      </w:r>
      <w:r w:rsidRPr="0066053D">
        <w:rPr>
          <w:rFonts w:ascii="Cambria Math" w:hAnsi="Cambria Math" w:cs="Cambria Math"/>
          <w:noProof/>
          <w:sz w:val="28"/>
        </w:rPr>
        <w:t>‐</w:t>
      </w:r>
      <w:r w:rsidRPr="0066053D">
        <w:rPr>
          <w:noProof/>
          <w:sz w:val="28"/>
        </w:rPr>
        <w:t xml:space="preserve">cyanobacteria interactions. </w:t>
      </w:r>
      <w:r w:rsidRPr="0066053D">
        <w:rPr>
          <w:i/>
          <w:iCs/>
          <w:noProof/>
          <w:sz w:val="28"/>
        </w:rPr>
        <w:t>New Zealand Journal of Marine and Freshwater Research</w:t>
      </w:r>
      <w:r w:rsidRPr="0066053D">
        <w:rPr>
          <w:noProof/>
          <w:sz w:val="28"/>
        </w:rPr>
        <w:t xml:space="preserve">, </w:t>
      </w:r>
      <w:r w:rsidRPr="0066053D">
        <w:rPr>
          <w:i/>
          <w:iCs/>
          <w:noProof/>
          <w:sz w:val="28"/>
        </w:rPr>
        <w:t>21</w:t>
      </w:r>
      <w:r w:rsidRPr="0066053D">
        <w:rPr>
          <w:noProof/>
          <w:sz w:val="28"/>
        </w:rPr>
        <w:t>(3), 483–490. https://doi.org/10.1080/00288330.1987.9516244</w:t>
      </w:r>
    </w:p>
    <w:p w14:paraId="48E06D4C"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lastRenderedPageBreak/>
        <w:t xml:space="preserve">Lindeman, R. L. (1991). The trophic-dynamic aspect of ecology. </w:t>
      </w:r>
      <w:r w:rsidRPr="0066053D">
        <w:rPr>
          <w:i/>
          <w:iCs/>
          <w:noProof/>
          <w:sz w:val="28"/>
        </w:rPr>
        <w:t>Bulletin of Mathematical Biology</w:t>
      </w:r>
      <w:r w:rsidRPr="0066053D">
        <w:rPr>
          <w:noProof/>
          <w:sz w:val="28"/>
        </w:rPr>
        <w:t xml:space="preserve">, </w:t>
      </w:r>
      <w:r w:rsidRPr="0066053D">
        <w:rPr>
          <w:i/>
          <w:iCs/>
          <w:noProof/>
          <w:sz w:val="28"/>
        </w:rPr>
        <w:t>53</w:t>
      </w:r>
      <w:r w:rsidRPr="0066053D">
        <w:rPr>
          <w:noProof/>
          <w:sz w:val="28"/>
        </w:rPr>
        <w:t>, 167–191. https://doi.org/10.1007/BF02464428</w:t>
      </w:r>
    </w:p>
    <w:p w14:paraId="64CDCA75"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Lürling, M. (2021). Grazing resistance in phytoplankton. </w:t>
      </w:r>
      <w:r w:rsidRPr="0066053D">
        <w:rPr>
          <w:i/>
          <w:iCs/>
          <w:noProof/>
          <w:sz w:val="28"/>
        </w:rPr>
        <w:t>Hydrobiologia</w:t>
      </w:r>
      <w:r w:rsidRPr="0066053D">
        <w:rPr>
          <w:noProof/>
          <w:sz w:val="28"/>
        </w:rPr>
        <w:t xml:space="preserve">, </w:t>
      </w:r>
      <w:r w:rsidRPr="0066053D">
        <w:rPr>
          <w:i/>
          <w:iCs/>
          <w:noProof/>
          <w:sz w:val="28"/>
        </w:rPr>
        <w:t>848</w:t>
      </w:r>
      <w:r w:rsidRPr="0066053D">
        <w:rPr>
          <w:noProof/>
          <w:sz w:val="28"/>
        </w:rPr>
        <w:t>(1), 237–249. https://doi.org/10.1007/s10750-020-04370-3</w:t>
      </w:r>
    </w:p>
    <w:p w14:paraId="45DCE024"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Lürling, M., Eshetu, F., Faassen, E. J., Kosten, S., &amp; Huszar, V. L. M. (2013). Comparison of cyanobacterial and green algal growth rates at different temperatures. </w:t>
      </w:r>
      <w:r w:rsidRPr="0066053D">
        <w:rPr>
          <w:i/>
          <w:iCs/>
          <w:noProof/>
          <w:sz w:val="28"/>
        </w:rPr>
        <w:t>Freshwater Biology</w:t>
      </w:r>
      <w:r w:rsidRPr="0066053D">
        <w:rPr>
          <w:noProof/>
          <w:sz w:val="28"/>
        </w:rPr>
        <w:t xml:space="preserve">, </w:t>
      </w:r>
      <w:r w:rsidRPr="0066053D">
        <w:rPr>
          <w:i/>
          <w:iCs/>
          <w:noProof/>
          <w:sz w:val="28"/>
        </w:rPr>
        <w:t>58</w:t>
      </w:r>
      <w:r w:rsidRPr="0066053D">
        <w:rPr>
          <w:noProof/>
          <w:sz w:val="28"/>
        </w:rPr>
        <w:t>(3), 552–559. https://doi.org/10.1111/j.1365-2427.2012.02866.x</w:t>
      </w:r>
    </w:p>
    <w:p w14:paraId="458FA5A9"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Medarevic, D. P., Losic, D., &amp; Ibric, S. R. (2015). </w:t>
      </w:r>
      <w:r w:rsidRPr="0066053D">
        <w:rPr>
          <w:rFonts w:ascii="MS Gothic" w:eastAsia="MS Gothic" w:hAnsi="MS Gothic" w:cs="MS Gothic" w:hint="eastAsia"/>
          <w:noProof/>
          <w:sz w:val="28"/>
        </w:rPr>
        <w:t>程鑫</w:t>
      </w:r>
      <w:r w:rsidRPr="0066053D">
        <w:rPr>
          <w:noProof/>
          <w:sz w:val="28"/>
        </w:rPr>
        <w:t xml:space="preserve"> 1 </w:t>
      </w:r>
      <w:r w:rsidRPr="0066053D">
        <w:rPr>
          <w:rFonts w:ascii="MS Gothic" w:eastAsia="MS Gothic" w:hAnsi="MS Gothic" w:cs="MS Gothic" w:hint="eastAsia"/>
          <w:noProof/>
          <w:sz w:val="28"/>
        </w:rPr>
        <w:t>，朱</w:t>
      </w:r>
      <w:r w:rsidRPr="0066053D">
        <w:rPr>
          <w:rFonts w:ascii="Microsoft JhengHei" w:eastAsia="Microsoft JhengHei" w:hAnsi="Microsoft JhengHei" w:cs="Microsoft JhengHei" w:hint="eastAsia"/>
          <w:noProof/>
          <w:sz w:val="28"/>
        </w:rPr>
        <w:t>泽</w:t>
      </w:r>
      <w:r w:rsidRPr="0066053D">
        <w:rPr>
          <w:rFonts w:ascii="MS Gothic" w:eastAsia="MS Gothic" w:hAnsi="MS Gothic" w:cs="MS Gothic" w:hint="eastAsia"/>
          <w:noProof/>
          <w:sz w:val="28"/>
        </w:rPr>
        <w:t>磊</w:t>
      </w:r>
      <w:r w:rsidRPr="0066053D">
        <w:rPr>
          <w:noProof/>
          <w:sz w:val="28"/>
        </w:rPr>
        <w:t xml:space="preserve"> 2 </w:t>
      </w:r>
      <w:r w:rsidRPr="0066053D">
        <w:rPr>
          <w:rFonts w:ascii="MS Gothic" w:eastAsia="MS Gothic" w:hAnsi="MS Gothic" w:cs="MS Gothic" w:hint="eastAsia"/>
          <w:noProof/>
          <w:sz w:val="28"/>
        </w:rPr>
        <w:t>，</w:t>
      </w:r>
      <w:r w:rsidRPr="0066053D">
        <w:rPr>
          <w:rFonts w:ascii="Microsoft JhengHei" w:eastAsia="Microsoft JhengHei" w:hAnsi="Microsoft JhengHei" w:cs="Microsoft JhengHei" w:hint="eastAsia"/>
          <w:noProof/>
          <w:sz w:val="28"/>
        </w:rPr>
        <w:t>杨</w:t>
      </w:r>
      <w:r w:rsidRPr="0066053D">
        <w:rPr>
          <w:rFonts w:ascii="MS Gothic" w:eastAsia="MS Gothic" w:hAnsi="MS Gothic" w:cs="MS Gothic" w:hint="eastAsia"/>
          <w:noProof/>
          <w:sz w:val="28"/>
        </w:rPr>
        <w:t>桂</w:t>
      </w:r>
      <w:r w:rsidRPr="0066053D">
        <w:rPr>
          <w:rFonts w:ascii="Microsoft JhengHei" w:eastAsia="Microsoft JhengHei" w:hAnsi="Microsoft JhengHei" w:cs="Microsoft JhengHei" w:hint="eastAsia"/>
          <w:noProof/>
          <w:sz w:val="28"/>
        </w:rPr>
        <w:t>钟</w:t>
      </w:r>
      <w:r w:rsidRPr="0066053D">
        <w:rPr>
          <w:noProof/>
          <w:sz w:val="28"/>
        </w:rPr>
        <w:t xml:space="preserve"> 1 </w:t>
      </w:r>
      <w:r w:rsidRPr="0066053D">
        <w:rPr>
          <w:rFonts w:ascii="MS Gothic" w:eastAsia="MS Gothic" w:hAnsi="MS Gothic" w:cs="MS Gothic" w:hint="eastAsia"/>
          <w:noProof/>
          <w:sz w:val="28"/>
        </w:rPr>
        <w:t>（</w:t>
      </w:r>
      <w:r w:rsidRPr="0066053D">
        <w:rPr>
          <w:noProof/>
          <w:sz w:val="28"/>
        </w:rPr>
        <w:t xml:space="preserve"> 1. </w:t>
      </w:r>
      <w:r w:rsidRPr="0066053D">
        <w:rPr>
          <w:i/>
          <w:iCs/>
          <w:noProof/>
          <w:sz w:val="28"/>
        </w:rPr>
        <w:t>Hemijska Industrija</w:t>
      </w:r>
      <w:r w:rsidRPr="0066053D">
        <w:rPr>
          <w:noProof/>
          <w:sz w:val="28"/>
        </w:rPr>
        <w:t xml:space="preserve">, </w:t>
      </w:r>
      <w:r w:rsidRPr="0066053D">
        <w:rPr>
          <w:i/>
          <w:iCs/>
          <w:noProof/>
          <w:sz w:val="28"/>
        </w:rPr>
        <w:t>November</w:t>
      </w:r>
      <w:r w:rsidRPr="0066053D">
        <w:rPr>
          <w:noProof/>
          <w:sz w:val="28"/>
        </w:rPr>
        <w:t>, 1–7.</w:t>
      </w:r>
    </w:p>
    <w:p w14:paraId="32D32368"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Paerl, H. W., &amp; Huisman, J. (2008). Climate: Blooms like it hot. </w:t>
      </w:r>
      <w:r w:rsidRPr="0066053D">
        <w:rPr>
          <w:i/>
          <w:iCs/>
          <w:noProof/>
          <w:sz w:val="28"/>
        </w:rPr>
        <w:t>Science</w:t>
      </w:r>
      <w:r w:rsidRPr="0066053D">
        <w:rPr>
          <w:noProof/>
          <w:sz w:val="28"/>
        </w:rPr>
        <w:t xml:space="preserve">, </w:t>
      </w:r>
      <w:r w:rsidRPr="0066053D">
        <w:rPr>
          <w:i/>
          <w:iCs/>
          <w:noProof/>
          <w:sz w:val="28"/>
        </w:rPr>
        <w:t>320</w:t>
      </w:r>
      <w:r w:rsidRPr="0066053D">
        <w:rPr>
          <w:noProof/>
          <w:sz w:val="28"/>
        </w:rPr>
        <w:t>(5872), 57–58. https://doi.org/10.1126/science.1155398</w:t>
      </w:r>
    </w:p>
    <w:p w14:paraId="69020C8B"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Paerl, H. W., &amp; Paul, V. J. (2012). Climate change: Links to global expansion of harmful cyanobacteria. </w:t>
      </w:r>
      <w:r w:rsidRPr="0066053D">
        <w:rPr>
          <w:i/>
          <w:iCs/>
          <w:noProof/>
          <w:sz w:val="28"/>
        </w:rPr>
        <w:t>Water Research</w:t>
      </w:r>
      <w:r w:rsidRPr="0066053D">
        <w:rPr>
          <w:noProof/>
          <w:sz w:val="28"/>
        </w:rPr>
        <w:t xml:space="preserve">, </w:t>
      </w:r>
      <w:r w:rsidRPr="0066053D">
        <w:rPr>
          <w:i/>
          <w:iCs/>
          <w:noProof/>
          <w:sz w:val="28"/>
        </w:rPr>
        <w:t>46</w:t>
      </w:r>
      <w:r w:rsidRPr="0066053D">
        <w:rPr>
          <w:noProof/>
          <w:sz w:val="28"/>
        </w:rPr>
        <w:t>(5), 1349–1363. https://doi.org/10.1016/j.watres.2011.08.002</w:t>
      </w:r>
    </w:p>
    <w:p w14:paraId="0EA82071"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Peng, G., Wilhelm, S. W., Lin, S., &amp; Wang, X. (2018). Response of Microcystis aeruginosa FACHB-905 to different nutrient ratios and changes in phosphorus chemistry. </w:t>
      </w:r>
      <w:r w:rsidRPr="0066053D">
        <w:rPr>
          <w:i/>
          <w:iCs/>
          <w:noProof/>
          <w:sz w:val="28"/>
        </w:rPr>
        <w:t>Journal of Oceanology and Limnology</w:t>
      </w:r>
      <w:r w:rsidRPr="0066053D">
        <w:rPr>
          <w:noProof/>
          <w:sz w:val="28"/>
        </w:rPr>
        <w:t xml:space="preserve">, </w:t>
      </w:r>
      <w:r w:rsidRPr="0066053D">
        <w:rPr>
          <w:i/>
          <w:iCs/>
          <w:noProof/>
          <w:sz w:val="28"/>
        </w:rPr>
        <w:t>36</w:t>
      </w:r>
      <w:r w:rsidRPr="0066053D">
        <w:rPr>
          <w:noProof/>
          <w:sz w:val="28"/>
        </w:rPr>
        <w:t>(4), 1040–1052. https://doi.org/10.1007/s00343-018-7065-1</w:t>
      </w:r>
    </w:p>
    <w:p w14:paraId="62F150C3"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Rast, W., &amp; Thornton, J. A. (1996). Trends in eutrophication research and control. </w:t>
      </w:r>
      <w:r w:rsidRPr="0066053D">
        <w:rPr>
          <w:i/>
          <w:iCs/>
          <w:noProof/>
          <w:sz w:val="28"/>
        </w:rPr>
        <w:t>Hydrological Processes</w:t>
      </w:r>
      <w:r w:rsidRPr="0066053D">
        <w:rPr>
          <w:noProof/>
          <w:sz w:val="28"/>
        </w:rPr>
        <w:t xml:space="preserve">, </w:t>
      </w:r>
      <w:r w:rsidRPr="0066053D">
        <w:rPr>
          <w:i/>
          <w:iCs/>
          <w:noProof/>
          <w:sz w:val="28"/>
        </w:rPr>
        <w:t>10</w:t>
      </w:r>
      <w:r w:rsidRPr="0066053D">
        <w:rPr>
          <w:noProof/>
          <w:sz w:val="28"/>
        </w:rPr>
        <w:t>, 295–313. https://doi.org/10.1002/(SICI)1099-1085(199602)10:2&lt;295::AID-HYP360&gt;3.0.CO;2-F</w:t>
      </w:r>
    </w:p>
    <w:p w14:paraId="5EB42E24"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Reynolds, C. S. (1973). The seasonal periodicity of planktonic diatoms in a shallow eutrophic lake. </w:t>
      </w:r>
      <w:r w:rsidRPr="0066053D">
        <w:rPr>
          <w:i/>
          <w:iCs/>
          <w:noProof/>
          <w:sz w:val="28"/>
        </w:rPr>
        <w:t>Freshwater Biology</w:t>
      </w:r>
      <w:r w:rsidRPr="0066053D">
        <w:rPr>
          <w:noProof/>
          <w:sz w:val="28"/>
        </w:rPr>
        <w:t xml:space="preserve">, </w:t>
      </w:r>
      <w:r w:rsidRPr="0066053D">
        <w:rPr>
          <w:i/>
          <w:iCs/>
          <w:noProof/>
          <w:sz w:val="28"/>
        </w:rPr>
        <w:t>3</w:t>
      </w:r>
      <w:r w:rsidRPr="0066053D">
        <w:rPr>
          <w:noProof/>
          <w:sz w:val="28"/>
        </w:rPr>
        <w:t>(1), 89–110. https://doi.org/10.1111/j.1365-2427.1973.tb00065.x</w:t>
      </w:r>
    </w:p>
    <w:p w14:paraId="415B0B19"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Ross, C., Santiago-Vázquez, L., &amp; Paul, V. (2006). Toxin release in response to oxidative stress and programmed cell death in the cyanobacterium Microcystis aeruginosa. </w:t>
      </w:r>
      <w:r w:rsidRPr="0066053D">
        <w:rPr>
          <w:i/>
          <w:iCs/>
          <w:noProof/>
          <w:sz w:val="28"/>
        </w:rPr>
        <w:t>Aquatic Toxicology</w:t>
      </w:r>
      <w:r w:rsidRPr="0066053D">
        <w:rPr>
          <w:noProof/>
          <w:sz w:val="28"/>
        </w:rPr>
        <w:t xml:space="preserve">, </w:t>
      </w:r>
      <w:r w:rsidRPr="0066053D">
        <w:rPr>
          <w:i/>
          <w:iCs/>
          <w:noProof/>
          <w:sz w:val="28"/>
        </w:rPr>
        <w:t>78</w:t>
      </w:r>
      <w:r w:rsidRPr="0066053D">
        <w:rPr>
          <w:noProof/>
          <w:sz w:val="28"/>
        </w:rPr>
        <w:t>(1), 66–73. https://doi.org/10.1016/j.aquatox.2006.02.007</w:t>
      </w:r>
    </w:p>
    <w:p w14:paraId="5CC586C3"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Rzymski, P., Klimaszyk, P., Jurczak, T., &amp; Poniedziałek, B. (2020). Oxidative Stress, Programmed Cell Death and Microcystin Release in Microcystis aeruginosa in Response to Daphnia </w:t>
      </w:r>
      <w:r w:rsidRPr="0066053D">
        <w:rPr>
          <w:noProof/>
          <w:sz w:val="28"/>
        </w:rPr>
        <w:lastRenderedPageBreak/>
        <w:t xml:space="preserve">Grazers. </w:t>
      </w:r>
      <w:r w:rsidRPr="0066053D">
        <w:rPr>
          <w:i/>
          <w:iCs/>
          <w:noProof/>
          <w:sz w:val="28"/>
        </w:rPr>
        <w:t>Frontiers in Microbiology</w:t>
      </w:r>
      <w:r w:rsidRPr="0066053D">
        <w:rPr>
          <w:noProof/>
          <w:sz w:val="28"/>
        </w:rPr>
        <w:t xml:space="preserve">, </w:t>
      </w:r>
      <w:r w:rsidRPr="0066053D">
        <w:rPr>
          <w:i/>
          <w:iCs/>
          <w:noProof/>
          <w:sz w:val="28"/>
        </w:rPr>
        <w:t>11</w:t>
      </w:r>
      <w:r w:rsidRPr="0066053D">
        <w:rPr>
          <w:noProof/>
          <w:sz w:val="28"/>
        </w:rPr>
        <w:t>(June). https://doi.org/10.3389/fmicb.2020.01201</w:t>
      </w:r>
    </w:p>
    <w:p w14:paraId="20CFC806"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Schertzer, W. M., Saylor, J. H., Boyce, F. M., Robertson, D. G., &amp; Rosa, F. (1987). Seasonal Thermal Cycle of Lake Erie. </w:t>
      </w:r>
      <w:r w:rsidRPr="0066053D">
        <w:rPr>
          <w:i/>
          <w:iCs/>
          <w:noProof/>
          <w:sz w:val="28"/>
        </w:rPr>
        <w:t>Journal of Great Lakes Research</w:t>
      </w:r>
      <w:r w:rsidRPr="0066053D">
        <w:rPr>
          <w:noProof/>
          <w:sz w:val="28"/>
        </w:rPr>
        <w:t xml:space="preserve">, </w:t>
      </w:r>
      <w:r w:rsidRPr="0066053D">
        <w:rPr>
          <w:i/>
          <w:iCs/>
          <w:noProof/>
          <w:sz w:val="28"/>
        </w:rPr>
        <w:t>13</w:t>
      </w:r>
      <w:r w:rsidRPr="0066053D">
        <w:rPr>
          <w:noProof/>
          <w:sz w:val="28"/>
        </w:rPr>
        <w:t>(4), 468–486. https://doi.org/10.1016/S0380-1330(87)71667-0</w:t>
      </w:r>
    </w:p>
    <w:p w14:paraId="5E395835"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Schmidt, J. R., Wilhelm, S. W., &amp; Boyer, G. L. (2014). The fate of microcystins in the environment and challenges for monitoring. </w:t>
      </w:r>
      <w:r w:rsidRPr="0066053D">
        <w:rPr>
          <w:i/>
          <w:iCs/>
          <w:noProof/>
          <w:sz w:val="28"/>
        </w:rPr>
        <w:t>Toxins</w:t>
      </w:r>
      <w:r w:rsidRPr="0066053D">
        <w:rPr>
          <w:noProof/>
          <w:sz w:val="28"/>
        </w:rPr>
        <w:t xml:space="preserve">, </w:t>
      </w:r>
      <w:r w:rsidRPr="0066053D">
        <w:rPr>
          <w:i/>
          <w:iCs/>
          <w:noProof/>
          <w:sz w:val="28"/>
        </w:rPr>
        <w:t>6</w:t>
      </w:r>
      <w:r w:rsidRPr="0066053D">
        <w:rPr>
          <w:noProof/>
          <w:sz w:val="28"/>
        </w:rPr>
        <w:t>(12), 3354–3387. https://doi.org/10.3390/toxins6123354</w:t>
      </w:r>
    </w:p>
    <w:p w14:paraId="58F9D4C6"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Spillane, T. (2016). Diatom frustules as a mechanical defense against predation by geterotrophic dinoflagellates. </w:t>
      </w:r>
      <w:r w:rsidRPr="0066053D">
        <w:rPr>
          <w:i/>
          <w:iCs/>
          <w:noProof/>
          <w:sz w:val="28"/>
        </w:rPr>
        <w:t>WWU Graduate School Collection</w:t>
      </w:r>
      <w:r w:rsidRPr="0066053D">
        <w:rPr>
          <w:noProof/>
          <w:sz w:val="28"/>
        </w:rPr>
        <w:t xml:space="preserve">, </w:t>
      </w:r>
      <w:r w:rsidRPr="0066053D">
        <w:rPr>
          <w:i/>
          <w:iCs/>
          <w:noProof/>
          <w:sz w:val="28"/>
        </w:rPr>
        <w:t>465</w:t>
      </w:r>
      <w:r w:rsidRPr="0066053D">
        <w:rPr>
          <w:noProof/>
          <w:sz w:val="28"/>
        </w:rPr>
        <w:t>, 1–51.</w:t>
      </w:r>
    </w:p>
    <w:p w14:paraId="0364A2E0"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Tambling, C. J., Minnie, L., Meyer, J., Freeman, E. W., Santymire, R. M., Adendorff, J., &amp; Kerley, G. I. H. (2015). Temporal shifts in activity of prey following large predator reintroductions. </w:t>
      </w:r>
      <w:r w:rsidRPr="0066053D">
        <w:rPr>
          <w:i/>
          <w:iCs/>
          <w:noProof/>
          <w:sz w:val="28"/>
        </w:rPr>
        <w:t>Behavioral Ecology and Sociobiology</w:t>
      </w:r>
      <w:r w:rsidRPr="0066053D">
        <w:rPr>
          <w:noProof/>
          <w:sz w:val="28"/>
        </w:rPr>
        <w:t>.</w:t>
      </w:r>
    </w:p>
    <w:p w14:paraId="46C910EA"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Tillett, D., Dittmann, E., Erhard, M., Von Döhren, H., Börner, T., &amp; Neilan, B. A. (2000). Structural organization of microcystin biosynthesis in Microcystis aeruginosa PCC7806: An integrated peptide-polyketide synthetase system. </w:t>
      </w:r>
      <w:r w:rsidRPr="0066053D">
        <w:rPr>
          <w:i/>
          <w:iCs/>
          <w:noProof/>
          <w:sz w:val="28"/>
        </w:rPr>
        <w:t>Chemistry and Biology</w:t>
      </w:r>
      <w:r w:rsidRPr="0066053D">
        <w:rPr>
          <w:noProof/>
          <w:sz w:val="28"/>
        </w:rPr>
        <w:t xml:space="preserve">, </w:t>
      </w:r>
      <w:r w:rsidRPr="0066053D">
        <w:rPr>
          <w:i/>
          <w:iCs/>
          <w:noProof/>
          <w:sz w:val="28"/>
        </w:rPr>
        <w:t>7</w:t>
      </w:r>
      <w:r w:rsidRPr="0066053D">
        <w:rPr>
          <w:noProof/>
          <w:sz w:val="28"/>
        </w:rPr>
        <w:t>(10), 753–764. https://doi.org/10.1016/S1074-5521(00)00021-1</w:t>
      </w:r>
    </w:p>
    <w:p w14:paraId="2A9ABAEC"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Tilman, D. (1982). Resource Competition and Community Structure. </w:t>
      </w:r>
      <w:r w:rsidRPr="0066053D">
        <w:rPr>
          <w:i/>
          <w:iCs/>
          <w:noProof/>
          <w:sz w:val="28"/>
        </w:rPr>
        <w:t>Princeton University Press, N.J.</w:t>
      </w:r>
    </w:p>
    <w:p w14:paraId="0D01C861"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Tilman, D. (2004). A stochastic theory of resource competition, community assembly and invasions. </w:t>
      </w:r>
      <w:r w:rsidRPr="0066053D">
        <w:rPr>
          <w:i/>
          <w:iCs/>
          <w:noProof/>
          <w:sz w:val="28"/>
        </w:rPr>
        <w:t>Proceedings of the National Academy of Sciences of the United States of America</w:t>
      </w:r>
      <w:r w:rsidRPr="0066053D">
        <w:rPr>
          <w:noProof/>
          <w:sz w:val="28"/>
        </w:rPr>
        <w:t xml:space="preserve">, </w:t>
      </w:r>
      <w:r w:rsidRPr="0066053D">
        <w:rPr>
          <w:i/>
          <w:iCs/>
          <w:noProof/>
          <w:sz w:val="28"/>
        </w:rPr>
        <w:t>101</w:t>
      </w:r>
      <w:r w:rsidRPr="0066053D">
        <w:rPr>
          <w:noProof/>
          <w:sz w:val="28"/>
        </w:rPr>
        <w:t>, 10854–10861.</w:t>
      </w:r>
    </w:p>
    <w:p w14:paraId="1870E025"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Urrutia-Cordero, P., Ekvall, M. K., &amp; Hansson, L. A. (2016). Controlling harmful cyanobacteria: Taxa-specific responses of cyanobacteria to grazing by large-bodied Daphnia in a biomanipulation scenario. </w:t>
      </w:r>
      <w:r w:rsidRPr="0066053D">
        <w:rPr>
          <w:i/>
          <w:iCs/>
          <w:noProof/>
          <w:sz w:val="28"/>
        </w:rPr>
        <w:t>PLoS ONE</w:t>
      </w:r>
      <w:r w:rsidRPr="0066053D">
        <w:rPr>
          <w:noProof/>
          <w:sz w:val="28"/>
        </w:rPr>
        <w:t xml:space="preserve">, </w:t>
      </w:r>
      <w:r w:rsidRPr="0066053D">
        <w:rPr>
          <w:i/>
          <w:iCs/>
          <w:noProof/>
          <w:sz w:val="28"/>
        </w:rPr>
        <w:t>11</w:t>
      </w:r>
      <w:r w:rsidRPr="0066053D">
        <w:rPr>
          <w:noProof/>
          <w:sz w:val="28"/>
        </w:rPr>
        <w:t>(4), 1–14. https://doi.org/10.1371/journal.pone.0153032</w:t>
      </w:r>
    </w:p>
    <w:p w14:paraId="3D53BA0B"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Van Dolah, F. M., Lidie, K. B., Monroe, E. A., Bhattacharya, D., Campbell, L., Doucette, G. J., &amp; Kamykowski, D. (2009). The Florida red tide dinoflagellate Karenia brevis: New insights into cellular and molecular processes underlying bloom dynamics. </w:t>
      </w:r>
      <w:r w:rsidRPr="0066053D">
        <w:rPr>
          <w:i/>
          <w:iCs/>
          <w:noProof/>
          <w:sz w:val="28"/>
        </w:rPr>
        <w:t>Harmful Algae</w:t>
      </w:r>
      <w:r w:rsidRPr="0066053D">
        <w:rPr>
          <w:noProof/>
          <w:sz w:val="28"/>
        </w:rPr>
        <w:t xml:space="preserve">, </w:t>
      </w:r>
      <w:r w:rsidRPr="0066053D">
        <w:rPr>
          <w:i/>
          <w:iCs/>
          <w:noProof/>
          <w:sz w:val="28"/>
        </w:rPr>
        <w:t>8</w:t>
      </w:r>
      <w:r w:rsidRPr="0066053D">
        <w:rPr>
          <w:noProof/>
          <w:sz w:val="28"/>
        </w:rPr>
        <w:t>(4), 562–572. https://doi.org/10.1016/j.hal.2008.11.004</w:t>
      </w:r>
    </w:p>
    <w:p w14:paraId="5015003A"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lastRenderedPageBreak/>
        <w:t xml:space="preserve">Wilhelm, S. W., Bullerjahn, G. S., &amp; McKay, R. M. L. (2020). The complicated and confusing ecology of microcystis blooms. </w:t>
      </w:r>
      <w:r w:rsidRPr="0066053D">
        <w:rPr>
          <w:i/>
          <w:iCs/>
          <w:noProof/>
          <w:sz w:val="28"/>
        </w:rPr>
        <w:t>MBio</w:t>
      </w:r>
      <w:r w:rsidRPr="0066053D">
        <w:rPr>
          <w:noProof/>
          <w:sz w:val="28"/>
        </w:rPr>
        <w:t xml:space="preserve">, </w:t>
      </w:r>
      <w:r w:rsidRPr="0066053D">
        <w:rPr>
          <w:i/>
          <w:iCs/>
          <w:noProof/>
          <w:sz w:val="28"/>
        </w:rPr>
        <w:t>11</w:t>
      </w:r>
      <w:r w:rsidRPr="0066053D">
        <w:rPr>
          <w:noProof/>
          <w:sz w:val="28"/>
        </w:rPr>
        <w:t>, 1–5. https://doi.org/10.1128/MBIO.00529-20</w:t>
      </w:r>
    </w:p>
    <w:p w14:paraId="50B68ECE"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Wilson, A. E., Sarnelle, O., &amp; Tillmanns, A. R. (2006). Effects of cyanobacterial toxicity and morphology on the population growth of freshwater zooplankton: Meta-analyses of laboratory experiments. </w:t>
      </w:r>
      <w:r w:rsidRPr="0066053D">
        <w:rPr>
          <w:i/>
          <w:iCs/>
          <w:noProof/>
          <w:sz w:val="28"/>
        </w:rPr>
        <w:t>Limnology and Oceanography</w:t>
      </w:r>
      <w:r w:rsidRPr="0066053D">
        <w:rPr>
          <w:noProof/>
          <w:sz w:val="28"/>
        </w:rPr>
        <w:t xml:space="preserve">, </w:t>
      </w:r>
      <w:r w:rsidRPr="0066053D">
        <w:rPr>
          <w:i/>
          <w:iCs/>
          <w:noProof/>
          <w:sz w:val="28"/>
        </w:rPr>
        <w:t>51</w:t>
      </w:r>
      <w:r w:rsidRPr="0066053D">
        <w:rPr>
          <w:noProof/>
          <w:sz w:val="28"/>
        </w:rPr>
        <w:t>(4), 1915–1924. https://doi.org/10.4319/lo.2006.51.4.1915</w:t>
      </w:r>
    </w:p>
    <w:p w14:paraId="06915798"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Wu, Z. X., &amp; Song, L. R. (2008). Physiological comparison between colonial and unicellular forms of Microcystis aeruginosa Kütz. (Cyanobacteria). </w:t>
      </w:r>
      <w:r w:rsidRPr="0066053D">
        <w:rPr>
          <w:i/>
          <w:iCs/>
          <w:noProof/>
          <w:sz w:val="28"/>
        </w:rPr>
        <w:t>Phycologia</w:t>
      </w:r>
      <w:r w:rsidRPr="0066053D">
        <w:rPr>
          <w:noProof/>
          <w:sz w:val="28"/>
        </w:rPr>
        <w:t xml:space="preserve">, </w:t>
      </w:r>
      <w:r w:rsidRPr="0066053D">
        <w:rPr>
          <w:i/>
          <w:iCs/>
          <w:noProof/>
          <w:sz w:val="28"/>
        </w:rPr>
        <w:t>47</w:t>
      </w:r>
      <w:r w:rsidRPr="0066053D">
        <w:rPr>
          <w:noProof/>
          <w:sz w:val="28"/>
        </w:rPr>
        <w:t>(1), 98–104. https://doi.org/10.2216/07-49.1</w:t>
      </w:r>
    </w:p>
    <w:p w14:paraId="10DA2522"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Xiao, M., Li, M., &amp; Reynolds, C. S. (2018). Colony formation in the cyanobacterium Microcystis. </w:t>
      </w:r>
      <w:r w:rsidRPr="0066053D">
        <w:rPr>
          <w:i/>
          <w:iCs/>
          <w:noProof/>
          <w:sz w:val="28"/>
        </w:rPr>
        <w:t>Biological Reviews</w:t>
      </w:r>
      <w:r w:rsidRPr="0066053D">
        <w:rPr>
          <w:noProof/>
          <w:sz w:val="28"/>
        </w:rPr>
        <w:t xml:space="preserve">, </w:t>
      </w:r>
      <w:r w:rsidRPr="0066053D">
        <w:rPr>
          <w:i/>
          <w:iCs/>
          <w:noProof/>
          <w:sz w:val="28"/>
        </w:rPr>
        <w:t>93</w:t>
      </w:r>
      <w:r w:rsidRPr="0066053D">
        <w:rPr>
          <w:noProof/>
          <w:sz w:val="28"/>
        </w:rPr>
        <w:t>(3), 1399–1420. https://doi.org/10.1111/brv.12401</w:t>
      </w:r>
    </w:p>
    <w:p w14:paraId="1BCF44B3"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Yang, J., Tang, H., Zhang, X., Zhu, X., Huang, Y., &amp; Yang, Z. (2018). High temperature and pH favor Microcystis aeruginosa to outcompete Scenedesmus obliquus. </w:t>
      </w:r>
      <w:r w:rsidRPr="0066053D">
        <w:rPr>
          <w:i/>
          <w:iCs/>
          <w:noProof/>
          <w:sz w:val="28"/>
        </w:rPr>
        <w:t>Environmental Science and Pollution Research</w:t>
      </w:r>
      <w:r w:rsidRPr="0066053D">
        <w:rPr>
          <w:noProof/>
          <w:sz w:val="28"/>
        </w:rPr>
        <w:t xml:space="preserve">, </w:t>
      </w:r>
      <w:r w:rsidRPr="0066053D">
        <w:rPr>
          <w:i/>
          <w:iCs/>
          <w:noProof/>
          <w:sz w:val="28"/>
        </w:rPr>
        <w:t>25</w:t>
      </w:r>
      <w:r w:rsidRPr="0066053D">
        <w:rPr>
          <w:noProof/>
          <w:sz w:val="28"/>
        </w:rPr>
        <w:t>(5), 4794–4802. https://doi.org/10.1007/s11356-017-0887-0</w:t>
      </w:r>
    </w:p>
    <w:p w14:paraId="798B351B"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Zhang, H., Culver, D. A., &amp; Boegman, L. (2008). A two-dimensional ecological model of Lake Erie: Application to estimate dreissenid impacts on large lake plankton populations. </w:t>
      </w:r>
      <w:r w:rsidRPr="0066053D">
        <w:rPr>
          <w:i/>
          <w:iCs/>
          <w:noProof/>
          <w:sz w:val="28"/>
        </w:rPr>
        <w:t>Ecological Modelling</w:t>
      </w:r>
      <w:r w:rsidRPr="0066053D">
        <w:rPr>
          <w:noProof/>
          <w:sz w:val="28"/>
        </w:rPr>
        <w:t xml:space="preserve">, </w:t>
      </w:r>
      <w:r w:rsidRPr="0066053D">
        <w:rPr>
          <w:i/>
          <w:iCs/>
          <w:noProof/>
          <w:sz w:val="28"/>
        </w:rPr>
        <w:t>214</w:t>
      </w:r>
      <w:r w:rsidRPr="0066053D">
        <w:rPr>
          <w:noProof/>
          <w:sz w:val="28"/>
        </w:rPr>
        <w:t>(2–4), 219–241. https://doi.org/10.1016/j.ecolmodel.2008.02.005</w:t>
      </w:r>
    </w:p>
    <w:p w14:paraId="6C8141D8"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Zhang, M., Shi, X., Yu, Y., &amp; Kong, F. (2011). The acclimative changes in photochemistry after colony formation of the cyanobacteria Microcystis aeruginosa. </w:t>
      </w:r>
      <w:r w:rsidRPr="0066053D">
        <w:rPr>
          <w:i/>
          <w:iCs/>
          <w:noProof/>
          <w:sz w:val="28"/>
        </w:rPr>
        <w:t>Journal of Phycology</w:t>
      </w:r>
      <w:r w:rsidRPr="0066053D">
        <w:rPr>
          <w:noProof/>
          <w:sz w:val="28"/>
        </w:rPr>
        <w:t xml:space="preserve">, </w:t>
      </w:r>
      <w:r w:rsidRPr="0066053D">
        <w:rPr>
          <w:i/>
          <w:iCs/>
          <w:noProof/>
          <w:sz w:val="28"/>
        </w:rPr>
        <w:t>47</w:t>
      </w:r>
      <w:r w:rsidRPr="0066053D">
        <w:rPr>
          <w:noProof/>
          <w:sz w:val="28"/>
        </w:rPr>
        <w:t>(3), 524–532. https://doi.org/10.1111/j.1529-8817.2011.00987.x</w:t>
      </w:r>
    </w:p>
    <w:p w14:paraId="35C7F12F"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Zheng, J., Zhou, T., &amp; Tao, Y. (2019). Optimized inhibition on Microcystis aeruginosa by combined use of UV-C irradiation and hydrogen peroxide. </w:t>
      </w:r>
      <w:r w:rsidRPr="0066053D">
        <w:rPr>
          <w:i/>
          <w:iCs/>
          <w:noProof/>
          <w:sz w:val="28"/>
        </w:rPr>
        <w:t>IOP Conference Series: Earth and Environmental Science</w:t>
      </w:r>
      <w:r w:rsidRPr="0066053D">
        <w:rPr>
          <w:noProof/>
          <w:sz w:val="28"/>
        </w:rPr>
        <w:t xml:space="preserve">, </w:t>
      </w:r>
      <w:r w:rsidRPr="0066053D">
        <w:rPr>
          <w:i/>
          <w:iCs/>
          <w:noProof/>
          <w:sz w:val="28"/>
        </w:rPr>
        <w:t>295</w:t>
      </w:r>
      <w:r w:rsidRPr="0066053D">
        <w:rPr>
          <w:noProof/>
          <w:sz w:val="28"/>
        </w:rPr>
        <w:t>(2). https://doi.org/10.1088/1755-1315/295/2/012084</w:t>
      </w:r>
    </w:p>
    <w:p w14:paraId="527C5956"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Zhu, W., Sun, Q., Chen, F., &amp; Li, M. (2015). Cellular N:P ratio of Microcystis as an indicator of nutrient limitation—implications and applications. </w:t>
      </w:r>
      <w:r w:rsidRPr="0066053D">
        <w:rPr>
          <w:i/>
          <w:iCs/>
          <w:noProof/>
          <w:sz w:val="28"/>
        </w:rPr>
        <w:t>Environmental Earth Sciences</w:t>
      </w:r>
      <w:r w:rsidRPr="0066053D">
        <w:rPr>
          <w:noProof/>
          <w:sz w:val="28"/>
        </w:rPr>
        <w:t xml:space="preserve">, </w:t>
      </w:r>
      <w:r w:rsidRPr="0066053D">
        <w:rPr>
          <w:i/>
          <w:iCs/>
          <w:noProof/>
          <w:sz w:val="28"/>
        </w:rPr>
        <w:t>74</w:t>
      </w:r>
      <w:r w:rsidRPr="0066053D">
        <w:rPr>
          <w:noProof/>
          <w:sz w:val="28"/>
        </w:rPr>
        <w:t xml:space="preserve">(5), 4023–4030. </w:t>
      </w:r>
      <w:r w:rsidRPr="0066053D">
        <w:rPr>
          <w:noProof/>
          <w:sz w:val="28"/>
        </w:rPr>
        <w:lastRenderedPageBreak/>
        <w:t>https://doi.org/10.1007/s12665-015-4707-x</w:t>
      </w:r>
    </w:p>
    <w:p w14:paraId="077C1A1A" w14:textId="77777777" w:rsidR="0066053D" w:rsidRPr="0066053D" w:rsidRDefault="0066053D" w:rsidP="0066053D">
      <w:pPr>
        <w:widowControl w:val="0"/>
        <w:autoSpaceDE w:val="0"/>
        <w:autoSpaceDN w:val="0"/>
        <w:adjustRightInd w:val="0"/>
        <w:ind w:left="480" w:hanging="480"/>
        <w:rPr>
          <w:noProof/>
          <w:sz w:val="28"/>
        </w:rPr>
      </w:pPr>
      <w:r w:rsidRPr="0066053D">
        <w:rPr>
          <w:noProof/>
          <w:sz w:val="28"/>
        </w:rPr>
        <w:t xml:space="preserve">Zuo, J., Chen, L., Shan, K., Hu, L., Song, L., &amp; Gan, N. (2018). Assessment of different mcy genes for detecting the toxic to non-toxic Microcystis ratio in the field by multiplex qPCR. </w:t>
      </w:r>
      <w:r w:rsidRPr="0066053D">
        <w:rPr>
          <w:i/>
          <w:iCs/>
          <w:noProof/>
          <w:sz w:val="28"/>
        </w:rPr>
        <w:t>Journal of Oceanology and Limnology</w:t>
      </w:r>
      <w:r w:rsidRPr="0066053D">
        <w:rPr>
          <w:noProof/>
          <w:sz w:val="28"/>
        </w:rPr>
        <w:t xml:space="preserve">, </w:t>
      </w:r>
      <w:r w:rsidRPr="0066053D">
        <w:rPr>
          <w:i/>
          <w:iCs/>
          <w:noProof/>
          <w:sz w:val="28"/>
        </w:rPr>
        <w:t>36</w:t>
      </w:r>
      <w:r w:rsidRPr="0066053D">
        <w:rPr>
          <w:noProof/>
          <w:sz w:val="28"/>
        </w:rPr>
        <w:t>(4), 1132–1144. https://doi.org/10.1007/s00343-019-7186-1</w:t>
      </w:r>
    </w:p>
    <w:p w14:paraId="0C45FEA6" w14:textId="3F021377" w:rsidR="007F5B61" w:rsidRDefault="00FA535B" w:rsidP="0066053D">
      <w:pPr>
        <w:widowControl w:val="0"/>
        <w:autoSpaceDE w:val="0"/>
        <w:autoSpaceDN w:val="0"/>
        <w:adjustRightInd w:val="0"/>
        <w:ind w:left="480" w:hanging="480"/>
        <w:rPr>
          <w:sz w:val="28"/>
          <w:szCs w:val="28"/>
        </w:rPr>
      </w:pPr>
      <w:r>
        <w:rPr>
          <w:sz w:val="28"/>
          <w:szCs w:val="28"/>
        </w:rPr>
        <w:fldChar w:fldCharType="end"/>
      </w:r>
    </w:p>
    <w:p w14:paraId="19F3B4B8" w14:textId="77777777" w:rsidR="007F5B61" w:rsidRDefault="007F5B61">
      <w:pPr>
        <w:rPr>
          <w:sz w:val="28"/>
          <w:szCs w:val="28"/>
        </w:rPr>
      </w:pPr>
      <w:r>
        <w:rPr>
          <w:sz w:val="28"/>
          <w:szCs w:val="28"/>
        </w:rPr>
        <w:br w:type="page"/>
      </w:r>
    </w:p>
    <w:p w14:paraId="7C830838" w14:textId="3DA157D6" w:rsidR="007F5B61" w:rsidRPr="009D2AA9" w:rsidRDefault="007F5B61" w:rsidP="007F5B61">
      <w:pPr>
        <w:pStyle w:val="AltHeading1"/>
      </w:pPr>
      <w:bookmarkStart w:id="80" w:name="_Toc427156484"/>
      <w:bookmarkStart w:id="81" w:name="_Toc98680882"/>
      <w:bookmarkStart w:id="82" w:name="_Toc98680923"/>
      <w:bookmarkStart w:id="83" w:name="_Toc98870963"/>
      <w:r w:rsidRPr="009D2AA9">
        <w:lastRenderedPageBreak/>
        <w:t>Appendix</w:t>
      </w:r>
      <w:bookmarkEnd w:id="80"/>
      <w:bookmarkEnd w:id="81"/>
      <w:bookmarkEnd w:id="82"/>
      <w:bookmarkEnd w:id="83"/>
    </w:p>
    <w:p w14:paraId="2B1F297E" w14:textId="60DDCD05" w:rsidR="007F5B61" w:rsidRDefault="007F5B61">
      <w:r>
        <w:br w:type="page"/>
      </w:r>
    </w:p>
    <w:p w14:paraId="6EF6307A" w14:textId="5B7C7E92" w:rsidR="0027521C" w:rsidRPr="00A954E1" w:rsidRDefault="0027521C" w:rsidP="00240F72">
      <w:pPr>
        <w:pStyle w:val="Heading2"/>
      </w:pPr>
      <w:bookmarkStart w:id="84" w:name="_Toc98870964"/>
      <w:r>
        <w:lastRenderedPageBreak/>
        <w:t>Steady State Solutions</w:t>
      </w:r>
      <w:bookmarkEnd w:id="84"/>
    </w:p>
    <w:p w14:paraId="75AEAB08" w14:textId="77777777" w:rsidR="0027521C" w:rsidRPr="002E176E" w:rsidRDefault="0027521C" w:rsidP="0027521C">
      <w:pPr>
        <w:spacing w:line="480" w:lineRule="auto"/>
        <w:ind w:firstLine="720"/>
      </w:pPr>
      <w:r>
        <w:t xml:space="preserve">Steady-state solutions are solutions to the system of equations in which the system reaches an equilibrium based on the parameters given in the equations. The system of equations from Equations 1-4 can be set equal to zero and solved for five different possible solution shown below </w:t>
      </w:r>
      <w:r w:rsidRPr="003B0223">
        <w:rPr>
          <w:b/>
          <w:bCs/>
        </w:rPr>
        <w:t xml:space="preserve">(Solution 1-Solution 5). </w:t>
      </w:r>
    </w:p>
    <w:p w14:paraId="48E455B4" w14:textId="77777777" w:rsidR="0027521C" w:rsidRDefault="0027521C" w:rsidP="0027521C">
      <w:pPr>
        <w:spacing w:line="480" w:lineRule="auto"/>
        <w:rPr>
          <w:u w:val="single"/>
        </w:rPr>
      </w:pPr>
      <w:r w:rsidRPr="00CF2E60">
        <w:rPr>
          <w:u w:val="single"/>
        </w:rPr>
        <w:t xml:space="preserve">Solution 1: </w:t>
      </w:r>
    </w:p>
    <w:p w14:paraId="7AB8C7B5" w14:textId="77777777" w:rsidR="0027521C" w:rsidRPr="002B0F3D" w:rsidRDefault="0027521C" w:rsidP="0027521C">
      <w:pPr>
        <w:spacing w:line="480" w:lineRule="auto"/>
      </w:pPr>
      <w:r>
        <w:tab/>
        <w:t xml:space="preserve">Solution 1 contains the Nitrogen group and Producer 1 group as seen in </w:t>
      </w:r>
      <w:r w:rsidRPr="003B0223">
        <w:rPr>
          <w:b/>
          <w:bCs/>
        </w:rPr>
        <w:t>Figure 19</w:t>
      </w:r>
      <w:r>
        <w:t xml:space="preserve">. This solution set shows the equations for which Nitrogen and Producer 1 groups reach an equilibrium value, </w:t>
      </w:r>
      <w:r w:rsidRPr="003B0223">
        <w:rPr>
          <w:b/>
          <w:bCs/>
        </w:rPr>
        <w:t>Equation Set 5.</w:t>
      </w:r>
      <w:r>
        <w:t xml:space="preserve"> </w:t>
      </w:r>
    </w:p>
    <w:p w14:paraId="1DD26B7C" w14:textId="77777777" w:rsidR="0027521C" w:rsidRDefault="0027521C" w:rsidP="0027521C">
      <w:pPr>
        <w:spacing w:line="480" w:lineRule="auto"/>
      </w:pPr>
      <w:r>
        <w:rPr>
          <w:noProof/>
        </w:rPr>
        <w:drawing>
          <wp:inline distT="0" distB="0" distL="0" distR="0" wp14:anchorId="0294C03D" wp14:editId="1F9F91CB">
            <wp:extent cx="2743200" cy="1913324"/>
            <wp:effectExtent l="0" t="0" r="0" b="4445"/>
            <wp:docPr id="41" name="Picture 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Diagram&#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745339" cy="1914816"/>
                    </a:xfrm>
                    <a:prstGeom prst="rect">
                      <a:avLst/>
                    </a:prstGeom>
                  </pic:spPr>
                </pic:pic>
              </a:graphicData>
            </a:graphic>
          </wp:inline>
        </w:drawing>
      </w:r>
    </w:p>
    <w:p w14:paraId="2C7229EC" w14:textId="77777777" w:rsidR="0027521C" w:rsidRPr="008517E7" w:rsidRDefault="0027521C" w:rsidP="0027521C">
      <w:pPr>
        <w:spacing w:line="480" w:lineRule="auto"/>
      </w:pPr>
      <w:r>
        <w:t>This steady-state solution shows that the Nitrogen group equilibrium will be equal to the death rate of Producer 1 divided by the resource affinity of Producer 1. The Producer 1 group will have an equilibrium value equal to the supply rate minus the nitrogen degradation rate and divided by the background death rate of Producer 1. This steady state shows us that only the Producer 1 equilibrium is reliant on the supply rate of Nitrogen.</w:t>
      </w:r>
    </w:p>
    <w:p w14:paraId="32BF0D37" w14:textId="77777777" w:rsidR="0027521C" w:rsidRDefault="0027521C" w:rsidP="0027521C">
      <w:pPr>
        <w:spacing w:line="480" w:lineRule="auto"/>
        <w:rPr>
          <w:u w:val="single"/>
        </w:rPr>
      </w:pPr>
      <w:r>
        <w:rPr>
          <w:noProof/>
        </w:rPr>
        <w:lastRenderedPageBreak/>
        <mc:AlternateContent>
          <mc:Choice Requires="wps">
            <w:drawing>
              <wp:anchor distT="0" distB="0" distL="114300" distR="114300" simplePos="0" relativeHeight="252012544" behindDoc="0" locked="0" layoutInCell="1" allowOverlap="1" wp14:anchorId="47A8E3FA" wp14:editId="353EC663">
                <wp:simplePos x="0" y="0"/>
                <wp:positionH relativeFrom="column">
                  <wp:posOffset>3175</wp:posOffset>
                </wp:positionH>
                <wp:positionV relativeFrom="paragraph">
                  <wp:posOffset>3767419</wp:posOffset>
                </wp:positionV>
                <wp:extent cx="5292725" cy="527685"/>
                <wp:effectExtent l="0" t="0" r="3175" b="5715"/>
                <wp:wrapSquare wrapText="bothSides"/>
                <wp:docPr id="7" name="Text Box 7"/>
                <wp:cNvGraphicFramePr/>
                <a:graphic xmlns:a="http://schemas.openxmlformats.org/drawingml/2006/main">
                  <a:graphicData uri="http://schemas.microsoft.com/office/word/2010/wordprocessingShape">
                    <wps:wsp>
                      <wps:cNvSpPr txBox="1"/>
                      <wps:spPr>
                        <a:xfrm>
                          <a:off x="0" y="0"/>
                          <a:ext cx="5292725" cy="527685"/>
                        </a:xfrm>
                        <a:prstGeom prst="rect">
                          <a:avLst/>
                        </a:prstGeom>
                        <a:solidFill>
                          <a:schemeClr val="lt1"/>
                        </a:solidFill>
                        <a:ln w="6350">
                          <a:noFill/>
                        </a:ln>
                      </wps:spPr>
                      <wps:txbx>
                        <w:txbxContent>
                          <w:p w14:paraId="2CE1C308" w14:textId="77777777" w:rsidR="0027521C" w:rsidRPr="003B0223" w:rsidRDefault="0027521C" w:rsidP="0027521C">
                            <w:r w:rsidRPr="003B0223">
                              <w:rPr>
                                <w:b/>
                                <w:bCs/>
                              </w:rPr>
                              <w:t>Figure 19:</w:t>
                            </w:r>
                            <w:r w:rsidRPr="003B0223">
                              <w:t xml:space="preserve"> Solution set 5 diagram - Showing the groups present for this steady state as the resource group and producer 1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8E3FA" id="Text Box 7" o:spid="_x0000_s1109" type="#_x0000_t202" style="position:absolute;margin-left:.25pt;margin-top:296.65pt;width:416.75pt;height:41.55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" fillcolor="white [3201]" stroked="f" strokeweight=".5pt">
                <v:textbox>
                  <w:txbxContent>
                    <w:p w14:paraId="2CE1C308" w14:textId="77777777" w:rsidR="0027521C" w:rsidRPr="003B0223" w:rsidRDefault="0027521C" w:rsidP="0027521C">
                      <w:r w:rsidRPr="003B0223">
                        <w:rPr>
                          <w:b/>
                          <w:bCs/>
                        </w:rPr>
                        <w:t>Figure 19:</w:t>
                      </w:r>
                      <w:r w:rsidRPr="003B0223">
                        <w:t xml:space="preserve"> Solution set 5 diagram - Showing the groups present for this steady state as the resource group and producer 1 group.</w:t>
                      </w:r>
                    </w:p>
                  </w:txbxContent>
                </v:textbox>
                <w10:wrap type="square"/>
              </v:shape>
            </w:pict>
          </mc:Fallback>
        </mc:AlternateContent>
      </w:r>
      <w:r>
        <w:rPr>
          <w:noProof/>
        </w:rPr>
        <w:drawing>
          <wp:inline distT="0" distB="0" distL="0" distR="0" wp14:anchorId="444D9244" wp14:editId="6EF10D6C">
            <wp:extent cx="1262129" cy="3558128"/>
            <wp:effectExtent l="0" t="0" r="0" b="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1306184" cy="3682327"/>
                    </a:xfrm>
                    <a:prstGeom prst="rect">
                      <a:avLst/>
                    </a:prstGeom>
                  </pic:spPr>
                </pic:pic>
              </a:graphicData>
            </a:graphic>
          </wp:inline>
        </w:drawing>
      </w:r>
    </w:p>
    <w:p w14:paraId="666ABF95" w14:textId="77777777" w:rsidR="0027521C" w:rsidRDefault="0027521C" w:rsidP="0027521C">
      <w:pPr>
        <w:spacing w:line="480" w:lineRule="auto"/>
        <w:rPr>
          <w:u w:val="single"/>
        </w:rPr>
      </w:pPr>
    </w:p>
    <w:p w14:paraId="2844B7B5" w14:textId="77777777" w:rsidR="0027521C" w:rsidRDefault="0027521C" w:rsidP="0027521C">
      <w:pPr>
        <w:spacing w:line="480" w:lineRule="auto"/>
        <w:rPr>
          <w:u w:val="single"/>
        </w:rPr>
      </w:pPr>
    </w:p>
    <w:p w14:paraId="6F4868E7" w14:textId="77777777" w:rsidR="0027521C" w:rsidRDefault="0027521C" w:rsidP="0027521C">
      <w:pPr>
        <w:spacing w:line="480" w:lineRule="auto"/>
        <w:rPr>
          <w:u w:val="single"/>
        </w:rPr>
      </w:pPr>
    </w:p>
    <w:p w14:paraId="47ED5111" w14:textId="77777777" w:rsidR="0027521C" w:rsidRDefault="0027521C" w:rsidP="0027521C">
      <w:pPr>
        <w:spacing w:line="480" w:lineRule="auto"/>
        <w:rPr>
          <w:u w:val="single"/>
        </w:rPr>
      </w:pPr>
    </w:p>
    <w:p w14:paraId="764BC96C" w14:textId="77777777" w:rsidR="0027521C" w:rsidRDefault="0027521C" w:rsidP="0027521C">
      <w:pPr>
        <w:spacing w:line="480" w:lineRule="auto"/>
        <w:rPr>
          <w:u w:val="single"/>
        </w:rPr>
      </w:pPr>
    </w:p>
    <w:p w14:paraId="547B22AE" w14:textId="77777777" w:rsidR="0027521C" w:rsidRDefault="0027521C" w:rsidP="0027521C">
      <w:pPr>
        <w:spacing w:line="480" w:lineRule="auto"/>
        <w:rPr>
          <w:u w:val="single"/>
        </w:rPr>
      </w:pPr>
    </w:p>
    <w:p w14:paraId="12EE3D2A" w14:textId="77777777" w:rsidR="0027521C" w:rsidRDefault="0027521C" w:rsidP="0027521C">
      <w:pPr>
        <w:spacing w:line="480" w:lineRule="auto"/>
        <w:rPr>
          <w:u w:val="single"/>
        </w:rPr>
      </w:pPr>
    </w:p>
    <w:p w14:paraId="58AD2077" w14:textId="77777777" w:rsidR="0027521C" w:rsidRDefault="0027521C" w:rsidP="0027521C">
      <w:pPr>
        <w:spacing w:line="480" w:lineRule="auto"/>
        <w:rPr>
          <w:u w:val="single"/>
        </w:rPr>
      </w:pPr>
    </w:p>
    <w:p w14:paraId="04C35584" w14:textId="77777777" w:rsidR="0027521C" w:rsidRDefault="0027521C" w:rsidP="0027521C">
      <w:pPr>
        <w:spacing w:line="480" w:lineRule="auto"/>
        <w:rPr>
          <w:u w:val="single"/>
        </w:rPr>
      </w:pPr>
    </w:p>
    <w:p w14:paraId="54B46C17" w14:textId="77777777" w:rsidR="0027521C" w:rsidRDefault="0027521C" w:rsidP="0027521C">
      <w:pPr>
        <w:spacing w:line="480" w:lineRule="auto"/>
        <w:rPr>
          <w:u w:val="single"/>
        </w:rPr>
      </w:pPr>
    </w:p>
    <w:p w14:paraId="28A37E9B" w14:textId="77777777" w:rsidR="0027521C" w:rsidRDefault="0027521C" w:rsidP="0027521C">
      <w:pPr>
        <w:spacing w:line="480" w:lineRule="auto"/>
        <w:rPr>
          <w:u w:val="single"/>
        </w:rPr>
      </w:pPr>
      <w:r w:rsidRPr="00CF2E60">
        <w:rPr>
          <w:u w:val="single"/>
        </w:rPr>
        <w:lastRenderedPageBreak/>
        <w:t>Solution 2:</w:t>
      </w:r>
      <w:r>
        <w:rPr>
          <w:u w:val="single"/>
        </w:rPr>
        <w:t xml:space="preserve"> </w:t>
      </w:r>
    </w:p>
    <w:p w14:paraId="233CC864" w14:textId="77777777" w:rsidR="0027521C" w:rsidRPr="00F20930" w:rsidRDefault="0027521C" w:rsidP="0027521C">
      <w:pPr>
        <w:spacing w:line="480" w:lineRule="auto"/>
        <w:ind w:firstLine="720"/>
      </w:pPr>
      <w:r>
        <w:t xml:space="preserve">Solution 2 contains the Nitrogen group and Producer 2 group as seen in </w:t>
      </w:r>
      <w:r w:rsidRPr="008517E7">
        <w:rPr>
          <w:b/>
          <w:bCs/>
        </w:rPr>
        <w:t>Figure 20</w:t>
      </w:r>
      <w:r>
        <w:t xml:space="preserve">. This solution set shows the equations for which Nitrogen and Producer 2 groups reach an equilibrium value, </w:t>
      </w:r>
      <w:r w:rsidRPr="008517E7">
        <w:rPr>
          <w:b/>
          <w:bCs/>
        </w:rPr>
        <w:t>Equation Set 6</w:t>
      </w:r>
      <w:r>
        <w:t>.</w:t>
      </w:r>
    </w:p>
    <w:p w14:paraId="6DE07420" w14:textId="77777777" w:rsidR="0027521C" w:rsidRDefault="0027521C" w:rsidP="0027521C">
      <w:r>
        <w:rPr>
          <w:noProof/>
        </w:rPr>
        <w:drawing>
          <wp:inline distT="0" distB="0" distL="0" distR="0" wp14:anchorId="309CD675" wp14:editId="0BDC017A">
            <wp:extent cx="3861244" cy="2459865"/>
            <wp:effectExtent l="0" t="0" r="0" b="4445"/>
            <wp:docPr id="87" name="Picture 8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A picture containing diagram&#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3881741" cy="2472923"/>
                    </a:xfrm>
                    <a:prstGeom prst="rect">
                      <a:avLst/>
                    </a:prstGeom>
                  </pic:spPr>
                </pic:pic>
              </a:graphicData>
            </a:graphic>
          </wp:inline>
        </w:drawing>
      </w:r>
    </w:p>
    <w:p w14:paraId="56D3DA9F" w14:textId="77777777" w:rsidR="0027521C" w:rsidRDefault="0027521C" w:rsidP="0027521C">
      <w:pPr>
        <w:spacing w:line="480" w:lineRule="auto"/>
      </w:pPr>
    </w:p>
    <w:p w14:paraId="1876EE4A" w14:textId="77777777" w:rsidR="0027521C" w:rsidRDefault="0027521C" w:rsidP="0027521C">
      <w:pPr>
        <w:spacing w:line="480" w:lineRule="auto"/>
      </w:pPr>
      <w:r>
        <w:t>This steady-state solution shows that the Nitrogen group equilibrium will be equal to the death rate of Producer 2 divided by the resource affinity of Producer 2. The Producer 2 group will have an equilibrium value equal to the supply rate minus the nitrogen degradation rate and divided by the background death rate of Producer 2. This steady state shows us that only the Producer 2 equilibrium is reliant on the supply rate of Nitrogen.</w:t>
      </w:r>
    </w:p>
    <w:p w14:paraId="25A04F45" w14:textId="77777777" w:rsidR="0027521C" w:rsidRDefault="0027521C" w:rsidP="0027521C">
      <w:pPr>
        <w:spacing w:line="480" w:lineRule="auto"/>
        <w:rPr>
          <w:u w:val="single"/>
        </w:rPr>
      </w:pPr>
    </w:p>
    <w:p w14:paraId="120DE15C" w14:textId="77777777" w:rsidR="0027521C" w:rsidRDefault="0027521C" w:rsidP="0027521C">
      <w:pPr>
        <w:spacing w:line="480" w:lineRule="auto"/>
        <w:rPr>
          <w:u w:val="single"/>
        </w:rPr>
      </w:pPr>
    </w:p>
    <w:p w14:paraId="398B515A" w14:textId="77777777" w:rsidR="0027521C" w:rsidRDefault="0027521C" w:rsidP="0027521C">
      <w:pPr>
        <w:spacing w:line="480" w:lineRule="auto"/>
        <w:rPr>
          <w:u w:val="single"/>
        </w:rPr>
      </w:pPr>
    </w:p>
    <w:p w14:paraId="30BCB5C0" w14:textId="77777777" w:rsidR="0027521C" w:rsidRDefault="0027521C" w:rsidP="0027521C">
      <w:pPr>
        <w:spacing w:line="480" w:lineRule="auto"/>
        <w:rPr>
          <w:u w:val="single"/>
        </w:rPr>
      </w:pPr>
      <w:r>
        <w:rPr>
          <w:noProof/>
        </w:rPr>
        <w:lastRenderedPageBreak/>
        <w:drawing>
          <wp:inline distT="0" distB="0" distL="0" distR="0" wp14:anchorId="123156ED" wp14:editId="09E07F05">
            <wp:extent cx="1197735" cy="3299877"/>
            <wp:effectExtent l="0" t="0" r="0" b="2540"/>
            <wp:docPr id="90" name="Picture 9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1224115" cy="3372557"/>
                    </a:xfrm>
                    <a:prstGeom prst="rect">
                      <a:avLst/>
                    </a:prstGeom>
                  </pic:spPr>
                </pic:pic>
              </a:graphicData>
            </a:graphic>
          </wp:inline>
        </w:drawing>
      </w:r>
    </w:p>
    <w:p w14:paraId="5295483D" w14:textId="77777777" w:rsidR="0027521C" w:rsidRDefault="0027521C" w:rsidP="0027521C">
      <w:pPr>
        <w:spacing w:line="480" w:lineRule="auto"/>
        <w:rPr>
          <w:u w:val="single"/>
        </w:rPr>
      </w:pPr>
      <w:r>
        <w:rPr>
          <w:noProof/>
        </w:rPr>
        <mc:AlternateContent>
          <mc:Choice Requires="wps">
            <w:drawing>
              <wp:anchor distT="0" distB="0" distL="114300" distR="114300" simplePos="0" relativeHeight="252013568" behindDoc="0" locked="0" layoutInCell="1" allowOverlap="1" wp14:anchorId="047589C8" wp14:editId="2C338284">
                <wp:simplePos x="0" y="0"/>
                <wp:positionH relativeFrom="column">
                  <wp:posOffset>3175</wp:posOffset>
                </wp:positionH>
                <wp:positionV relativeFrom="paragraph">
                  <wp:posOffset>76835</wp:posOffset>
                </wp:positionV>
                <wp:extent cx="4816475" cy="617855"/>
                <wp:effectExtent l="0" t="0" r="0" b="4445"/>
                <wp:wrapSquare wrapText="bothSides"/>
                <wp:docPr id="11" name="Text Box 11"/>
                <wp:cNvGraphicFramePr/>
                <a:graphic xmlns:a="http://schemas.openxmlformats.org/drawingml/2006/main">
                  <a:graphicData uri="http://schemas.microsoft.com/office/word/2010/wordprocessingShape">
                    <wps:wsp>
                      <wps:cNvSpPr txBox="1"/>
                      <wps:spPr>
                        <a:xfrm>
                          <a:off x="0" y="0"/>
                          <a:ext cx="4816475" cy="617855"/>
                        </a:xfrm>
                        <a:prstGeom prst="rect">
                          <a:avLst/>
                        </a:prstGeom>
                        <a:solidFill>
                          <a:schemeClr val="lt1"/>
                        </a:solidFill>
                        <a:ln w="6350">
                          <a:noFill/>
                        </a:ln>
                      </wps:spPr>
                      <wps:txbx>
                        <w:txbxContent>
                          <w:p w14:paraId="69342B5D" w14:textId="77777777" w:rsidR="0027521C" w:rsidRPr="008517E7" w:rsidRDefault="0027521C" w:rsidP="0027521C">
                            <w:r w:rsidRPr="008517E7">
                              <w:rPr>
                                <w:b/>
                                <w:bCs/>
                              </w:rPr>
                              <w:t>Figure 20:</w:t>
                            </w:r>
                            <w:r w:rsidRPr="008517E7">
                              <w:t xml:space="preserve"> Solution set </w:t>
                            </w:r>
                            <w:r>
                              <w:t>6</w:t>
                            </w:r>
                            <w:r w:rsidRPr="008517E7">
                              <w:t xml:space="preserve"> diagram - Showing the groups present for this steady state as the resource group and producer 2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589C8" id="Text Box 11" o:spid="_x0000_s1110" type="#_x0000_t202" style="position:absolute;margin-left:.25pt;margin-top:6.05pt;width:379.25pt;height:48.6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" fillcolor="white [3201]" stroked="f" strokeweight=".5pt">
                <v:textbox>
                  <w:txbxContent>
                    <w:p w14:paraId="69342B5D" w14:textId="77777777" w:rsidR="0027521C" w:rsidRPr="008517E7" w:rsidRDefault="0027521C" w:rsidP="0027521C">
                      <w:r w:rsidRPr="008517E7">
                        <w:rPr>
                          <w:b/>
                          <w:bCs/>
                        </w:rPr>
                        <w:t>Figure 20:</w:t>
                      </w:r>
                      <w:r w:rsidRPr="008517E7">
                        <w:t xml:space="preserve"> Solution set </w:t>
                      </w:r>
                      <w:r>
                        <w:t>6</w:t>
                      </w:r>
                      <w:r w:rsidRPr="008517E7">
                        <w:t xml:space="preserve"> diagram - Showing the groups present for this steady state as the resource group and producer 2 group.</w:t>
                      </w:r>
                    </w:p>
                  </w:txbxContent>
                </v:textbox>
                <w10:wrap type="square"/>
              </v:shape>
            </w:pict>
          </mc:Fallback>
        </mc:AlternateContent>
      </w:r>
    </w:p>
    <w:p w14:paraId="44011C8F" w14:textId="77777777" w:rsidR="0027521C" w:rsidRDefault="0027521C" w:rsidP="0027521C">
      <w:pPr>
        <w:spacing w:line="480" w:lineRule="auto"/>
        <w:rPr>
          <w:u w:val="single"/>
        </w:rPr>
      </w:pPr>
    </w:p>
    <w:p w14:paraId="79B16FF7" w14:textId="77777777" w:rsidR="0027521C" w:rsidRDefault="0027521C" w:rsidP="0027521C">
      <w:pPr>
        <w:spacing w:line="480" w:lineRule="auto"/>
        <w:rPr>
          <w:u w:val="single"/>
        </w:rPr>
      </w:pPr>
    </w:p>
    <w:p w14:paraId="272144A7" w14:textId="77777777" w:rsidR="0027521C" w:rsidRDefault="0027521C" w:rsidP="0027521C">
      <w:pPr>
        <w:spacing w:line="480" w:lineRule="auto"/>
        <w:rPr>
          <w:u w:val="single"/>
        </w:rPr>
      </w:pPr>
    </w:p>
    <w:p w14:paraId="42538020" w14:textId="77777777" w:rsidR="0027521C" w:rsidRDefault="0027521C" w:rsidP="0027521C">
      <w:pPr>
        <w:spacing w:line="480" w:lineRule="auto"/>
        <w:rPr>
          <w:u w:val="single"/>
        </w:rPr>
      </w:pPr>
    </w:p>
    <w:p w14:paraId="18673414" w14:textId="77777777" w:rsidR="0027521C" w:rsidRDefault="0027521C" w:rsidP="0027521C">
      <w:pPr>
        <w:spacing w:line="480" w:lineRule="auto"/>
        <w:rPr>
          <w:u w:val="single"/>
        </w:rPr>
      </w:pPr>
    </w:p>
    <w:p w14:paraId="4A459EAF" w14:textId="77777777" w:rsidR="0027521C" w:rsidRDefault="0027521C" w:rsidP="0027521C">
      <w:pPr>
        <w:spacing w:line="480" w:lineRule="auto"/>
        <w:rPr>
          <w:u w:val="single"/>
        </w:rPr>
      </w:pPr>
    </w:p>
    <w:p w14:paraId="6BE57AFC" w14:textId="77777777" w:rsidR="0027521C" w:rsidRDefault="0027521C" w:rsidP="0027521C">
      <w:pPr>
        <w:spacing w:line="480" w:lineRule="auto"/>
        <w:rPr>
          <w:u w:val="single"/>
        </w:rPr>
      </w:pPr>
    </w:p>
    <w:p w14:paraId="5DAC0676" w14:textId="77777777" w:rsidR="0027521C" w:rsidRDefault="0027521C" w:rsidP="0027521C">
      <w:pPr>
        <w:spacing w:line="480" w:lineRule="auto"/>
        <w:rPr>
          <w:u w:val="single"/>
        </w:rPr>
      </w:pPr>
    </w:p>
    <w:p w14:paraId="2B80D2E1" w14:textId="77777777" w:rsidR="0027521C" w:rsidRDefault="0027521C" w:rsidP="0027521C">
      <w:pPr>
        <w:spacing w:line="480" w:lineRule="auto"/>
        <w:rPr>
          <w:u w:val="single"/>
        </w:rPr>
      </w:pPr>
    </w:p>
    <w:p w14:paraId="0826DECE" w14:textId="77777777" w:rsidR="0027521C" w:rsidRDefault="0027521C" w:rsidP="0027521C">
      <w:pPr>
        <w:spacing w:line="480" w:lineRule="auto"/>
        <w:rPr>
          <w:u w:val="single"/>
        </w:rPr>
      </w:pPr>
    </w:p>
    <w:p w14:paraId="563E28E0" w14:textId="77777777" w:rsidR="0027521C" w:rsidRDefault="0027521C" w:rsidP="0027521C">
      <w:pPr>
        <w:spacing w:line="480" w:lineRule="auto"/>
        <w:rPr>
          <w:u w:val="single"/>
        </w:rPr>
      </w:pPr>
    </w:p>
    <w:p w14:paraId="29B30161" w14:textId="77777777" w:rsidR="0027521C" w:rsidRDefault="0027521C" w:rsidP="0027521C">
      <w:pPr>
        <w:spacing w:line="480" w:lineRule="auto"/>
        <w:rPr>
          <w:u w:val="single"/>
        </w:rPr>
      </w:pPr>
    </w:p>
    <w:p w14:paraId="53489E35" w14:textId="77777777" w:rsidR="0027521C" w:rsidRDefault="0027521C" w:rsidP="0027521C">
      <w:pPr>
        <w:spacing w:line="480" w:lineRule="auto"/>
        <w:rPr>
          <w:u w:val="single"/>
        </w:rPr>
      </w:pPr>
      <w:r w:rsidRPr="00CF2E60">
        <w:rPr>
          <w:u w:val="single"/>
        </w:rPr>
        <w:lastRenderedPageBreak/>
        <w:t xml:space="preserve">Solution 3: </w:t>
      </w:r>
    </w:p>
    <w:p w14:paraId="23EA4B65" w14:textId="77777777" w:rsidR="0027521C" w:rsidRPr="00CF2E60" w:rsidRDefault="0027521C" w:rsidP="0027521C">
      <w:pPr>
        <w:spacing w:line="480" w:lineRule="auto"/>
        <w:ind w:firstLine="720"/>
        <w:rPr>
          <w:u w:val="single"/>
        </w:rPr>
      </w:pPr>
      <w:r>
        <w:t xml:space="preserve">Solution 3 contains the Nitrogen group, Producer 1 group, and the Consumer group as seen in </w:t>
      </w:r>
      <w:r w:rsidRPr="008517E7">
        <w:rPr>
          <w:b/>
          <w:bCs/>
        </w:rPr>
        <w:t>Figure 21</w:t>
      </w:r>
      <w:r>
        <w:t xml:space="preserve">. This solution set shows the equations for which Nitrogen, Producer 1, and Consumer groups reach an equilibrium value, </w:t>
      </w:r>
      <w:r w:rsidRPr="008517E7">
        <w:rPr>
          <w:b/>
          <w:bCs/>
        </w:rPr>
        <w:t>Equation Set 7</w:t>
      </w:r>
      <w:r>
        <w:t>.</w:t>
      </w:r>
    </w:p>
    <w:p w14:paraId="6E5B29FF" w14:textId="77777777" w:rsidR="0027521C" w:rsidRDefault="0027521C" w:rsidP="0027521C"/>
    <w:p w14:paraId="3A670057" w14:textId="77777777" w:rsidR="0027521C" w:rsidRDefault="0027521C" w:rsidP="0027521C">
      <w:r w:rsidRPr="001358D6">
        <w:rPr>
          <w:noProof/>
        </w:rPr>
        <w:drawing>
          <wp:inline distT="0" distB="0" distL="0" distR="0" wp14:anchorId="4F22D905" wp14:editId="06EC7135">
            <wp:extent cx="3657600" cy="2489200"/>
            <wp:effectExtent l="0" t="0" r="0" b="0"/>
            <wp:docPr id="98" name="Picture 9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A picture containing diagram&#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3657600" cy="2489200"/>
                    </a:xfrm>
                    <a:prstGeom prst="rect">
                      <a:avLst/>
                    </a:prstGeom>
                  </pic:spPr>
                </pic:pic>
              </a:graphicData>
            </a:graphic>
          </wp:inline>
        </w:drawing>
      </w:r>
    </w:p>
    <w:p w14:paraId="1C84E83E" w14:textId="77777777" w:rsidR="0027521C" w:rsidRPr="00A06FF4" w:rsidRDefault="0027521C" w:rsidP="0027521C">
      <w:pPr>
        <w:pStyle w:val="Heading1"/>
      </w:pPr>
      <w:r w:rsidRPr="00A06FF4">
        <w:tab/>
      </w:r>
      <w:r w:rsidRPr="00A06FF4">
        <w:tab/>
      </w:r>
      <w:r w:rsidRPr="00A06FF4">
        <w:tab/>
      </w:r>
    </w:p>
    <w:p w14:paraId="31CE55CF" w14:textId="77777777" w:rsidR="0027521C" w:rsidRDefault="0027521C" w:rsidP="0027521C">
      <w:pPr>
        <w:spacing w:line="480" w:lineRule="auto"/>
      </w:pPr>
      <w:r>
        <w:t>This steady state shows us that both the Nitrogen group equilibrium and the Consumer group equilibrium are reliant on the supply rate of Nitrogen. However, the equilibrium value for the Producer 1 group is not reliant on supply rate. Thus, as supply rate changes the effect will be on the Nitrogen group and Consumer group but not on the equilibrium vale of the Producer 1 group.</w:t>
      </w:r>
    </w:p>
    <w:p w14:paraId="53BEC462" w14:textId="77777777" w:rsidR="0027521C" w:rsidRDefault="0027521C" w:rsidP="0027521C">
      <w:pPr>
        <w:spacing w:line="480" w:lineRule="auto"/>
        <w:rPr>
          <w:u w:val="single"/>
        </w:rPr>
      </w:pPr>
    </w:p>
    <w:p w14:paraId="5880C9CD" w14:textId="77777777" w:rsidR="0027521C" w:rsidRDefault="0027521C" w:rsidP="0027521C">
      <w:pPr>
        <w:spacing w:line="480" w:lineRule="auto"/>
        <w:rPr>
          <w:u w:val="single"/>
        </w:rPr>
      </w:pPr>
      <w:r w:rsidRPr="00A06FF4">
        <w:rPr>
          <w:noProof/>
        </w:rPr>
        <w:lastRenderedPageBreak/>
        <mc:AlternateContent>
          <mc:Choice Requires="wps">
            <w:drawing>
              <wp:anchor distT="0" distB="0" distL="114300" distR="114300" simplePos="0" relativeHeight="252014592" behindDoc="0" locked="0" layoutInCell="1" allowOverlap="1" wp14:anchorId="37BFB04F" wp14:editId="4FDB8710">
                <wp:simplePos x="0" y="0"/>
                <wp:positionH relativeFrom="column">
                  <wp:posOffset>3175</wp:posOffset>
                </wp:positionH>
                <wp:positionV relativeFrom="paragraph">
                  <wp:posOffset>5769610</wp:posOffset>
                </wp:positionV>
                <wp:extent cx="5396230" cy="759460"/>
                <wp:effectExtent l="0" t="0" r="1270" b="2540"/>
                <wp:wrapSquare wrapText="bothSides"/>
                <wp:docPr id="31" name="Text Box 31"/>
                <wp:cNvGraphicFramePr/>
                <a:graphic xmlns:a="http://schemas.openxmlformats.org/drawingml/2006/main">
                  <a:graphicData uri="http://schemas.microsoft.com/office/word/2010/wordprocessingShape">
                    <wps:wsp>
                      <wps:cNvSpPr txBox="1"/>
                      <wps:spPr>
                        <a:xfrm>
                          <a:off x="0" y="0"/>
                          <a:ext cx="5396230" cy="759460"/>
                        </a:xfrm>
                        <a:prstGeom prst="rect">
                          <a:avLst/>
                        </a:prstGeom>
                        <a:solidFill>
                          <a:schemeClr val="lt1"/>
                        </a:solidFill>
                        <a:ln w="6350">
                          <a:noFill/>
                        </a:ln>
                      </wps:spPr>
                      <wps:txbx>
                        <w:txbxContent>
                          <w:p w14:paraId="223C3ED9" w14:textId="77777777" w:rsidR="0027521C" w:rsidRPr="001358D6" w:rsidRDefault="0027521C" w:rsidP="0027521C">
                            <w:r w:rsidRPr="001358D6">
                              <w:rPr>
                                <w:b/>
                                <w:bCs/>
                              </w:rPr>
                              <w:t>Figure 21:</w:t>
                            </w:r>
                            <w:r w:rsidRPr="001358D6">
                              <w:t xml:space="preserve"> Solution set 4 diagram - Showing the groups present for this steady state as the resource group, producer 1 group, and the consumer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FB04F" id="Text Box 31" o:spid="_x0000_s1111" type="#_x0000_t202" style="position:absolute;margin-left:.25pt;margin-top:454.3pt;width:424.9pt;height:59.8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" fillcolor="white [3201]" stroked="f" strokeweight=".5pt">
                <v:textbox>
                  <w:txbxContent>
                    <w:p w14:paraId="223C3ED9" w14:textId="77777777" w:rsidR="0027521C" w:rsidRPr="001358D6" w:rsidRDefault="0027521C" w:rsidP="0027521C">
                      <w:r w:rsidRPr="001358D6">
                        <w:rPr>
                          <w:b/>
                          <w:bCs/>
                        </w:rPr>
                        <w:t>Figure 21:</w:t>
                      </w:r>
                      <w:r w:rsidRPr="001358D6">
                        <w:t xml:space="preserve"> Solution set 4 diagram - Showing the groups present for this steady state as the resource group, producer 1 group, and the consumer group.</w:t>
                      </w:r>
                    </w:p>
                  </w:txbxContent>
                </v:textbox>
                <w10:wrap type="square"/>
              </v:shape>
            </w:pict>
          </mc:Fallback>
        </mc:AlternateContent>
      </w:r>
      <w:r w:rsidRPr="00A06FF4">
        <w:rPr>
          <w:noProof/>
        </w:rPr>
        <w:drawing>
          <wp:inline distT="0" distB="0" distL="0" distR="0" wp14:anchorId="33D94BC7" wp14:editId="323CD867">
            <wp:extent cx="1313180" cy="5619847"/>
            <wp:effectExtent l="0" t="0" r="0" b="6350"/>
            <wp:docPr id="110" name="Picture 1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1331744" cy="5699294"/>
                    </a:xfrm>
                    <a:prstGeom prst="rect">
                      <a:avLst/>
                    </a:prstGeom>
                  </pic:spPr>
                </pic:pic>
              </a:graphicData>
            </a:graphic>
          </wp:inline>
        </w:drawing>
      </w:r>
    </w:p>
    <w:p w14:paraId="5FCAB462" w14:textId="77777777" w:rsidR="0027521C" w:rsidRDefault="0027521C" w:rsidP="0027521C">
      <w:pPr>
        <w:spacing w:line="480" w:lineRule="auto"/>
        <w:rPr>
          <w:u w:val="single"/>
        </w:rPr>
      </w:pPr>
    </w:p>
    <w:p w14:paraId="7E76F78D" w14:textId="77777777" w:rsidR="0027521C" w:rsidRDefault="0027521C" w:rsidP="0027521C">
      <w:pPr>
        <w:spacing w:line="480" w:lineRule="auto"/>
        <w:rPr>
          <w:u w:val="single"/>
        </w:rPr>
      </w:pPr>
    </w:p>
    <w:p w14:paraId="3503E844" w14:textId="77777777" w:rsidR="0027521C" w:rsidRDefault="0027521C" w:rsidP="0027521C">
      <w:pPr>
        <w:spacing w:line="480" w:lineRule="auto"/>
        <w:rPr>
          <w:u w:val="single"/>
        </w:rPr>
      </w:pPr>
    </w:p>
    <w:p w14:paraId="71F23EE9" w14:textId="77777777" w:rsidR="0027521C" w:rsidRDefault="0027521C" w:rsidP="0027521C">
      <w:pPr>
        <w:spacing w:line="480" w:lineRule="auto"/>
        <w:rPr>
          <w:u w:val="single"/>
        </w:rPr>
      </w:pPr>
    </w:p>
    <w:p w14:paraId="7564520C" w14:textId="77777777" w:rsidR="0027521C" w:rsidRDefault="0027521C" w:rsidP="0027521C">
      <w:pPr>
        <w:spacing w:line="480" w:lineRule="auto"/>
        <w:rPr>
          <w:u w:val="single"/>
        </w:rPr>
      </w:pPr>
      <w:r w:rsidRPr="00CF2E60">
        <w:rPr>
          <w:u w:val="single"/>
        </w:rPr>
        <w:lastRenderedPageBreak/>
        <w:t xml:space="preserve">Solution 4: </w:t>
      </w:r>
    </w:p>
    <w:p w14:paraId="24AC9BA9" w14:textId="77777777" w:rsidR="0027521C" w:rsidRDefault="0027521C" w:rsidP="0027521C">
      <w:pPr>
        <w:spacing w:line="480" w:lineRule="auto"/>
        <w:ind w:firstLine="720"/>
      </w:pPr>
      <w:r>
        <w:t xml:space="preserve">Solution 4 contains the Nitrogen group, Producer 2 group, and the Consumer group as seen in </w:t>
      </w:r>
      <w:r w:rsidRPr="001358D6">
        <w:rPr>
          <w:b/>
          <w:bCs/>
        </w:rPr>
        <w:t>Figure 22</w:t>
      </w:r>
      <w:r>
        <w:t xml:space="preserve">. This solution set shows the equations for which Nitrogen, Producer 2, and Consumer groups reach an equilibrium value, </w:t>
      </w:r>
      <w:r w:rsidRPr="001358D6">
        <w:rPr>
          <w:b/>
          <w:bCs/>
        </w:rPr>
        <w:t>Equation Set 8</w:t>
      </w:r>
      <w:r>
        <w:t>.</w:t>
      </w:r>
    </w:p>
    <w:p w14:paraId="0CDC5B45" w14:textId="77777777" w:rsidR="0027521C" w:rsidRDefault="0027521C" w:rsidP="0027521C">
      <w:pPr>
        <w:spacing w:line="480" w:lineRule="auto"/>
        <w:rPr>
          <w:noProof/>
        </w:rPr>
      </w:pPr>
      <w:r>
        <w:rPr>
          <w:noProof/>
        </w:rPr>
        <w:drawing>
          <wp:inline distT="0" distB="0" distL="0" distR="0" wp14:anchorId="6346A95A" wp14:editId="28DBDBE8">
            <wp:extent cx="3390900" cy="2514600"/>
            <wp:effectExtent l="0" t="0" r="0" b="0"/>
            <wp:docPr id="111" name="Picture 1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Diagram&#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3390900" cy="2514600"/>
                    </a:xfrm>
                    <a:prstGeom prst="rect">
                      <a:avLst/>
                    </a:prstGeom>
                  </pic:spPr>
                </pic:pic>
              </a:graphicData>
            </a:graphic>
          </wp:inline>
        </w:drawing>
      </w:r>
      <w:r>
        <w:rPr>
          <w:noProof/>
        </w:rPr>
        <w:tab/>
      </w:r>
    </w:p>
    <w:p w14:paraId="7CA6145E" w14:textId="77777777" w:rsidR="0027521C" w:rsidRDefault="0027521C" w:rsidP="0027521C">
      <w:pPr>
        <w:spacing w:line="480" w:lineRule="auto"/>
        <w:ind w:left="720"/>
        <w:rPr>
          <w:noProof/>
        </w:rPr>
      </w:pPr>
    </w:p>
    <w:p w14:paraId="0A686418" w14:textId="77777777" w:rsidR="0027521C" w:rsidRDefault="0027521C" w:rsidP="0027521C">
      <w:pPr>
        <w:spacing w:line="480" w:lineRule="auto"/>
      </w:pPr>
      <w:r>
        <w:t>This steady state shows us that both the Nitrogen group equilibrium and the Consumer group equilibrium are reliant on the supply rate of Nitrogen. However, the equilibrium value for the Producer 2 group is not reliant on supply rate. Thus, as supply rate changes the effect will be on the Nitrogen group and Consumer group but not on the equilibrium vale of the Producer 2 group.</w:t>
      </w:r>
    </w:p>
    <w:p w14:paraId="61D4AFA1" w14:textId="77777777" w:rsidR="0027521C" w:rsidRDefault="0027521C" w:rsidP="0027521C">
      <w:pPr>
        <w:spacing w:line="480" w:lineRule="auto"/>
        <w:rPr>
          <w:u w:val="single"/>
        </w:rPr>
      </w:pPr>
    </w:p>
    <w:p w14:paraId="37629532" w14:textId="77777777" w:rsidR="0027521C" w:rsidRDefault="0027521C" w:rsidP="0027521C">
      <w:pPr>
        <w:spacing w:line="480" w:lineRule="auto"/>
        <w:rPr>
          <w:u w:val="single"/>
        </w:rPr>
      </w:pPr>
    </w:p>
    <w:p w14:paraId="5C02739B" w14:textId="77777777" w:rsidR="0027521C" w:rsidRDefault="0027521C" w:rsidP="0027521C">
      <w:pPr>
        <w:spacing w:line="480" w:lineRule="auto"/>
        <w:rPr>
          <w:u w:val="single"/>
        </w:rPr>
      </w:pPr>
    </w:p>
    <w:p w14:paraId="6519F658" w14:textId="77777777" w:rsidR="0027521C" w:rsidRDefault="0027521C" w:rsidP="0027521C">
      <w:pPr>
        <w:spacing w:line="480" w:lineRule="auto"/>
        <w:rPr>
          <w:u w:val="single"/>
        </w:rPr>
      </w:pPr>
    </w:p>
    <w:p w14:paraId="300C8388" w14:textId="77777777" w:rsidR="0027521C" w:rsidRDefault="0027521C" w:rsidP="0027521C">
      <w:pPr>
        <w:spacing w:line="480" w:lineRule="auto"/>
        <w:rPr>
          <w:u w:val="single"/>
        </w:rPr>
      </w:pPr>
    </w:p>
    <w:p w14:paraId="6B1ED205" w14:textId="77777777" w:rsidR="0027521C" w:rsidRDefault="0027521C" w:rsidP="0027521C">
      <w:pPr>
        <w:spacing w:line="480" w:lineRule="auto"/>
        <w:rPr>
          <w:u w:val="single"/>
        </w:rPr>
      </w:pPr>
      <w:r>
        <w:rPr>
          <w:noProof/>
        </w:rPr>
        <mc:AlternateContent>
          <mc:Choice Requires="wps">
            <w:drawing>
              <wp:anchor distT="0" distB="0" distL="114300" distR="114300" simplePos="0" relativeHeight="252015616" behindDoc="0" locked="0" layoutInCell="1" allowOverlap="1" wp14:anchorId="15901093" wp14:editId="52D8A135">
                <wp:simplePos x="0" y="0"/>
                <wp:positionH relativeFrom="column">
                  <wp:posOffset>118745</wp:posOffset>
                </wp:positionH>
                <wp:positionV relativeFrom="paragraph">
                  <wp:posOffset>5225415</wp:posOffset>
                </wp:positionV>
                <wp:extent cx="5575935" cy="566420"/>
                <wp:effectExtent l="0" t="0" r="0" b="5080"/>
                <wp:wrapSquare wrapText="bothSides"/>
                <wp:docPr id="37" name="Text Box 37"/>
                <wp:cNvGraphicFramePr/>
                <a:graphic xmlns:a="http://schemas.openxmlformats.org/drawingml/2006/main">
                  <a:graphicData uri="http://schemas.microsoft.com/office/word/2010/wordprocessingShape">
                    <wps:wsp>
                      <wps:cNvSpPr txBox="1"/>
                      <wps:spPr>
                        <a:xfrm>
                          <a:off x="0" y="0"/>
                          <a:ext cx="5575935" cy="566420"/>
                        </a:xfrm>
                        <a:prstGeom prst="rect">
                          <a:avLst/>
                        </a:prstGeom>
                        <a:solidFill>
                          <a:schemeClr val="lt1"/>
                        </a:solidFill>
                        <a:ln w="6350">
                          <a:noFill/>
                        </a:ln>
                      </wps:spPr>
                      <wps:txbx>
                        <w:txbxContent>
                          <w:p w14:paraId="51470793" w14:textId="77777777" w:rsidR="0027521C" w:rsidRPr="001358D6" w:rsidRDefault="0027521C" w:rsidP="0027521C">
                            <w:r w:rsidRPr="001358D6">
                              <w:rPr>
                                <w:b/>
                                <w:bCs/>
                              </w:rPr>
                              <w:t>Figure 22:</w:t>
                            </w:r>
                            <w:r w:rsidRPr="001358D6">
                              <w:t xml:space="preserve"> Solution set 8 diagram - Showing the groups present for this steady state as the resource group, producer 2 group, and the consumer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01093" id="Text Box 37" o:spid="_x0000_s1112" type="#_x0000_t202" style="position:absolute;margin-left:9.35pt;margin-top:411.45pt;width:439.05pt;height:44.6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" fillcolor="white [3201]" stroked="f" strokeweight=".5pt">
                <v:textbox>
                  <w:txbxContent>
                    <w:p w14:paraId="51470793" w14:textId="77777777" w:rsidR="0027521C" w:rsidRPr="001358D6" w:rsidRDefault="0027521C" w:rsidP="0027521C">
                      <w:r w:rsidRPr="001358D6">
                        <w:rPr>
                          <w:b/>
                          <w:bCs/>
                        </w:rPr>
                        <w:t>Figure 22:</w:t>
                      </w:r>
                      <w:r w:rsidRPr="001358D6">
                        <w:t xml:space="preserve"> Solution set 8 diagram - Showing the groups present for this steady state as the resource group, producer 2 group, and the consumer group.</w:t>
                      </w:r>
                    </w:p>
                  </w:txbxContent>
                </v:textbox>
                <w10:wrap type="square"/>
              </v:shape>
            </w:pict>
          </mc:Fallback>
        </mc:AlternateContent>
      </w:r>
      <w:r>
        <w:rPr>
          <w:noProof/>
        </w:rPr>
        <w:drawing>
          <wp:inline distT="0" distB="0" distL="0" distR="0" wp14:anchorId="5BAD44DF" wp14:editId="2137F7F4">
            <wp:extent cx="1133341" cy="4984122"/>
            <wp:effectExtent l="0" t="0" r="0" b="0"/>
            <wp:docPr id="112" name="Picture 1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165451" cy="5125334"/>
                    </a:xfrm>
                    <a:prstGeom prst="rect">
                      <a:avLst/>
                    </a:prstGeom>
                  </pic:spPr>
                </pic:pic>
              </a:graphicData>
            </a:graphic>
          </wp:inline>
        </w:drawing>
      </w:r>
    </w:p>
    <w:p w14:paraId="186BECF3" w14:textId="77777777" w:rsidR="0027521C" w:rsidRDefault="0027521C" w:rsidP="0027521C">
      <w:pPr>
        <w:spacing w:line="480" w:lineRule="auto"/>
        <w:rPr>
          <w:u w:val="single"/>
        </w:rPr>
      </w:pPr>
    </w:p>
    <w:p w14:paraId="7F6DE5BD" w14:textId="77777777" w:rsidR="0027521C" w:rsidRDefault="0027521C" w:rsidP="0027521C">
      <w:pPr>
        <w:spacing w:line="480" w:lineRule="auto"/>
        <w:rPr>
          <w:u w:val="single"/>
        </w:rPr>
      </w:pPr>
    </w:p>
    <w:p w14:paraId="36137E18" w14:textId="77777777" w:rsidR="0027521C" w:rsidRDefault="0027521C" w:rsidP="0027521C">
      <w:pPr>
        <w:spacing w:line="480" w:lineRule="auto"/>
        <w:rPr>
          <w:u w:val="single"/>
        </w:rPr>
      </w:pPr>
    </w:p>
    <w:p w14:paraId="24D93111" w14:textId="77777777" w:rsidR="0027521C" w:rsidRDefault="0027521C" w:rsidP="0027521C">
      <w:pPr>
        <w:spacing w:line="480" w:lineRule="auto"/>
        <w:rPr>
          <w:u w:val="single"/>
        </w:rPr>
      </w:pPr>
    </w:p>
    <w:p w14:paraId="3B3C248E" w14:textId="77777777" w:rsidR="0027521C" w:rsidRDefault="0027521C" w:rsidP="0027521C">
      <w:pPr>
        <w:spacing w:line="480" w:lineRule="auto"/>
        <w:rPr>
          <w:u w:val="single"/>
        </w:rPr>
      </w:pPr>
    </w:p>
    <w:p w14:paraId="0D532B17" w14:textId="77777777" w:rsidR="0027521C" w:rsidRDefault="0027521C" w:rsidP="0027521C">
      <w:pPr>
        <w:spacing w:line="480" w:lineRule="auto"/>
        <w:rPr>
          <w:u w:val="single"/>
        </w:rPr>
      </w:pPr>
      <w:r w:rsidRPr="00896151">
        <w:rPr>
          <w:u w:val="single"/>
        </w:rPr>
        <w:lastRenderedPageBreak/>
        <w:t>Solution 5:</w:t>
      </w:r>
    </w:p>
    <w:p w14:paraId="4AA8BA1E" w14:textId="77777777" w:rsidR="0027521C" w:rsidRDefault="0027521C" w:rsidP="0027521C">
      <w:pPr>
        <w:spacing w:line="480" w:lineRule="auto"/>
        <w:ind w:firstLine="720"/>
      </w:pPr>
      <w:r>
        <w:t xml:space="preserve">Solution 5 contains all the groups included in our model, </w:t>
      </w:r>
      <w:r w:rsidRPr="001358D6">
        <w:rPr>
          <w:b/>
          <w:bCs/>
        </w:rPr>
        <w:t>Equations 1-4</w:t>
      </w:r>
      <w:r>
        <w:t xml:space="preserve">, as seen in </w:t>
      </w:r>
      <w:r w:rsidRPr="001358D6">
        <w:rPr>
          <w:b/>
          <w:bCs/>
        </w:rPr>
        <w:t>Figure 23</w:t>
      </w:r>
      <w:r>
        <w:t xml:space="preserve">. This solution set shows the equations for which Nitrogen, Producer 1, Producer 2, and Consumer groups reach an equilibrium value, </w:t>
      </w:r>
      <w:r w:rsidRPr="001358D6">
        <w:rPr>
          <w:b/>
          <w:bCs/>
        </w:rPr>
        <w:t>Equation Set 9</w:t>
      </w:r>
      <w:r>
        <w:t>.</w:t>
      </w:r>
    </w:p>
    <w:p w14:paraId="45F8E38B" w14:textId="77777777" w:rsidR="0027521C" w:rsidRPr="00896151" w:rsidRDefault="0027521C" w:rsidP="0027521C">
      <w:pPr>
        <w:spacing w:line="480" w:lineRule="auto"/>
        <w:rPr>
          <w:u w:val="single"/>
        </w:rPr>
      </w:pPr>
      <w:r w:rsidRPr="001358D6">
        <w:rPr>
          <w:noProof/>
        </w:rPr>
        <w:drawing>
          <wp:inline distT="0" distB="0" distL="0" distR="0" wp14:anchorId="7B30166A" wp14:editId="7ED8EB59">
            <wp:extent cx="5486400" cy="2118360"/>
            <wp:effectExtent l="0" t="0" r="0" b="2540"/>
            <wp:docPr id="122" name="Picture 1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Table&#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486400" cy="2118360"/>
                    </a:xfrm>
                    <a:prstGeom prst="rect">
                      <a:avLst/>
                    </a:prstGeom>
                  </pic:spPr>
                </pic:pic>
              </a:graphicData>
            </a:graphic>
          </wp:inline>
        </w:drawing>
      </w:r>
    </w:p>
    <w:p w14:paraId="783E32BF" w14:textId="77777777" w:rsidR="0027521C" w:rsidRPr="00DE1727" w:rsidRDefault="0027521C" w:rsidP="0027521C">
      <w:pPr>
        <w:rPr>
          <w:sz w:val="22"/>
          <w:szCs w:val="22"/>
        </w:rPr>
      </w:pPr>
    </w:p>
    <w:p w14:paraId="052DAEC5" w14:textId="77777777" w:rsidR="0027521C" w:rsidRDefault="0027521C" w:rsidP="0027521C">
      <w:pPr>
        <w:rPr>
          <w:sz w:val="22"/>
          <w:szCs w:val="22"/>
        </w:rPr>
      </w:pPr>
    </w:p>
    <w:p w14:paraId="449665E7" w14:textId="77777777" w:rsidR="0027521C" w:rsidRDefault="0027521C" w:rsidP="0027521C">
      <w:pPr>
        <w:spacing w:line="480" w:lineRule="auto"/>
      </w:pPr>
      <w:r>
        <w:t>This steady state shows us that both the Producer 1 group equilibrium and the Producer 2 group equilibrium are reliant on the supply rate of Nitrogen. However, the equilibrium values for the Nitrogen group and Consumer group are not reliant on supply rate. Thus, as supply rate changes the effect will be on the Producer 1 group and Producer 2 group but not on the equilibrium values of the Nitrogen group or the Consumer group.</w:t>
      </w:r>
    </w:p>
    <w:p w14:paraId="58D01A72" w14:textId="77777777" w:rsidR="0027521C" w:rsidRDefault="0027521C" w:rsidP="0027521C">
      <w:pPr>
        <w:spacing w:line="480" w:lineRule="auto"/>
      </w:pPr>
      <w:r>
        <w:rPr>
          <w:noProof/>
        </w:rPr>
        <w:lastRenderedPageBreak/>
        <mc:AlternateContent>
          <mc:Choice Requires="wps">
            <w:drawing>
              <wp:anchor distT="0" distB="0" distL="114300" distR="114300" simplePos="0" relativeHeight="252016640" behindDoc="0" locked="0" layoutInCell="1" allowOverlap="1" wp14:anchorId="62C9A57F" wp14:editId="6CDEF631">
                <wp:simplePos x="0" y="0"/>
                <wp:positionH relativeFrom="column">
                  <wp:posOffset>-113030</wp:posOffset>
                </wp:positionH>
                <wp:positionV relativeFrom="paragraph">
                  <wp:posOffset>4700709</wp:posOffset>
                </wp:positionV>
                <wp:extent cx="5846445" cy="73914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5846445" cy="739140"/>
                        </a:xfrm>
                        <a:prstGeom prst="rect">
                          <a:avLst/>
                        </a:prstGeom>
                        <a:solidFill>
                          <a:schemeClr val="lt1"/>
                        </a:solidFill>
                        <a:ln w="6350">
                          <a:noFill/>
                        </a:ln>
                      </wps:spPr>
                      <wps:txbx>
                        <w:txbxContent>
                          <w:p w14:paraId="1CBE67B8" w14:textId="77777777" w:rsidR="0027521C" w:rsidRPr="006413CF" w:rsidRDefault="0027521C" w:rsidP="0027521C">
                            <w:r w:rsidRPr="006413CF">
                              <w:rPr>
                                <w:b/>
                                <w:bCs/>
                              </w:rPr>
                              <w:t>Figure 2</w:t>
                            </w:r>
                            <w:r>
                              <w:rPr>
                                <w:b/>
                                <w:bCs/>
                              </w:rPr>
                              <w:t>3</w:t>
                            </w:r>
                            <w:r w:rsidRPr="006413CF">
                              <w:rPr>
                                <w:b/>
                                <w:bCs/>
                              </w:rPr>
                              <w:t>:</w:t>
                            </w:r>
                            <w:r w:rsidRPr="006413CF">
                              <w:t xml:space="preserve"> Solution set </w:t>
                            </w:r>
                            <w:r>
                              <w:t>9</w:t>
                            </w:r>
                            <w:r w:rsidRPr="006413CF">
                              <w:t xml:space="preserve"> diagram - Showing the groups present for this steady state as the resource group, producer 1 group, producer 2 group, and the consumer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9A57F" id="Text Box 39" o:spid="_x0000_s1113" type="#_x0000_t202" style="position:absolute;margin-left:-8.9pt;margin-top:370.15pt;width:460.35pt;height:58.2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" fillcolor="white [3201]" stroked="f" strokeweight=".5pt">
                <v:textbox>
                  <w:txbxContent>
                    <w:p w14:paraId="1CBE67B8" w14:textId="77777777" w:rsidR="0027521C" w:rsidRPr="006413CF" w:rsidRDefault="0027521C" w:rsidP="0027521C">
                      <w:r w:rsidRPr="006413CF">
                        <w:rPr>
                          <w:b/>
                          <w:bCs/>
                        </w:rPr>
                        <w:t>Figure 2</w:t>
                      </w:r>
                      <w:r>
                        <w:rPr>
                          <w:b/>
                          <w:bCs/>
                        </w:rPr>
                        <w:t>3</w:t>
                      </w:r>
                      <w:r w:rsidRPr="006413CF">
                        <w:rPr>
                          <w:b/>
                          <w:bCs/>
                        </w:rPr>
                        <w:t>:</w:t>
                      </w:r>
                      <w:r w:rsidRPr="006413CF">
                        <w:t xml:space="preserve"> Solution set </w:t>
                      </w:r>
                      <w:r>
                        <w:t>9</w:t>
                      </w:r>
                      <w:r w:rsidRPr="006413CF">
                        <w:t xml:space="preserve"> diagram - Showing the groups present for this steady state as the resource group, producer 1 group, producer 2 group, and the consumer group.</w:t>
                      </w:r>
                    </w:p>
                  </w:txbxContent>
                </v:textbox>
                <w10:wrap type="square"/>
              </v:shape>
            </w:pict>
          </mc:Fallback>
        </mc:AlternateContent>
      </w:r>
      <w:r>
        <w:tab/>
      </w:r>
      <w:r>
        <w:rPr>
          <w:noProof/>
        </w:rPr>
        <w:drawing>
          <wp:inline distT="0" distB="0" distL="0" distR="0" wp14:anchorId="409795B6" wp14:editId="12572DC7">
            <wp:extent cx="2228045" cy="4607740"/>
            <wp:effectExtent l="0" t="0" r="0" b="2540"/>
            <wp:docPr id="123" name="Picture 1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2240105" cy="4632680"/>
                    </a:xfrm>
                    <a:prstGeom prst="rect">
                      <a:avLst/>
                    </a:prstGeom>
                  </pic:spPr>
                </pic:pic>
              </a:graphicData>
            </a:graphic>
          </wp:inline>
        </w:drawing>
      </w:r>
    </w:p>
    <w:p w14:paraId="429364DA" w14:textId="77777777" w:rsidR="0027521C" w:rsidRDefault="0027521C" w:rsidP="0027521C">
      <w:pPr>
        <w:spacing w:line="480" w:lineRule="auto"/>
      </w:pPr>
    </w:p>
    <w:p w14:paraId="2B90C614" w14:textId="77777777" w:rsidR="0027521C" w:rsidRDefault="0027521C" w:rsidP="0027521C">
      <w:pPr>
        <w:spacing w:line="480" w:lineRule="auto"/>
      </w:pPr>
    </w:p>
    <w:p w14:paraId="6C0BC0A9" w14:textId="77777777" w:rsidR="0027521C" w:rsidRDefault="0027521C" w:rsidP="0027521C">
      <w:pPr>
        <w:spacing w:line="480" w:lineRule="auto"/>
      </w:pPr>
    </w:p>
    <w:p w14:paraId="19EAF39B" w14:textId="77777777" w:rsidR="0027521C" w:rsidRDefault="0027521C" w:rsidP="0027521C">
      <w:pPr>
        <w:spacing w:line="480" w:lineRule="auto"/>
      </w:pPr>
    </w:p>
    <w:p w14:paraId="65903D79" w14:textId="77777777" w:rsidR="0027521C" w:rsidRDefault="0027521C" w:rsidP="0027521C">
      <w:pPr>
        <w:spacing w:line="480" w:lineRule="auto"/>
      </w:pPr>
    </w:p>
    <w:p w14:paraId="29E1B553" w14:textId="7DBFB6BF" w:rsidR="0027521C" w:rsidRDefault="0027521C"/>
    <w:p w14:paraId="3ED2A829" w14:textId="328A0097" w:rsidR="00AE508E" w:rsidRDefault="00AE508E"/>
    <w:p w14:paraId="73457692" w14:textId="77777777" w:rsidR="00AE508E" w:rsidRDefault="00AE508E"/>
    <w:p w14:paraId="00090167" w14:textId="41ABFAC2" w:rsidR="007F5B61" w:rsidRDefault="00AE508E" w:rsidP="007F5B61">
      <w:pPr>
        <w:pStyle w:val="AltHeading1"/>
      </w:pPr>
      <w:bookmarkStart w:id="85" w:name="_Toc98680883"/>
      <w:bookmarkStart w:id="86" w:name="_Toc98680924"/>
      <w:bookmarkStart w:id="87" w:name="_Toc98870965"/>
      <w:r>
        <w:lastRenderedPageBreak/>
        <w:t>V</w:t>
      </w:r>
      <w:r w:rsidR="003F1425">
        <w:t>ita</w:t>
      </w:r>
      <w:bookmarkEnd w:id="85"/>
      <w:bookmarkEnd w:id="86"/>
      <w:bookmarkEnd w:id="87"/>
    </w:p>
    <w:p w14:paraId="7FEB26DE" w14:textId="7B3F0D9A" w:rsidR="007F5B61" w:rsidRDefault="007F5B61" w:rsidP="007F5B61">
      <w:pPr>
        <w:pStyle w:val="AltHeading1"/>
      </w:pPr>
    </w:p>
    <w:p w14:paraId="3CF9CFFF" w14:textId="15D1A569" w:rsidR="007F5B61" w:rsidRPr="00207721" w:rsidRDefault="00207721" w:rsidP="00C45C8F">
      <w:pPr>
        <w:spacing w:line="480" w:lineRule="auto"/>
      </w:pPr>
      <w:r>
        <w:tab/>
      </w:r>
      <w:r w:rsidR="00322B8C">
        <w:t xml:space="preserve">Kyla </w:t>
      </w:r>
      <w:r w:rsidR="00C45C8F">
        <w:t>L</w:t>
      </w:r>
      <w:r w:rsidR="00322B8C">
        <w:t xml:space="preserve">inn </w:t>
      </w:r>
      <w:r w:rsidR="00C45C8F">
        <w:t>H</w:t>
      </w:r>
      <w:r w:rsidR="00322B8C">
        <w:t>ooker grew up in Ta</w:t>
      </w:r>
      <w:r w:rsidR="00C45C8F">
        <w:t>r</w:t>
      </w:r>
      <w:r w:rsidR="00322B8C">
        <w:t xml:space="preserve">pon </w:t>
      </w:r>
      <w:r w:rsidR="00C45C8F">
        <w:t>S</w:t>
      </w:r>
      <w:r w:rsidR="00322B8C">
        <w:t xml:space="preserve">prings, </w:t>
      </w:r>
      <w:r w:rsidR="00C45C8F">
        <w:t>F</w:t>
      </w:r>
      <w:r w:rsidR="00322B8C">
        <w:t xml:space="preserve">lorida. She obtained an </w:t>
      </w:r>
      <w:r w:rsidR="00C45C8F">
        <w:t>Associate</w:t>
      </w:r>
      <w:r w:rsidR="009658AC">
        <w:t xml:space="preserve"> of Arts</w:t>
      </w:r>
      <w:r w:rsidR="00322B8C">
        <w:t xml:space="preserve"> </w:t>
      </w:r>
      <w:r w:rsidR="009658AC">
        <w:t>d</w:t>
      </w:r>
      <w:r w:rsidR="00322B8C">
        <w:t xml:space="preserve">egree at The </w:t>
      </w:r>
      <w:r w:rsidR="00C45C8F">
        <w:t>U</w:t>
      </w:r>
      <w:r w:rsidR="00322B8C">
        <w:t xml:space="preserve">niversity of </w:t>
      </w:r>
      <w:r w:rsidR="00C45C8F">
        <w:t>W</w:t>
      </w:r>
      <w:r w:rsidR="00322B8C">
        <w:t xml:space="preserve">est </w:t>
      </w:r>
      <w:r w:rsidR="00C45C8F">
        <w:t>F</w:t>
      </w:r>
      <w:r w:rsidR="00322B8C">
        <w:t>lorida and a B</w:t>
      </w:r>
      <w:r w:rsidR="00C45C8F">
        <w:t>achelor</w:t>
      </w:r>
      <w:r w:rsidR="009658AC">
        <w:t xml:space="preserve"> of Science d</w:t>
      </w:r>
      <w:r w:rsidR="00322B8C">
        <w:t xml:space="preserve">egree </w:t>
      </w:r>
      <w:r w:rsidR="00C45C8F">
        <w:t>in</w:t>
      </w:r>
      <w:r w:rsidR="00322B8C">
        <w:t xml:space="preserve"> </w:t>
      </w:r>
      <w:r w:rsidR="009658AC">
        <w:t>M</w:t>
      </w:r>
      <w:r w:rsidR="00C45C8F">
        <w:t>athematics</w:t>
      </w:r>
      <w:r w:rsidR="00322B8C">
        <w:t xml:space="preserve"> </w:t>
      </w:r>
      <w:r w:rsidR="00C45C8F">
        <w:t xml:space="preserve">with a concentration in </w:t>
      </w:r>
      <w:r w:rsidR="009658AC">
        <w:t>M</w:t>
      </w:r>
      <w:r w:rsidR="00C45C8F">
        <w:t xml:space="preserve">athematical </w:t>
      </w:r>
      <w:r w:rsidR="009658AC">
        <w:t>B</w:t>
      </w:r>
      <w:r w:rsidR="00C45C8F">
        <w:t xml:space="preserve">iology at </w:t>
      </w:r>
      <w:r w:rsidR="00322B8C">
        <w:t xml:space="preserve">the </w:t>
      </w:r>
      <w:r w:rsidR="009658AC">
        <w:t>U</w:t>
      </w:r>
      <w:r w:rsidR="00322B8C">
        <w:t xml:space="preserve">niversity of </w:t>
      </w:r>
      <w:r w:rsidR="009658AC">
        <w:t>T</w:t>
      </w:r>
      <w:r w:rsidR="00322B8C">
        <w:t xml:space="preserve">ennessee. </w:t>
      </w:r>
      <w:r w:rsidR="009658AC">
        <w:t>K</w:t>
      </w:r>
      <w:r w:rsidR="00322B8C">
        <w:t xml:space="preserve">yla joined the </w:t>
      </w:r>
      <w:r w:rsidR="00C45C8F">
        <w:t>U</w:t>
      </w:r>
      <w:r w:rsidR="009658AC">
        <w:t>niversity of Tennessee</w:t>
      </w:r>
      <w:r w:rsidR="00C45C8F">
        <w:t xml:space="preserve">/ORNL </w:t>
      </w:r>
      <w:r w:rsidR="009658AC">
        <w:t>G</w:t>
      </w:r>
      <w:r w:rsidR="00C45C8F">
        <w:t xml:space="preserve">raduate </w:t>
      </w:r>
      <w:r w:rsidR="009658AC">
        <w:t>S</w:t>
      </w:r>
      <w:r w:rsidR="00C45C8F">
        <w:t xml:space="preserve">chool of </w:t>
      </w:r>
      <w:r w:rsidR="009658AC">
        <w:t>G</w:t>
      </w:r>
      <w:r w:rsidR="00C45C8F">
        <w:t xml:space="preserve">enome </w:t>
      </w:r>
      <w:r w:rsidR="009658AC">
        <w:t>S</w:t>
      </w:r>
      <w:r w:rsidR="00C45C8F">
        <w:t>cience and Technology</w:t>
      </w:r>
      <w:r w:rsidR="009658AC">
        <w:t xml:space="preserve"> to pursue a Master of Science degree in Life Science. After graduation, she will be moving to Atlanta, Georgia to teach high school mathematic</w:t>
      </w:r>
      <w:r w:rsidR="00274CA6">
        <w:t>s</w:t>
      </w:r>
      <w:r w:rsidR="009658AC">
        <w:t xml:space="preserve">. </w:t>
      </w:r>
      <w:r w:rsidR="00274CA6">
        <w:t>She is incredibly grateful for all the support from her husband, family, advisor, and lab mates as she begins her new career.</w:t>
      </w:r>
    </w:p>
    <w:p w14:paraId="45559A30" w14:textId="77777777" w:rsidR="00AE125E" w:rsidRPr="003D63DF" w:rsidRDefault="00AE125E" w:rsidP="00D86575">
      <w:pPr>
        <w:widowControl w:val="0"/>
        <w:autoSpaceDE w:val="0"/>
        <w:autoSpaceDN w:val="0"/>
        <w:adjustRightInd w:val="0"/>
        <w:ind w:left="480" w:hanging="480"/>
      </w:pPr>
    </w:p>
    <w:sectPr w:rsidR="00AE125E" w:rsidRPr="003D63DF" w:rsidSect="008A4E30">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88500" w14:textId="77777777" w:rsidR="00A9083D" w:rsidRDefault="00A9083D">
      <w:r>
        <w:separator/>
      </w:r>
    </w:p>
  </w:endnote>
  <w:endnote w:type="continuationSeparator" w:id="0">
    <w:p w14:paraId="02B6AC2B" w14:textId="77777777" w:rsidR="00A9083D" w:rsidRDefault="00A90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087" w:usb1="288F40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986760"/>
      <w:docPartObj>
        <w:docPartGallery w:val="Page Numbers (Bottom of Page)"/>
        <w:docPartUnique/>
      </w:docPartObj>
    </w:sdtPr>
    <w:sdtEndPr>
      <w:rPr>
        <w:noProof/>
      </w:rPr>
    </w:sdtEndPr>
    <w:sdtContent>
      <w:p w14:paraId="210832D2" w14:textId="77777777" w:rsidR="00D83B30" w:rsidRDefault="00D83B30">
        <w:pPr>
          <w:pStyle w:val="Footer"/>
          <w:jc w:val="center"/>
        </w:pPr>
        <w:r>
          <w:fldChar w:fldCharType="begin"/>
        </w:r>
        <w:r>
          <w:instrText xml:space="preserve"> PAGE   \* MERGEFORMAT </w:instrText>
        </w:r>
        <w:r>
          <w:fldChar w:fldCharType="separate"/>
        </w:r>
        <w:r>
          <w:rPr>
            <w:noProof/>
          </w:rPr>
          <w:t>iv</w:t>
        </w:r>
        <w:r>
          <w:rPr>
            <w:noProof/>
          </w:rPr>
          <w:fldChar w:fldCharType="end"/>
        </w:r>
      </w:p>
    </w:sdtContent>
  </w:sdt>
  <w:p w14:paraId="529260EE" w14:textId="77777777" w:rsidR="00683F5B" w:rsidRDefault="00683F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FEF99" w14:textId="77777777" w:rsidR="00A9083D" w:rsidRDefault="00A9083D">
      <w:r>
        <w:separator/>
      </w:r>
    </w:p>
  </w:footnote>
  <w:footnote w:type="continuationSeparator" w:id="0">
    <w:p w14:paraId="5079C554" w14:textId="77777777" w:rsidR="00A9083D" w:rsidRDefault="00A90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E52E1" w14:textId="77777777" w:rsidR="00683F5B" w:rsidRDefault="00683F5B">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9750" w14:textId="77777777" w:rsidR="00683F5B" w:rsidRDefault="00683F5B">
    <w:pPr>
      <w:spacing w:line="3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A1601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8ACF14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EBCE7E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6DA8E9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FE0414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43436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4A222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53EEA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6E8ED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F88F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13"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20440B3E"/>
    <w:multiLevelType w:val="multilevel"/>
    <w:tmpl w:val="88964634"/>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8"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4BCD41A3"/>
    <w:multiLevelType w:val="multilevel"/>
    <w:tmpl w:val="900A4528"/>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435053316">
    <w:abstractNumId w:val="10"/>
  </w:num>
  <w:num w:numId="2" w16cid:durableId="1329406448">
    <w:abstractNumId w:val="17"/>
  </w:num>
  <w:num w:numId="3" w16cid:durableId="1673218872">
    <w:abstractNumId w:val="13"/>
  </w:num>
  <w:num w:numId="4" w16cid:durableId="1585065531">
    <w:abstractNumId w:val="23"/>
  </w:num>
  <w:num w:numId="5" w16cid:durableId="2057777382">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6906768">
    <w:abstractNumId w:val="0"/>
  </w:num>
  <w:num w:numId="7" w16cid:durableId="59910442">
    <w:abstractNumId w:val="1"/>
  </w:num>
  <w:num w:numId="8" w16cid:durableId="439685639">
    <w:abstractNumId w:val="2"/>
  </w:num>
  <w:num w:numId="9" w16cid:durableId="126511866">
    <w:abstractNumId w:val="3"/>
  </w:num>
  <w:num w:numId="10" w16cid:durableId="1910727265">
    <w:abstractNumId w:val="8"/>
  </w:num>
  <w:num w:numId="11" w16cid:durableId="49961194">
    <w:abstractNumId w:val="4"/>
  </w:num>
  <w:num w:numId="12" w16cid:durableId="1217740791">
    <w:abstractNumId w:val="5"/>
  </w:num>
  <w:num w:numId="13" w16cid:durableId="187304023">
    <w:abstractNumId w:val="6"/>
  </w:num>
  <w:num w:numId="14" w16cid:durableId="884756972">
    <w:abstractNumId w:val="7"/>
  </w:num>
  <w:num w:numId="15" w16cid:durableId="2029521971">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F71"/>
    <w:rsid w:val="0001073B"/>
    <w:rsid w:val="0001410C"/>
    <w:rsid w:val="00014320"/>
    <w:rsid w:val="00014A3E"/>
    <w:rsid w:val="000166A9"/>
    <w:rsid w:val="0002037F"/>
    <w:rsid w:val="00025307"/>
    <w:rsid w:val="000311ED"/>
    <w:rsid w:val="000317FE"/>
    <w:rsid w:val="00033FD4"/>
    <w:rsid w:val="00036E78"/>
    <w:rsid w:val="00037116"/>
    <w:rsid w:val="000400A2"/>
    <w:rsid w:val="00046A54"/>
    <w:rsid w:val="000537E1"/>
    <w:rsid w:val="00055388"/>
    <w:rsid w:val="00056B37"/>
    <w:rsid w:val="00056ED2"/>
    <w:rsid w:val="00057004"/>
    <w:rsid w:val="00071FB8"/>
    <w:rsid w:val="00076A95"/>
    <w:rsid w:val="000800D0"/>
    <w:rsid w:val="0008467E"/>
    <w:rsid w:val="000944BC"/>
    <w:rsid w:val="000957C1"/>
    <w:rsid w:val="0009694D"/>
    <w:rsid w:val="000A5006"/>
    <w:rsid w:val="000A7DDF"/>
    <w:rsid w:val="000B0A40"/>
    <w:rsid w:val="000B229E"/>
    <w:rsid w:val="000B5C42"/>
    <w:rsid w:val="000C61BD"/>
    <w:rsid w:val="000D169E"/>
    <w:rsid w:val="000E08DD"/>
    <w:rsid w:val="000E5031"/>
    <w:rsid w:val="000F0486"/>
    <w:rsid w:val="000F264E"/>
    <w:rsid w:val="000F5018"/>
    <w:rsid w:val="000F796F"/>
    <w:rsid w:val="0010217F"/>
    <w:rsid w:val="0010543D"/>
    <w:rsid w:val="0011269B"/>
    <w:rsid w:val="00112F00"/>
    <w:rsid w:val="00121A72"/>
    <w:rsid w:val="00135195"/>
    <w:rsid w:val="001358D6"/>
    <w:rsid w:val="00146464"/>
    <w:rsid w:val="00155078"/>
    <w:rsid w:val="001669A7"/>
    <w:rsid w:val="00170B29"/>
    <w:rsid w:val="00173751"/>
    <w:rsid w:val="00177D09"/>
    <w:rsid w:val="0018250A"/>
    <w:rsid w:val="001854FB"/>
    <w:rsid w:val="00193642"/>
    <w:rsid w:val="0019677A"/>
    <w:rsid w:val="001A0899"/>
    <w:rsid w:val="001B28FE"/>
    <w:rsid w:val="001B4518"/>
    <w:rsid w:val="001C0CCE"/>
    <w:rsid w:val="001C39F6"/>
    <w:rsid w:val="001C66FE"/>
    <w:rsid w:val="001D0F76"/>
    <w:rsid w:val="001D4908"/>
    <w:rsid w:val="001D6904"/>
    <w:rsid w:val="001E6D57"/>
    <w:rsid w:val="001F1516"/>
    <w:rsid w:val="001F1DE3"/>
    <w:rsid w:val="001F522F"/>
    <w:rsid w:val="001F656B"/>
    <w:rsid w:val="00201EBF"/>
    <w:rsid w:val="00207219"/>
    <w:rsid w:val="00207721"/>
    <w:rsid w:val="00233DBA"/>
    <w:rsid w:val="00234C54"/>
    <w:rsid w:val="00236E6D"/>
    <w:rsid w:val="00240BBD"/>
    <w:rsid w:val="00240F72"/>
    <w:rsid w:val="002429E5"/>
    <w:rsid w:val="002432A4"/>
    <w:rsid w:val="00251636"/>
    <w:rsid w:val="00265172"/>
    <w:rsid w:val="002667F0"/>
    <w:rsid w:val="00274CA6"/>
    <w:rsid w:val="0027521C"/>
    <w:rsid w:val="002757B6"/>
    <w:rsid w:val="00280CEF"/>
    <w:rsid w:val="00284FAE"/>
    <w:rsid w:val="0028757A"/>
    <w:rsid w:val="00290C88"/>
    <w:rsid w:val="00296520"/>
    <w:rsid w:val="002A5C6A"/>
    <w:rsid w:val="002B0F3D"/>
    <w:rsid w:val="002B1DE6"/>
    <w:rsid w:val="002C1C84"/>
    <w:rsid w:val="002C2E47"/>
    <w:rsid w:val="002D1FE4"/>
    <w:rsid w:val="002D470F"/>
    <w:rsid w:val="002E176E"/>
    <w:rsid w:val="002E2492"/>
    <w:rsid w:val="002E54F4"/>
    <w:rsid w:val="002F15D8"/>
    <w:rsid w:val="002F3E59"/>
    <w:rsid w:val="002F6051"/>
    <w:rsid w:val="0030151B"/>
    <w:rsid w:val="00303217"/>
    <w:rsid w:val="00304BD0"/>
    <w:rsid w:val="00305C66"/>
    <w:rsid w:val="00307D77"/>
    <w:rsid w:val="00311F1A"/>
    <w:rsid w:val="00313E9E"/>
    <w:rsid w:val="003150D5"/>
    <w:rsid w:val="0031791B"/>
    <w:rsid w:val="00320F78"/>
    <w:rsid w:val="00322B8C"/>
    <w:rsid w:val="00332B84"/>
    <w:rsid w:val="00333C90"/>
    <w:rsid w:val="00343831"/>
    <w:rsid w:val="00345B16"/>
    <w:rsid w:val="0035768F"/>
    <w:rsid w:val="00360CC8"/>
    <w:rsid w:val="00373966"/>
    <w:rsid w:val="0038177C"/>
    <w:rsid w:val="003836EB"/>
    <w:rsid w:val="00385E29"/>
    <w:rsid w:val="00387024"/>
    <w:rsid w:val="0039365D"/>
    <w:rsid w:val="003963D3"/>
    <w:rsid w:val="003A2888"/>
    <w:rsid w:val="003B0223"/>
    <w:rsid w:val="003B4C5B"/>
    <w:rsid w:val="003B6806"/>
    <w:rsid w:val="003C1575"/>
    <w:rsid w:val="003C73DE"/>
    <w:rsid w:val="003D07F7"/>
    <w:rsid w:val="003D28F1"/>
    <w:rsid w:val="003D5275"/>
    <w:rsid w:val="003D63DF"/>
    <w:rsid w:val="003D737F"/>
    <w:rsid w:val="003E2944"/>
    <w:rsid w:val="003E5779"/>
    <w:rsid w:val="003E5EA7"/>
    <w:rsid w:val="003E5F4C"/>
    <w:rsid w:val="003F1425"/>
    <w:rsid w:val="003F2EAB"/>
    <w:rsid w:val="003F4D70"/>
    <w:rsid w:val="003F7474"/>
    <w:rsid w:val="003F7FED"/>
    <w:rsid w:val="00404616"/>
    <w:rsid w:val="00407B6A"/>
    <w:rsid w:val="00414400"/>
    <w:rsid w:val="00420910"/>
    <w:rsid w:val="00421CD4"/>
    <w:rsid w:val="00425D4E"/>
    <w:rsid w:val="00427833"/>
    <w:rsid w:val="00434852"/>
    <w:rsid w:val="0043727C"/>
    <w:rsid w:val="0044196E"/>
    <w:rsid w:val="00455B91"/>
    <w:rsid w:val="00464644"/>
    <w:rsid w:val="00472A60"/>
    <w:rsid w:val="00474210"/>
    <w:rsid w:val="0047666B"/>
    <w:rsid w:val="00480B96"/>
    <w:rsid w:val="0048303E"/>
    <w:rsid w:val="00491A94"/>
    <w:rsid w:val="004920F6"/>
    <w:rsid w:val="004A1B3F"/>
    <w:rsid w:val="004A67E8"/>
    <w:rsid w:val="004C08E3"/>
    <w:rsid w:val="004C3D65"/>
    <w:rsid w:val="004D05F5"/>
    <w:rsid w:val="004D1B93"/>
    <w:rsid w:val="004D24C7"/>
    <w:rsid w:val="004D4858"/>
    <w:rsid w:val="004D5EAF"/>
    <w:rsid w:val="004D6472"/>
    <w:rsid w:val="004E0E5A"/>
    <w:rsid w:val="004E5611"/>
    <w:rsid w:val="004F0FDF"/>
    <w:rsid w:val="005046C0"/>
    <w:rsid w:val="00513BB6"/>
    <w:rsid w:val="005262C6"/>
    <w:rsid w:val="0052775F"/>
    <w:rsid w:val="005345EB"/>
    <w:rsid w:val="00535439"/>
    <w:rsid w:val="005363B0"/>
    <w:rsid w:val="00543226"/>
    <w:rsid w:val="00562535"/>
    <w:rsid w:val="00562EB1"/>
    <w:rsid w:val="0057471B"/>
    <w:rsid w:val="005814C5"/>
    <w:rsid w:val="00591C32"/>
    <w:rsid w:val="00593CBB"/>
    <w:rsid w:val="00596720"/>
    <w:rsid w:val="00597D3F"/>
    <w:rsid w:val="005A0EB0"/>
    <w:rsid w:val="005A5498"/>
    <w:rsid w:val="005A7114"/>
    <w:rsid w:val="005B0897"/>
    <w:rsid w:val="005B52FB"/>
    <w:rsid w:val="005B79E9"/>
    <w:rsid w:val="005C41E2"/>
    <w:rsid w:val="005D6ADC"/>
    <w:rsid w:val="005D7A61"/>
    <w:rsid w:val="005E4912"/>
    <w:rsid w:val="005E6F1F"/>
    <w:rsid w:val="005E7336"/>
    <w:rsid w:val="005F2B0B"/>
    <w:rsid w:val="005F44D1"/>
    <w:rsid w:val="00613185"/>
    <w:rsid w:val="00615323"/>
    <w:rsid w:val="0061560F"/>
    <w:rsid w:val="00620158"/>
    <w:rsid w:val="00621022"/>
    <w:rsid w:val="00621129"/>
    <w:rsid w:val="00633903"/>
    <w:rsid w:val="00633916"/>
    <w:rsid w:val="00634CD8"/>
    <w:rsid w:val="006413CF"/>
    <w:rsid w:val="00641D2B"/>
    <w:rsid w:val="00642613"/>
    <w:rsid w:val="00645D99"/>
    <w:rsid w:val="0065123B"/>
    <w:rsid w:val="0066053D"/>
    <w:rsid w:val="006624A9"/>
    <w:rsid w:val="00662D3E"/>
    <w:rsid w:val="00665C7E"/>
    <w:rsid w:val="0067146D"/>
    <w:rsid w:val="00672DDD"/>
    <w:rsid w:val="00676C91"/>
    <w:rsid w:val="00683F5B"/>
    <w:rsid w:val="00690B77"/>
    <w:rsid w:val="00693334"/>
    <w:rsid w:val="006A6BA4"/>
    <w:rsid w:val="006B074D"/>
    <w:rsid w:val="006C4000"/>
    <w:rsid w:val="006C594B"/>
    <w:rsid w:val="006D474B"/>
    <w:rsid w:val="006E1E6D"/>
    <w:rsid w:val="006E4BDD"/>
    <w:rsid w:val="006E56E8"/>
    <w:rsid w:val="00701364"/>
    <w:rsid w:val="007028A1"/>
    <w:rsid w:val="00711200"/>
    <w:rsid w:val="00713F80"/>
    <w:rsid w:val="0072397F"/>
    <w:rsid w:val="00731922"/>
    <w:rsid w:val="00731ACB"/>
    <w:rsid w:val="007368AD"/>
    <w:rsid w:val="00736B18"/>
    <w:rsid w:val="0073710F"/>
    <w:rsid w:val="00737F54"/>
    <w:rsid w:val="0074133D"/>
    <w:rsid w:val="0074293C"/>
    <w:rsid w:val="00742F2E"/>
    <w:rsid w:val="00743CDB"/>
    <w:rsid w:val="00744EB7"/>
    <w:rsid w:val="0074799C"/>
    <w:rsid w:val="0075196D"/>
    <w:rsid w:val="00751A64"/>
    <w:rsid w:val="00753EAD"/>
    <w:rsid w:val="0075558C"/>
    <w:rsid w:val="00761EFA"/>
    <w:rsid w:val="0076257F"/>
    <w:rsid w:val="0076264C"/>
    <w:rsid w:val="00763E69"/>
    <w:rsid w:val="00764873"/>
    <w:rsid w:val="007676DD"/>
    <w:rsid w:val="00767FE7"/>
    <w:rsid w:val="007703A9"/>
    <w:rsid w:val="00774F90"/>
    <w:rsid w:val="007774F4"/>
    <w:rsid w:val="007778DD"/>
    <w:rsid w:val="00781326"/>
    <w:rsid w:val="00782322"/>
    <w:rsid w:val="007861D0"/>
    <w:rsid w:val="00790B6C"/>
    <w:rsid w:val="00795D03"/>
    <w:rsid w:val="00796693"/>
    <w:rsid w:val="007A1578"/>
    <w:rsid w:val="007A462B"/>
    <w:rsid w:val="007A477F"/>
    <w:rsid w:val="007A5137"/>
    <w:rsid w:val="007A6AFA"/>
    <w:rsid w:val="007C7591"/>
    <w:rsid w:val="007D3CD4"/>
    <w:rsid w:val="007D4B98"/>
    <w:rsid w:val="007D538B"/>
    <w:rsid w:val="007D5CD5"/>
    <w:rsid w:val="007D6155"/>
    <w:rsid w:val="007E0728"/>
    <w:rsid w:val="007F5B61"/>
    <w:rsid w:val="007F6AE9"/>
    <w:rsid w:val="007F79DB"/>
    <w:rsid w:val="007F7D65"/>
    <w:rsid w:val="0080310F"/>
    <w:rsid w:val="008058FE"/>
    <w:rsid w:val="00812028"/>
    <w:rsid w:val="00826D54"/>
    <w:rsid w:val="00834CBF"/>
    <w:rsid w:val="0083516F"/>
    <w:rsid w:val="0083604E"/>
    <w:rsid w:val="00836E99"/>
    <w:rsid w:val="00836F89"/>
    <w:rsid w:val="0084519E"/>
    <w:rsid w:val="00846459"/>
    <w:rsid w:val="008517E7"/>
    <w:rsid w:val="00852266"/>
    <w:rsid w:val="00861CAB"/>
    <w:rsid w:val="00863435"/>
    <w:rsid w:val="00867486"/>
    <w:rsid w:val="00872827"/>
    <w:rsid w:val="0087349A"/>
    <w:rsid w:val="00874F08"/>
    <w:rsid w:val="008844A1"/>
    <w:rsid w:val="008865B6"/>
    <w:rsid w:val="00891D93"/>
    <w:rsid w:val="00895DF4"/>
    <w:rsid w:val="00896151"/>
    <w:rsid w:val="008A4E30"/>
    <w:rsid w:val="008A6EC2"/>
    <w:rsid w:val="008B1A4D"/>
    <w:rsid w:val="008C74A9"/>
    <w:rsid w:val="008D006E"/>
    <w:rsid w:val="008D4ADE"/>
    <w:rsid w:val="008D589C"/>
    <w:rsid w:val="008E1D18"/>
    <w:rsid w:val="008E3E37"/>
    <w:rsid w:val="008E3E4F"/>
    <w:rsid w:val="008E5E7E"/>
    <w:rsid w:val="008E7085"/>
    <w:rsid w:val="008F2A6C"/>
    <w:rsid w:val="008F565E"/>
    <w:rsid w:val="008F60C3"/>
    <w:rsid w:val="009023DB"/>
    <w:rsid w:val="00912CA9"/>
    <w:rsid w:val="009211E0"/>
    <w:rsid w:val="009254D6"/>
    <w:rsid w:val="0092669B"/>
    <w:rsid w:val="0093163E"/>
    <w:rsid w:val="009359F8"/>
    <w:rsid w:val="00936436"/>
    <w:rsid w:val="0094721A"/>
    <w:rsid w:val="00947EEE"/>
    <w:rsid w:val="009533D2"/>
    <w:rsid w:val="0096399B"/>
    <w:rsid w:val="009658AC"/>
    <w:rsid w:val="00965FBD"/>
    <w:rsid w:val="00966BAC"/>
    <w:rsid w:val="009749DC"/>
    <w:rsid w:val="00986423"/>
    <w:rsid w:val="0098795C"/>
    <w:rsid w:val="00991646"/>
    <w:rsid w:val="00994B9C"/>
    <w:rsid w:val="00995252"/>
    <w:rsid w:val="009962CE"/>
    <w:rsid w:val="009A2ABE"/>
    <w:rsid w:val="009A6A2F"/>
    <w:rsid w:val="009C755C"/>
    <w:rsid w:val="009C780F"/>
    <w:rsid w:val="009D097A"/>
    <w:rsid w:val="009D2408"/>
    <w:rsid w:val="009D32C7"/>
    <w:rsid w:val="009D3E1B"/>
    <w:rsid w:val="009E4F4C"/>
    <w:rsid w:val="009F016D"/>
    <w:rsid w:val="009F2D9E"/>
    <w:rsid w:val="00A02055"/>
    <w:rsid w:val="00A03228"/>
    <w:rsid w:val="00A06FF4"/>
    <w:rsid w:val="00A1315B"/>
    <w:rsid w:val="00A15BBF"/>
    <w:rsid w:val="00A21EE0"/>
    <w:rsid w:val="00A24021"/>
    <w:rsid w:val="00A25353"/>
    <w:rsid w:val="00A26D38"/>
    <w:rsid w:val="00A27D90"/>
    <w:rsid w:val="00A34ABE"/>
    <w:rsid w:val="00A34F5F"/>
    <w:rsid w:val="00A46597"/>
    <w:rsid w:val="00A46A68"/>
    <w:rsid w:val="00A50EE9"/>
    <w:rsid w:val="00A5188E"/>
    <w:rsid w:val="00A56B44"/>
    <w:rsid w:val="00A7167A"/>
    <w:rsid w:val="00A757B4"/>
    <w:rsid w:val="00A80FC8"/>
    <w:rsid w:val="00A86CD9"/>
    <w:rsid w:val="00A86F48"/>
    <w:rsid w:val="00A9083D"/>
    <w:rsid w:val="00A94E86"/>
    <w:rsid w:val="00A95121"/>
    <w:rsid w:val="00A954E1"/>
    <w:rsid w:val="00A9617E"/>
    <w:rsid w:val="00AA0130"/>
    <w:rsid w:val="00AB1727"/>
    <w:rsid w:val="00AB31B5"/>
    <w:rsid w:val="00AD0A33"/>
    <w:rsid w:val="00AE0982"/>
    <w:rsid w:val="00AE125E"/>
    <w:rsid w:val="00AE508E"/>
    <w:rsid w:val="00AE792F"/>
    <w:rsid w:val="00AF6DBA"/>
    <w:rsid w:val="00B07524"/>
    <w:rsid w:val="00B113E7"/>
    <w:rsid w:val="00B13E4C"/>
    <w:rsid w:val="00B20AB5"/>
    <w:rsid w:val="00B27BDD"/>
    <w:rsid w:val="00B31D9B"/>
    <w:rsid w:val="00B3272F"/>
    <w:rsid w:val="00B35B7C"/>
    <w:rsid w:val="00B36404"/>
    <w:rsid w:val="00B53C15"/>
    <w:rsid w:val="00B60CC5"/>
    <w:rsid w:val="00B73145"/>
    <w:rsid w:val="00B736DB"/>
    <w:rsid w:val="00B7420A"/>
    <w:rsid w:val="00B759A1"/>
    <w:rsid w:val="00B76E7C"/>
    <w:rsid w:val="00B77FA6"/>
    <w:rsid w:val="00B87BC7"/>
    <w:rsid w:val="00B90095"/>
    <w:rsid w:val="00B91D02"/>
    <w:rsid w:val="00B955BD"/>
    <w:rsid w:val="00BA6F73"/>
    <w:rsid w:val="00BA7975"/>
    <w:rsid w:val="00BB0056"/>
    <w:rsid w:val="00BB0E48"/>
    <w:rsid w:val="00BB0F71"/>
    <w:rsid w:val="00BB7A10"/>
    <w:rsid w:val="00BC0AA2"/>
    <w:rsid w:val="00BD3522"/>
    <w:rsid w:val="00BD43E6"/>
    <w:rsid w:val="00BD693C"/>
    <w:rsid w:val="00BE0454"/>
    <w:rsid w:val="00BE455A"/>
    <w:rsid w:val="00BF0B52"/>
    <w:rsid w:val="00BF4779"/>
    <w:rsid w:val="00BF5A37"/>
    <w:rsid w:val="00BF793A"/>
    <w:rsid w:val="00C0515F"/>
    <w:rsid w:val="00C05B1A"/>
    <w:rsid w:val="00C067FC"/>
    <w:rsid w:val="00C076BB"/>
    <w:rsid w:val="00C0799A"/>
    <w:rsid w:val="00C11D0D"/>
    <w:rsid w:val="00C206FF"/>
    <w:rsid w:val="00C267C6"/>
    <w:rsid w:val="00C330F8"/>
    <w:rsid w:val="00C35051"/>
    <w:rsid w:val="00C45640"/>
    <w:rsid w:val="00C45C8F"/>
    <w:rsid w:val="00C509C3"/>
    <w:rsid w:val="00C50A17"/>
    <w:rsid w:val="00C512B0"/>
    <w:rsid w:val="00C51582"/>
    <w:rsid w:val="00C54C6B"/>
    <w:rsid w:val="00C65186"/>
    <w:rsid w:val="00C70EAE"/>
    <w:rsid w:val="00C72D98"/>
    <w:rsid w:val="00C80C34"/>
    <w:rsid w:val="00C83B65"/>
    <w:rsid w:val="00C926A9"/>
    <w:rsid w:val="00C94804"/>
    <w:rsid w:val="00C95581"/>
    <w:rsid w:val="00CA0C51"/>
    <w:rsid w:val="00CA1FF4"/>
    <w:rsid w:val="00CA71B1"/>
    <w:rsid w:val="00CB3DBE"/>
    <w:rsid w:val="00CB77EA"/>
    <w:rsid w:val="00CD1CA6"/>
    <w:rsid w:val="00CD3544"/>
    <w:rsid w:val="00CD50B5"/>
    <w:rsid w:val="00CD73A9"/>
    <w:rsid w:val="00CD7689"/>
    <w:rsid w:val="00CE3B35"/>
    <w:rsid w:val="00CE4BD1"/>
    <w:rsid w:val="00CF2E60"/>
    <w:rsid w:val="00CF6673"/>
    <w:rsid w:val="00CF6BAF"/>
    <w:rsid w:val="00D000CC"/>
    <w:rsid w:val="00D03EAE"/>
    <w:rsid w:val="00D05396"/>
    <w:rsid w:val="00D06F12"/>
    <w:rsid w:val="00D11F00"/>
    <w:rsid w:val="00D13835"/>
    <w:rsid w:val="00D15E51"/>
    <w:rsid w:val="00D21EF3"/>
    <w:rsid w:val="00D231DB"/>
    <w:rsid w:val="00D248B3"/>
    <w:rsid w:val="00D40484"/>
    <w:rsid w:val="00D4197A"/>
    <w:rsid w:val="00D46790"/>
    <w:rsid w:val="00D47F53"/>
    <w:rsid w:val="00D538D9"/>
    <w:rsid w:val="00D53AD5"/>
    <w:rsid w:val="00D554E5"/>
    <w:rsid w:val="00D55C90"/>
    <w:rsid w:val="00D741B3"/>
    <w:rsid w:val="00D810C5"/>
    <w:rsid w:val="00D81B0C"/>
    <w:rsid w:val="00D83B30"/>
    <w:rsid w:val="00D86575"/>
    <w:rsid w:val="00D91C27"/>
    <w:rsid w:val="00DA5E41"/>
    <w:rsid w:val="00DB0B5F"/>
    <w:rsid w:val="00DB3CF8"/>
    <w:rsid w:val="00DC2E8C"/>
    <w:rsid w:val="00DC3C5E"/>
    <w:rsid w:val="00DC5925"/>
    <w:rsid w:val="00DC60FA"/>
    <w:rsid w:val="00DE1727"/>
    <w:rsid w:val="00DE23AF"/>
    <w:rsid w:val="00DF3B9A"/>
    <w:rsid w:val="00DF6B52"/>
    <w:rsid w:val="00DF7A4D"/>
    <w:rsid w:val="00E03550"/>
    <w:rsid w:val="00E11089"/>
    <w:rsid w:val="00E13D26"/>
    <w:rsid w:val="00E17598"/>
    <w:rsid w:val="00E17862"/>
    <w:rsid w:val="00E2276D"/>
    <w:rsid w:val="00E31CEC"/>
    <w:rsid w:val="00E34177"/>
    <w:rsid w:val="00E36730"/>
    <w:rsid w:val="00E42623"/>
    <w:rsid w:val="00E4625D"/>
    <w:rsid w:val="00E5258E"/>
    <w:rsid w:val="00E60B69"/>
    <w:rsid w:val="00E72947"/>
    <w:rsid w:val="00E75867"/>
    <w:rsid w:val="00E91931"/>
    <w:rsid w:val="00E97FDB"/>
    <w:rsid w:val="00EA2092"/>
    <w:rsid w:val="00EA338E"/>
    <w:rsid w:val="00EA5199"/>
    <w:rsid w:val="00EA5479"/>
    <w:rsid w:val="00EB0823"/>
    <w:rsid w:val="00ED32CF"/>
    <w:rsid w:val="00ED7A05"/>
    <w:rsid w:val="00EE334C"/>
    <w:rsid w:val="00EE4B4F"/>
    <w:rsid w:val="00EE6798"/>
    <w:rsid w:val="00EE69CD"/>
    <w:rsid w:val="00EF11A4"/>
    <w:rsid w:val="00EF33A5"/>
    <w:rsid w:val="00F02153"/>
    <w:rsid w:val="00F058DF"/>
    <w:rsid w:val="00F15675"/>
    <w:rsid w:val="00F1733C"/>
    <w:rsid w:val="00F20930"/>
    <w:rsid w:val="00F21250"/>
    <w:rsid w:val="00F22D43"/>
    <w:rsid w:val="00F2398D"/>
    <w:rsid w:val="00F47BC4"/>
    <w:rsid w:val="00F518B8"/>
    <w:rsid w:val="00F57C83"/>
    <w:rsid w:val="00F634A3"/>
    <w:rsid w:val="00F70F16"/>
    <w:rsid w:val="00F710F9"/>
    <w:rsid w:val="00F7620F"/>
    <w:rsid w:val="00F838C0"/>
    <w:rsid w:val="00F83A5F"/>
    <w:rsid w:val="00F8462C"/>
    <w:rsid w:val="00F8536B"/>
    <w:rsid w:val="00F873CA"/>
    <w:rsid w:val="00F87F40"/>
    <w:rsid w:val="00F91A16"/>
    <w:rsid w:val="00F91B57"/>
    <w:rsid w:val="00FA0AE4"/>
    <w:rsid w:val="00FA0C5E"/>
    <w:rsid w:val="00FA1B57"/>
    <w:rsid w:val="00FA3654"/>
    <w:rsid w:val="00FA5108"/>
    <w:rsid w:val="00FA535B"/>
    <w:rsid w:val="00FA7849"/>
    <w:rsid w:val="00FB1BFB"/>
    <w:rsid w:val="00FB3EF0"/>
    <w:rsid w:val="00FB4DBA"/>
    <w:rsid w:val="00FB58AA"/>
    <w:rsid w:val="00FB667E"/>
    <w:rsid w:val="00FC5281"/>
    <w:rsid w:val="00FE0861"/>
    <w:rsid w:val="00FE552D"/>
    <w:rsid w:val="00FF195C"/>
    <w:rsid w:val="00FF2894"/>
    <w:rsid w:val="00FF6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6B89B2"/>
  <w15:docId w15:val="{D81EE9AA-C854-BC41-8DA9-179AE92A3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54E5"/>
    <w:rPr>
      <w:rFonts w:ascii="Arial" w:hAnsi="Arial"/>
    </w:rPr>
  </w:style>
  <w:style w:type="paragraph" w:styleId="Heading1">
    <w:name w:val="heading 1"/>
    <w:basedOn w:val="Normal"/>
    <w:next w:val="Normal"/>
    <w:link w:val="Heading1Char"/>
    <w:autoRedefine/>
    <w:qFormat/>
    <w:rsid w:val="008058FE"/>
    <w:pPr>
      <w:autoSpaceDE w:val="0"/>
      <w:autoSpaceDN w:val="0"/>
      <w:adjustRightInd w:val="0"/>
      <w:spacing w:before="120" w:after="120"/>
      <w:jc w:val="center"/>
      <w:outlineLvl w:val="0"/>
    </w:pPr>
    <w:rPr>
      <w:b/>
      <w:bCs/>
      <w:caps/>
      <w:color w:val="000000" w:themeColor="text1"/>
      <w:sz w:val="28"/>
    </w:rPr>
  </w:style>
  <w:style w:type="paragraph" w:styleId="Heading2">
    <w:name w:val="heading 2"/>
    <w:basedOn w:val="Normal"/>
    <w:next w:val="Normal"/>
    <w:link w:val="Heading2Char"/>
    <w:autoRedefine/>
    <w:qFormat/>
    <w:rsid w:val="00240F72"/>
    <w:pPr>
      <w:keepNext/>
      <w:spacing w:before="240" w:after="60"/>
      <w:jc w:val="center"/>
      <w:outlineLvl w:val="1"/>
    </w:pPr>
    <w:rPr>
      <w:b/>
      <w:bCs/>
      <w:iCs/>
      <w:szCs w:val="22"/>
    </w:rPr>
  </w:style>
  <w:style w:type="paragraph" w:styleId="Heading3">
    <w:name w:val="heading 3"/>
    <w:basedOn w:val="Normal"/>
    <w:next w:val="Normal"/>
    <w:autoRedefine/>
    <w:qFormat/>
    <w:rsid w:val="00FA5108"/>
    <w:pPr>
      <w:keepNext/>
      <w:spacing w:before="240" w:after="60"/>
      <w:outlineLvl w:val="2"/>
    </w:pPr>
    <w:rPr>
      <w:b/>
      <w:bCs/>
      <w:iCs/>
      <w:szCs w:val="26"/>
    </w:rPr>
  </w:style>
  <w:style w:type="paragraph" w:styleId="Heading4">
    <w:name w:val="heading 4"/>
    <w:basedOn w:val="Normal"/>
    <w:next w:val="Normal"/>
    <w:link w:val="Heading4Char"/>
    <w:unhideWhenUsed/>
    <w:qFormat/>
    <w:rsid w:val="00D231DB"/>
    <w:pPr>
      <w:keepNext/>
      <w:keepLines/>
      <w:numPr>
        <w:ilvl w:val="3"/>
        <w:numId w:val="2"/>
      </w:numPr>
      <w:spacing w:before="40"/>
      <w:outlineLvl w:val="3"/>
    </w:pPr>
    <w:rPr>
      <w:rFonts w:eastAsiaTheme="majorEastAsia" w:cstheme="majorBidi"/>
      <w:b/>
      <w:iCs/>
      <w:color w:val="000000" w:themeColor="text1"/>
    </w:rPr>
  </w:style>
  <w:style w:type="paragraph" w:styleId="Heading5">
    <w:name w:val="heading 5"/>
    <w:basedOn w:val="Normal"/>
    <w:next w:val="Normal"/>
    <w:link w:val="Heading5Char"/>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autoRedefine/>
    <w:qFormat/>
    <w:rsid w:val="00A94E86"/>
    <w:pPr>
      <w:autoSpaceDE w:val="0"/>
      <w:autoSpaceDN w:val="0"/>
      <w:adjustRightInd w:val="0"/>
    </w:pPr>
    <w:rPr>
      <w:szCs w:val="22"/>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qFormat/>
    <w:rsid w:val="00207721"/>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rsid w:val="008058FE"/>
    <w:rPr>
      <w:rFonts w:ascii="Arial" w:hAnsi="Arial"/>
      <w:b/>
      <w:bCs/>
      <w:caps/>
      <w:color w:val="000000" w:themeColor="text1"/>
      <w:sz w:val="28"/>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E91931"/>
    <w:pPr>
      <w:keepNext/>
      <w:keepLines/>
      <w:autoSpaceDE/>
      <w:autoSpaceDN/>
      <w:adjustRightInd/>
      <w:spacing w:before="240" w:line="259" w:lineRule="auto"/>
      <w:outlineLvl w:val="9"/>
    </w:pPr>
    <w:rPr>
      <w:bCs w:val="0"/>
      <w:color w:val="auto"/>
    </w:rPr>
  </w:style>
  <w:style w:type="character" w:styleId="Strong">
    <w:name w:val="Strong"/>
    <w:basedOn w:val="DefaultParagraphFont"/>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qFormat/>
    <w:rsid w:val="003F7FED"/>
    <w:rPr>
      <w:rFonts w:asciiTheme="majorHAnsi" w:hAnsiTheme="majorHAnsi"/>
      <w:i/>
      <w:iCs/>
    </w:rPr>
  </w:style>
  <w:style w:type="paragraph" w:styleId="NoSpacing">
    <w:name w:val="No Spacing"/>
    <w:autoRedefine/>
    <w:uiPriority w:val="1"/>
    <w:qFormat/>
    <w:rsid w:val="00A94E86"/>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D231DB"/>
    <w:pPr>
      <w:spacing w:before="200" w:after="160"/>
      <w:ind w:left="864" w:right="864"/>
      <w:jc w:val="center"/>
    </w:pPr>
    <w:rPr>
      <w:color w:val="404040" w:themeColor="text1" w:themeTint="BF"/>
    </w:rPr>
  </w:style>
  <w:style w:type="character" w:customStyle="1" w:styleId="QuoteChar">
    <w:name w:val="Quote Char"/>
    <w:basedOn w:val="DefaultParagraphFont"/>
    <w:link w:val="Quote"/>
    <w:uiPriority w:val="29"/>
    <w:rsid w:val="00D231DB"/>
    <w:rPr>
      <w:rFonts w:ascii="Arial" w:hAnsi="Arial"/>
      <w:color w:val="404040" w:themeColor="text1" w:themeTint="BF"/>
    </w:rPr>
  </w:style>
  <w:style w:type="paragraph" w:styleId="ListParagraph">
    <w:name w:val="List Paragraph"/>
    <w:basedOn w:val="Normal"/>
    <w:autoRedefine/>
    <w:uiPriority w:val="34"/>
    <w:qFormat/>
    <w:rsid w:val="003F7FED"/>
    <w:pPr>
      <w:ind w:left="720"/>
      <w:contextualSpacing/>
    </w:p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nhideWhenUsed/>
    <w:qFormat/>
    <w:rsid w:val="00E03550"/>
    <w:pPr>
      <w:keepNext/>
      <w:spacing w:before="120" w:after="120"/>
    </w:pPr>
    <w:rPr>
      <w:b/>
      <w:bCs/>
      <w:iCs/>
      <w:color w:val="000000" w:themeColor="text1"/>
      <w:szCs w:val="22"/>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rsid w:val="00D231DB"/>
    <w:rPr>
      <w:rFonts w:ascii="Arial" w:eastAsiaTheme="majorEastAsia" w:hAnsi="Arial" w:cstheme="majorBidi"/>
      <w:b/>
      <w:iCs/>
      <w:color w:val="000000" w:themeColor="text1"/>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693334"/>
    <w:pPr>
      <w:numPr>
        <w:ilvl w:val="12"/>
      </w:numPr>
    </w:pPr>
    <w:rPr>
      <w:bCs w:val="0"/>
      <w:szCs w:val="28"/>
    </w:rPr>
  </w:style>
  <w:style w:type="character" w:styleId="PlaceholderText">
    <w:name w:val="Placeholder Text"/>
    <w:basedOn w:val="DefaultParagraphFont"/>
    <w:uiPriority w:val="99"/>
    <w:semiHidden/>
    <w:rsid w:val="005814C5"/>
    <w:rPr>
      <w:color w:val="808080"/>
    </w:rPr>
  </w:style>
  <w:style w:type="character" w:customStyle="1" w:styleId="Heading2Char">
    <w:name w:val="Heading 2 Char"/>
    <w:basedOn w:val="DefaultParagraphFont"/>
    <w:link w:val="Heading2"/>
    <w:rsid w:val="00240F72"/>
    <w:rPr>
      <w:rFonts w:ascii="Arial" w:hAnsi="Arial"/>
      <w:b/>
      <w:bCs/>
      <w:iCs/>
      <w:szCs w:val="22"/>
    </w:rPr>
  </w:style>
  <w:style w:type="character" w:styleId="BookTitle">
    <w:name w:val="Book Title"/>
    <w:basedOn w:val="DefaultParagraphFont"/>
    <w:uiPriority w:val="33"/>
    <w:qFormat/>
    <w:rsid w:val="00A94E86"/>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5.png"/><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 Type="http://schemas.openxmlformats.org/officeDocument/2006/relationships/webSettings" Target="webSettings.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10.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fontTable" Target="fontTable.xml"/><Relationship Id="rId8" Type="http://schemas.openxmlformats.org/officeDocument/2006/relationships/hyperlink" Target="file:////Users/kylalinn/Desktop/KL.Hooker_thesis.docx" TargetMode="External"/><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10.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10.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theme" Target="theme/theme1.xml"/><Relationship Id="rId10" Type="http://schemas.openxmlformats.org/officeDocument/2006/relationships/header" Target="header2.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ylalinn/Downloads/etd-word-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2EAB2-A82F-41A9-90FF-249F91654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etd-word-template-1.dotx</Template>
  <TotalTime>83</TotalTime>
  <Pages>78</Pages>
  <Words>50662</Words>
  <Characters>288778</Characters>
  <Application>Microsoft Office Word</Application>
  <DocSecurity>0</DocSecurity>
  <Lines>2406</Lines>
  <Paragraphs>677</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338763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Linn, Kyla Beth</dc:creator>
  <cp:lastModifiedBy>Hooker, Kyla Linn</cp:lastModifiedBy>
  <cp:revision>19</cp:revision>
  <cp:lastPrinted>2005-09-22T12:02:00Z</cp:lastPrinted>
  <dcterms:created xsi:type="dcterms:W3CDTF">2022-03-22T21:28:00Z</dcterms:created>
  <dcterms:modified xsi:type="dcterms:W3CDTF">2022-04-16T16:14:00Z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61d9d447-87e1-3149-842b-d1c276993345</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