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CF1" w:rsidRDefault="00330CF1" w:rsidP="004E33CF">
      <w:pPr>
        <w:pStyle w:val="Caption"/>
        <w:rPr>
          <w:lang w:val="en-CA"/>
        </w:rPr>
      </w:pPr>
    </w:p>
    <w:p w:rsidR="00330CF1" w:rsidRPr="00F920F6" w:rsidRDefault="00330CF1" w:rsidP="004E33CF">
      <w:pPr>
        <w:pStyle w:val="Caption"/>
      </w:pPr>
      <w:r w:rsidRPr="00F920F6">
        <w:rPr>
          <w:lang w:val="en-CA"/>
        </w:rPr>
        <w:fldChar w:fldCharType="begin"/>
      </w:r>
      <w:r w:rsidRPr="00F920F6">
        <w:rPr>
          <w:lang w:val="en-CA"/>
        </w:rPr>
        <w:instrText xml:space="preserve"> SEQ CHAPTER \h \r 1</w:instrText>
      </w:r>
      <w:r w:rsidRPr="00F920F6">
        <w:rPr>
          <w:lang w:val="en-CA"/>
        </w:rPr>
        <w:fldChar w:fldCharType="end"/>
      </w:r>
      <w:r w:rsidRPr="00F920F6">
        <w:t>To the Graduate Council:</w:t>
      </w:r>
      <w:r>
        <w:tab/>
      </w:r>
    </w:p>
    <w:p w:rsidR="00330CF1" w:rsidRPr="00F920F6" w:rsidRDefault="00330CF1" w:rsidP="003D07F7"/>
    <w:p w:rsidR="00330CF1" w:rsidRPr="00F920F6" w:rsidRDefault="00330CF1" w:rsidP="003D07F7">
      <w:r>
        <w:t>I am submitting herewith a dissertation written by Beth Alair Hamper entitled “Nutritional Adequacy and Performance of Raw Food Diets in Kittens.</w:t>
      </w:r>
      <w:r w:rsidRPr="00F920F6">
        <w:t xml:space="preserve">” I have examined the final electronic copy of this </w:t>
      </w:r>
      <w:r>
        <w:t>dissertation</w:t>
      </w:r>
      <w:r w:rsidRPr="00F920F6">
        <w:t xml:space="preserve"> for form and content and recommend that it be accepted in partial fulfillment of the requirements for the d</w:t>
      </w:r>
      <w:r>
        <w:t>egree of Doctor of Philosophy, with a major in Comparative and Experimental Medicine</w:t>
      </w:r>
      <w:r w:rsidRPr="00F920F6">
        <w:t>.</w:t>
      </w:r>
    </w:p>
    <w:p w:rsidR="00330CF1" w:rsidRDefault="00330CF1" w:rsidP="003D07F7"/>
    <w:p w:rsidR="00330CF1" w:rsidRDefault="00330CF1" w:rsidP="003D07F7"/>
    <w:p w:rsidR="00330CF1" w:rsidRDefault="00330CF1" w:rsidP="00805A55">
      <w:pPr>
        <w:tabs>
          <w:tab w:val="left" w:pos="4050"/>
        </w:tabs>
        <w:ind w:left="3600"/>
      </w:pPr>
      <w:r>
        <w:t>_____________________________</w:t>
      </w:r>
    </w:p>
    <w:p w:rsidR="00330CF1" w:rsidRPr="00F920F6" w:rsidRDefault="00330CF1" w:rsidP="00805A55">
      <w:pPr>
        <w:tabs>
          <w:tab w:val="left" w:pos="4050"/>
        </w:tabs>
        <w:ind w:left="3600"/>
      </w:pPr>
      <w:r>
        <w:t xml:space="preserve">Joseph W. Bartges, </w:t>
      </w:r>
      <w:r w:rsidRPr="00F920F6">
        <w:t>Major Professor</w:t>
      </w:r>
    </w:p>
    <w:p w:rsidR="00330CF1" w:rsidRPr="00F920F6" w:rsidRDefault="00330CF1" w:rsidP="003D07F7"/>
    <w:p w:rsidR="00330CF1" w:rsidRPr="00F920F6" w:rsidRDefault="00330CF1" w:rsidP="003D07F7"/>
    <w:p w:rsidR="00330CF1" w:rsidRPr="00F920F6" w:rsidRDefault="00330CF1" w:rsidP="003D07F7">
      <w:r w:rsidRPr="00F920F6">
        <w:t>We have r</w:t>
      </w:r>
      <w:r>
        <w:t>ead this dissertation</w:t>
      </w:r>
    </w:p>
    <w:p w:rsidR="00330CF1" w:rsidRPr="00F920F6" w:rsidRDefault="00330CF1" w:rsidP="003D07F7">
      <w:r w:rsidRPr="00F920F6">
        <w:t>and recommend its acceptance:</w:t>
      </w:r>
    </w:p>
    <w:p w:rsidR="00330CF1" w:rsidRDefault="00330CF1" w:rsidP="00826D54">
      <w:pPr>
        <w:tabs>
          <w:tab w:val="left" w:pos="4050"/>
          <w:tab w:val="left" w:pos="4320"/>
        </w:tabs>
      </w:pPr>
    </w:p>
    <w:p w:rsidR="00330CF1" w:rsidRDefault="00330CF1" w:rsidP="00826D54">
      <w:pPr>
        <w:tabs>
          <w:tab w:val="left" w:pos="4050"/>
          <w:tab w:val="left" w:pos="4320"/>
        </w:tabs>
      </w:pPr>
      <w:r>
        <w:t>_______________________________</w:t>
      </w:r>
    </w:p>
    <w:p w:rsidR="00330CF1" w:rsidRDefault="00330CF1" w:rsidP="00826D54">
      <w:pPr>
        <w:tabs>
          <w:tab w:val="left" w:pos="4050"/>
          <w:tab w:val="left" w:pos="4320"/>
        </w:tabs>
      </w:pPr>
      <w:r>
        <w:t>Claudia Kirk</w:t>
      </w:r>
    </w:p>
    <w:p w:rsidR="00330CF1" w:rsidRDefault="00330CF1" w:rsidP="00826D54">
      <w:pPr>
        <w:tabs>
          <w:tab w:val="left" w:pos="4050"/>
          <w:tab w:val="left" w:pos="4320"/>
        </w:tabs>
      </w:pPr>
    </w:p>
    <w:p w:rsidR="00330CF1" w:rsidRDefault="00330CF1" w:rsidP="00826D54">
      <w:pPr>
        <w:tabs>
          <w:tab w:val="left" w:pos="4050"/>
          <w:tab w:val="left" w:pos="4320"/>
        </w:tabs>
      </w:pPr>
      <w:r>
        <w:t>_______________________________</w:t>
      </w:r>
    </w:p>
    <w:p w:rsidR="00330CF1" w:rsidRDefault="00330CF1" w:rsidP="00826D54">
      <w:pPr>
        <w:tabs>
          <w:tab w:val="left" w:pos="4050"/>
          <w:tab w:val="left" w:pos="4320"/>
        </w:tabs>
      </w:pPr>
      <w:r>
        <w:t>Stephen Kania</w:t>
      </w:r>
    </w:p>
    <w:p w:rsidR="00330CF1" w:rsidRDefault="00330CF1" w:rsidP="00826D54">
      <w:pPr>
        <w:tabs>
          <w:tab w:val="left" w:pos="4050"/>
          <w:tab w:val="left" w:pos="4320"/>
        </w:tabs>
      </w:pPr>
    </w:p>
    <w:p w:rsidR="00330CF1" w:rsidRDefault="00330CF1" w:rsidP="00805A55">
      <w:pPr>
        <w:tabs>
          <w:tab w:val="left" w:pos="4050"/>
          <w:tab w:val="left" w:pos="4320"/>
        </w:tabs>
      </w:pPr>
      <w:r>
        <w:t>_______________________________</w:t>
      </w:r>
    </w:p>
    <w:p w:rsidR="00330CF1" w:rsidRDefault="00330CF1" w:rsidP="00826D54">
      <w:pPr>
        <w:tabs>
          <w:tab w:val="left" w:pos="4050"/>
          <w:tab w:val="left" w:pos="4320"/>
        </w:tabs>
      </w:pPr>
      <w:r>
        <w:t>Melissa Kennedy</w:t>
      </w:r>
    </w:p>
    <w:p w:rsidR="00330CF1" w:rsidRDefault="00330CF1" w:rsidP="00826D54">
      <w:pPr>
        <w:tabs>
          <w:tab w:val="left" w:pos="4050"/>
          <w:tab w:val="left" w:pos="4320"/>
        </w:tabs>
      </w:pPr>
    </w:p>
    <w:p w:rsidR="00330CF1" w:rsidRDefault="00330CF1" w:rsidP="00805A55">
      <w:pPr>
        <w:tabs>
          <w:tab w:val="left" w:pos="4050"/>
          <w:tab w:val="left" w:pos="4320"/>
        </w:tabs>
      </w:pPr>
      <w:r>
        <w:t>_______________________________</w:t>
      </w:r>
    </w:p>
    <w:p w:rsidR="00330CF1" w:rsidRDefault="00330CF1" w:rsidP="00826D54">
      <w:pPr>
        <w:tabs>
          <w:tab w:val="left" w:pos="4050"/>
          <w:tab w:val="left" w:pos="4320"/>
        </w:tabs>
      </w:pPr>
      <w:r>
        <w:t>David Bemis</w:t>
      </w:r>
    </w:p>
    <w:p w:rsidR="00330CF1" w:rsidRDefault="00330CF1" w:rsidP="00826D54">
      <w:pPr>
        <w:tabs>
          <w:tab w:val="left" w:pos="4050"/>
          <w:tab w:val="left" w:pos="4320"/>
        </w:tabs>
      </w:pPr>
    </w:p>
    <w:p w:rsidR="00330CF1" w:rsidRDefault="00330CF1" w:rsidP="00805A55">
      <w:pPr>
        <w:tabs>
          <w:tab w:val="left" w:pos="4050"/>
          <w:tab w:val="left" w:pos="4320"/>
        </w:tabs>
      </w:pPr>
      <w:r>
        <w:t>_______________________________</w:t>
      </w:r>
    </w:p>
    <w:p w:rsidR="00330CF1" w:rsidRDefault="00330CF1" w:rsidP="00805A55">
      <w:pPr>
        <w:tabs>
          <w:tab w:val="left" w:pos="4050"/>
          <w:tab w:val="left" w:pos="4320"/>
        </w:tabs>
      </w:pPr>
      <w:r>
        <w:t>Robert N. Moore</w:t>
      </w:r>
      <w:r>
        <w:tab/>
      </w:r>
    </w:p>
    <w:p w:rsidR="00330CF1" w:rsidRDefault="00330CF1" w:rsidP="00805A55">
      <w:pPr>
        <w:tabs>
          <w:tab w:val="left" w:pos="4050"/>
          <w:tab w:val="left" w:pos="4320"/>
        </w:tabs>
      </w:pPr>
    </w:p>
    <w:p w:rsidR="00330CF1" w:rsidRDefault="00330CF1" w:rsidP="00805A55">
      <w:pPr>
        <w:tabs>
          <w:tab w:val="left" w:pos="4050"/>
          <w:tab w:val="left" w:pos="4320"/>
        </w:tabs>
        <w:ind w:left="3600"/>
      </w:pPr>
      <w:r>
        <w:t>Accepted for the Council</w:t>
      </w:r>
    </w:p>
    <w:p w:rsidR="00330CF1" w:rsidRDefault="00330CF1" w:rsidP="00805A55">
      <w:pPr>
        <w:tabs>
          <w:tab w:val="left" w:pos="4050"/>
          <w:tab w:val="left" w:pos="4320"/>
        </w:tabs>
        <w:ind w:left="3600"/>
      </w:pPr>
    </w:p>
    <w:p w:rsidR="00330CF1" w:rsidRDefault="00330CF1" w:rsidP="00805A55">
      <w:pPr>
        <w:tabs>
          <w:tab w:val="left" w:pos="4050"/>
          <w:tab w:val="left" w:pos="4320"/>
        </w:tabs>
        <w:ind w:left="3600"/>
      </w:pPr>
    </w:p>
    <w:p w:rsidR="00330CF1" w:rsidRDefault="00330CF1" w:rsidP="00805A55">
      <w:pPr>
        <w:tabs>
          <w:tab w:val="left" w:pos="4050"/>
          <w:tab w:val="left" w:pos="4320"/>
        </w:tabs>
        <w:ind w:left="3600"/>
      </w:pPr>
      <w:r>
        <w:t>_______________________________</w:t>
      </w:r>
    </w:p>
    <w:p w:rsidR="00330CF1" w:rsidRDefault="00330CF1" w:rsidP="00805A55">
      <w:pPr>
        <w:tabs>
          <w:tab w:val="left" w:pos="4050"/>
          <w:tab w:val="left" w:pos="4320"/>
        </w:tabs>
        <w:ind w:left="3600"/>
      </w:pPr>
      <w:r>
        <w:t>Carolyn R. Hodges</w:t>
      </w:r>
    </w:p>
    <w:p w:rsidR="00330CF1" w:rsidRDefault="00330CF1" w:rsidP="00805A55">
      <w:pPr>
        <w:tabs>
          <w:tab w:val="left" w:pos="4050"/>
          <w:tab w:val="left" w:pos="4320"/>
        </w:tabs>
        <w:ind w:left="3600"/>
      </w:pPr>
      <w:r>
        <w:t>Vice Provost and Dean of the Graduate School</w:t>
      </w:r>
    </w:p>
    <w:p w:rsidR="00330CF1" w:rsidRDefault="00330CF1" w:rsidP="003D07F7">
      <w:pPr>
        <w:tabs>
          <w:tab w:val="left" w:pos="180"/>
          <w:tab w:val="left" w:pos="360"/>
        </w:tabs>
        <w:ind w:left="90" w:firstLine="1080"/>
        <w:jc w:val="center"/>
      </w:pPr>
    </w:p>
    <w:p w:rsidR="00330CF1" w:rsidRDefault="00330CF1" w:rsidP="003D07F7">
      <w:pPr>
        <w:tabs>
          <w:tab w:val="left" w:pos="180"/>
          <w:tab w:val="left" w:pos="360"/>
        </w:tabs>
        <w:ind w:left="90" w:firstLine="8450"/>
        <w:jc w:val="center"/>
      </w:pPr>
    </w:p>
    <w:p w:rsidR="00330CF1" w:rsidRDefault="00330CF1" w:rsidP="003D07F7">
      <w:pPr>
        <w:tabs>
          <w:tab w:val="left" w:pos="180"/>
          <w:tab w:val="left" w:pos="360"/>
        </w:tabs>
        <w:ind w:left="90" w:firstLine="8450"/>
        <w:jc w:val="center"/>
      </w:pPr>
    </w:p>
    <w:p w:rsidR="00330CF1" w:rsidRDefault="00330CF1" w:rsidP="003D07F7">
      <w:pPr>
        <w:tabs>
          <w:tab w:val="left" w:pos="180"/>
          <w:tab w:val="left" w:pos="360"/>
        </w:tabs>
        <w:ind w:left="90" w:firstLine="8450"/>
        <w:jc w:val="center"/>
      </w:pPr>
    </w:p>
    <w:p w:rsidR="00330CF1" w:rsidRDefault="00330CF1" w:rsidP="003D07F7">
      <w:pPr>
        <w:tabs>
          <w:tab w:val="left" w:pos="180"/>
          <w:tab w:val="left" w:pos="360"/>
        </w:tabs>
        <w:ind w:left="90" w:firstLine="8450"/>
        <w:jc w:val="center"/>
      </w:pPr>
    </w:p>
    <w:p w:rsidR="00330CF1" w:rsidRDefault="00330CF1" w:rsidP="003D07F7">
      <w:pPr>
        <w:tabs>
          <w:tab w:val="left" w:pos="180"/>
          <w:tab w:val="left" w:pos="360"/>
        </w:tabs>
        <w:ind w:left="90" w:firstLine="8450"/>
        <w:jc w:val="center"/>
      </w:pPr>
    </w:p>
    <w:p w:rsidR="00330CF1" w:rsidRDefault="00330CF1" w:rsidP="004E33CF">
      <w:pPr>
        <w:tabs>
          <w:tab w:val="left" w:pos="180"/>
          <w:tab w:val="left" w:pos="360"/>
        </w:tabs>
        <w:jc w:val="center"/>
      </w:pPr>
      <w:r>
        <w:t>(Original signatures are on file with official student records.)</w:t>
      </w:r>
    </w:p>
    <w:p w:rsidR="00330CF1" w:rsidRDefault="00330CF1" w:rsidP="00DB6A24">
      <w:pPr>
        <w:rPr>
          <w:rFonts w:ascii="Arial" w:hAnsi="Arial" w:cs="Arial"/>
          <w:b/>
          <w:sz w:val="36"/>
          <w:szCs w:val="36"/>
          <w:lang w:val="en-CA"/>
        </w:rPr>
        <w:sectPr w:rsidR="00330CF1" w:rsidSect="0009286C">
          <w:headerReference w:type="even" r:id="rId8"/>
          <w:headerReference w:type="default" r:id="rId9"/>
          <w:footerReference w:type="default" r:id="rId10"/>
          <w:pgSz w:w="12240" w:h="15840"/>
          <w:pgMar w:top="1440" w:right="1440" w:bottom="1440" w:left="1440" w:header="720" w:footer="720" w:gutter="0"/>
          <w:cols w:space="720"/>
          <w:docGrid w:linePitch="360"/>
        </w:sectPr>
      </w:pPr>
    </w:p>
    <w:p w:rsidR="00330CF1" w:rsidRDefault="00330CF1" w:rsidP="00DB6A24">
      <w:pPr>
        <w:rPr>
          <w:rFonts w:ascii="Arial" w:hAnsi="Arial" w:cs="Arial"/>
          <w:b/>
          <w:sz w:val="36"/>
          <w:szCs w:val="36"/>
          <w:lang w:val="en-CA"/>
        </w:rPr>
      </w:pPr>
    </w:p>
    <w:p w:rsidR="00330CF1" w:rsidRPr="003D07F7" w:rsidRDefault="00330CF1" w:rsidP="00DB6A24">
      <w:pPr>
        <w:jc w:val="center"/>
        <w:rPr>
          <w:rFonts w:ascii="Arial" w:hAnsi="Arial" w:cs="Arial"/>
          <w:b/>
          <w:sz w:val="36"/>
          <w:szCs w:val="36"/>
          <w:lang w:val="en-CA"/>
        </w:rPr>
      </w:pPr>
      <w:r>
        <w:rPr>
          <w:rFonts w:ascii="Arial" w:hAnsi="Arial" w:cs="Arial"/>
          <w:b/>
          <w:sz w:val="36"/>
          <w:szCs w:val="36"/>
          <w:lang w:val="en-CA"/>
        </w:rPr>
        <w:t>Nutritional Adequacy and Performance of Raw Food Diets in Kittens</w:t>
      </w: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r>
        <w:rPr>
          <w:rFonts w:ascii="Arial" w:hAnsi="Arial" w:cs="Arial"/>
          <w:sz w:val="36"/>
          <w:szCs w:val="36"/>
        </w:rPr>
        <w:t>A Dissertation Presented for the</w:t>
      </w:r>
    </w:p>
    <w:p w:rsidR="00330CF1" w:rsidRDefault="00330CF1">
      <w:pPr>
        <w:jc w:val="center"/>
        <w:rPr>
          <w:rFonts w:ascii="Arial" w:hAnsi="Arial" w:cs="Arial"/>
          <w:sz w:val="36"/>
          <w:szCs w:val="36"/>
        </w:rPr>
      </w:pPr>
      <w:r>
        <w:rPr>
          <w:rFonts w:ascii="Arial" w:hAnsi="Arial" w:cs="Arial"/>
          <w:sz w:val="36"/>
          <w:szCs w:val="36"/>
        </w:rPr>
        <w:t>Doctor of Philosophy</w:t>
      </w:r>
    </w:p>
    <w:p w:rsidR="00330CF1" w:rsidRDefault="00330CF1">
      <w:pPr>
        <w:jc w:val="center"/>
        <w:rPr>
          <w:rFonts w:ascii="Arial" w:hAnsi="Arial" w:cs="Arial"/>
          <w:sz w:val="36"/>
          <w:szCs w:val="36"/>
        </w:rPr>
      </w:pPr>
      <w:r>
        <w:rPr>
          <w:rFonts w:ascii="Arial" w:hAnsi="Arial" w:cs="Arial"/>
          <w:sz w:val="36"/>
          <w:szCs w:val="36"/>
        </w:rPr>
        <w:t>Degree</w:t>
      </w:r>
    </w:p>
    <w:p w:rsidR="00330CF1" w:rsidRDefault="00330CF1">
      <w:pPr>
        <w:jc w:val="center"/>
        <w:rPr>
          <w:rFonts w:ascii="Arial" w:hAnsi="Arial" w:cs="Arial"/>
          <w:sz w:val="36"/>
          <w:szCs w:val="36"/>
        </w:rPr>
      </w:pPr>
      <w:r>
        <w:rPr>
          <w:rFonts w:ascii="Arial" w:hAnsi="Arial" w:cs="Arial"/>
          <w:sz w:val="36"/>
          <w:szCs w:val="36"/>
        </w:rPr>
        <w:t>The University of Tennessee, Knoxville</w:t>
      </w: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rsidP="00BE1CA7">
      <w:pPr>
        <w:tabs>
          <w:tab w:val="left" w:pos="5147"/>
        </w:tabs>
        <w:rPr>
          <w:rFonts w:ascii="Arial" w:hAnsi="Arial" w:cs="Arial"/>
          <w:sz w:val="36"/>
          <w:szCs w:val="36"/>
        </w:rPr>
      </w:pPr>
      <w:r>
        <w:rPr>
          <w:rFonts w:ascii="Arial" w:hAnsi="Arial" w:cs="Arial"/>
          <w:sz w:val="36"/>
          <w:szCs w:val="36"/>
        </w:rPr>
        <w:tab/>
      </w: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r>
        <w:rPr>
          <w:rFonts w:ascii="Arial" w:hAnsi="Arial" w:cs="Arial"/>
          <w:sz w:val="36"/>
          <w:szCs w:val="36"/>
        </w:rPr>
        <w:t>Beth Alair Hamper</w:t>
      </w:r>
    </w:p>
    <w:p w:rsidR="00330CF1" w:rsidRDefault="00424406">
      <w:pPr>
        <w:jc w:val="center"/>
        <w:rPr>
          <w:rFonts w:ascii="Arial" w:hAnsi="Arial" w:cs="Arial"/>
          <w:sz w:val="36"/>
          <w:szCs w:val="36"/>
        </w:rPr>
      </w:pPr>
      <w:r>
        <w:rPr>
          <w:rFonts w:ascii="Arial" w:hAnsi="Arial" w:cs="Arial"/>
          <w:sz w:val="36"/>
          <w:szCs w:val="36"/>
        </w:rPr>
        <w:t>August</w:t>
      </w:r>
      <w:bookmarkStart w:id="0" w:name="_GoBack"/>
      <w:bookmarkEnd w:id="0"/>
      <w:r w:rsidR="00330CF1">
        <w:rPr>
          <w:rFonts w:ascii="Arial" w:hAnsi="Arial" w:cs="Arial"/>
          <w:sz w:val="36"/>
          <w:szCs w:val="36"/>
        </w:rPr>
        <w:t xml:space="preserve"> 2012</w:t>
      </w: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pPr>
        <w:jc w:val="center"/>
        <w:rPr>
          <w:rFonts w:ascii="Arial" w:hAnsi="Arial" w:cs="Arial"/>
          <w:sz w:val="36"/>
          <w:szCs w:val="36"/>
        </w:rPr>
      </w:pPr>
    </w:p>
    <w:p w:rsidR="00330CF1" w:rsidRDefault="00330CF1" w:rsidP="00D91C27">
      <w:pPr>
        <w:jc w:val="center"/>
        <w:rPr>
          <w:rFonts w:ascii="Arial" w:hAnsi="Arial" w:cs="Arial"/>
        </w:rPr>
      </w:pPr>
      <w:r>
        <w:rPr>
          <w:rFonts w:ascii="Arial" w:hAnsi="Arial" w:cs="Arial"/>
        </w:rPr>
        <w:t xml:space="preserve">Copyright © 2012 by Beth Alair Hamper. </w:t>
      </w:r>
    </w:p>
    <w:p w:rsidR="00330CF1" w:rsidRDefault="00330CF1">
      <w:pPr>
        <w:jc w:val="center"/>
        <w:rPr>
          <w:rFonts w:ascii="Arial" w:hAnsi="Arial" w:cs="Arial"/>
        </w:rPr>
      </w:pPr>
      <w:r>
        <w:rPr>
          <w:rFonts w:ascii="Arial" w:hAnsi="Arial" w:cs="Arial"/>
        </w:rPr>
        <w:t>All rights reserved.</w:t>
      </w: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pPr>
        <w:jc w:val="center"/>
        <w:rPr>
          <w:rFonts w:ascii="Arial" w:hAnsi="Arial" w:cs="Arial"/>
        </w:rPr>
      </w:pPr>
    </w:p>
    <w:p w:rsidR="00330CF1" w:rsidRDefault="00330CF1" w:rsidP="009C755C">
      <w:pPr>
        <w:jc w:val="center"/>
        <w:rPr>
          <w:rFonts w:ascii="Arial" w:hAnsi="Arial" w:cs="Arial"/>
          <w:b/>
          <w:sz w:val="28"/>
          <w:szCs w:val="28"/>
        </w:rPr>
      </w:pPr>
      <w:r>
        <w:rPr>
          <w:rFonts w:ascii="Arial" w:hAnsi="Arial" w:cs="Arial"/>
          <w:sz w:val="36"/>
          <w:szCs w:val="36"/>
        </w:rPr>
        <w:br w:type="page"/>
      </w:r>
      <w:r>
        <w:rPr>
          <w:rFonts w:ascii="Arial" w:hAnsi="Arial" w:cs="Arial"/>
          <w:b/>
          <w:sz w:val="28"/>
          <w:szCs w:val="28"/>
        </w:rPr>
        <w:lastRenderedPageBreak/>
        <w:t>ACKNOWLEDGEMENTS</w:t>
      </w:r>
    </w:p>
    <w:p w:rsidR="00330CF1" w:rsidRDefault="00330CF1" w:rsidP="009C755C">
      <w:pPr>
        <w:jc w:val="center"/>
        <w:rPr>
          <w:rFonts w:ascii="Arial" w:hAnsi="Arial" w:cs="Arial"/>
          <w:b/>
          <w:sz w:val="28"/>
          <w:szCs w:val="28"/>
        </w:rPr>
      </w:pPr>
    </w:p>
    <w:p w:rsidR="00330CF1" w:rsidRPr="00AA41F1" w:rsidRDefault="00330CF1" w:rsidP="00AA41F1">
      <w:pPr>
        <w:rPr>
          <w:rFonts w:ascii="Arial" w:hAnsi="Arial" w:cs="Arial"/>
        </w:rPr>
      </w:pPr>
      <w:r>
        <w:rPr>
          <w:rFonts w:ascii="Arial" w:hAnsi="Arial" w:cs="Arial"/>
          <w:b/>
          <w:sz w:val="28"/>
          <w:szCs w:val="28"/>
        </w:rPr>
        <w:t xml:space="preserve">     </w:t>
      </w:r>
      <w:r w:rsidRPr="00AA41F1">
        <w:rPr>
          <w:rFonts w:ascii="Arial" w:hAnsi="Arial" w:cs="Arial"/>
        </w:rPr>
        <w:t xml:space="preserve">I would like to thank all those who helped me complete my </w:t>
      </w:r>
      <w:r>
        <w:rPr>
          <w:rFonts w:ascii="Arial" w:hAnsi="Arial" w:cs="Arial"/>
        </w:rPr>
        <w:t>Doctor of Philosophy degree in Comparative and Experimental Medicine.  It has been a joint effort.  I am especially indebted to my mentors Dr. Joseph Bartges and Dr. Claudia Kirk for their guidance and support throughout this process.  I also thank Dr. Stephen Kania and Ms. Diane Trent for their support and guidance through the laboratory portion of this dissertation.  In addition, I thank the other members of my committee, Dr. Robert Moore, Dr. David Bemis, and Dr. Melissa Kennedy, and Dr. Arnold Saxton and Ms. Ann Reed for their statistical support.  I am grateful for financial support from the Winn Foundation and The Milam Center, College of Veterinary Medicine, The University of Tennessee.  Lastly, I would like to dedicate this to my parents and my sister for their unwavering support, and to all the cats who have graced me with their beauty and companionship.</w:t>
      </w:r>
    </w:p>
    <w:p w:rsidR="00330CF1" w:rsidRDefault="00330CF1">
      <w:pPr>
        <w:jc w:val="center"/>
        <w:rPr>
          <w:rFonts w:ascii="Arial" w:hAnsi="Arial" w:cs="Arial"/>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rPr>
          <w:rFonts w:ascii="Arial" w:hAnsi="Arial" w:cs="Arial"/>
          <w:sz w:val="36"/>
          <w:szCs w:val="36"/>
        </w:rPr>
      </w:pPr>
    </w:p>
    <w:p w:rsidR="00330CF1" w:rsidRDefault="00330CF1" w:rsidP="00B001D0">
      <w:pPr>
        <w:jc w:val="center"/>
        <w:rPr>
          <w:rFonts w:ascii="Arial" w:hAnsi="Arial" w:cs="Arial"/>
          <w:b/>
          <w:bCs/>
          <w:sz w:val="28"/>
          <w:szCs w:val="28"/>
        </w:rPr>
      </w:pPr>
      <w:r>
        <w:rPr>
          <w:rFonts w:ascii="Arial" w:hAnsi="Arial" w:cs="Arial"/>
          <w:b/>
          <w:bCs/>
          <w:sz w:val="28"/>
          <w:szCs w:val="28"/>
        </w:rPr>
        <w:lastRenderedPageBreak/>
        <w:t>ABSTRACT</w:t>
      </w:r>
    </w:p>
    <w:p w:rsidR="00330CF1" w:rsidRDefault="00330CF1" w:rsidP="00413484">
      <w:pPr>
        <w:rPr>
          <w:rFonts w:ascii="Arial" w:hAnsi="Arial" w:cs="Arial"/>
        </w:rPr>
      </w:pPr>
    </w:p>
    <w:p w:rsidR="00330CF1" w:rsidRDefault="00330CF1" w:rsidP="008F41A2">
      <w:pPr>
        <w:rPr>
          <w:rFonts w:ascii="Arial" w:hAnsi="Arial" w:cs="Arial"/>
        </w:rPr>
      </w:pPr>
      <w:r>
        <w:rPr>
          <w:rFonts w:ascii="Arial" w:hAnsi="Arial" w:cs="Arial"/>
        </w:rPr>
        <w:t xml:space="preserve">     Feeding raw food diets to domestic cats is controversial. The objective of this study was to determine if raw feline diets were nutritionally adequate for kittens and whether they enhance immune function, reduce oxidative stress and improve digestibility.  Twenty-four 9-week-old kittens underwent a 10-week growth feeding trial with two raw diet groups and one control group (commercial heat-processed canned diet) of eight kittens each. Anthropomorphic measurements, feed efficiency, oxidative stress, and blood biomarkers for innate and humoral immune function were evaluated.  Additionally, 6 kittens and 4 adults participated in a 14 day digestibility trial using a 3 x 3 latin square design. Composite fecal cultures were periodically monitored for common bacterial pathogens. </w:t>
      </w:r>
    </w:p>
    <w:p w:rsidR="00330CF1" w:rsidRDefault="00330CF1" w:rsidP="008F41A2">
      <w:pPr>
        <w:rPr>
          <w:rFonts w:ascii="Arial" w:hAnsi="Arial" w:cs="Arial"/>
        </w:rPr>
      </w:pPr>
      <w:r>
        <w:rPr>
          <w:rFonts w:ascii="Arial" w:hAnsi="Arial" w:cs="Arial"/>
        </w:rPr>
        <w:t xml:space="preserve">     Both raw diets passed an American Association of Feed Control Officials (AAFCO) growth trial and had similar growth performance compared to the control diet. </w:t>
      </w:r>
    </w:p>
    <w:p w:rsidR="00330CF1" w:rsidRDefault="00330CF1" w:rsidP="008F41A2">
      <w:pPr>
        <w:rPr>
          <w:rFonts w:ascii="Arial" w:hAnsi="Arial" w:cs="Arial"/>
        </w:rPr>
      </w:pPr>
      <w:r>
        <w:rPr>
          <w:rFonts w:ascii="Arial" w:hAnsi="Arial" w:cs="Arial"/>
        </w:rPr>
        <w:t xml:space="preserve">     Minimal differences were measured in markers of innate or humoral immune function.  Over time, higher lymphocyte and immunoglobulin responses were measured in kittens consuming the raw diets. </w:t>
      </w:r>
      <w:r>
        <w:rPr>
          <w:rFonts w:ascii="Arial" w:hAnsi="Arial" w:cs="Arial"/>
          <w:color w:val="FF0000"/>
        </w:rPr>
        <w:t xml:space="preserve"> </w:t>
      </w:r>
      <w:r>
        <w:rPr>
          <w:rFonts w:ascii="Arial" w:hAnsi="Arial" w:cs="Arial"/>
        </w:rPr>
        <w:t>A trend toward higher IgM levels was noted in one raw diet group.  Higher exposure to bacterial degradation products, pathogen exposure, or nutritional differences may have stimulated a more robust immune response in the raw-fed groups.</w:t>
      </w:r>
    </w:p>
    <w:p w:rsidR="00330CF1" w:rsidRDefault="00330CF1" w:rsidP="008F41A2">
      <w:pPr>
        <w:rPr>
          <w:rFonts w:ascii="Arial" w:hAnsi="Arial" w:cs="Arial"/>
        </w:rPr>
      </w:pPr>
      <w:r>
        <w:rPr>
          <w:rFonts w:ascii="Arial" w:hAnsi="Arial" w:cs="Arial"/>
        </w:rPr>
        <w:t xml:space="preserve">     No differences in levels of oxidative stress were noted among the three groups.  All kittens had decreasing levels of urinary isoprostanes over the 10-week testing period. </w:t>
      </w:r>
    </w:p>
    <w:p w:rsidR="00330CF1" w:rsidRDefault="00330CF1" w:rsidP="008F41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t xml:space="preserve">     </w:t>
      </w:r>
      <w:r>
        <w:rPr>
          <w:rFonts w:ascii="Arial" w:hAnsi="Arial" w:cs="Arial"/>
        </w:rPr>
        <w:t xml:space="preserve">Significantly higher digestibility of dry matter, organic matter, protein and energy were noted in the raw vs. control groups for both kittens and adult cats, despite similar levels of intake. These changes may be attributed to structural changes in proteins following processing, alterations in gastrointestinal flora, or differences in ingredient quality among diets. </w:t>
      </w:r>
    </w:p>
    <w:p w:rsidR="00330CF1" w:rsidRPr="008F41A2" w:rsidRDefault="00330CF1" w:rsidP="008F41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rPr>
      </w:pPr>
      <w:r>
        <w:rPr>
          <w:rFonts w:ascii="Arial" w:hAnsi="Arial" w:cs="Arial"/>
        </w:rPr>
        <w:tab/>
        <w:t xml:space="preserve">In conclusion, there was neither an advantage nor disadvantage of the two raw feline diets when compared with the commercial heat-processed, control diet and both diets would be deemed nutritionally adequate for feline growth based on AAFCO feeding trials.  The raw food diets were associated with higher digestibility and decreased fecal matter.  Future research on methods to reduce pathogen load while minimizing processing of animal tissue proteins is recommended. </w:t>
      </w:r>
    </w:p>
    <w:p w:rsidR="00330CF1" w:rsidRDefault="00330CF1" w:rsidP="008F41A2">
      <w:pPr>
        <w:rPr>
          <w:rFonts w:ascii="Arial" w:hAnsi="Arial" w:cs="Arial"/>
        </w:rPr>
      </w:pPr>
    </w:p>
    <w:p w:rsidR="00330CF1" w:rsidRDefault="00330CF1" w:rsidP="00413484">
      <w:pPr>
        <w:rPr>
          <w:rFonts w:ascii="Arial" w:hAnsi="Arial" w:cs="Arial"/>
        </w:rPr>
      </w:pPr>
    </w:p>
    <w:p w:rsidR="00330CF1" w:rsidRDefault="00330CF1" w:rsidP="00353DC8">
      <w:pPr>
        <w:jc w:val="center"/>
        <w:rPr>
          <w:rFonts w:ascii="Arial" w:hAnsi="Arial" w:cs="Arial"/>
        </w:rPr>
      </w:pPr>
    </w:p>
    <w:p w:rsidR="00330CF1" w:rsidRDefault="00330CF1" w:rsidP="00F710F9">
      <w:pPr>
        <w:numPr>
          <w:ilvl w:val="12"/>
          <w:numId w:val="0"/>
        </w:numPr>
        <w:jc w:val="center"/>
        <w:rPr>
          <w:rFonts w:ascii="Arial" w:hAnsi="Arial" w:cs="Arial"/>
        </w:rPr>
      </w:pPr>
      <w:r>
        <w:rPr>
          <w:rFonts w:ascii="Arial" w:hAnsi="Arial" w:cs="Arial"/>
        </w:rPr>
        <w:br w:type="page"/>
      </w:r>
      <w:r>
        <w:rPr>
          <w:rFonts w:ascii="Arial" w:hAnsi="Arial" w:cs="Arial"/>
          <w:b/>
          <w:bCs/>
          <w:sz w:val="28"/>
          <w:szCs w:val="28"/>
        </w:rPr>
        <w:lastRenderedPageBreak/>
        <w:t>TABLE OF CONTENTS</w:t>
      </w:r>
    </w:p>
    <w:p w:rsidR="00330CF1" w:rsidRDefault="00330CF1">
      <w:pPr>
        <w:numPr>
          <w:ilvl w:val="12"/>
          <w:numId w:val="0"/>
        </w:numPr>
        <w:jc w:val="center"/>
        <w:rPr>
          <w:rFonts w:ascii="Arial" w:hAnsi="Arial" w:cs="Arial"/>
        </w:rPr>
      </w:pPr>
    </w:p>
    <w:p w:rsidR="00330CF1" w:rsidRDefault="00330CF1" w:rsidP="006B6351">
      <w:pPr>
        <w:numPr>
          <w:ilvl w:val="12"/>
          <w:numId w:val="0"/>
        </w:numPr>
        <w:tabs>
          <w:tab w:val="right" w:leader="dot" w:pos="9360"/>
        </w:tabs>
        <w:rPr>
          <w:rFonts w:ascii="Arial" w:hAnsi="Arial" w:cs="Arial"/>
        </w:rPr>
      </w:pPr>
      <w:r>
        <w:rPr>
          <w:rFonts w:ascii="Arial" w:hAnsi="Arial" w:cs="Arial"/>
        </w:rPr>
        <w:t>INTRODUCTION</w:t>
      </w:r>
      <w:r>
        <w:rPr>
          <w:rFonts w:ascii="Arial" w:hAnsi="Arial" w:cs="Arial"/>
        </w:rPr>
        <w:tab/>
        <w:t>1</w:t>
      </w:r>
    </w:p>
    <w:p w:rsidR="00330CF1" w:rsidRDefault="00330CF1" w:rsidP="006B6351">
      <w:pPr>
        <w:numPr>
          <w:ilvl w:val="12"/>
          <w:numId w:val="0"/>
        </w:numPr>
        <w:tabs>
          <w:tab w:val="right" w:leader="dot" w:pos="9360"/>
        </w:tabs>
        <w:rPr>
          <w:rFonts w:ascii="Arial" w:hAnsi="Arial" w:cs="Arial"/>
        </w:rPr>
      </w:pPr>
      <w:r>
        <w:rPr>
          <w:rFonts w:ascii="Arial" w:hAnsi="Arial" w:cs="Arial"/>
        </w:rPr>
        <w:t>CHAPTER I</w:t>
      </w:r>
      <w:r>
        <w:rPr>
          <w:rFonts w:ascii="Arial" w:hAnsi="Arial" w:cs="Arial"/>
        </w:rPr>
        <w:tab/>
        <w:t>2</w:t>
      </w:r>
    </w:p>
    <w:p w:rsidR="00330CF1" w:rsidRDefault="00330CF1" w:rsidP="006B6351">
      <w:pPr>
        <w:numPr>
          <w:ilvl w:val="12"/>
          <w:numId w:val="0"/>
        </w:numPr>
        <w:tabs>
          <w:tab w:val="right" w:leader="dot" w:pos="9360"/>
        </w:tabs>
        <w:rPr>
          <w:rFonts w:ascii="Arial" w:hAnsi="Arial" w:cs="Arial"/>
        </w:rPr>
      </w:pPr>
      <w:r>
        <w:rPr>
          <w:rFonts w:ascii="Arial" w:hAnsi="Arial" w:cs="Arial"/>
        </w:rPr>
        <w:t>LITERATURE REVIEW</w:t>
      </w:r>
      <w:r>
        <w:rPr>
          <w:rFonts w:ascii="Arial" w:hAnsi="Arial" w:cs="Arial"/>
        </w:rPr>
        <w:tab/>
        <w:t>2</w:t>
      </w:r>
    </w:p>
    <w:p w:rsidR="00330CF1" w:rsidRDefault="00330CF1" w:rsidP="00DE4F58">
      <w:pPr>
        <w:numPr>
          <w:ilvl w:val="12"/>
          <w:numId w:val="0"/>
        </w:numPr>
        <w:tabs>
          <w:tab w:val="right" w:leader="dot" w:pos="9360"/>
        </w:tabs>
        <w:ind w:left="360"/>
        <w:rPr>
          <w:rFonts w:ascii="Arial" w:hAnsi="Arial" w:cs="Arial"/>
        </w:rPr>
      </w:pPr>
      <w:r>
        <w:rPr>
          <w:rFonts w:ascii="Arial" w:hAnsi="Arial" w:cs="Arial"/>
        </w:rPr>
        <w:t>Unique Nutrient Requirements in Growing Kittens</w:t>
      </w:r>
      <w:r>
        <w:rPr>
          <w:rFonts w:ascii="Arial" w:hAnsi="Arial" w:cs="Arial"/>
        </w:rPr>
        <w:tab/>
        <w:t>2</w:t>
      </w:r>
    </w:p>
    <w:p w:rsidR="00330CF1" w:rsidRDefault="00330CF1" w:rsidP="00E71067">
      <w:pPr>
        <w:numPr>
          <w:ilvl w:val="12"/>
          <w:numId w:val="0"/>
        </w:numPr>
        <w:tabs>
          <w:tab w:val="right" w:leader="dot" w:pos="9360"/>
        </w:tabs>
        <w:ind w:left="720"/>
        <w:rPr>
          <w:rFonts w:ascii="Arial" w:hAnsi="Arial" w:cs="Arial"/>
        </w:rPr>
      </w:pPr>
      <w:r>
        <w:rPr>
          <w:rFonts w:ascii="Arial" w:hAnsi="Arial" w:cs="Arial"/>
        </w:rPr>
        <w:t>Protein and amino acid requirements</w:t>
      </w:r>
      <w:r>
        <w:rPr>
          <w:rFonts w:ascii="Arial" w:hAnsi="Arial" w:cs="Arial"/>
        </w:rPr>
        <w:tab/>
        <w:t>2</w:t>
      </w:r>
    </w:p>
    <w:p w:rsidR="00330CF1" w:rsidRDefault="00330CF1" w:rsidP="00E71067">
      <w:pPr>
        <w:numPr>
          <w:ilvl w:val="12"/>
          <w:numId w:val="0"/>
        </w:numPr>
        <w:tabs>
          <w:tab w:val="right" w:leader="dot" w:pos="9360"/>
        </w:tabs>
        <w:ind w:left="720"/>
        <w:rPr>
          <w:rFonts w:ascii="Arial" w:hAnsi="Arial" w:cs="Arial"/>
        </w:rPr>
      </w:pPr>
      <w:r>
        <w:rPr>
          <w:rFonts w:ascii="Arial" w:hAnsi="Arial" w:cs="Arial"/>
        </w:rPr>
        <w:t>Lipid and fatty acid requirements</w:t>
      </w:r>
      <w:r>
        <w:rPr>
          <w:rFonts w:ascii="Arial" w:hAnsi="Arial" w:cs="Arial"/>
        </w:rPr>
        <w:tab/>
        <w:t>5</w:t>
      </w:r>
    </w:p>
    <w:p w:rsidR="00330CF1" w:rsidRDefault="00330CF1" w:rsidP="00E71067">
      <w:pPr>
        <w:numPr>
          <w:ilvl w:val="12"/>
          <w:numId w:val="0"/>
        </w:numPr>
        <w:tabs>
          <w:tab w:val="right" w:leader="dot" w:pos="9360"/>
        </w:tabs>
        <w:ind w:left="720"/>
        <w:rPr>
          <w:rFonts w:ascii="Arial" w:hAnsi="Arial" w:cs="Arial"/>
        </w:rPr>
      </w:pPr>
      <w:r>
        <w:rPr>
          <w:rFonts w:ascii="Arial" w:hAnsi="Arial" w:cs="Arial"/>
        </w:rPr>
        <w:t>Carbohydrate and energy requirements</w:t>
      </w:r>
      <w:r>
        <w:rPr>
          <w:rFonts w:ascii="Arial" w:hAnsi="Arial" w:cs="Arial"/>
        </w:rPr>
        <w:tab/>
        <w:t>5</w:t>
      </w:r>
    </w:p>
    <w:p w:rsidR="00330CF1" w:rsidRDefault="00330CF1" w:rsidP="00E71067">
      <w:pPr>
        <w:numPr>
          <w:ilvl w:val="12"/>
          <w:numId w:val="0"/>
        </w:numPr>
        <w:tabs>
          <w:tab w:val="right" w:leader="dot" w:pos="9360"/>
        </w:tabs>
        <w:ind w:left="720"/>
        <w:rPr>
          <w:rFonts w:ascii="Arial" w:hAnsi="Arial" w:cs="Arial"/>
        </w:rPr>
      </w:pPr>
      <w:r>
        <w:rPr>
          <w:rFonts w:ascii="Arial" w:hAnsi="Arial" w:cs="Arial"/>
        </w:rPr>
        <w:t>Other nutrient considerations specific to growth in kittens</w:t>
      </w:r>
      <w:r>
        <w:rPr>
          <w:rFonts w:ascii="Arial" w:hAnsi="Arial" w:cs="Arial"/>
        </w:rPr>
        <w:tab/>
        <w:t>6</w:t>
      </w:r>
    </w:p>
    <w:p w:rsidR="00330CF1" w:rsidRDefault="00330CF1" w:rsidP="00CF51A3">
      <w:pPr>
        <w:numPr>
          <w:ilvl w:val="12"/>
          <w:numId w:val="0"/>
        </w:numPr>
        <w:tabs>
          <w:tab w:val="right" w:leader="dot" w:pos="9360"/>
        </w:tabs>
        <w:ind w:left="360"/>
        <w:rPr>
          <w:rFonts w:ascii="Arial" w:hAnsi="Arial" w:cs="Arial"/>
        </w:rPr>
      </w:pPr>
      <w:r>
        <w:rPr>
          <w:rFonts w:ascii="Arial" w:hAnsi="Arial" w:cs="Arial"/>
        </w:rPr>
        <w:t>Normal Parameters for Growth and Development in Kittens</w:t>
      </w:r>
      <w:r>
        <w:rPr>
          <w:rFonts w:ascii="Arial" w:hAnsi="Arial" w:cs="Arial"/>
        </w:rPr>
        <w:tab/>
        <w:t>7</w:t>
      </w:r>
    </w:p>
    <w:p w:rsidR="00330CF1" w:rsidRDefault="00330CF1" w:rsidP="00E71067">
      <w:pPr>
        <w:numPr>
          <w:ilvl w:val="12"/>
          <w:numId w:val="0"/>
        </w:numPr>
        <w:tabs>
          <w:tab w:val="right" w:leader="dot" w:pos="9360"/>
        </w:tabs>
        <w:ind w:left="720"/>
        <w:rPr>
          <w:rFonts w:ascii="Arial" w:hAnsi="Arial" w:cs="Arial"/>
        </w:rPr>
      </w:pPr>
      <w:r>
        <w:rPr>
          <w:rFonts w:ascii="Arial" w:hAnsi="Arial" w:cs="Arial"/>
        </w:rPr>
        <w:t>Weight gain and body composition</w:t>
      </w:r>
      <w:r>
        <w:rPr>
          <w:rFonts w:ascii="Arial" w:hAnsi="Arial" w:cs="Arial"/>
        </w:rPr>
        <w:tab/>
        <w:t>7</w:t>
      </w:r>
    </w:p>
    <w:p w:rsidR="00330CF1" w:rsidRDefault="00330CF1" w:rsidP="00E71067">
      <w:pPr>
        <w:numPr>
          <w:ilvl w:val="12"/>
          <w:numId w:val="0"/>
        </w:numPr>
        <w:tabs>
          <w:tab w:val="right" w:leader="dot" w:pos="9360"/>
        </w:tabs>
        <w:ind w:left="720"/>
        <w:rPr>
          <w:rFonts w:ascii="Arial" w:hAnsi="Arial" w:cs="Arial"/>
        </w:rPr>
      </w:pPr>
      <w:r>
        <w:rPr>
          <w:rFonts w:ascii="Arial" w:hAnsi="Arial" w:cs="Arial"/>
        </w:rPr>
        <w:t>Growth and development of intestinal and nutrient transporters</w:t>
      </w:r>
      <w:r>
        <w:rPr>
          <w:rFonts w:ascii="Arial" w:hAnsi="Arial" w:cs="Arial"/>
        </w:rPr>
        <w:tab/>
        <w:t>9</w:t>
      </w:r>
    </w:p>
    <w:p w:rsidR="00330CF1" w:rsidRDefault="00330CF1" w:rsidP="00E71067">
      <w:pPr>
        <w:numPr>
          <w:ilvl w:val="12"/>
          <w:numId w:val="0"/>
        </w:numPr>
        <w:tabs>
          <w:tab w:val="right" w:leader="dot" w:pos="9360"/>
        </w:tabs>
        <w:ind w:left="720"/>
        <w:rPr>
          <w:rFonts w:ascii="Arial" w:hAnsi="Arial" w:cs="Arial"/>
        </w:rPr>
      </w:pPr>
      <w:r>
        <w:rPr>
          <w:rFonts w:ascii="Arial" w:hAnsi="Arial" w:cs="Arial"/>
        </w:rPr>
        <w:t>Normal feline pediatric hematology and serum biochemistry parameters</w:t>
      </w:r>
      <w:r>
        <w:rPr>
          <w:rFonts w:ascii="Arial" w:hAnsi="Arial" w:cs="Arial"/>
        </w:rPr>
        <w:tab/>
        <w:t>10</w:t>
      </w:r>
    </w:p>
    <w:p w:rsidR="00330CF1" w:rsidRDefault="00330CF1" w:rsidP="00DE4F58">
      <w:pPr>
        <w:numPr>
          <w:ilvl w:val="12"/>
          <w:numId w:val="0"/>
        </w:numPr>
        <w:tabs>
          <w:tab w:val="right" w:leader="dot" w:pos="9360"/>
        </w:tabs>
        <w:ind w:left="360"/>
        <w:rPr>
          <w:rFonts w:ascii="Arial" w:hAnsi="Arial" w:cs="Arial"/>
        </w:rPr>
      </w:pPr>
      <w:r>
        <w:rPr>
          <w:rFonts w:ascii="Arial" w:hAnsi="Arial" w:cs="Arial"/>
        </w:rPr>
        <w:t>Normal Immune System Development and Response</w:t>
      </w:r>
      <w:r>
        <w:rPr>
          <w:rFonts w:ascii="Arial" w:hAnsi="Arial" w:cs="Arial"/>
        </w:rPr>
        <w:tab/>
        <w:t>13</w:t>
      </w:r>
    </w:p>
    <w:p w:rsidR="00330CF1" w:rsidRDefault="00330CF1" w:rsidP="00DE4F58">
      <w:pPr>
        <w:numPr>
          <w:ilvl w:val="12"/>
          <w:numId w:val="0"/>
        </w:numPr>
        <w:tabs>
          <w:tab w:val="right" w:leader="dot" w:pos="9360"/>
        </w:tabs>
        <w:ind w:left="720"/>
        <w:rPr>
          <w:rFonts w:ascii="Arial" w:hAnsi="Arial" w:cs="Arial"/>
        </w:rPr>
      </w:pPr>
      <w:r>
        <w:rPr>
          <w:rFonts w:ascii="Arial" w:hAnsi="Arial" w:cs="Arial"/>
        </w:rPr>
        <w:t>Early immune responses</w:t>
      </w:r>
      <w:r>
        <w:rPr>
          <w:rFonts w:ascii="Arial" w:hAnsi="Arial" w:cs="Arial"/>
        </w:rPr>
        <w:tab/>
        <w:t>13</w:t>
      </w:r>
    </w:p>
    <w:p w:rsidR="00330CF1" w:rsidRDefault="00330CF1" w:rsidP="00DE4F58">
      <w:pPr>
        <w:numPr>
          <w:ilvl w:val="12"/>
          <w:numId w:val="0"/>
        </w:numPr>
        <w:tabs>
          <w:tab w:val="right" w:leader="dot" w:pos="9360"/>
        </w:tabs>
        <w:ind w:left="720"/>
        <w:rPr>
          <w:rFonts w:ascii="Arial" w:hAnsi="Arial" w:cs="Arial"/>
        </w:rPr>
      </w:pPr>
      <w:r>
        <w:rPr>
          <w:rFonts w:ascii="Arial" w:hAnsi="Arial" w:cs="Arial"/>
        </w:rPr>
        <w:t>Mucosal immunity</w:t>
      </w:r>
      <w:r>
        <w:rPr>
          <w:rFonts w:ascii="Arial" w:hAnsi="Arial" w:cs="Arial"/>
        </w:rPr>
        <w:tab/>
        <w:t>16</w:t>
      </w:r>
    </w:p>
    <w:p w:rsidR="00330CF1" w:rsidRDefault="00330CF1" w:rsidP="00DE4F58">
      <w:pPr>
        <w:numPr>
          <w:ilvl w:val="12"/>
          <w:numId w:val="0"/>
        </w:numPr>
        <w:tabs>
          <w:tab w:val="right" w:leader="dot" w:pos="9360"/>
        </w:tabs>
        <w:ind w:left="720"/>
        <w:rPr>
          <w:rFonts w:ascii="Arial" w:hAnsi="Arial" w:cs="Arial"/>
        </w:rPr>
      </w:pPr>
      <w:r>
        <w:rPr>
          <w:rFonts w:ascii="Arial" w:hAnsi="Arial" w:cs="Arial"/>
        </w:rPr>
        <w:t>Gastrointestinal microbiota development and functions</w:t>
      </w:r>
      <w:r>
        <w:rPr>
          <w:rFonts w:ascii="Arial" w:hAnsi="Arial" w:cs="Arial"/>
        </w:rPr>
        <w:tab/>
        <w:t>19</w:t>
      </w:r>
    </w:p>
    <w:p w:rsidR="00330CF1" w:rsidRDefault="00330CF1" w:rsidP="00DE4F58">
      <w:pPr>
        <w:numPr>
          <w:ilvl w:val="12"/>
          <w:numId w:val="0"/>
        </w:numPr>
        <w:tabs>
          <w:tab w:val="right" w:leader="dot" w:pos="9360"/>
        </w:tabs>
        <w:ind w:left="360"/>
        <w:rPr>
          <w:rFonts w:ascii="Arial" w:hAnsi="Arial" w:cs="Arial"/>
        </w:rPr>
      </w:pPr>
      <w:r>
        <w:rPr>
          <w:rFonts w:ascii="Arial" w:hAnsi="Arial" w:cs="Arial"/>
        </w:rPr>
        <w:t>Oxidative Radicals and Measurement of Oxidative Stress</w:t>
      </w:r>
      <w:r>
        <w:rPr>
          <w:rFonts w:ascii="Arial" w:hAnsi="Arial" w:cs="Arial"/>
        </w:rPr>
        <w:tab/>
        <w:t>25</w:t>
      </w:r>
    </w:p>
    <w:p w:rsidR="00330CF1" w:rsidRDefault="00330CF1" w:rsidP="00DE4F58">
      <w:pPr>
        <w:numPr>
          <w:ilvl w:val="12"/>
          <w:numId w:val="0"/>
        </w:numPr>
        <w:tabs>
          <w:tab w:val="right" w:leader="dot" w:pos="9360"/>
        </w:tabs>
        <w:ind w:left="360"/>
        <w:rPr>
          <w:rFonts w:ascii="Arial" w:hAnsi="Arial" w:cs="Arial"/>
        </w:rPr>
      </w:pPr>
      <w:r>
        <w:rPr>
          <w:rFonts w:ascii="Arial" w:hAnsi="Arial" w:cs="Arial"/>
        </w:rPr>
        <w:t>Raw Food Diets</w:t>
      </w:r>
      <w:r>
        <w:rPr>
          <w:rFonts w:ascii="Arial" w:hAnsi="Arial" w:cs="Arial"/>
        </w:rPr>
        <w:tab/>
        <w:t>33</w:t>
      </w:r>
    </w:p>
    <w:p w:rsidR="00330CF1" w:rsidRDefault="00330CF1" w:rsidP="00DE4F58">
      <w:pPr>
        <w:numPr>
          <w:ilvl w:val="12"/>
          <w:numId w:val="0"/>
        </w:numPr>
        <w:tabs>
          <w:tab w:val="right" w:leader="dot" w:pos="9360"/>
        </w:tabs>
        <w:ind w:left="720"/>
        <w:rPr>
          <w:rFonts w:ascii="Arial" w:hAnsi="Arial" w:cs="Arial"/>
        </w:rPr>
      </w:pPr>
      <w:r>
        <w:rPr>
          <w:rFonts w:ascii="Arial" w:hAnsi="Arial" w:cs="Arial"/>
        </w:rPr>
        <w:t>Risks</w:t>
      </w:r>
      <w:r>
        <w:rPr>
          <w:rFonts w:ascii="Arial" w:hAnsi="Arial" w:cs="Arial"/>
        </w:rPr>
        <w:tab/>
        <w:t>.33</w:t>
      </w:r>
    </w:p>
    <w:p w:rsidR="00330CF1" w:rsidRDefault="00330CF1" w:rsidP="00DE4F58">
      <w:pPr>
        <w:numPr>
          <w:ilvl w:val="12"/>
          <w:numId w:val="0"/>
        </w:numPr>
        <w:tabs>
          <w:tab w:val="right" w:leader="dot" w:pos="9360"/>
        </w:tabs>
        <w:ind w:left="720"/>
        <w:rPr>
          <w:rFonts w:ascii="Arial" w:hAnsi="Arial" w:cs="Arial"/>
        </w:rPr>
      </w:pPr>
      <w:r>
        <w:rPr>
          <w:rFonts w:ascii="Arial" w:hAnsi="Arial" w:cs="Arial"/>
        </w:rPr>
        <w:t>Benefits</w:t>
      </w:r>
      <w:r>
        <w:rPr>
          <w:rFonts w:ascii="Arial" w:hAnsi="Arial" w:cs="Arial"/>
        </w:rPr>
        <w:tab/>
        <w:t>38</w:t>
      </w:r>
    </w:p>
    <w:p w:rsidR="00330CF1" w:rsidRDefault="00330CF1" w:rsidP="00DE4F58">
      <w:pPr>
        <w:numPr>
          <w:ilvl w:val="12"/>
          <w:numId w:val="0"/>
        </w:numPr>
        <w:tabs>
          <w:tab w:val="right" w:leader="dot" w:pos="9360"/>
        </w:tabs>
        <w:ind w:left="720"/>
        <w:rPr>
          <w:rFonts w:ascii="Arial" w:hAnsi="Arial" w:cs="Arial"/>
        </w:rPr>
      </w:pPr>
      <w:r>
        <w:rPr>
          <w:rFonts w:ascii="Arial" w:hAnsi="Arial" w:cs="Arial"/>
        </w:rPr>
        <w:t>Effects of processing on proteins and amino acids</w:t>
      </w:r>
      <w:r>
        <w:rPr>
          <w:rFonts w:ascii="Arial" w:hAnsi="Arial" w:cs="Arial"/>
        </w:rPr>
        <w:tab/>
        <w:t>40</w:t>
      </w:r>
    </w:p>
    <w:p w:rsidR="00330CF1" w:rsidRDefault="00330CF1" w:rsidP="00DE4F58">
      <w:pPr>
        <w:numPr>
          <w:ilvl w:val="12"/>
          <w:numId w:val="0"/>
        </w:numPr>
        <w:tabs>
          <w:tab w:val="right" w:leader="dot" w:pos="9360"/>
        </w:tabs>
        <w:ind w:left="720"/>
        <w:rPr>
          <w:rFonts w:ascii="Arial" w:hAnsi="Arial" w:cs="Arial"/>
        </w:rPr>
      </w:pPr>
      <w:r>
        <w:rPr>
          <w:rFonts w:ascii="Arial" w:hAnsi="Arial" w:cs="Arial"/>
        </w:rPr>
        <w:t>Effects of processing on vitamins</w:t>
      </w:r>
      <w:r>
        <w:rPr>
          <w:rFonts w:ascii="Arial" w:hAnsi="Arial" w:cs="Arial"/>
        </w:rPr>
        <w:tab/>
        <w:t>55</w:t>
      </w:r>
    </w:p>
    <w:p w:rsidR="00330CF1" w:rsidRDefault="00330CF1" w:rsidP="00DE4F58">
      <w:pPr>
        <w:numPr>
          <w:ilvl w:val="12"/>
          <w:numId w:val="0"/>
        </w:numPr>
        <w:tabs>
          <w:tab w:val="right" w:leader="dot" w:pos="9360"/>
        </w:tabs>
        <w:ind w:left="360"/>
        <w:rPr>
          <w:rFonts w:ascii="Arial" w:hAnsi="Arial" w:cs="Arial"/>
        </w:rPr>
      </w:pPr>
      <w:r>
        <w:rPr>
          <w:rFonts w:ascii="Arial" w:hAnsi="Arial" w:cs="Arial"/>
        </w:rPr>
        <w:t>Probiotics in Cats</w:t>
      </w:r>
      <w:r>
        <w:rPr>
          <w:rFonts w:ascii="Arial" w:hAnsi="Arial" w:cs="Arial"/>
        </w:rPr>
        <w:tab/>
        <w:t>60</w:t>
      </w:r>
    </w:p>
    <w:p w:rsidR="00330CF1" w:rsidRDefault="00330CF1" w:rsidP="00DE4F58">
      <w:pPr>
        <w:numPr>
          <w:ilvl w:val="12"/>
          <w:numId w:val="0"/>
        </w:numPr>
        <w:tabs>
          <w:tab w:val="right" w:leader="dot" w:pos="9360"/>
        </w:tabs>
        <w:ind w:left="360"/>
        <w:rPr>
          <w:rFonts w:ascii="Arial" w:hAnsi="Arial" w:cs="Arial"/>
        </w:rPr>
      </w:pPr>
      <w:r>
        <w:rPr>
          <w:rFonts w:ascii="Arial" w:hAnsi="Arial" w:cs="Arial"/>
        </w:rPr>
        <w:t>Hygiene Hypothesis</w:t>
      </w:r>
      <w:r>
        <w:rPr>
          <w:rFonts w:ascii="Arial" w:hAnsi="Arial" w:cs="Arial"/>
        </w:rPr>
        <w:tab/>
        <w:t>64</w:t>
      </w:r>
    </w:p>
    <w:p w:rsidR="00330CF1" w:rsidRDefault="00330CF1" w:rsidP="00DE4F58">
      <w:pPr>
        <w:numPr>
          <w:ilvl w:val="12"/>
          <w:numId w:val="0"/>
        </w:numPr>
        <w:tabs>
          <w:tab w:val="right" w:leader="dot" w:pos="9360"/>
        </w:tabs>
        <w:rPr>
          <w:rFonts w:ascii="Arial" w:hAnsi="Arial" w:cs="Arial"/>
        </w:rPr>
      </w:pPr>
      <w:r>
        <w:rPr>
          <w:rFonts w:ascii="Arial" w:hAnsi="Arial" w:cs="Arial"/>
        </w:rPr>
        <w:t>CHAPTER II</w:t>
      </w:r>
      <w:r>
        <w:rPr>
          <w:rFonts w:ascii="Arial" w:hAnsi="Arial" w:cs="Arial"/>
        </w:rPr>
        <w:tab/>
        <w:t xml:space="preserve"> 67</w:t>
      </w:r>
    </w:p>
    <w:p w:rsidR="00330CF1" w:rsidRDefault="00330CF1" w:rsidP="006B6351">
      <w:pPr>
        <w:numPr>
          <w:ilvl w:val="12"/>
          <w:numId w:val="0"/>
        </w:numPr>
        <w:tabs>
          <w:tab w:val="left" w:pos="360"/>
          <w:tab w:val="left" w:pos="720"/>
          <w:tab w:val="right" w:leader="dot" w:pos="9360"/>
        </w:tabs>
        <w:rPr>
          <w:rFonts w:ascii="Arial" w:hAnsi="Arial" w:cs="Arial"/>
        </w:rPr>
      </w:pPr>
      <w:r>
        <w:rPr>
          <w:rFonts w:ascii="Arial" w:hAnsi="Arial" w:cs="Arial"/>
        </w:rPr>
        <w:t>EVALUATION OF RAW VS. HEAT PROCESSED DIETS ON FELINE</w:t>
      </w:r>
    </w:p>
    <w:p w:rsidR="00330CF1" w:rsidRDefault="00330CF1" w:rsidP="00DE4F58">
      <w:pPr>
        <w:numPr>
          <w:ilvl w:val="12"/>
          <w:numId w:val="0"/>
        </w:numPr>
        <w:tabs>
          <w:tab w:val="right" w:leader="dot" w:pos="9360"/>
        </w:tabs>
        <w:rPr>
          <w:rFonts w:ascii="Arial" w:hAnsi="Arial" w:cs="Arial"/>
        </w:rPr>
      </w:pPr>
      <w:r>
        <w:rPr>
          <w:rFonts w:ascii="Arial" w:hAnsi="Arial" w:cs="Arial"/>
        </w:rPr>
        <w:t>GROWTH</w:t>
      </w:r>
      <w:r>
        <w:rPr>
          <w:rFonts w:ascii="Arial" w:hAnsi="Arial" w:cs="Arial"/>
        </w:rPr>
        <w:tab/>
        <w:t>67</w:t>
      </w:r>
    </w:p>
    <w:p w:rsidR="00330CF1" w:rsidRDefault="00330CF1" w:rsidP="00EE0654">
      <w:pPr>
        <w:numPr>
          <w:ilvl w:val="12"/>
          <w:numId w:val="0"/>
        </w:numPr>
        <w:tabs>
          <w:tab w:val="right" w:leader="dot" w:pos="9360"/>
        </w:tabs>
        <w:ind w:left="360"/>
        <w:rPr>
          <w:rFonts w:ascii="Arial" w:hAnsi="Arial" w:cs="Arial"/>
        </w:rPr>
      </w:pPr>
      <w:r>
        <w:rPr>
          <w:rFonts w:ascii="Arial" w:hAnsi="Arial" w:cs="Arial"/>
        </w:rPr>
        <w:t>Introduction</w:t>
      </w:r>
      <w:r>
        <w:rPr>
          <w:rFonts w:ascii="Arial" w:hAnsi="Arial" w:cs="Arial"/>
        </w:rPr>
        <w:tab/>
        <w:t>67</w:t>
      </w:r>
    </w:p>
    <w:p w:rsidR="00330CF1" w:rsidRDefault="00330CF1" w:rsidP="00EE0654">
      <w:pPr>
        <w:numPr>
          <w:ilvl w:val="12"/>
          <w:numId w:val="0"/>
        </w:numPr>
        <w:tabs>
          <w:tab w:val="right" w:leader="dot" w:pos="9360"/>
        </w:tabs>
        <w:ind w:left="360"/>
        <w:rPr>
          <w:rFonts w:ascii="Arial" w:hAnsi="Arial" w:cs="Arial"/>
        </w:rPr>
      </w:pPr>
      <w:r>
        <w:rPr>
          <w:rFonts w:ascii="Arial" w:hAnsi="Arial" w:cs="Arial"/>
        </w:rPr>
        <w:t>Materials and Methods</w:t>
      </w:r>
      <w:r>
        <w:rPr>
          <w:rFonts w:ascii="Arial" w:hAnsi="Arial" w:cs="Arial"/>
        </w:rPr>
        <w:tab/>
        <w:t>68</w:t>
      </w:r>
    </w:p>
    <w:p w:rsidR="00330CF1" w:rsidRDefault="00330CF1" w:rsidP="00EE0654">
      <w:pPr>
        <w:numPr>
          <w:ilvl w:val="12"/>
          <w:numId w:val="0"/>
        </w:numPr>
        <w:tabs>
          <w:tab w:val="right" w:leader="dot" w:pos="9360"/>
        </w:tabs>
        <w:ind w:left="720"/>
        <w:rPr>
          <w:rFonts w:ascii="Arial" w:hAnsi="Arial" w:cs="Arial"/>
        </w:rPr>
      </w:pPr>
      <w:r>
        <w:rPr>
          <w:rFonts w:ascii="Arial" w:hAnsi="Arial" w:cs="Arial"/>
        </w:rPr>
        <w:t>Animals</w:t>
      </w:r>
      <w:r>
        <w:rPr>
          <w:rFonts w:ascii="Arial" w:hAnsi="Arial" w:cs="Arial"/>
        </w:rPr>
        <w:tab/>
        <w:t>69</w:t>
      </w:r>
    </w:p>
    <w:p w:rsidR="00330CF1" w:rsidRDefault="00330CF1" w:rsidP="00EE0654">
      <w:pPr>
        <w:numPr>
          <w:ilvl w:val="12"/>
          <w:numId w:val="0"/>
        </w:numPr>
        <w:tabs>
          <w:tab w:val="right" w:leader="dot" w:pos="9360"/>
        </w:tabs>
        <w:ind w:left="720"/>
        <w:rPr>
          <w:rFonts w:ascii="Arial" w:hAnsi="Arial" w:cs="Arial"/>
        </w:rPr>
      </w:pPr>
      <w:r>
        <w:rPr>
          <w:rFonts w:ascii="Arial" w:hAnsi="Arial" w:cs="Arial"/>
        </w:rPr>
        <w:t>Diet</w:t>
      </w:r>
      <w:r>
        <w:rPr>
          <w:rFonts w:ascii="Arial" w:hAnsi="Arial" w:cs="Arial"/>
        </w:rPr>
        <w:tab/>
        <w:t>69</w:t>
      </w:r>
    </w:p>
    <w:p w:rsidR="00330CF1" w:rsidRDefault="00330CF1" w:rsidP="00EE0654">
      <w:pPr>
        <w:numPr>
          <w:ilvl w:val="12"/>
          <w:numId w:val="0"/>
        </w:numPr>
        <w:tabs>
          <w:tab w:val="right" w:leader="dot" w:pos="9360"/>
        </w:tabs>
        <w:ind w:left="720"/>
        <w:rPr>
          <w:rFonts w:ascii="Arial" w:hAnsi="Arial" w:cs="Arial"/>
        </w:rPr>
      </w:pPr>
      <w:r>
        <w:rPr>
          <w:rFonts w:ascii="Arial" w:hAnsi="Arial" w:cs="Arial"/>
        </w:rPr>
        <w:t>Food intake</w:t>
      </w:r>
      <w:r>
        <w:rPr>
          <w:rFonts w:ascii="Arial" w:hAnsi="Arial" w:cs="Arial"/>
        </w:rPr>
        <w:tab/>
        <w:t>70</w:t>
      </w:r>
    </w:p>
    <w:p w:rsidR="00330CF1" w:rsidRDefault="00330CF1" w:rsidP="00EE0654">
      <w:pPr>
        <w:numPr>
          <w:ilvl w:val="12"/>
          <w:numId w:val="0"/>
        </w:numPr>
        <w:tabs>
          <w:tab w:val="right" w:leader="dot" w:pos="9360"/>
        </w:tabs>
        <w:ind w:left="720"/>
        <w:rPr>
          <w:rFonts w:ascii="Arial" w:hAnsi="Arial" w:cs="Arial"/>
        </w:rPr>
      </w:pPr>
      <w:r>
        <w:rPr>
          <w:rFonts w:ascii="Arial" w:hAnsi="Arial" w:cs="Arial"/>
        </w:rPr>
        <w:t>Morphometric measurements</w:t>
      </w:r>
      <w:r>
        <w:rPr>
          <w:rFonts w:ascii="Arial" w:hAnsi="Arial" w:cs="Arial"/>
        </w:rPr>
        <w:tab/>
        <w:t>70</w:t>
      </w:r>
    </w:p>
    <w:p w:rsidR="00330CF1" w:rsidRDefault="00330CF1" w:rsidP="00EE0654">
      <w:pPr>
        <w:numPr>
          <w:ilvl w:val="12"/>
          <w:numId w:val="0"/>
        </w:numPr>
        <w:tabs>
          <w:tab w:val="right" w:leader="dot" w:pos="9360"/>
        </w:tabs>
        <w:ind w:left="720"/>
        <w:rPr>
          <w:rFonts w:ascii="Arial" w:hAnsi="Arial" w:cs="Arial"/>
        </w:rPr>
      </w:pPr>
      <w:r>
        <w:rPr>
          <w:rFonts w:ascii="Arial" w:hAnsi="Arial" w:cs="Arial"/>
        </w:rPr>
        <w:t>Dual-energy X-ray absorptiometry</w:t>
      </w:r>
      <w:r>
        <w:rPr>
          <w:rFonts w:ascii="Arial" w:hAnsi="Arial" w:cs="Arial"/>
        </w:rPr>
        <w:tab/>
        <w:t>70</w:t>
      </w:r>
    </w:p>
    <w:p w:rsidR="00330CF1" w:rsidRDefault="00330CF1" w:rsidP="00EE0654">
      <w:pPr>
        <w:numPr>
          <w:ilvl w:val="12"/>
          <w:numId w:val="0"/>
        </w:numPr>
        <w:tabs>
          <w:tab w:val="right" w:leader="dot" w:pos="9360"/>
        </w:tabs>
        <w:ind w:left="720"/>
        <w:rPr>
          <w:rFonts w:ascii="Arial" w:hAnsi="Arial" w:cs="Arial"/>
        </w:rPr>
      </w:pPr>
      <w:r>
        <w:rPr>
          <w:rFonts w:ascii="Arial" w:hAnsi="Arial" w:cs="Arial"/>
        </w:rPr>
        <w:t>Nutritional adequacy</w:t>
      </w:r>
      <w:r>
        <w:rPr>
          <w:rFonts w:ascii="Arial" w:hAnsi="Arial" w:cs="Arial"/>
        </w:rPr>
        <w:tab/>
        <w:t>71</w:t>
      </w:r>
    </w:p>
    <w:p w:rsidR="00330CF1" w:rsidRDefault="00330CF1" w:rsidP="00EE0654">
      <w:pPr>
        <w:numPr>
          <w:ilvl w:val="12"/>
          <w:numId w:val="0"/>
        </w:numPr>
        <w:tabs>
          <w:tab w:val="right" w:leader="dot" w:pos="9360"/>
        </w:tabs>
        <w:ind w:left="720"/>
        <w:rPr>
          <w:rFonts w:ascii="Arial" w:hAnsi="Arial" w:cs="Arial"/>
        </w:rPr>
      </w:pPr>
      <w:r>
        <w:rPr>
          <w:rFonts w:ascii="Arial" w:hAnsi="Arial" w:cs="Arial"/>
        </w:rPr>
        <w:t>Protein efficiency ratio and feed efficiency ratio</w:t>
      </w:r>
      <w:r>
        <w:rPr>
          <w:rFonts w:ascii="Arial" w:hAnsi="Arial" w:cs="Arial"/>
        </w:rPr>
        <w:tab/>
        <w:t>71</w:t>
      </w:r>
    </w:p>
    <w:p w:rsidR="00330CF1" w:rsidRDefault="00330CF1" w:rsidP="00EE0654">
      <w:pPr>
        <w:numPr>
          <w:ilvl w:val="12"/>
          <w:numId w:val="0"/>
        </w:numPr>
        <w:tabs>
          <w:tab w:val="right" w:leader="dot" w:pos="9360"/>
        </w:tabs>
        <w:ind w:left="720"/>
        <w:rPr>
          <w:rFonts w:ascii="Arial" w:hAnsi="Arial" w:cs="Arial"/>
        </w:rPr>
      </w:pPr>
      <w:r>
        <w:rPr>
          <w:rFonts w:ascii="Arial" w:hAnsi="Arial" w:cs="Arial"/>
        </w:rPr>
        <w:t>Statistical analysis</w:t>
      </w:r>
      <w:r>
        <w:rPr>
          <w:rFonts w:ascii="Arial" w:hAnsi="Arial" w:cs="Arial"/>
        </w:rPr>
        <w:tab/>
        <w:t>71</w:t>
      </w:r>
    </w:p>
    <w:p w:rsidR="00330CF1" w:rsidRDefault="00330CF1" w:rsidP="00E512F2">
      <w:pPr>
        <w:numPr>
          <w:ilvl w:val="12"/>
          <w:numId w:val="0"/>
        </w:numPr>
        <w:tabs>
          <w:tab w:val="right" w:leader="dot" w:pos="9360"/>
        </w:tabs>
        <w:ind w:left="360"/>
        <w:rPr>
          <w:rFonts w:ascii="Arial" w:hAnsi="Arial" w:cs="Arial"/>
        </w:rPr>
      </w:pPr>
      <w:r>
        <w:rPr>
          <w:rFonts w:ascii="Arial" w:hAnsi="Arial" w:cs="Arial"/>
        </w:rPr>
        <w:t>Results</w:t>
      </w:r>
      <w:r>
        <w:rPr>
          <w:rFonts w:ascii="Arial" w:hAnsi="Arial" w:cs="Arial"/>
        </w:rPr>
        <w:tab/>
        <w:t>72</w:t>
      </w:r>
    </w:p>
    <w:p w:rsidR="00330CF1" w:rsidRDefault="00330CF1" w:rsidP="00E512F2">
      <w:pPr>
        <w:numPr>
          <w:ilvl w:val="12"/>
          <w:numId w:val="0"/>
        </w:numPr>
        <w:tabs>
          <w:tab w:val="right" w:leader="dot" w:pos="9360"/>
        </w:tabs>
        <w:ind w:left="720"/>
        <w:rPr>
          <w:rFonts w:ascii="Arial" w:hAnsi="Arial" w:cs="Arial"/>
        </w:rPr>
      </w:pPr>
      <w:r>
        <w:rPr>
          <w:rFonts w:ascii="Arial" w:hAnsi="Arial" w:cs="Arial"/>
        </w:rPr>
        <w:t>Morphometric measurements and body composition</w:t>
      </w:r>
      <w:r>
        <w:rPr>
          <w:rFonts w:ascii="Arial" w:hAnsi="Arial" w:cs="Arial"/>
        </w:rPr>
        <w:tab/>
        <w:t>72</w:t>
      </w:r>
    </w:p>
    <w:p w:rsidR="00330CF1" w:rsidRDefault="00330CF1" w:rsidP="00E512F2">
      <w:pPr>
        <w:numPr>
          <w:ilvl w:val="12"/>
          <w:numId w:val="0"/>
        </w:numPr>
        <w:tabs>
          <w:tab w:val="right" w:leader="dot" w:pos="9360"/>
        </w:tabs>
        <w:ind w:left="720"/>
        <w:rPr>
          <w:rFonts w:ascii="Arial" w:hAnsi="Arial" w:cs="Arial"/>
        </w:rPr>
      </w:pPr>
      <w:r>
        <w:rPr>
          <w:rFonts w:ascii="Arial" w:hAnsi="Arial" w:cs="Arial"/>
        </w:rPr>
        <w:t>Serum biochemistry</w:t>
      </w:r>
      <w:r>
        <w:rPr>
          <w:rFonts w:ascii="Arial" w:hAnsi="Arial" w:cs="Arial"/>
        </w:rPr>
        <w:tab/>
        <w:t>82</w:t>
      </w:r>
    </w:p>
    <w:p w:rsidR="00330CF1" w:rsidRDefault="00330CF1" w:rsidP="00E512F2">
      <w:pPr>
        <w:numPr>
          <w:ilvl w:val="12"/>
          <w:numId w:val="0"/>
        </w:numPr>
        <w:tabs>
          <w:tab w:val="right" w:leader="dot" w:pos="9360"/>
        </w:tabs>
        <w:ind w:left="720"/>
        <w:rPr>
          <w:rFonts w:ascii="Arial" w:hAnsi="Arial" w:cs="Arial"/>
        </w:rPr>
      </w:pPr>
      <w:r>
        <w:rPr>
          <w:rFonts w:ascii="Arial" w:hAnsi="Arial" w:cs="Arial"/>
        </w:rPr>
        <w:t>Complete blood count</w:t>
      </w:r>
      <w:r>
        <w:rPr>
          <w:rFonts w:ascii="Arial" w:hAnsi="Arial" w:cs="Arial"/>
        </w:rPr>
        <w:tab/>
        <w:t>84</w:t>
      </w:r>
    </w:p>
    <w:p w:rsidR="00330CF1" w:rsidRDefault="00330CF1" w:rsidP="00E512F2">
      <w:pPr>
        <w:numPr>
          <w:ilvl w:val="12"/>
          <w:numId w:val="0"/>
        </w:numPr>
        <w:tabs>
          <w:tab w:val="right" w:leader="dot" w:pos="9360"/>
        </w:tabs>
        <w:ind w:left="720"/>
        <w:rPr>
          <w:rFonts w:ascii="Arial" w:hAnsi="Arial" w:cs="Arial"/>
        </w:rPr>
      </w:pPr>
      <w:r>
        <w:rPr>
          <w:rFonts w:ascii="Arial" w:hAnsi="Arial" w:cs="Arial"/>
        </w:rPr>
        <w:t>Feed efficiency ratio, protein efficiency ratio and body composition score</w:t>
      </w:r>
      <w:r>
        <w:rPr>
          <w:rFonts w:ascii="Arial" w:hAnsi="Arial" w:cs="Arial"/>
        </w:rPr>
        <w:tab/>
        <w:t>86</w:t>
      </w:r>
    </w:p>
    <w:p w:rsidR="00330CF1" w:rsidRDefault="00330CF1" w:rsidP="00E512F2">
      <w:pPr>
        <w:numPr>
          <w:ilvl w:val="12"/>
          <w:numId w:val="0"/>
        </w:numPr>
        <w:tabs>
          <w:tab w:val="right" w:leader="dot" w:pos="9360"/>
        </w:tabs>
        <w:ind w:left="360"/>
        <w:rPr>
          <w:rFonts w:ascii="Arial" w:hAnsi="Arial" w:cs="Arial"/>
        </w:rPr>
      </w:pPr>
      <w:r>
        <w:rPr>
          <w:rFonts w:ascii="Arial" w:hAnsi="Arial" w:cs="Arial"/>
        </w:rPr>
        <w:t>Discussion</w:t>
      </w:r>
      <w:r>
        <w:rPr>
          <w:rFonts w:ascii="Arial" w:hAnsi="Arial" w:cs="Arial"/>
        </w:rPr>
        <w:tab/>
        <w:t>90</w:t>
      </w:r>
    </w:p>
    <w:p w:rsidR="00330CF1" w:rsidRDefault="00330CF1" w:rsidP="00E512F2">
      <w:pPr>
        <w:numPr>
          <w:ilvl w:val="12"/>
          <w:numId w:val="0"/>
        </w:numPr>
        <w:tabs>
          <w:tab w:val="right" w:leader="dot" w:pos="9360"/>
        </w:tabs>
        <w:ind w:left="360"/>
        <w:rPr>
          <w:rFonts w:ascii="Arial" w:hAnsi="Arial" w:cs="Arial"/>
        </w:rPr>
      </w:pPr>
      <w:r>
        <w:rPr>
          <w:rFonts w:ascii="Arial" w:hAnsi="Arial" w:cs="Arial"/>
        </w:rPr>
        <w:lastRenderedPageBreak/>
        <w:t>Conclusions</w:t>
      </w:r>
      <w:r>
        <w:rPr>
          <w:rFonts w:ascii="Arial" w:hAnsi="Arial" w:cs="Arial"/>
        </w:rPr>
        <w:tab/>
        <w:t>93</w:t>
      </w:r>
    </w:p>
    <w:p w:rsidR="00330CF1" w:rsidRDefault="00330CF1" w:rsidP="00E512F2">
      <w:pPr>
        <w:numPr>
          <w:ilvl w:val="12"/>
          <w:numId w:val="0"/>
        </w:numPr>
        <w:tabs>
          <w:tab w:val="right" w:leader="dot" w:pos="9360"/>
        </w:tabs>
        <w:rPr>
          <w:rFonts w:ascii="Arial" w:hAnsi="Arial" w:cs="Arial"/>
        </w:rPr>
      </w:pPr>
      <w:r>
        <w:rPr>
          <w:rFonts w:ascii="Arial" w:hAnsi="Arial" w:cs="Arial"/>
        </w:rPr>
        <w:t>CHAPTER III</w:t>
      </w:r>
      <w:r>
        <w:rPr>
          <w:rFonts w:ascii="Arial" w:hAnsi="Arial" w:cs="Arial"/>
        </w:rPr>
        <w:tab/>
        <w:t>95</w:t>
      </w:r>
    </w:p>
    <w:p w:rsidR="00330CF1" w:rsidRDefault="00330CF1" w:rsidP="006B6351">
      <w:pPr>
        <w:numPr>
          <w:ilvl w:val="12"/>
          <w:numId w:val="0"/>
        </w:numPr>
        <w:tabs>
          <w:tab w:val="left" w:pos="360"/>
          <w:tab w:val="left" w:pos="720"/>
          <w:tab w:val="right" w:leader="dot" w:pos="9360"/>
        </w:tabs>
        <w:rPr>
          <w:rFonts w:ascii="Arial" w:hAnsi="Arial" w:cs="Arial"/>
        </w:rPr>
      </w:pPr>
      <w:r>
        <w:rPr>
          <w:rFonts w:ascii="Arial" w:hAnsi="Arial" w:cs="Arial"/>
        </w:rPr>
        <w:t>EVALUATION OF RAW VS. HEAT-PROCESSED DIETS ON INNATE</w:t>
      </w:r>
    </w:p>
    <w:p w:rsidR="00330CF1" w:rsidRDefault="00330CF1" w:rsidP="00E512F2">
      <w:pPr>
        <w:numPr>
          <w:ilvl w:val="12"/>
          <w:numId w:val="0"/>
        </w:numPr>
        <w:tabs>
          <w:tab w:val="right" w:leader="dot" w:pos="9360"/>
        </w:tabs>
        <w:rPr>
          <w:rFonts w:ascii="Arial" w:hAnsi="Arial" w:cs="Arial"/>
        </w:rPr>
      </w:pPr>
      <w:r>
        <w:rPr>
          <w:rFonts w:ascii="Arial" w:hAnsi="Arial" w:cs="Arial"/>
        </w:rPr>
        <w:t>AND HUMORAL IMMUNE RESPONSES IN KITTENS</w:t>
      </w:r>
      <w:r>
        <w:rPr>
          <w:rFonts w:ascii="Arial" w:hAnsi="Arial" w:cs="Arial"/>
        </w:rPr>
        <w:tab/>
        <w:t>94</w:t>
      </w:r>
    </w:p>
    <w:p w:rsidR="00330CF1" w:rsidRDefault="00330CF1" w:rsidP="00E512F2">
      <w:pPr>
        <w:numPr>
          <w:ilvl w:val="12"/>
          <w:numId w:val="0"/>
        </w:numPr>
        <w:tabs>
          <w:tab w:val="right" w:leader="dot" w:pos="9360"/>
        </w:tabs>
        <w:ind w:left="360"/>
        <w:rPr>
          <w:rFonts w:ascii="Arial" w:hAnsi="Arial" w:cs="Arial"/>
        </w:rPr>
      </w:pPr>
      <w:r>
        <w:rPr>
          <w:rFonts w:ascii="Arial" w:hAnsi="Arial" w:cs="Arial"/>
        </w:rPr>
        <w:t>Introduction</w:t>
      </w:r>
      <w:r>
        <w:rPr>
          <w:rFonts w:ascii="Arial" w:hAnsi="Arial" w:cs="Arial"/>
        </w:rPr>
        <w:tab/>
        <w:t>94</w:t>
      </w:r>
    </w:p>
    <w:p w:rsidR="00330CF1" w:rsidRDefault="00330CF1" w:rsidP="00E512F2">
      <w:pPr>
        <w:numPr>
          <w:ilvl w:val="12"/>
          <w:numId w:val="0"/>
        </w:numPr>
        <w:tabs>
          <w:tab w:val="right" w:leader="dot" w:pos="9360"/>
        </w:tabs>
        <w:ind w:left="360"/>
        <w:rPr>
          <w:rFonts w:ascii="Arial" w:hAnsi="Arial" w:cs="Arial"/>
        </w:rPr>
      </w:pPr>
      <w:r>
        <w:rPr>
          <w:rFonts w:ascii="Arial" w:hAnsi="Arial" w:cs="Arial"/>
        </w:rPr>
        <w:t>Materials and Methods</w:t>
      </w:r>
      <w:r>
        <w:rPr>
          <w:rFonts w:ascii="Arial" w:hAnsi="Arial" w:cs="Arial"/>
        </w:rPr>
        <w:tab/>
        <w:t>95</w:t>
      </w:r>
    </w:p>
    <w:p w:rsidR="00330CF1" w:rsidRDefault="00330CF1" w:rsidP="00D46E6E">
      <w:pPr>
        <w:numPr>
          <w:ilvl w:val="12"/>
          <w:numId w:val="0"/>
        </w:numPr>
        <w:tabs>
          <w:tab w:val="right" w:leader="dot" w:pos="9360"/>
        </w:tabs>
        <w:ind w:left="720"/>
        <w:rPr>
          <w:rFonts w:ascii="Arial" w:hAnsi="Arial" w:cs="Arial"/>
        </w:rPr>
      </w:pPr>
      <w:r>
        <w:rPr>
          <w:rFonts w:ascii="Arial" w:hAnsi="Arial" w:cs="Arial"/>
        </w:rPr>
        <w:t>Animals</w:t>
      </w:r>
      <w:r>
        <w:rPr>
          <w:rFonts w:ascii="Arial" w:hAnsi="Arial" w:cs="Arial"/>
        </w:rPr>
        <w:tab/>
        <w:t>95</w:t>
      </w:r>
    </w:p>
    <w:p w:rsidR="00330CF1" w:rsidRDefault="00330CF1" w:rsidP="00D46E6E">
      <w:pPr>
        <w:numPr>
          <w:ilvl w:val="12"/>
          <w:numId w:val="0"/>
        </w:numPr>
        <w:tabs>
          <w:tab w:val="right" w:leader="dot" w:pos="9360"/>
        </w:tabs>
        <w:ind w:left="720"/>
        <w:rPr>
          <w:rFonts w:ascii="Arial" w:hAnsi="Arial" w:cs="Arial"/>
        </w:rPr>
      </w:pPr>
      <w:r>
        <w:rPr>
          <w:rFonts w:ascii="Arial" w:hAnsi="Arial" w:cs="Arial"/>
        </w:rPr>
        <w:t>Diet</w:t>
      </w:r>
      <w:r>
        <w:rPr>
          <w:rFonts w:ascii="Arial" w:hAnsi="Arial" w:cs="Arial"/>
        </w:rPr>
        <w:tab/>
        <w:t>96</w:t>
      </w:r>
    </w:p>
    <w:p w:rsidR="00330CF1" w:rsidRDefault="00330CF1" w:rsidP="00D46E6E">
      <w:pPr>
        <w:numPr>
          <w:ilvl w:val="12"/>
          <w:numId w:val="0"/>
        </w:numPr>
        <w:tabs>
          <w:tab w:val="right" w:leader="dot" w:pos="9360"/>
        </w:tabs>
        <w:ind w:left="720"/>
        <w:rPr>
          <w:rFonts w:ascii="Arial" w:hAnsi="Arial" w:cs="Arial"/>
        </w:rPr>
      </w:pPr>
      <w:r>
        <w:rPr>
          <w:rFonts w:ascii="Arial" w:hAnsi="Arial" w:cs="Arial"/>
        </w:rPr>
        <w:t>Innate immune function</w:t>
      </w:r>
      <w:r>
        <w:rPr>
          <w:rFonts w:ascii="Arial" w:hAnsi="Arial" w:cs="Arial"/>
        </w:rPr>
        <w:tab/>
        <w:t>96</w:t>
      </w:r>
    </w:p>
    <w:p w:rsidR="00330CF1" w:rsidRDefault="00330CF1" w:rsidP="009975B5">
      <w:pPr>
        <w:numPr>
          <w:ilvl w:val="12"/>
          <w:numId w:val="0"/>
        </w:numPr>
        <w:tabs>
          <w:tab w:val="right" w:leader="dot" w:pos="9360"/>
        </w:tabs>
        <w:ind w:left="1080"/>
        <w:rPr>
          <w:rFonts w:ascii="Arial" w:hAnsi="Arial" w:cs="Arial"/>
        </w:rPr>
      </w:pPr>
      <w:r>
        <w:rPr>
          <w:rFonts w:ascii="Arial" w:hAnsi="Arial" w:cs="Arial"/>
        </w:rPr>
        <w:t>Phagocytosis</w:t>
      </w:r>
      <w:r>
        <w:rPr>
          <w:rFonts w:ascii="Arial" w:hAnsi="Arial" w:cs="Arial"/>
        </w:rPr>
        <w:tab/>
        <w:t>97</w:t>
      </w:r>
    </w:p>
    <w:p w:rsidR="00330CF1" w:rsidRDefault="00330CF1" w:rsidP="009975B5">
      <w:pPr>
        <w:numPr>
          <w:ilvl w:val="12"/>
          <w:numId w:val="0"/>
        </w:numPr>
        <w:tabs>
          <w:tab w:val="right" w:leader="dot" w:pos="9360"/>
        </w:tabs>
        <w:ind w:left="1080"/>
        <w:rPr>
          <w:rFonts w:ascii="Arial" w:hAnsi="Arial" w:cs="Arial"/>
        </w:rPr>
      </w:pPr>
      <w:r>
        <w:rPr>
          <w:rFonts w:ascii="Arial" w:hAnsi="Arial" w:cs="Arial"/>
        </w:rPr>
        <w:t>Oxidative burst</w:t>
      </w:r>
      <w:r>
        <w:rPr>
          <w:rFonts w:ascii="Arial" w:hAnsi="Arial" w:cs="Arial"/>
        </w:rPr>
        <w:tab/>
        <w:t>97</w:t>
      </w:r>
    </w:p>
    <w:p w:rsidR="00330CF1" w:rsidRDefault="00330CF1" w:rsidP="009975B5">
      <w:pPr>
        <w:numPr>
          <w:ilvl w:val="12"/>
          <w:numId w:val="0"/>
        </w:numPr>
        <w:tabs>
          <w:tab w:val="left" w:pos="1080"/>
          <w:tab w:val="right" w:leader="dot" w:pos="9360"/>
        </w:tabs>
        <w:ind w:left="1080"/>
        <w:rPr>
          <w:rFonts w:ascii="Arial" w:hAnsi="Arial" w:cs="Arial"/>
        </w:rPr>
      </w:pPr>
      <w:r>
        <w:rPr>
          <w:rFonts w:ascii="Arial" w:hAnsi="Arial" w:cs="Arial"/>
        </w:rPr>
        <w:t>Flow cytometry</w:t>
      </w:r>
      <w:r>
        <w:rPr>
          <w:rFonts w:ascii="Arial" w:hAnsi="Arial" w:cs="Arial"/>
        </w:rPr>
        <w:tab/>
        <w:t>97</w:t>
      </w:r>
    </w:p>
    <w:p w:rsidR="00330CF1" w:rsidRDefault="00330CF1" w:rsidP="00D46E6E">
      <w:pPr>
        <w:numPr>
          <w:ilvl w:val="12"/>
          <w:numId w:val="0"/>
        </w:numPr>
        <w:tabs>
          <w:tab w:val="right" w:leader="dot" w:pos="9360"/>
        </w:tabs>
        <w:ind w:left="720"/>
        <w:rPr>
          <w:rFonts w:ascii="Arial" w:hAnsi="Arial" w:cs="Arial"/>
        </w:rPr>
      </w:pPr>
      <w:r>
        <w:rPr>
          <w:rFonts w:ascii="Arial" w:hAnsi="Arial" w:cs="Arial"/>
        </w:rPr>
        <w:t>Humoral immune function</w:t>
      </w:r>
      <w:r>
        <w:rPr>
          <w:rFonts w:ascii="Arial" w:hAnsi="Arial" w:cs="Arial"/>
        </w:rPr>
        <w:tab/>
        <w:t>97</w:t>
      </w:r>
    </w:p>
    <w:p w:rsidR="00330CF1" w:rsidRDefault="00330CF1" w:rsidP="009975B5">
      <w:pPr>
        <w:numPr>
          <w:ilvl w:val="12"/>
          <w:numId w:val="0"/>
        </w:numPr>
        <w:tabs>
          <w:tab w:val="right" w:leader="dot" w:pos="9360"/>
        </w:tabs>
        <w:ind w:left="1080"/>
        <w:rPr>
          <w:rFonts w:ascii="Arial" w:hAnsi="Arial" w:cs="Arial"/>
        </w:rPr>
      </w:pPr>
      <w:r>
        <w:rPr>
          <w:rFonts w:ascii="Arial" w:hAnsi="Arial" w:cs="Arial"/>
        </w:rPr>
        <w:t>Serum IgG and IgM</w:t>
      </w:r>
      <w:r>
        <w:rPr>
          <w:rFonts w:ascii="Arial" w:hAnsi="Arial" w:cs="Arial"/>
        </w:rPr>
        <w:tab/>
        <w:t>98</w:t>
      </w:r>
    </w:p>
    <w:p w:rsidR="00330CF1" w:rsidRDefault="00330CF1" w:rsidP="009975B5">
      <w:pPr>
        <w:numPr>
          <w:ilvl w:val="12"/>
          <w:numId w:val="0"/>
        </w:numPr>
        <w:tabs>
          <w:tab w:val="right" w:leader="dot" w:pos="9360"/>
        </w:tabs>
        <w:ind w:left="1080"/>
        <w:rPr>
          <w:rFonts w:ascii="Arial" w:hAnsi="Arial" w:cs="Arial"/>
        </w:rPr>
      </w:pPr>
      <w:r>
        <w:rPr>
          <w:rFonts w:ascii="Arial" w:hAnsi="Arial" w:cs="Arial"/>
        </w:rPr>
        <w:t>Herpes Specific IgG Titers</w:t>
      </w:r>
      <w:r>
        <w:rPr>
          <w:rFonts w:ascii="Arial" w:hAnsi="Arial" w:cs="Arial"/>
        </w:rPr>
        <w:tab/>
        <w:t>98</w:t>
      </w:r>
    </w:p>
    <w:p w:rsidR="00330CF1" w:rsidRDefault="00330CF1" w:rsidP="00D46E6E">
      <w:pPr>
        <w:numPr>
          <w:ilvl w:val="12"/>
          <w:numId w:val="0"/>
        </w:numPr>
        <w:tabs>
          <w:tab w:val="right" w:leader="dot" w:pos="9360"/>
        </w:tabs>
        <w:ind w:left="720"/>
        <w:rPr>
          <w:rFonts w:ascii="Arial" w:hAnsi="Arial" w:cs="Arial"/>
        </w:rPr>
      </w:pPr>
      <w:r>
        <w:rPr>
          <w:rFonts w:ascii="Arial" w:hAnsi="Arial" w:cs="Arial"/>
        </w:rPr>
        <w:t>Statistical analysis</w:t>
      </w:r>
      <w:r>
        <w:rPr>
          <w:rFonts w:ascii="Arial" w:hAnsi="Arial" w:cs="Arial"/>
        </w:rPr>
        <w:tab/>
        <w:t>98</w:t>
      </w:r>
    </w:p>
    <w:p w:rsidR="00330CF1" w:rsidRDefault="00330CF1" w:rsidP="00E512F2">
      <w:pPr>
        <w:numPr>
          <w:ilvl w:val="12"/>
          <w:numId w:val="0"/>
        </w:numPr>
        <w:tabs>
          <w:tab w:val="right" w:leader="dot" w:pos="9360"/>
        </w:tabs>
        <w:ind w:left="360"/>
        <w:rPr>
          <w:rFonts w:ascii="Arial" w:hAnsi="Arial" w:cs="Arial"/>
        </w:rPr>
      </w:pPr>
      <w:r>
        <w:rPr>
          <w:rFonts w:ascii="Arial" w:hAnsi="Arial" w:cs="Arial"/>
        </w:rPr>
        <w:t>Results</w:t>
      </w:r>
      <w:r>
        <w:rPr>
          <w:rFonts w:ascii="Arial" w:hAnsi="Arial" w:cs="Arial"/>
        </w:rPr>
        <w:tab/>
        <w:t>99</w:t>
      </w:r>
    </w:p>
    <w:p w:rsidR="00330CF1" w:rsidRDefault="00330CF1" w:rsidP="00D46E6E">
      <w:pPr>
        <w:numPr>
          <w:ilvl w:val="12"/>
          <w:numId w:val="0"/>
        </w:numPr>
        <w:tabs>
          <w:tab w:val="right" w:leader="dot" w:pos="9360"/>
        </w:tabs>
        <w:ind w:left="360"/>
        <w:rPr>
          <w:rFonts w:ascii="Arial" w:hAnsi="Arial" w:cs="Arial"/>
        </w:rPr>
      </w:pPr>
      <w:r>
        <w:rPr>
          <w:rFonts w:ascii="Arial" w:hAnsi="Arial" w:cs="Arial"/>
        </w:rPr>
        <w:t>Discussion</w:t>
      </w:r>
      <w:r>
        <w:rPr>
          <w:rFonts w:ascii="Arial" w:hAnsi="Arial" w:cs="Arial"/>
        </w:rPr>
        <w:tab/>
        <w:t>105</w:t>
      </w:r>
    </w:p>
    <w:p w:rsidR="00330CF1" w:rsidRDefault="00330CF1" w:rsidP="00D46E6E">
      <w:pPr>
        <w:numPr>
          <w:ilvl w:val="12"/>
          <w:numId w:val="0"/>
        </w:numPr>
        <w:tabs>
          <w:tab w:val="right" w:leader="dot" w:pos="9360"/>
        </w:tabs>
        <w:ind w:left="360"/>
        <w:rPr>
          <w:rFonts w:ascii="Arial" w:hAnsi="Arial" w:cs="Arial"/>
        </w:rPr>
      </w:pPr>
      <w:r>
        <w:rPr>
          <w:rFonts w:ascii="Arial" w:hAnsi="Arial" w:cs="Arial"/>
        </w:rPr>
        <w:t>Conclusions</w:t>
      </w:r>
      <w:r>
        <w:rPr>
          <w:rFonts w:ascii="Arial" w:hAnsi="Arial" w:cs="Arial"/>
        </w:rPr>
        <w:tab/>
        <w:t>107</w:t>
      </w:r>
    </w:p>
    <w:p w:rsidR="00330CF1" w:rsidRDefault="00330CF1" w:rsidP="00E512F2">
      <w:pPr>
        <w:numPr>
          <w:ilvl w:val="12"/>
          <w:numId w:val="0"/>
        </w:numPr>
        <w:tabs>
          <w:tab w:val="right" w:leader="dot" w:pos="9360"/>
        </w:tabs>
        <w:rPr>
          <w:rFonts w:ascii="Arial" w:hAnsi="Arial" w:cs="Arial"/>
        </w:rPr>
      </w:pPr>
      <w:r>
        <w:rPr>
          <w:rFonts w:ascii="Arial" w:hAnsi="Arial" w:cs="Arial"/>
        </w:rPr>
        <w:t>CHAPTER IV</w:t>
      </w:r>
      <w:r>
        <w:rPr>
          <w:rFonts w:ascii="Arial" w:hAnsi="Arial" w:cs="Arial"/>
        </w:rPr>
        <w:tab/>
        <w:t>109</w:t>
      </w:r>
    </w:p>
    <w:p w:rsidR="00330CF1" w:rsidRDefault="00330CF1" w:rsidP="006B6351">
      <w:pPr>
        <w:numPr>
          <w:ilvl w:val="12"/>
          <w:numId w:val="0"/>
        </w:numPr>
        <w:tabs>
          <w:tab w:val="left" w:pos="360"/>
          <w:tab w:val="left" w:pos="720"/>
          <w:tab w:val="right" w:leader="dot" w:pos="9360"/>
        </w:tabs>
        <w:rPr>
          <w:rFonts w:ascii="Arial" w:hAnsi="Arial" w:cs="Arial"/>
        </w:rPr>
      </w:pPr>
      <w:r>
        <w:rPr>
          <w:rFonts w:ascii="Arial" w:hAnsi="Arial" w:cs="Arial"/>
        </w:rPr>
        <w:t xml:space="preserve">COMPARISON OF URINARY ISOPROSTANES AS A MARKER OF </w:t>
      </w:r>
    </w:p>
    <w:p w:rsidR="00330CF1" w:rsidRDefault="00330CF1" w:rsidP="006B6351">
      <w:pPr>
        <w:numPr>
          <w:ilvl w:val="12"/>
          <w:numId w:val="0"/>
        </w:numPr>
        <w:tabs>
          <w:tab w:val="left" w:pos="360"/>
          <w:tab w:val="left" w:pos="720"/>
          <w:tab w:val="right" w:leader="dot" w:pos="9360"/>
        </w:tabs>
        <w:rPr>
          <w:rFonts w:ascii="Arial" w:hAnsi="Arial" w:cs="Arial"/>
        </w:rPr>
      </w:pPr>
      <w:r>
        <w:rPr>
          <w:rFonts w:ascii="Arial" w:hAnsi="Arial" w:cs="Arial"/>
        </w:rPr>
        <w:t>OXIDATIVE STRESS IN KITTENS FED RAW VS. HEAT-PROCESSED</w:t>
      </w:r>
    </w:p>
    <w:p w:rsidR="00330CF1" w:rsidRDefault="00330CF1" w:rsidP="00D46E6E">
      <w:pPr>
        <w:numPr>
          <w:ilvl w:val="12"/>
          <w:numId w:val="0"/>
        </w:numPr>
        <w:tabs>
          <w:tab w:val="right" w:leader="dot" w:pos="9360"/>
        </w:tabs>
        <w:rPr>
          <w:rFonts w:ascii="Arial" w:hAnsi="Arial" w:cs="Arial"/>
        </w:rPr>
      </w:pPr>
      <w:r>
        <w:rPr>
          <w:rFonts w:ascii="Arial" w:hAnsi="Arial" w:cs="Arial"/>
        </w:rPr>
        <w:t>DIETS</w:t>
      </w:r>
      <w:r>
        <w:rPr>
          <w:rFonts w:ascii="Arial" w:hAnsi="Arial" w:cs="Arial"/>
        </w:rPr>
        <w:tab/>
        <w:t>109</w:t>
      </w:r>
    </w:p>
    <w:p w:rsidR="00330CF1" w:rsidRDefault="00330CF1" w:rsidP="00D46E6E">
      <w:pPr>
        <w:numPr>
          <w:ilvl w:val="12"/>
          <w:numId w:val="0"/>
        </w:numPr>
        <w:tabs>
          <w:tab w:val="right" w:leader="dot" w:pos="9360"/>
        </w:tabs>
        <w:ind w:left="360"/>
        <w:rPr>
          <w:rFonts w:ascii="Arial" w:hAnsi="Arial" w:cs="Arial"/>
        </w:rPr>
      </w:pPr>
      <w:r>
        <w:rPr>
          <w:rFonts w:ascii="Arial" w:hAnsi="Arial" w:cs="Arial"/>
        </w:rPr>
        <w:t>Introduction</w:t>
      </w:r>
      <w:r>
        <w:rPr>
          <w:rFonts w:ascii="Arial" w:hAnsi="Arial" w:cs="Arial"/>
        </w:rPr>
        <w:tab/>
        <w:t>109</w:t>
      </w:r>
    </w:p>
    <w:p w:rsidR="00330CF1" w:rsidRDefault="00330CF1" w:rsidP="00D46E6E">
      <w:pPr>
        <w:numPr>
          <w:ilvl w:val="12"/>
          <w:numId w:val="0"/>
        </w:numPr>
        <w:tabs>
          <w:tab w:val="right" w:leader="dot" w:pos="9360"/>
        </w:tabs>
        <w:ind w:left="360"/>
        <w:rPr>
          <w:rFonts w:ascii="Arial" w:hAnsi="Arial" w:cs="Arial"/>
        </w:rPr>
      </w:pPr>
      <w:r>
        <w:rPr>
          <w:rFonts w:ascii="Arial" w:hAnsi="Arial" w:cs="Arial"/>
        </w:rPr>
        <w:t>Materials and Methods</w:t>
      </w:r>
      <w:r>
        <w:rPr>
          <w:rFonts w:ascii="Arial" w:hAnsi="Arial" w:cs="Arial"/>
        </w:rPr>
        <w:tab/>
        <w:t>110</w:t>
      </w:r>
    </w:p>
    <w:p w:rsidR="00330CF1" w:rsidRDefault="00330CF1" w:rsidP="00D46E6E">
      <w:pPr>
        <w:numPr>
          <w:ilvl w:val="12"/>
          <w:numId w:val="0"/>
        </w:numPr>
        <w:tabs>
          <w:tab w:val="right" w:leader="dot" w:pos="9360"/>
        </w:tabs>
        <w:ind w:left="720"/>
        <w:rPr>
          <w:rFonts w:ascii="Arial" w:hAnsi="Arial" w:cs="Arial"/>
        </w:rPr>
      </w:pPr>
      <w:r>
        <w:rPr>
          <w:rFonts w:ascii="Arial" w:hAnsi="Arial" w:cs="Arial"/>
        </w:rPr>
        <w:t>Animals</w:t>
      </w:r>
      <w:r>
        <w:rPr>
          <w:rFonts w:ascii="Arial" w:hAnsi="Arial" w:cs="Arial"/>
        </w:rPr>
        <w:tab/>
        <w:t>111</w:t>
      </w:r>
    </w:p>
    <w:p w:rsidR="00330CF1" w:rsidRDefault="00330CF1" w:rsidP="00D46E6E">
      <w:pPr>
        <w:numPr>
          <w:ilvl w:val="12"/>
          <w:numId w:val="0"/>
        </w:numPr>
        <w:tabs>
          <w:tab w:val="right" w:leader="dot" w:pos="9360"/>
        </w:tabs>
        <w:ind w:left="720"/>
        <w:rPr>
          <w:rFonts w:ascii="Arial" w:hAnsi="Arial" w:cs="Arial"/>
        </w:rPr>
      </w:pPr>
      <w:r>
        <w:rPr>
          <w:rFonts w:ascii="Arial" w:hAnsi="Arial" w:cs="Arial"/>
        </w:rPr>
        <w:t>Diet</w:t>
      </w:r>
      <w:r>
        <w:rPr>
          <w:rFonts w:ascii="Arial" w:hAnsi="Arial" w:cs="Arial"/>
        </w:rPr>
        <w:tab/>
        <w:t>111</w:t>
      </w:r>
    </w:p>
    <w:p w:rsidR="00330CF1" w:rsidRDefault="00330CF1" w:rsidP="00D46E6E">
      <w:pPr>
        <w:numPr>
          <w:ilvl w:val="12"/>
          <w:numId w:val="0"/>
        </w:numPr>
        <w:tabs>
          <w:tab w:val="right" w:leader="dot" w:pos="9360"/>
        </w:tabs>
        <w:ind w:left="720"/>
        <w:rPr>
          <w:rFonts w:ascii="Arial" w:hAnsi="Arial" w:cs="Arial"/>
        </w:rPr>
      </w:pPr>
      <w:r>
        <w:rPr>
          <w:rFonts w:ascii="Arial" w:hAnsi="Arial" w:cs="Arial"/>
        </w:rPr>
        <w:t>Urine collection</w:t>
      </w:r>
      <w:r>
        <w:rPr>
          <w:rFonts w:ascii="Arial" w:hAnsi="Arial" w:cs="Arial"/>
        </w:rPr>
        <w:tab/>
        <w:t>111</w:t>
      </w:r>
    </w:p>
    <w:p w:rsidR="00330CF1" w:rsidRDefault="00330CF1" w:rsidP="00D46E6E">
      <w:pPr>
        <w:numPr>
          <w:ilvl w:val="12"/>
          <w:numId w:val="0"/>
        </w:numPr>
        <w:tabs>
          <w:tab w:val="right" w:leader="dot" w:pos="9360"/>
        </w:tabs>
        <w:ind w:left="720"/>
        <w:rPr>
          <w:rFonts w:ascii="Arial" w:hAnsi="Arial" w:cs="Arial"/>
        </w:rPr>
      </w:pPr>
      <w:r>
        <w:rPr>
          <w:rFonts w:ascii="Arial" w:hAnsi="Arial" w:cs="Arial"/>
        </w:rPr>
        <w:t>Urinary creatinine measurement</w:t>
      </w:r>
      <w:r>
        <w:rPr>
          <w:rFonts w:ascii="Arial" w:hAnsi="Arial" w:cs="Arial"/>
        </w:rPr>
        <w:tab/>
        <w:t>112</w:t>
      </w:r>
    </w:p>
    <w:p w:rsidR="00330CF1" w:rsidRDefault="00330CF1" w:rsidP="00D46E6E">
      <w:pPr>
        <w:numPr>
          <w:ilvl w:val="12"/>
          <w:numId w:val="0"/>
        </w:numPr>
        <w:tabs>
          <w:tab w:val="right" w:leader="dot" w:pos="9360"/>
        </w:tabs>
        <w:ind w:left="720"/>
        <w:rPr>
          <w:rFonts w:ascii="Arial" w:hAnsi="Arial" w:cs="Arial"/>
        </w:rPr>
      </w:pPr>
      <w:r>
        <w:rPr>
          <w:rFonts w:ascii="Arial" w:hAnsi="Arial" w:cs="Arial"/>
        </w:rPr>
        <w:t>Urinary isoprostane measurement</w:t>
      </w:r>
      <w:r>
        <w:rPr>
          <w:rFonts w:ascii="Arial" w:hAnsi="Arial" w:cs="Arial"/>
        </w:rPr>
        <w:tab/>
        <w:t>112</w:t>
      </w:r>
    </w:p>
    <w:p w:rsidR="00330CF1" w:rsidRDefault="00330CF1" w:rsidP="00D46E6E">
      <w:pPr>
        <w:numPr>
          <w:ilvl w:val="12"/>
          <w:numId w:val="0"/>
        </w:numPr>
        <w:tabs>
          <w:tab w:val="right" w:leader="dot" w:pos="9360"/>
        </w:tabs>
        <w:ind w:left="720"/>
        <w:rPr>
          <w:rFonts w:ascii="Arial" w:hAnsi="Arial" w:cs="Arial"/>
        </w:rPr>
      </w:pPr>
      <w:r>
        <w:rPr>
          <w:rFonts w:ascii="Arial" w:hAnsi="Arial" w:cs="Arial"/>
        </w:rPr>
        <w:t>Statistical analysis</w:t>
      </w:r>
      <w:r>
        <w:rPr>
          <w:rFonts w:ascii="Arial" w:hAnsi="Arial" w:cs="Arial"/>
        </w:rPr>
        <w:tab/>
        <w:t>113</w:t>
      </w:r>
    </w:p>
    <w:p w:rsidR="00330CF1" w:rsidRDefault="00330CF1" w:rsidP="00D46E6E">
      <w:pPr>
        <w:numPr>
          <w:ilvl w:val="12"/>
          <w:numId w:val="0"/>
        </w:numPr>
        <w:tabs>
          <w:tab w:val="right" w:leader="dot" w:pos="9360"/>
        </w:tabs>
        <w:ind w:left="360"/>
        <w:rPr>
          <w:rFonts w:ascii="Arial" w:hAnsi="Arial" w:cs="Arial"/>
        </w:rPr>
      </w:pPr>
      <w:r>
        <w:rPr>
          <w:rFonts w:ascii="Arial" w:hAnsi="Arial" w:cs="Arial"/>
        </w:rPr>
        <w:t>Results</w:t>
      </w:r>
      <w:r>
        <w:rPr>
          <w:rFonts w:ascii="Arial" w:hAnsi="Arial" w:cs="Arial"/>
        </w:rPr>
        <w:tab/>
        <w:t>113</w:t>
      </w:r>
    </w:p>
    <w:p w:rsidR="00330CF1" w:rsidRDefault="00330CF1" w:rsidP="00D46E6E">
      <w:pPr>
        <w:numPr>
          <w:ilvl w:val="12"/>
          <w:numId w:val="0"/>
        </w:numPr>
        <w:tabs>
          <w:tab w:val="right" w:leader="dot" w:pos="9360"/>
        </w:tabs>
        <w:ind w:left="360"/>
        <w:rPr>
          <w:rFonts w:ascii="Arial" w:hAnsi="Arial" w:cs="Arial"/>
        </w:rPr>
      </w:pPr>
      <w:r>
        <w:rPr>
          <w:rFonts w:ascii="Arial" w:hAnsi="Arial" w:cs="Arial"/>
        </w:rPr>
        <w:t>Discussion</w:t>
      </w:r>
      <w:r>
        <w:rPr>
          <w:rFonts w:ascii="Arial" w:hAnsi="Arial" w:cs="Arial"/>
        </w:rPr>
        <w:tab/>
        <w:t>116</w:t>
      </w:r>
    </w:p>
    <w:p w:rsidR="00330CF1" w:rsidRDefault="00330CF1" w:rsidP="00D46E6E">
      <w:pPr>
        <w:numPr>
          <w:ilvl w:val="12"/>
          <w:numId w:val="0"/>
        </w:numPr>
        <w:tabs>
          <w:tab w:val="right" w:leader="dot" w:pos="9360"/>
        </w:tabs>
        <w:ind w:left="360"/>
        <w:rPr>
          <w:rFonts w:ascii="Arial" w:hAnsi="Arial" w:cs="Arial"/>
        </w:rPr>
      </w:pPr>
      <w:r>
        <w:rPr>
          <w:rFonts w:ascii="Arial" w:hAnsi="Arial" w:cs="Arial"/>
        </w:rPr>
        <w:t>Conclusions</w:t>
      </w:r>
      <w:r>
        <w:rPr>
          <w:rFonts w:ascii="Arial" w:hAnsi="Arial" w:cs="Arial"/>
        </w:rPr>
        <w:tab/>
        <w:t>117</w:t>
      </w:r>
    </w:p>
    <w:p w:rsidR="00330CF1" w:rsidRDefault="00330CF1" w:rsidP="00D46E6E">
      <w:pPr>
        <w:numPr>
          <w:ilvl w:val="12"/>
          <w:numId w:val="0"/>
        </w:numPr>
        <w:tabs>
          <w:tab w:val="right" w:leader="dot" w:pos="9360"/>
        </w:tabs>
        <w:rPr>
          <w:rFonts w:ascii="Arial" w:hAnsi="Arial" w:cs="Arial"/>
        </w:rPr>
      </w:pPr>
      <w:r>
        <w:rPr>
          <w:rFonts w:ascii="Arial" w:hAnsi="Arial" w:cs="Arial"/>
        </w:rPr>
        <w:t>CHAPTER V</w:t>
      </w:r>
      <w:r>
        <w:rPr>
          <w:rFonts w:ascii="Arial" w:hAnsi="Arial" w:cs="Arial"/>
        </w:rPr>
        <w:tab/>
        <w:t>118</w:t>
      </w:r>
    </w:p>
    <w:p w:rsidR="00330CF1" w:rsidRDefault="00330CF1" w:rsidP="006B6351">
      <w:pPr>
        <w:numPr>
          <w:ilvl w:val="12"/>
          <w:numId w:val="0"/>
        </w:numPr>
        <w:tabs>
          <w:tab w:val="left" w:pos="360"/>
          <w:tab w:val="left" w:pos="720"/>
          <w:tab w:val="right" w:leader="dot" w:pos="9360"/>
        </w:tabs>
        <w:rPr>
          <w:rFonts w:ascii="Arial" w:hAnsi="Arial" w:cs="Arial"/>
        </w:rPr>
      </w:pPr>
      <w:r>
        <w:rPr>
          <w:rFonts w:ascii="Arial" w:hAnsi="Arial" w:cs="Arial"/>
        </w:rPr>
        <w:t xml:space="preserve">EFFECTS OF RAW VS. HEAT-PROCESSED DIETS ON DIGESTIBILITY </w:t>
      </w:r>
    </w:p>
    <w:p w:rsidR="00330CF1" w:rsidRDefault="00330CF1" w:rsidP="00D46E6E">
      <w:pPr>
        <w:numPr>
          <w:ilvl w:val="12"/>
          <w:numId w:val="0"/>
        </w:numPr>
        <w:tabs>
          <w:tab w:val="right" w:leader="dot" w:pos="9360"/>
        </w:tabs>
        <w:rPr>
          <w:rFonts w:ascii="Arial" w:hAnsi="Arial" w:cs="Arial"/>
        </w:rPr>
      </w:pPr>
      <w:r>
        <w:rPr>
          <w:rFonts w:ascii="Arial" w:hAnsi="Arial" w:cs="Arial"/>
        </w:rPr>
        <w:t>IN KITTENS</w:t>
      </w:r>
      <w:r>
        <w:rPr>
          <w:rFonts w:ascii="Arial" w:hAnsi="Arial" w:cs="Arial"/>
        </w:rPr>
        <w:tab/>
        <w:t>118</w:t>
      </w:r>
    </w:p>
    <w:p w:rsidR="00330CF1" w:rsidRDefault="00330CF1" w:rsidP="00721C7D">
      <w:pPr>
        <w:numPr>
          <w:ilvl w:val="12"/>
          <w:numId w:val="0"/>
        </w:numPr>
        <w:tabs>
          <w:tab w:val="right" w:leader="dot" w:pos="9360"/>
        </w:tabs>
        <w:ind w:left="360"/>
        <w:rPr>
          <w:rFonts w:ascii="Arial" w:hAnsi="Arial" w:cs="Arial"/>
        </w:rPr>
      </w:pPr>
      <w:r>
        <w:rPr>
          <w:rFonts w:ascii="Arial" w:hAnsi="Arial" w:cs="Arial"/>
        </w:rPr>
        <w:t>Introduction</w:t>
      </w:r>
      <w:r>
        <w:rPr>
          <w:rFonts w:ascii="Arial" w:hAnsi="Arial" w:cs="Arial"/>
        </w:rPr>
        <w:tab/>
        <w:t>118</w:t>
      </w:r>
    </w:p>
    <w:p w:rsidR="00330CF1" w:rsidRDefault="00330CF1" w:rsidP="00721C7D">
      <w:pPr>
        <w:numPr>
          <w:ilvl w:val="12"/>
          <w:numId w:val="0"/>
        </w:numPr>
        <w:tabs>
          <w:tab w:val="right" w:leader="dot" w:pos="9360"/>
        </w:tabs>
        <w:ind w:left="360"/>
        <w:rPr>
          <w:rFonts w:ascii="Arial" w:hAnsi="Arial" w:cs="Arial"/>
        </w:rPr>
      </w:pPr>
      <w:r>
        <w:rPr>
          <w:rFonts w:ascii="Arial" w:hAnsi="Arial" w:cs="Arial"/>
        </w:rPr>
        <w:t>Materials and Methods</w:t>
      </w:r>
      <w:r>
        <w:rPr>
          <w:rFonts w:ascii="Arial" w:hAnsi="Arial" w:cs="Arial"/>
        </w:rPr>
        <w:tab/>
        <w:t>120</w:t>
      </w:r>
    </w:p>
    <w:p w:rsidR="00330CF1" w:rsidRDefault="00330CF1" w:rsidP="00721C7D">
      <w:pPr>
        <w:numPr>
          <w:ilvl w:val="12"/>
          <w:numId w:val="0"/>
        </w:numPr>
        <w:tabs>
          <w:tab w:val="right" w:leader="dot" w:pos="9360"/>
        </w:tabs>
        <w:ind w:left="720"/>
        <w:rPr>
          <w:rFonts w:ascii="Arial" w:hAnsi="Arial" w:cs="Arial"/>
        </w:rPr>
      </w:pPr>
      <w:r>
        <w:rPr>
          <w:rFonts w:ascii="Arial" w:hAnsi="Arial" w:cs="Arial"/>
        </w:rPr>
        <w:t>Animals</w:t>
      </w:r>
      <w:r>
        <w:rPr>
          <w:rFonts w:ascii="Arial" w:hAnsi="Arial" w:cs="Arial"/>
        </w:rPr>
        <w:tab/>
        <w:t>120</w:t>
      </w:r>
    </w:p>
    <w:p w:rsidR="00330CF1" w:rsidRDefault="00330CF1" w:rsidP="00721C7D">
      <w:pPr>
        <w:numPr>
          <w:ilvl w:val="12"/>
          <w:numId w:val="0"/>
        </w:numPr>
        <w:tabs>
          <w:tab w:val="right" w:leader="dot" w:pos="9360"/>
        </w:tabs>
        <w:ind w:left="720"/>
        <w:rPr>
          <w:rFonts w:ascii="Arial" w:hAnsi="Arial" w:cs="Arial"/>
        </w:rPr>
      </w:pPr>
      <w:r>
        <w:rPr>
          <w:rFonts w:ascii="Arial" w:hAnsi="Arial" w:cs="Arial"/>
        </w:rPr>
        <w:t>Diet</w:t>
      </w:r>
      <w:r>
        <w:rPr>
          <w:rFonts w:ascii="Arial" w:hAnsi="Arial" w:cs="Arial"/>
        </w:rPr>
        <w:tab/>
        <w:t>120</w:t>
      </w:r>
    </w:p>
    <w:p w:rsidR="00330CF1" w:rsidRDefault="00330CF1" w:rsidP="00721C7D">
      <w:pPr>
        <w:numPr>
          <w:ilvl w:val="12"/>
          <w:numId w:val="0"/>
        </w:numPr>
        <w:tabs>
          <w:tab w:val="right" w:leader="dot" w:pos="9360"/>
        </w:tabs>
        <w:ind w:left="720"/>
        <w:rPr>
          <w:rFonts w:ascii="Arial" w:hAnsi="Arial" w:cs="Arial"/>
        </w:rPr>
      </w:pPr>
      <w:r>
        <w:rPr>
          <w:rFonts w:ascii="Arial" w:hAnsi="Arial" w:cs="Arial"/>
        </w:rPr>
        <w:t>Food intake</w:t>
      </w:r>
      <w:r>
        <w:rPr>
          <w:rFonts w:ascii="Arial" w:hAnsi="Arial" w:cs="Arial"/>
        </w:rPr>
        <w:tab/>
        <w:t>122</w:t>
      </w:r>
    </w:p>
    <w:p w:rsidR="00330CF1" w:rsidRDefault="00330CF1" w:rsidP="00721C7D">
      <w:pPr>
        <w:numPr>
          <w:ilvl w:val="12"/>
          <w:numId w:val="0"/>
        </w:numPr>
        <w:tabs>
          <w:tab w:val="right" w:leader="dot" w:pos="9360"/>
        </w:tabs>
        <w:ind w:left="720"/>
        <w:rPr>
          <w:rFonts w:ascii="Arial" w:hAnsi="Arial" w:cs="Arial"/>
        </w:rPr>
      </w:pPr>
      <w:r>
        <w:rPr>
          <w:rFonts w:ascii="Arial" w:hAnsi="Arial" w:cs="Arial"/>
        </w:rPr>
        <w:t>Digestibility trial</w:t>
      </w:r>
      <w:r>
        <w:rPr>
          <w:rFonts w:ascii="Arial" w:hAnsi="Arial" w:cs="Arial"/>
        </w:rPr>
        <w:tab/>
        <w:t>122</w:t>
      </w:r>
    </w:p>
    <w:p w:rsidR="00330CF1" w:rsidRDefault="00330CF1" w:rsidP="00721C7D">
      <w:pPr>
        <w:numPr>
          <w:ilvl w:val="12"/>
          <w:numId w:val="0"/>
        </w:numPr>
        <w:tabs>
          <w:tab w:val="right" w:leader="dot" w:pos="9360"/>
        </w:tabs>
        <w:ind w:left="720"/>
        <w:rPr>
          <w:rFonts w:ascii="Arial" w:hAnsi="Arial" w:cs="Arial"/>
        </w:rPr>
      </w:pPr>
      <w:r>
        <w:rPr>
          <w:rFonts w:ascii="Arial" w:hAnsi="Arial" w:cs="Arial"/>
        </w:rPr>
        <w:t>Statistical analysis</w:t>
      </w:r>
      <w:r>
        <w:rPr>
          <w:rFonts w:ascii="Arial" w:hAnsi="Arial" w:cs="Arial"/>
        </w:rPr>
        <w:tab/>
        <w:t>122</w:t>
      </w:r>
    </w:p>
    <w:p w:rsidR="00330CF1" w:rsidRDefault="00330CF1" w:rsidP="00721C7D">
      <w:pPr>
        <w:numPr>
          <w:ilvl w:val="12"/>
          <w:numId w:val="0"/>
        </w:numPr>
        <w:tabs>
          <w:tab w:val="right" w:leader="dot" w:pos="9360"/>
        </w:tabs>
        <w:ind w:left="360"/>
        <w:rPr>
          <w:rFonts w:ascii="Arial" w:hAnsi="Arial" w:cs="Arial"/>
        </w:rPr>
      </w:pPr>
      <w:r>
        <w:rPr>
          <w:rFonts w:ascii="Arial" w:hAnsi="Arial" w:cs="Arial"/>
        </w:rPr>
        <w:t>Results</w:t>
      </w:r>
      <w:r>
        <w:rPr>
          <w:rFonts w:ascii="Arial" w:hAnsi="Arial" w:cs="Arial"/>
        </w:rPr>
        <w:tab/>
        <w:t>122</w:t>
      </w:r>
    </w:p>
    <w:p w:rsidR="00330CF1" w:rsidRDefault="00330CF1" w:rsidP="00721C7D">
      <w:pPr>
        <w:numPr>
          <w:ilvl w:val="12"/>
          <w:numId w:val="0"/>
        </w:numPr>
        <w:tabs>
          <w:tab w:val="right" w:leader="dot" w:pos="9360"/>
        </w:tabs>
        <w:ind w:left="360"/>
        <w:rPr>
          <w:rFonts w:ascii="Arial" w:hAnsi="Arial" w:cs="Arial"/>
        </w:rPr>
      </w:pPr>
      <w:r>
        <w:rPr>
          <w:rFonts w:ascii="Arial" w:hAnsi="Arial" w:cs="Arial"/>
        </w:rPr>
        <w:lastRenderedPageBreak/>
        <w:t>Discussion</w:t>
      </w:r>
      <w:r>
        <w:rPr>
          <w:rFonts w:ascii="Arial" w:hAnsi="Arial" w:cs="Arial"/>
        </w:rPr>
        <w:tab/>
        <w:t>125</w:t>
      </w:r>
    </w:p>
    <w:p w:rsidR="00330CF1" w:rsidRDefault="00330CF1" w:rsidP="002666E9">
      <w:pPr>
        <w:numPr>
          <w:ilvl w:val="12"/>
          <w:numId w:val="0"/>
        </w:numPr>
        <w:tabs>
          <w:tab w:val="right" w:leader="dot" w:pos="9360"/>
        </w:tabs>
        <w:ind w:left="360"/>
        <w:rPr>
          <w:rFonts w:ascii="Arial" w:hAnsi="Arial" w:cs="Arial"/>
        </w:rPr>
      </w:pPr>
      <w:r>
        <w:rPr>
          <w:rFonts w:ascii="Arial" w:hAnsi="Arial" w:cs="Arial"/>
        </w:rPr>
        <w:t>Conclusions</w:t>
      </w:r>
      <w:r>
        <w:rPr>
          <w:rFonts w:ascii="Arial" w:hAnsi="Arial" w:cs="Arial"/>
        </w:rPr>
        <w:tab/>
        <w:t>127</w:t>
      </w:r>
    </w:p>
    <w:p w:rsidR="00330CF1" w:rsidRDefault="00330CF1" w:rsidP="00721C7D">
      <w:pPr>
        <w:numPr>
          <w:ilvl w:val="12"/>
          <w:numId w:val="0"/>
        </w:numPr>
        <w:tabs>
          <w:tab w:val="right" w:leader="dot" w:pos="9360"/>
        </w:tabs>
        <w:rPr>
          <w:rFonts w:ascii="Arial" w:hAnsi="Arial" w:cs="Arial"/>
        </w:rPr>
      </w:pPr>
      <w:r>
        <w:rPr>
          <w:rFonts w:ascii="Arial" w:hAnsi="Arial" w:cs="Arial"/>
        </w:rPr>
        <w:t>CHAPTER VI</w:t>
      </w:r>
      <w:r>
        <w:rPr>
          <w:rFonts w:ascii="Arial" w:hAnsi="Arial" w:cs="Arial"/>
        </w:rPr>
        <w:tab/>
        <w:t>129</w:t>
      </w:r>
    </w:p>
    <w:p w:rsidR="00330CF1" w:rsidRDefault="00330CF1" w:rsidP="00721C7D">
      <w:pPr>
        <w:numPr>
          <w:ilvl w:val="12"/>
          <w:numId w:val="0"/>
        </w:numPr>
        <w:tabs>
          <w:tab w:val="right" w:leader="dot" w:pos="9360"/>
        </w:tabs>
        <w:rPr>
          <w:rFonts w:ascii="Arial" w:hAnsi="Arial" w:cs="Arial"/>
        </w:rPr>
      </w:pPr>
      <w:r>
        <w:rPr>
          <w:rFonts w:ascii="Arial" w:hAnsi="Arial" w:cs="Arial"/>
        </w:rPr>
        <w:t>FECAL QUALITY IN KITTENS FED RAW VS. HEAT-PROCESSED DIETS</w:t>
      </w:r>
      <w:r>
        <w:rPr>
          <w:rFonts w:ascii="Arial" w:hAnsi="Arial" w:cs="Arial"/>
        </w:rPr>
        <w:tab/>
        <w:t>129</w:t>
      </w:r>
    </w:p>
    <w:p w:rsidR="00330CF1" w:rsidRDefault="00330CF1" w:rsidP="00721C7D">
      <w:pPr>
        <w:numPr>
          <w:ilvl w:val="12"/>
          <w:numId w:val="0"/>
        </w:numPr>
        <w:tabs>
          <w:tab w:val="right" w:leader="dot" w:pos="9360"/>
        </w:tabs>
        <w:ind w:left="360"/>
        <w:rPr>
          <w:rFonts w:ascii="Arial" w:hAnsi="Arial" w:cs="Arial"/>
        </w:rPr>
      </w:pPr>
      <w:r>
        <w:rPr>
          <w:rFonts w:ascii="Arial" w:hAnsi="Arial" w:cs="Arial"/>
        </w:rPr>
        <w:t>Introduction</w:t>
      </w:r>
      <w:r>
        <w:rPr>
          <w:rFonts w:ascii="Arial" w:hAnsi="Arial" w:cs="Arial"/>
        </w:rPr>
        <w:tab/>
        <w:t>129</w:t>
      </w:r>
    </w:p>
    <w:p w:rsidR="00330CF1" w:rsidRDefault="00330CF1" w:rsidP="00721C7D">
      <w:pPr>
        <w:numPr>
          <w:ilvl w:val="12"/>
          <w:numId w:val="0"/>
        </w:numPr>
        <w:tabs>
          <w:tab w:val="right" w:leader="dot" w:pos="9360"/>
        </w:tabs>
        <w:ind w:left="360"/>
        <w:rPr>
          <w:rFonts w:ascii="Arial" w:hAnsi="Arial" w:cs="Arial"/>
        </w:rPr>
      </w:pPr>
      <w:r>
        <w:rPr>
          <w:rFonts w:ascii="Arial" w:hAnsi="Arial" w:cs="Arial"/>
        </w:rPr>
        <w:t>Materials and Methods</w:t>
      </w:r>
      <w:r>
        <w:rPr>
          <w:rFonts w:ascii="Arial" w:hAnsi="Arial" w:cs="Arial"/>
        </w:rPr>
        <w:tab/>
        <w:t>130</w:t>
      </w:r>
    </w:p>
    <w:p w:rsidR="00330CF1" w:rsidRDefault="00330CF1" w:rsidP="00721C7D">
      <w:pPr>
        <w:numPr>
          <w:ilvl w:val="12"/>
          <w:numId w:val="0"/>
        </w:numPr>
        <w:tabs>
          <w:tab w:val="right" w:leader="dot" w:pos="9360"/>
        </w:tabs>
        <w:ind w:left="720"/>
        <w:rPr>
          <w:rFonts w:ascii="Arial" w:hAnsi="Arial" w:cs="Arial"/>
        </w:rPr>
      </w:pPr>
      <w:r>
        <w:rPr>
          <w:rFonts w:ascii="Arial" w:hAnsi="Arial" w:cs="Arial"/>
        </w:rPr>
        <w:t>Animals</w:t>
      </w:r>
      <w:r>
        <w:rPr>
          <w:rFonts w:ascii="Arial" w:hAnsi="Arial" w:cs="Arial"/>
        </w:rPr>
        <w:tab/>
        <w:t>130</w:t>
      </w:r>
    </w:p>
    <w:p w:rsidR="00330CF1" w:rsidRDefault="00330CF1" w:rsidP="00721C7D">
      <w:pPr>
        <w:numPr>
          <w:ilvl w:val="12"/>
          <w:numId w:val="0"/>
        </w:numPr>
        <w:tabs>
          <w:tab w:val="right" w:leader="dot" w:pos="9360"/>
        </w:tabs>
        <w:ind w:left="720"/>
        <w:rPr>
          <w:rFonts w:ascii="Arial" w:hAnsi="Arial" w:cs="Arial"/>
        </w:rPr>
      </w:pPr>
      <w:r>
        <w:rPr>
          <w:rFonts w:ascii="Arial" w:hAnsi="Arial" w:cs="Arial"/>
        </w:rPr>
        <w:t>Diet</w:t>
      </w:r>
      <w:r>
        <w:rPr>
          <w:rFonts w:ascii="Arial" w:hAnsi="Arial" w:cs="Arial"/>
        </w:rPr>
        <w:tab/>
        <w:t>130</w:t>
      </w:r>
    </w:p>
    <w:p w:rsidR="00330CF1" w:rsidRDefault="00330CF1" w:rsidP="00721C7D">
      <w:pPr>
        <w:numPr>
          <w:ilvl w:val="12"/>
          <w:numId w:val="0"/>
        </w:numPr>
        <w:tabs>
          <w:tab w:val="right" w:leader="dot" w:pos="9360"/>
        </w:tabs>
        <w:ind w:left="720"/>
        <w:rPr>
          <w:rFonts w:ascii="Arial" w:hAnsi="Arial" w:cs="Arial"/>
        </w:rPr>
      </w:pPr>
      <w:r>
        <w:rPr>
          <w:rFonts w:ascii="Arial" w:hAnsi="Arial" w:cs="Arial"/>
        </w:rPr>
        <w:t>Fecal collection and scoring</w:t>
      </w:r>
      <w:r>
        <w:rPr>
          <w:rFonts w:ascii="Arial" w:hAnsi="Arial" w:cs="Arial"/>
        </w:rPr>
        <w:tab/>
        <w:t>131</w:t>
      </w:r>
    </w:p>
    <w:p w:rsidR="00330CF1" w:rsidRDefault="00330CF1" w:rsidP="00721C7D">
      <w:pPr>
        <w:numPr>
          <w:ilvl w:val="12"/>
          <w:numId w:val="0"/>
        </w:numPr>
        <w:tabs>
          <w:tab w:val="right" w:leader="dot" w:pos="9360"/>
        </w:tabs>
        <w:ind w:left="720"/>
        <w:rPr>
          <w:rFonts w:ascii="Arial" w:hAnsi="Arial" w:cs="Arial"/>
        </w:rPr>
      </w:pPr>
      <w:r>
        <w:rPr>
          <w:rFonts w:ascii="Arial" w:hAnsi="Arial" w:cs="Arial"/>
        </w:rPr>
        <w:t>Food cultures</w:t>
      </w:r>
      <w:r>
        <w:rPr>
          <w:rFonts w:ascii="Arial" w:hAnsi="Arial" w:cs="Arial"/>
        </w:rPr>
        <w:tab/>
        <w:t>131</w:t>
      </w:r>
    </w:p>
    <w:p w:rsidR="00330CF1" w:rsidRDefault="00330CF1" w:rsidP="00A050C5">
      <w:pPr>
        <w:numPr>
          <w:ilvl w:val="12"/>
          <w:numId w:val="0"/>
        </w:numPr>
        <w:tabs>
          <w:tab w:val="right" w:leader="dot" w:pos="9360"/>
        </w:tabs>
        <w:ind w:left="720"/>
        <w:rPr>
          <w:rFonts w:ascii="Arial" w:hAnsi="Arial" w:cs="Arial"/>
        </w:rPr>
      </w:pPr>
      <w:r>
        <w:rPr>
          <w:rFonts w:ascii="Arial" w:hAnsi="Arial" w:cs="Arial"/>
        </w:rPr>
        <w:t>Fecal cultures</w:t>
      </w:r>
      <w:r>
        <w:rPr>
          <w:rFonts w:ascii="Arial" w:hAnsi="Arial" w:cs="Arial"/>
        </w:rPr>
        <w:tab/>
        <w:t>131</w:t>
      </w:r>
    </w:p>
    <w:p w:rsidR="00330CF1" w:rsidRDefault="00330CF1" w:rsidP="00721C7D">
      <w:pPr>
        <w:numPr>
          <w:ilvl w:val="12"/>
          <w:numId w:val="0"/>
        </w:numPr>
        <w:tabs>
          <w:tab w:val="right" w:leader="dot" w:pos="9360"/>
        </w:tabs>
        <w:ind w:left="360"/>
        <w:rPr>
          <w:rFonts w:ascii="Arial" w:hAnsi="Arial" w:cs="Arial"/>
        </w:rPr>
      </w:pPr>
      <w:r>
        <w:rPr>
          <w:rFonts w:ascii="Arial" w:hAnsi="Arial" w:cs="Arial"/>
        </w:rPr>
        <w:t>Results</w:t>
      </w:r>
      <w:r>
        <w:rPr>
          <w:rFonts w:ascii="Arial" w:hAnsi="Arial" w:cs="Arial"/>
        </w:rPr>
        <w:tab/>
        <w:t>131</w:t>
      </w:r>
    </w:p>
    <w:p w:rsidR="00330CF1" w:rsidRDefault="00330CF1" w:rsidP="00721C7D">
      <w:pPr>
        <w:numPr>
          <w:ilvl w:val="12"/>
          <w:numId w:val="0"/>
        </w:numPr>
        <w:tabs>
          <w:tab w:val="right" w:leader="dot" w:pos="9360"/>
        </w:tabs>
        <w:ind w:left="360"/>
        <w:rPr>
          <w:rFonts w:ascii="Arial" w:hAnsi="Arial" w:cs="Arial"/>
        </w:rPr>
      </w:pPr>
      <w:r>
        <w:rPr>
          <w:rFonts w:ascii="Arial" w:hAnsi="Arial" w:cs="Arial"/>
        </w:rPr>
        <w:t>Discussion</w:t>
      </w:r>
      <w:r>
        <w:rPr>
          <w:rFonts w:ascii="Arial" w:hAnsi="Arial" w:cs="Arial"/>
        </w:rPr>
        <w:tab/>
        <w:t>135</w:t>
      </w:r>
    </w:p>
    <w:p w:rsidR="00330CF1" w:rsidRDefault="00330CF1" w:rsidP="00721C7D">
      <w:pPr>
        <w:numPr>
          <w:ilvl w:val="12"/>
          <w:numId w:val="0"/>
        </w:numPr>
        <w:tabs>
          <w:tab w:val="right" w:leader="dot" w:pos="9360"/>
        </w:tabs>
        <w:ind w:left="360"/>
        <w:rPr>
          <w:rFonts w:ascii="Arial" w:hAnsi="Arial" w:cs="Arial"/>
        </w:rPr>
      </w:pPr>
      <w:r>
        <w:rPr>
          <w:rFonts w:ascii="Arial" w:hAnsi="Arial" w:cs="Arial"/>
        </w:rPr>
        <w:t>Conclusions</w:t>
      </w:r>
      <w:r>
        <w:rPr>
          <w:rFonts w:ascii="Arial" w:hAnsi="Arial" w:cs="Arial"/>
        </w:rPr>
        <w:tab/>
        <w:t>136</w:t>
      </w:r>
    </w:p>
    <w:p w:rsidR="00330CF1" w:rsidRDefault="00330CF1" w:rsidP="00721C7D">
      <w:pPr>
        <w:numPr>
          <w:ilvl w:val="12"/>
          <w:numId w:val="0"/>
        </w:numPr>
        <w:tabs>
          <w:tab w:val="right" w:leader="dot" w:pos="9360"/>
        </w:tabs>
        <w:rPr>
          <w:rFonts w:ascii="Arial" w:hAnsi="Arial" w:cs="Arial"/>
        </w:rPr>
      </w:pPr>
      <w:r>
        <w:rPr>
          <w:rFonts w:ascii="Arial" w:hAnsi="Arial" w:cs="Arial"/>
        </w:rPr>
        <w:t>CHAPTER VII</w:t>
      </w:r>
      <w:r>
        <w:rPr>
          <w:rFonts w:ascii="Arial" w:hAnsi="Arial" w:cs="Arial"/>
        </w:rPr>
        <w:tab/>
        <w:t>137</w:t>
      </w:r>
    </w:p>
    <w:p w:rsidR="00330CF1" w:rsidRDefault="00330CF1" w:rsidP="00721C7D">
      <w:pPr>
        <w:numPr>
          <w:ilvl w:val="12"/>
          <w:numId w:val="0"/>
        </w:numPr>
        <w:tabs>
          <w:tab w:val="right" w:leader="dot" w:pos="9360"/>
        </w:tabs>
        <w:rPr>
          <w:rFonts w:ascii="Arial" w:hAnsi="Arial" w:cs="Arial"/>
        </w:rPr>
      </w:pPr>
      <w:r>
        <w:rPr>
          <w:rFonts w:ascii="Arial" w:hAnsi="Arial" w:cs="Arial"/>
        </w:rPr>
        <w:t>CONCLUSIONS AND RECOMMENDATIONS</w:t>
      </w:r>
      <w:r>
        <w:rPr>
          <w:rFonts w:ascii="Arial" w:hAnsi="Arial" w:cs="Arial"/>
        </w:rPr>
        <w:tab/>
        <w:t>137</w:t>
      </w:r>
    </w:p>
    <w:p w:rsidR="00330CF1" w:rsidRDefault="00330CF1" w:rsidP="00721C7D">
      <w:pPr>
        <w:numPr>
          <w:ilvl w:val="12"/>
          <w:numId w:val="0"/>
        </w:numPr>
        <w:tabs>
          <w:tab w:val="right" w:leader="dot" w:pos="9360"/>
        </w:tabs>
        <w:rPr>
          <w:rFonts w:ascii="Arial" w:hAnsi="Arial" w:cs="Arial"/>
        </w:rPr>
      </w:pPr>
      <w:r>
        <w:rPr>
          <w:rFonts w:ascii="Arial" w:hAnsi="Arial" w:cs="Arial"/>
        </w:rPr>
        <w:t>REFERENCES</w:t>
      </w:r>
      <w:r>
        <w:rPr>
          <w:rFonts w:ascii="Arial" w:hAnsi="Arial" w:cs="Arial"/>
        </w:rPr>
        <w:tab/>
        <w:t>139</w:t>
      </w:r>
    </w:p>
    <w:p w:rsidR="00330CF1" w:rsidRDefault="00330CF1" w:rsidP="00721C7D">
      <w:pPr>
        <w:numPr>
          <w:ilvl w:val="12"/>
          <w:numId w:val="0"/>
        </w:numPr>
        <w:tabs>
          <w:tab w:val="right" w:leader="dot" w:pos="9360"/>
        </w:tabs>
        <w:rPr>
          <w:rFonts w:ascii="Arial" w:hAnsi="Arial" w:cs="Arial"/>
        </w:rPr>
      </w:pPr>
      <w:r>
        <w:rPr>
          <w:rFonts w:ascii="Arial" w:hAnsi="Arial" w:cs="Arial"/>
        </w:rPr>
        <w:t>APPENDIX</w:t>
      </w:r>
      <w:r>
        <w:rPr>
          <w:rFonts w:ascii="Arial" w:hAnsi="Arial" w:cs="Arial"/>
        </w:rPr>
        <w:tab/>
        <w:t>163</w:t>
      </w:r>
    </w:p>
    <w:p w:rsidR="00330CF1" w:rsidRDefault="00330CF1" w:rsidP="00721C7D">
      <w:pPr>
        <w:numPr>
          <w:ilvl w:val="12"/>
          <w:numId w:val="0"/>
        </w:numPr>
        <w:tabs>
          <w:tab w:val="right" w:leader="dot" w:pos="9360"/>
        </w:tabs>
        <w:rPr>
          <w:rFonts w:ascii="Arial" w:hAnsi="Arial" w:cs="Arial"/>
        </w:rPr>
      </w:pPr>
      <w:r>
        <w:rPr>
          <w:rFonts w:ascii="Arial" w:hAnsi="Arial" w:cs="Arial"/>
        </w:rPr>
        <w:t>VITA</w:t>
      </w:r>
      <w:r>
        <w:rPr>
          <w:rFonts w:ascii="Arial" w:hAnsi="Arial" w:cs="Arial"/>
        </w:rPr>
        <w:tab/>
        <w:t>168</w:t>
      </w:r>
    </w:p>
    <w:p w:rsidR="00330CF1" w:rsidRDefault="00330CF1" w:rsidP="007B6E4D">
      <w:pPr>
        <w:numPr>
          <w:ilvl w:val="12"/>
          <w:numId w:val="0"/>
        </w:numPr>
        <w:tabs>
          <w:tab w:val="left" w:pos="360"/>
          <w:tab w:val="left" w:pos="720"/>
        </w:tabs>
        <w:ind w:left="8280" w:hanging="8280"/>
        <w:rPr>
          <w:rFonts w:ascii="Arial" w:hAnsi="Arial" w:cs="Arial"/>
        </w:rPr>
      </w:pPr>
      <w:r>
        <w:rPr>
          <w:rFonts w:ascii="Arial" w:hAnsi="Arial" w:cs="Arial"/>
        </w:rPr>
        <w:tab/>
      </w:r>
    </w:p>
    <w:p w:rsidR="00330CF1" w:rsidRDefault="00330CF1" w:rsidP="007B6E4D">
      <w:pPr>
        <w:numPr>
          <w:ilvl w:val="12"/>
          <w:numId w:val="0"/>
        </w:numPr>
        <w:tabs>
          <w:tab w:val="left" w:pos="360"/>
          <w:tab w:val="left" w:pos="720"/>
        </w:tabs>
        <w:ind w:left="8280" w:hanging="8280"/>
        <w:rPr>
          <w:rFonts w:ascii="Arial" w:hAnsi="Arial" w:cs="Arial"/>
        </w:rPr>
      </w:pPr>
    </w:p>
    <w:p w:rsidR="00330CF1" w:rsidRDefault="00330CF1" w:rsidP="007B6E4D">
      <w:pPr>
        <w:numPr>
          <w:ilvl w:val="12"/>
          <w:numId w:val="0"/>
        </w:numPr>
        <w:tabs>
          <w:tab w:val="left" w:pos="360"/>
          <w:tab w:val="left" w:pos="720"/>
        </w:tabs>
        <w:ind w:left="8280" w:hanging="8280"/>
        <w:rPr>
          <w:rFonts w:ascii="Arial" w:hAnsi="Arial" w:cs="Arial"/>
        </w:rPr>
      </w:pPr>
      <w:r>
        <w:rPr>
          <w:rFonts w:ascii="Arial" w:hAnsi="Arial" w:cs="Arial"/>
        </w:rPr>
        <w:tab/>
      </w:r>
      <w:r>
        <w:rPr>
          <w:rFonts w:ascii="Arial" w:hAnsi="Arial" w:cs="Arial"/>
        </w:rPr>
        <w:tab/>
      </w:r>
    </w:p>
    <w:p w:rsidR="00330CF1" w:rsidRDefault="00330CF1" w:rsidP="007B6E4D">
      <w:pPr>
        <w:numPr>
          <w:ilvl w:val="12"/>
          <w:numId w:val="0"/>
        </w:numPr>
        <w:tabs>
          <w:tab w:val="left" w:pos="360"/>
          <w:tab w:val="left" w:pos="720"/>
        </w:tabs>
        <w:ind w:left="8280" w:hanging="8280"/>
        <w:rPr>
          <w:rFonts w:ascii="Arial" w:hAnsi="Arial" w:cs="Arial"/>
        </w:rPr>
      </w:pPr>
      <w:r>
        <w:rPr>
          <w:rFonts w:ascii="Arial" w:hAnsi="Arial" w:cs="Arial"/>
        </w:rPr>
        <w:tab/>
      </w:r>
      <w:r>
        <w:rPr>
          <w:rFonts w:ascii="Arial" w:hAnsi="Arial" w:cs="Arial"/>
        </w:rPr>
        <w:tab/>
      </w:r>
    </w:p>
    <w:p w:rsidR="00330CF1" w:rsidRDefault="00330CF1" w:rsidP="008D267C">
      <w:pPr>
        <w:numPr>
          <w:ilvl w:val="12"/>
          <w:numId w:val="0"/>
        </w:numPr>
        <w:tabs>
          <w:tab w:val="left" w:pos="360"/>
          <w:tab w:val="left" w:pos="720"/>
        </w:tabs>
        <w:ind w:left="8280" w:hanging="8280"/>
        <w:rPr>
          <w:rFonts w:ascii="Arial" w:hAnsi="Arial" w:cs="Arial"/>
        </w:rPr>
      </w:pPr>
    </w:p>
    <w:p w:rsidR="00330CF1" w:rsidRDefault="00330CF1" w:rsidP="008D267C">
      <w:pPr>
        <w:numPr>
          <w:ilvl w:val="12"/>
          <w:numId w:val="0"/>
        </w:numPr>
        <w:tabs>
          <w:tab w:val="left" w:pos="360"/>
          <w:tab w:val="left" w:pos="720"/>
        </w:tabs>
        <w:ind w:left="8280" w:hanging="8280"/>
        <w:rPr>
          <w:rFonts w:ascii="Arial" w:hAnsi="Arial" w:cs="Arial"/>
        </w:rPr>
      </w:pPr>
    </w:p>
    <w:p w:rsidR="00330CF1" w:rsidRDefault="00330CF1" w:rsidP="008D267C">
      <w:pPr>
        <w:numPr>
          <w:ilvl w:val="12"/>
          <w:numId w:val="0"/>
        </w:numPr>
        <w:tabs>
          <w:tab w:val="left" w:pos="360"/>
          <w:tab w:val="left" w:pos="720"/>
        </w:tabs>
        <w:ind w:left="8280" w:hanging="8280"/>
        <w:rPr>
          <w:rFonts w:ascii="Arial" w:hAnsi="Arial" w:cs="Arial"/>
        </w:rPr>
      </w:pPr>
      <w:r>
        <w:rPr>
          <w:rFonts w:ascii="Arial" w:hAnsi="Arial" w:cs="Arial"/>
        </w:rPr>
        <w:tab/>
        <w:t xml:space="preserve">  </w:t>
      </w:r>
    </w:p>
    <w:p w:rsidR="00330CF1" w:rsidRDefault="00330CF1" w:rsidP="008D267C">
      <w:pPr>
        <w:numPr>
          <w:ilvl w:val="12"/>
          <w:numId w:val="0"/>
        </w:numPr>
        <w:tabs>
          <w:tab w:val="left" w:pos="540"/>
          <w:tab w:val="left" w:pos="1260"/>
        </w:tabs>
        <w:ind w:left="8280" w:hanging="8280"/>
        <w:rPr>
          <w:rFonts w:ascii="Arial" w:hAnsi="Arial" w:cs="Arial"/>
        </w:rPr>
      </w:pPr>
      <w:r>
        <w:rPr>
          <w:rFonts w:ascii="Arial" w:hAnsi="Arial" w:cs="Arial"/>
        </w:rPr>
        <w:tab/>
      </w:r>
    </w:p>
    <w:p w:rsidR="00330CF1" w:rsidRDefault="00330CF1" w:rsidP="008D267C">
      <w:pPr>
        <w:numPr>
          <w:ilvl w:val="12"/>
          <w:numId w:val="0"/>
        </w:numPr>
        <w:tabs>
          <w:tab w:val="left" w:pos="540"/>
          <w:tab w:val="left" w:pos="1260"/>
        </w:tabs>
        <w:ind w:left="8280" w:hanging="8280"/>
        <w:rPr>
          <w:rFonts w:ascii="Arial" w:hAnsi="Arial" w:cs="Arial"/>
        </w:rPr>
      </w:pPr>
      <w:r>
        <w:rPr>
          <w:rFonts w:ascii="Arial" w:hAnsi="Arial" w:cs="Arial"/>
        </w:rPr>
        <w:tab/>
      </w:r>
      <w:r>
        <w:rPr>
          <w:rFonts w:ascii="Arial" w:hAnsi="Arial" w:cs="Arial"/>
        </w:rPr>
        <w:tab/>
      </w:r>
    </w:p>
    <w:p w:rsidR="00330CF1" w:rsidRDefault="00330CF1" w:rsidP="008D267C">
      <w:pPr>
        <w:numPr>
          <w:ilvl w:val="12"/>
          <w:numId w:val="0"/>
        </w:numPr>
        <w:tabs>
          <w:tab w:val="left" w:pos="360"/>
        </w:tabs>
        <w:ind w:left="8280" w:hanging="8280"/>
        <w:rPr>
          <w:rFonts w:ascii="Arial" w:hAnsi="Arial" w:cs="Arial"/>
        </w:rPr>
      </w:pPr>
      <w:r>
        <w:rPr>
          <w:rFonts w:ascii="Arial" w:hAnsi="Arial" w:cs="Arial"/>
        </w:rPr>
        <w:tab/>
        <w:t xml:space="preserve"> </w:t>
      </w:r>
    </w:p>
    <w:p w:rsidR="00330CF1" w:rsidRDefault="00330CF1">
      <w:pPr>
        <w:numPr>
          <w:ilvl w:val="12"/>
          <w:numId w:val="0"/>
        </w:numPr>
        <w:jc w:val="center"/>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rPr>
          <w:rFonts w:ascii="Arial" w:hAnsi="Arial" w:cs="Arial"/>
          <w:b/>
          <w:bCs/>
          <w:sz w:val="28"/>
          <w:szCs w:val="28"/>
        </w:rPr>
      </w:pPr>
    </w:p>
    <w:p w:rsidR="00330CF1" w:rsidRDefault="00330CF1" w:rsidP="00A776AD">
      <w:pPr>
        <w:numPr>
          <w:ilvl w:val="12"/>
          <w:numId w:val="0"/>
        </w:numPr>
        <w:tabs>
          <w:tab w:val="left" w:pos="360"/>
          <w:tab w:val="left" w:pos="990"/>
        </w:tabs>
        <w:jc w:val="center"/>
        <w:rPr>
          <w:rFonts w:ascii="Arial" w:hAnsi="Arial" w:cs="Arial"/>
        </w:rPr>
      </w:pPr>
      <w:r>
        <w:rPr>
          <w:rFonts w:ascii="Arial" w:hAnsi="Arial" w:cs="Arial"/>
          <w:b/>
          <w:bCs/>
          <w:sz w:val="28"/>
          <w:szCs w:val="28"/>
        </w:rPr>
        <w:lastRenderedPageBreak/>
        <w:t>LIST OF TABLES</w:t>
      </w:r>
    </w:p>
    <w:p w:rsidR="00330CF1" w:rsidRDefault="00330CF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rsidR="00330CF1" w:rsidRDefault="00330CF1" w:rsidP="00110661">
      <w:pPr>
        <w:numPr>
          <w:ilvl w:val="12"/>
          <w:numId w:val="0"/>
        </w:numPr>
        <w:tabs>
          <w:tab w:val="right" w:leader="dot" w:pos="9360"/>
        </w:tabs>
        <w:rPr>
          <w:rFonts w:ascii="Arial" w:hAnsi="Arial" w:cs="Arial"/>
        </w:rPr>
      </w:pPr>
      <w:r>
        <w:rPr>
          <w:rFonts w:ascii="Arial" w:hAnsi="Arial" w:cs="Arial"/>
        </w:rPr>
        <w:t>Table 1.1 Minimum Crude protein requirements in carnivore and omnivore species</w:t>
      </w:r>
      <w:r>
        <w:rPr>
          <w:rFonts w:ascii="Arial" w:hAnsi="Arial" w:cs="Arial"/>
        </w:rPr>
        <w:tab/>
        <w:t>2</w:t>
      </w:r>
    </w:p>
    <w:p w:rsidR="00330CF1" w:rsidRDefault="00330CF1" w:rsidP="00110661">
      <w:pPr>
        <w:numPr>
          <w:ilvl w:val="12"/>
          <w:numId w:val="0"/>
        </w:numPr>
        <w:tabs>
          <w:tab w:val="right" w:leader="dot" w:pos="9360"/>
        </w:tabs>
        <w:rPr>
          <w:rFonts w:ascii="Arial" w:hAnsi="Arial" w:cs="Arial"/>
        </w:rPr>
      </w:pPr>
      <w:r>
        <w:rPr>
          <w:rFonts w:ascii="Arial" w:hAnsi="Arial" w:cs="Arial"/>
        </w:rPr>
        <w:t>Table 1.2 Feline calcium and phosphorus requirements for growth and maintenanc</w:t>
      </w:r>
      <w:r>
        <w:rPr>
          <w:rFonts w:ascii="Arial" w:hAnsi="Arial" w:cs="Arial"/>
        </w:rPr>
        <w:tab/>
        <w:t>7</w:t>
      </w:r>
    </w:p>
    <w:p w:rsidR="00330CF1" w:rsidRDefault="00330CF1" w:rsidP="00110661">
      <w:pPr>
        <w:numPr>
          <w:ilvl w:val="12"/>
          <w:numId w:val="0"/>
        </w:numPr>
        <w:tabs>
          <w:tab w:val="right" w:leader="dot" w:pos="9360"/>
        </w:tabs>
        <w:rPr>
          <w:rFonts w:ascii="Arial" w:hAnsi="Arial" w:cs="Arial"/>
        </w:rPr>
      </w:pPr>
      <w:r>
        <w:rPr>
          <w:rFonts w:ascii="Arial" w:hAnsi="Arial" w:cs="Arial"/>
        </w:rPr>
        <w:t>Table 1.3 Published body composition of kittens using DEXA</w:t>
      </w:r>
      <w:r>
        <w:rPr>
          <w:rFonts w:ascii="Arial" w:hAnsi="Arial" w:cs="Arial"/>
        </w:rPr>
        <w:tab/>
        <w:t>9</w:t>
      </w:r>
    </w:p>
    <w:p w:rsidR="00330CF1" w:rsidRDefault="00330CF1" w:rsidP="00110661">
      <w:pPr>
        <w:numPr>
          <w:ilvl w:val="12"/>
          <w:numId w:val="0"/>
        </w:numPr>
        <w:tabs>
          <w:tab w:val="right" w:leader="dot" w:pos="9360"/>
        </w:tabs>
        <w:rPr>
          <w:rFonts w:ascii="Arial" w:hAnsi="Arial" w:cs="Arial"/>
        </w:rPr>
      </w:pPr>
      <w:r>
        <w:rPr>
          <w:rFonts w:ascii="Arial" w:hAnsi="Arial" w:cs="Arial"/>
        </w:rPr>
        <w:t>Table 1.4 Comparison of published kitten hematological values for 8- and 18-week old kittens</w:t>
      </w:r>
      <w:r>
        <w:rPr>
          <w:rFonts w:ascii="Arial" w:hAnsi="Arial" w:cs="Arial"/>
        </w:rPr>
        <w:tab/>
        <w:t>12</w:t>
      </w:r>
    </w:p>
    <w:p w:rsidR="00330CF1" w:rsidRDefault="00330CF1" w:rsidP="00110661">
      <w:pPr>
        <w:numPr>
          <w:ilvl w:val="12"/>
          <w:numId w:val="0"/>
        </w:numPr>
        <w:tabs>
          <w:tab w:val="right" w:leader="dot" w:pos="9360"/>
        </w:tabs>
        <w:rPr>
          <w:rFonts w:ascii="Arial" w:hAnsi="Arial" w:cs="Arial"/>
        </w:rPr>
      </w:pPr>
      <w:r>
        <w:rPr>
          <w:rFonts w:ascii="Arial" w:hAnsi="Arial" w:cs="Arial"/>
        </w:rPr>
        <w:t>Table 1.5 Comparison of published kitten serum biochemistry values for 7- to 20-weeks kittens</w:t>
      </w:r>
      <w:r>
        <w:rPr>
          <w:rFonts w:ascii="Arial" w:hAnsi="Arial" w:cs="Arial"/>
        </w:rPr>
        <w:tab/>
        <w:t>13</w:t>
      </w:r>
    </w:p>
    <w:p w:rsidR="00330CF1" w:rsidRDefault="00330CF1" w:rsidP="00110661">
      <w:pPr>
        <w:numPr>
          <w:ilvl w:val="12"/>
          <w:numId w:val="0"/>
        </w:numPr>
        <w:tabs>
          <w:tab w:val="right" w:leader="dot" w:pos="9360"/>
        </w:tabs>
        <w:rPr>
          <w:rFonts w:ascii="Arial" w:hAnsi="Arial" w:cs="Arial"/>
        </w:rPr>
      </w:pPr>
      <w:r>
        <w:rPr>
          <w:rFonts w:ascii="Arial" w:hAnsi="Arial" w:cs="Arial"/>
        </w:rPr>
        <w:t>Table 1.6 Kitten whole blood lymphocyte phenotypes and concentrations in kittens up to 13-weeks of age</w:t>
      </w:r>
      <w:r>
        <w:rPr>
          <w:rFonts w:ascii="Arial" w:hAnsi="Arial" w:cs="Arial"/>
        </w:rPr>
        <w:tab/>
        <w:t>15</w:t>
      </w:r>
    </w:p>
    <w:p w:rsidR="00330CF1" w:rsidRDefault="00330CF1" w:rsidP="00110661">
      <w:pPr>
        <w:numPr>
          <w:ilvl w:val="12"/>
          <w:numId w:val="0"/>
        </w:numPr>
        <w:tabs>
          <w:tab w:val="right" w:leader="dot" w:pos="9360"/>
        </w:tabs>
        <w:rPr>
          <w:rFonts w:ascii="Arial" w:hAnsi="Arial" w:cs="Arial"/>
        </w:rPr>
      </w:pPr>
      <w:r>
        <w:rPr>
          <w:rFonts w:ascii="Arial" w:hAnsi="Arial" w:cs="Arial"/>
        </w:rPr>
        <w:t>Table 1.7 Basal F</w:t>
      </w:r>
      <w:r>
        <w:rPr>
          <w:rFonts w:ascii="Arial" w:hAnsi="Arial" w:cs="Arial"/>
          <w:vertAlign w:val="subscript"/>
        </w:rPr>
        <w:t>2</w:t>
      </w:r>
      <w:r>
        <w:rPr>
          <w:rFonts w:ascii="Arial" w:hAnsi="Arial" w:cs="Arial"/>
        </w:rPr>
        <w:t xml:space="preserve"> isoprostane levels in body fluids</w:t>
      </w:r>
      <w:r>
        <w:rPr>
          <w:rFonts w:ascii="Arial" w:hAnsi="Arial" w:cs="Arial"/>
        </w:rPr>
        <w:tab/>
        <w:t>31</w:t>
      </w:r>
    </w:p>
    <w:p w:rsidR="00330CF1" w:rsidRDefault="00330CF1" w:rsidP="00110661">
      <w:pPr>
        <w:numPr>
          <w:ilvl w:val="12"/>
          <w:numId w:val="0"/>
        </w:numPr>
        <w:tabs>
          <w:tab w:val="right" w:leader="dot" w:pos="9360"/>
        </w:tabs>
        <w:rPr>
          <w:rFonts w:ascii="Arial" w:hAnsi="Arial" w:cs="Arial"/>
        </w:rPr>
      </w:pPr>
      <w:r>
        <w:rPr>
          <w:rFonts w:ascii="Arial" w:hAnsi="Arial" w:cs="Arial"/>
        </w:rPr>
        <w:t>Table 1.8 Vitamins and commonly used synonyms</w:t>
      </w:r>
      <w:r>
        <w:rPr>
          <w:rFonts w:ascii="Arial" w:hAnsi="Arial" w:cs="Arial"/>
        </w:rPr>
        <w:tab/>
        <w:t>57</w:t>
      </w:r>
    </w:p>
    <w:p w:rsidR="00330CF1" w:rsidRDefault="00330CF1" w:rsidP="00110661">
      <w:pPr>
        <w:numPr>
          <w:ilvl w:val="12"/>
          <w:numId w:val="0"/>
        </w:numPr>
        <w:tabs>
          <w:tab w:val="right" w:leader="dot" w:pos="9360"/>
        </w:tabs>
        <w:rPr>
          <w:rFonts w:ascii="Arial" w:hAnsi="Arial" w:cs="Arial"/>
        </w:rPr>
      </w:pPr>
      <w:r>
        <w:rPr>
          <w:rFonts w:ascii="Arial" w:hAnsi="Arial" w:cs="Arial"/>
        </w:rPr>
        <w:t>Table 1.9 Vitamin losses during processing and storage of cat foods</w:t>
      </w:r>
      <w:r>
        <w:rPr>
          <w:rFonts w:ascii="Arial" w:hAnsi="Arial" w:cs="Arial"/>
        </w:rPr>
        <w:tab/>
        <w:t>60</w:t>
      </w:r>
    </w:p>
    <w:p w:rsidR="00330CF1" w:rsidRDefault="00330CF1" w:rsidP="00110661">
      <w:pPr>
        <w:numPr>
          <w:ilvl w:val="12"/>
          <w:numId w:val="0"/>
        </w:numPr>
        <w:tabs>
          <w:tab w:val="right" w:leader="dot" w:pos="9360"/>
        </w:tabs>
        <w:rPr>
          <w:rFonts w:ascii="Arial" w:hAnsi="Arial" w:cs="Arial"/>
        </w:rPr>
      </w:pPr>
      <w:r>
        <w:rPr>
          <w:rFonts w:ascii="Arial" w:hAnsi="Arial" w:cs="Arial"/>
        </w:rPr>
        <w:t>Table 2.1 Analyzed nutrient composition of diets</w:t>
      </w:r>
      <w:r>
        <w:rPr>
          <w:rFonts w:ascii="Arial" w:hAnsi="Arial" w:cs="Arial"/>
        </w:rPr>
        <w:tab/>
        <w:t>70</w:t>
      </w:r>
    </w:p>
    <w:p w:rsidR="00330CF1" w:rsidRDefault="00330CF1" w:rsidP="00110661">
      <w:pPr>
        <w:numPr>
          <w:ilvl w:val="12"/>
          <w:numId w:val="0"/>
        </w:numPr>
        <w:tabs>
          <w:tab w:val="right" w:leader="dot" w:pos="9360"/>
        </w:tabs>
        <w:rPr>
          <w:rFonts w:ascii="Arial" w:hAnsi="Arial" w:cs="Arial"/>
        </w:rPr>
      </w:pPr>
      <w:r>
        <w:rPr>
          <w:rFonts w:ascii="Arial" w:hAnsi="Arial" w:cs="Arial"/>
        </w:rPr>
        <w:t>Table 2.2 Average daily gain by diet treatment and sex</w:t>
      </w:r>
      <w:r>
        <w:rPr>
          <w:rFonts w:ascii="Arial" w:hAnsi="Arial" w:cs="Arial"/>
        </w:rPr>
        <w:tab/>
        <w:t>72</w:t>
      </w:r>
    </w:p>
    <w:p w:rsidR="00330CF1" w:rsidRDefault="00330CF1" w:rsidP="00226D38">
      <w:pPr>
        <w:numPr>
          <w:ilvl w:val="12"/>
          <w:numId w:val="0"/>
        </w:numPr>
        <w:tabs>
          <w:tab w:val="right" w:leader="dot" w:pos="9360"/>
        </w:tabs>
        <w:rPr>
          <w:rFonts w:ascii="Arial" w:hAnsi="Arial" w:cs="Arial"/>
        </w:rPr>
      </w:pPr>
      <w:r>
        <w:rPr>
          <w:rFonts w:ascii="Arial" w:hAnsi="Arial" w:cs="Arial"/>
        </w:rPr>
        <w:t>Table 2.3 DEXA lean percentage by diet treatment</w:t>
      </w:r>
      <w:r>
        <w:rPr>
          <w:rFonts w:ascii="Arial" w:hAnsi="Arial" w:cs="Arial"/>
        </w:rPr>
        <w:tab/>
        <w:t>78</w:t>
      </w:r>
    </w:p>
    <w:p w:rsidR="00330CF1" w:rsidRDefault="00330CF1" w:rsidP="00226D38">
      <w:pPr>
        <w:numPr>
          <w:ilvl w:val="12"/>
          <w:numId w:val="0"/>
        </w:numPr>
        <w:tabs>
          <w:tab w:val="right" w:leader="dot" w:pos="9360"/>
        </w:tabs>
        <w:rPr>
          <w:rFonts w:ascii="Arial" w:hAnsi="Arial" w:cs="Arial"/>
        </w:rPr>
      </w:pPr>
      <w:r>
        <w:rPr>
          <w:rFonts w:ascii="Arial" w:hAnsi="Arial" w:cs="Arial"/>
        </w:rPr>
        <w:t>Table 2.4 DEXA fat percentage by diet treatment</w:t>
      </w:r>
      <w:r>
        <w:rPr>
          <w:rFonts w:ascii="Arial" w:hAnsi="Arial" w:cs="Arial"/>
        </w:rPr>
        <w:tab/>
        <w:t>78</w:t>
      </w:r>
    </w:p>
    <w:p w:rsidR="00330CF1" w:rsidRDefault="00330CF1" w:rsidP="00226D38">
      <w:pPr>
        <w:numPr>
          <w:ilvl w:val="12"/>
          <w:numId w:val="0"/>
        </w:numPr>
        <w:tabs>
          <w:tab w:val="right" w:leader="dot" w:pos="9360"/>
        </w:tabs>
        <w:rPr>
          <w:rFonts w:ascii="Arial" w:hAnsi="Arial" w:cs="Arial"/>
        </w:rPr>
      </w:pPr>
      <w:r>
        <w:rPr>
          <w:rFonts w:ascii="Arial" w:hAnsi="Arial" w:cs="Arial"/>
        </w:rPr>
        <w:t>Table 2.5 DEXA bone mineral percentage by diet treatment</w:t>
      </w:r>
      <w:r>
        <w:rPr>
          <w:rFonts w:ascii="Arial" w:hAnsi="Arial" w:cs="Arial"/>
        </w:rPr>
        <w:tab/>
        <w:t>79</w:t>
      </w:r>
    </w:p>
    <w:p w:rsidR="00330CF1" w:rsidRDefault="00330CF1" w:rsidP="00226D38">
      <w:pPr>
        <w:numPr>
          <w:ilvl w:val="12"/>
          <w:numId w:val="0"/>
        </w:numPr>
        <w:tabs>
          <w:tab w:val="right" w:leader="dot" w:pos="9360"/>
        </w:tabs>
        <w:rPr>
          <w:rFonts w:ascii="Arial" w:hAnsi="Arial" w:cs="Arial"/>
        </w:rPr>
      </w:pPr>
      <w:r>
        <w:rPr>
          <w:rFonts w:ascii="Arial" w:hAnsi="Arial" w:cs="Arial"/>
        </w:rPr>
        <w:t>Table 2.6 DEXA lean grams by diet treatment</w:t>
      </w:r>
      <w:r>
        <w:rPr>
          <w:rFonts w:ascii="Arial" w:hAnsi="Arial" w:cs="Arial"/>
        </w:rPr>
        <w:tab/>
        <w:t>80</w:t>
      </w:r>
    </w:p>
    <w:p w:rsidR="00330CF1" w:rsidRDefault="00330CF1" w:rsidP="00226D38">
      <w:pPr>
        <w:numPr>
          <w:ilvl w:val="12"/>
          <w:numId w:val="0"/>
        </w:numPr>
        <w:tabs>
          <w:tab w:val="right" w:leader="dot" w:pos="9360"/>
        </w:tabs>
        <w:rPr>
          <w:rFonts w:ascii="Arial" w:hAnsi="Arial" w:cs="Arial"/>
        </w:rPr>
      </w:pPr>
      <w:r>
        <w:rPr>
          <w:rFonts w:ascii="Arial" w:hAnsi="Arial" w:cs="Arial"/>
        </w:rPr>
        <w:t>Table 2.7 DEXA fat grams by diet treatment</w:t>
      </w:r>
      <w:r>
        <w:rPr>
          <w:rFonts w:ascii="Arial" w:hAnsi="Arial" w:cs="Arial"/>
        </w:rPr>
        <w:tab/>
        <w:t>80</w:t>
      </w:r>
    </w:p>
    <w:p w:rsidR="00330CF1" w:rsidRDefault="00330CF1" w:rsidP="00226D38">
      <w:pPr>
        <w:numPr>
          <w:ilvl w:val="12"/>
          <w:numId w:val="0"/>
        </w:numPr>
        <w:tabs>
          <w:tab w:val="right" w:leader="dot" w:pos="9360"/>
        </w:tabs>
        <w:rPr>
          <w:rFonts w:ascii="Arial" w:hAnsi="Arial" w:cs="Arial"/>
        </w:rPr>
      </w:pPr>
      <w:r>
        <w:rPr>
          <w:rFonts w:ascii="Arial" w:hAnsi="Arial" w:cs="Arial"/>
        </w:rPr>
        <w:t>Table 2.8 DEXA bone mineral grams by diet treatment</w:t>
      </w:r>
      <w:r>
        <w:rPr>
          <w:rFonts w:ascii="Arial" w:hAnsi="Arial" w:cs="Arial"/>
        </w:rPr>
        <w:tab/>
        <w:t>80</w:t>
      </w:r>
    </w:p>
    <w:p w:rsidR="00330CF1" w:rsidRDefault="00330CF1" w:rsidP="00226D38">
      <w:pPr>
        <w:numPr>
          <w:ilvl w:val="12"/>
          <w:numId w:val="0"/>
        </w:numPr>
        <w:tabs>
          <w:tab w:val="right" w:leader="dot" w:pos="9360"/>
        </w:tabs>
        <w:rPr>
          <w:rFonts w:ascii="Arial" w:hAnsi="Arial" w:cs="Arial"/>
        </w:rPr>
      </w:pPr>
      <w:r>
        <w:rPr>
          <w:rFonts w:ascii="Arial" w:hAnsi="Arial" w:cs="Arial"/>
        </w:rPr>
        <w:t>Table 2.9 Serum biochemistry values by diet treatment and week</w:t>
      </w:r>
      <w:r>
        <w:rPr>
          <w:rFonts w:ascii="Arial" w:hAnsi="Arial" w:cs="Arial"/>
        </w:rPr>
        <w:tab/>
        <w:t>83</w:t>
      </w:r>
    </w:p>
    <w:p w:rsidR="00330CF1" w:rsidRDefault="00330CF1" w:rsidP="00226D38">
      <w:pPr>
        <w:numPr>
          <w:ilvl w:val="12"/>
          <w:numId w:val="0"/>
        </w:numPr>
        <w:tabs>
          <w:tab w:val="right" w:leader="dot" w:pos="9360"/>
        </w:tabs>
        <w:rPr>
          <w:rFonts w:ascii="Arial" w:hAnsi="Arial" w:cs="Arial"/>
        </w:rPr>
      </w:pPr>
      <w:r>
        <w:rPr>
          <w:rFonts w:ascii="Arial" w:hAnsi="Arial" w:cs="Arial"/>
        </w:rPr>
        <w:t>Table 2.10 Hematology values by diet treatment and week</w:t>
      </w:r>
      <w:r>
        <w:rPr>
          <w:rFonts w:ascii="Arial" w:hAnsi="Arial" w:cs="Arial"/>
        </w:rPr>
        <w:tab/>
        <w:t>85</w:t>
      </w:r>
    </w:p>
    <w:p w:rsidR="00330CF1" w:rsidRDefault="00330CF1" w:rsidP="00226D38">
      <w:pPr>
        <w:numPr>
          <w:ilvl w:val="12"/>
          <w:numId w:val="0"/>
        </w:numPr>
        <w:tabs>
          <w:tab w:val="right" w:leader="dot" w:pos="9360"/>
        </w:tabs>
        <w:rPr>
          <w:rFonts w:ascii="Arial" w:hAnsi="Arial" w:cs="Arial"/>
        </w:rPr>
      </w:pPr>
      <w:r>
        <w:rPr>
          <w:rFonts w:ascii="Arial" w:hAnsi="Arial" w:cs="Arial"/>
        </w:rPr>
        <w:t>Table 2.11 Mean feed efficiency ratio by sex and diet treatment</w:t>
      </w:r>
      <w:r>
        <w:rPr>
          <w:rFonts w:ascii="Arial" w:hAnsi="Arial" w:cs="Arial"/>
        </w:rPr>
        <w:tab/>
        <w:t>86</w:t>
      </w:r>
    </w:p>
    <w:p w:rsidR="00330CF1" w:rsidRDefault="00330CF1" w:rsidP="00226D38">
      <w:pPr>
        <w:numPr>
          <w:ilvl w:val="12"/>
          <w:numId w:val="0"/>
        </w:numPr>
        <w:tabs>
          <w:tab w:val="right" w:leader="dot" w:pos="9360"/>
        </w:tabs>
        <w:rPr>
          <w:rFonts w:ascii="Arial" w:hAnsi="Arial" w:cs="Arial"/>
        </w:rPr>
      </w:pPr>
      <w:r>
        <w:rPr>
          <w:rFonts w:ascii="Arial" w:hAnsi="Arial" w:cs="Arial"/>
        </w:rPr>
        <w:t>Table 2.12 Mean protein efficiency ratio by sex and diet treatment</w:t>
      </w:r>
      <w:r>
        <w:rPr>
          <w:rFonts w:ascii="Arial" w:hAnsi="Arial" w:cs="Arial"/>
        </w:rPr>
        <w:tab/>
        <w:t>86</w:t>
      </w:r>
    </w:p>
    <w:p w:rsidR="00330CF1" w:rsidRDefault="00330CF1" w:rsidP="00226D38">
      <w:pPr>
        <w:numPr>
          <w:ilvl w:val="12"/>
          <w:numId w:val="0"/>
        </w:numPr>
        <w:tabs>
          <w:tab w:val="right" w:leader="dot" w:pos="9360"/>
        </w:tabs>
        <w:rPr>
          <w:rFonts w:ascii="Arial" w:hAnsi="Arial" w:cs="Arial"/>
        </w:rPr>
      </w:pPr>
      <w:r>
        <w:rPr>
          <w:rFonts w:ascii="Arial" w:hAnsi="Arial" w:cs="Arial"/>
        </w:rPr>
        <w:t>Table 2.13 Dry matter, protein dry matter, caloric intake and body condition score  by     diet treatment and sex</w:t>
      </w:r>
      <w:r>
        <w:rPr>
          <w:rFonts w:ascii="Arial" w:hAnsi="Arial" w:cs="Arial"/>
        </w:rPr>
        <w:tab/>
        <w:t>89</w:t>
      </w:r>
    </w:p>
    <w:p w:rsidR="00330CF1" w:rsidRDefault="00330CF1" w:rsidP="00226D38">
      <w:pPr>
        <w:numPr>
          <w:ilvl w:val="12"/>
          <w:numId w:val="0"/>
        </w:numPr>
        <w:tabs>
          <w:tab w:val="right" w:leader="dot" w:pos="9360"/>
        </w:tabs>
        <w:rPr>
          <w:rFonts w:ascii="Arial" w:hAnsi="Arial" w:cs="Arial"/>
        </w:rPr>
      </w:pPr>
      <w:r>
        <w:rPr>
          <w:rFonts w:ascii="Arial" w:hAnsi="Arial" w:cs="Arial"/>
        </w:rPr>
        <w:t>Table 3.1 Innate immune function by diet treatment and week</w:t>
      </w:r>
      <w:r>
        <w:rPr>
          <w:rFonts w:ascii="Arial" w:hAnsi="Arial" w:cs="Arial"/>
        </w:rPr>
        <w:tab/>
        <w:t>100</w:t>
      </w:r>
    </w:p>
    <w:p w:rsidR="00330CF1" w:rsidRDefault="00330CF1" w:rsidP="00226D38">
      <w:pPr>
        <w:numPr>
          <w:ilvl w:val="12"/>
          <w:numId w:val="0"/>
        </w:numPr>
        <w:tabs>
          <w:tab w:val="right" w:leader="dot" w:pos="9360"/>
        </w:tabs>
        <w:rPr>
          <w:rFonts w:ascii="Arial" w:hAnsi="Arial" w:cs="Arial"/>
        </w:rPr>
      </w:pPr>
      <w:r>
        <w:rPr>
          <w:rFonts w:ascii="Arial" w:hAnsi="Arial" w:cs="Arial"/>
        </w:rPr>
        <w:t>Table 3.2 Total lymphocytes, IgG and IgM by diet treatment and week</w:t>
      </w:r>
      <w:r>
        <w:rPr>
          <w:rFonts w:ascii="Arial" w:hAnsi="Arial" w:cs="Arial"/>
        </w:rPr>
        <w:tab/>
        <w:t>102</w:t>
      </w:r>
    </w:p>
    <w:p w:rsidR="00330CF1" w:rsidRDefault="00330CF1" w:rsidP="009975B5">
      <w:pPr>
        <w:numPr>
          <w:ilvl w:val="12"/>
          <w:numId w:val="0"/>
        </w:numPr>
        <w:tabs>
          <w:tab w:val="right" w:leader="dot" w:pos="9360"/>
        </w:tabs>
        <w:rPr>
          <w:rFonts w:ascii="Arial" w:hAnsi="Arial" w:cs="Arial"/>
        </w:rPr>
      </w:pPr>
      <w:r>
        <w:rPr>
          <w:rFonts w:ascii="Arial" w:hAnsi="Arial" w:cs="Arial"/>
        </w:rPr>
        <w:t>Table 3.3 Serum IgG herpes titers at week 5 (before vaccination) and week 10 (after vaccination by diet treatment</w:t>
      </w:r>
      <w:r>
        <w:rPr>
          <w:rFonts w:ascii="Arial" w:hAnsi="Arial" w:cs="Arial"/>
        </w:rPr>
        <w:tab/>
        <w:t>104</w:t>
      </w:r>
    </w:p>
    <w:p w:rsidR="00330CF1" w:rsidRDefault="00330CF1" w:rsidP="00226D38">
      <w:pPr>
        <w:numPr>
          <w:ilvl w:val="12"/>
          <w:numId w:val="0"/>
        </w:numPr>
        <w:tabs>
          <w:tab w:val="right" w:leader="dot" w:pos="9360"/>
        </w:tabs>
        <w:rPr>
          <w:rFonts w:ascii="Arial" w:hAnsi="Arial" w:cs="Arial"/>
        </w:rPr>
      </w:pPr>
      <w:r>
        <w:rPr>
          <w:rFonts w:ascii="Arial" w:hAnsi="Arial" w:cs="Arial"/>
        </w:rPr>
        <w:t>Table 4.1 Urinary creatinine by diet treatment and week</w:t>
      </w:r>
      <w:r>
        <w:rPr>
          <w:rFonts w:ascii="Arial" w:hAnsi="Arial" w:cs="Arial"/>
        </w:rPr>
        <w:tab/>
        <w:t>114</w:t>
      </w:r>
    </w:p>
    <w:p w:rsidR="00330CF1" w:rsidRDefault="00330CF1" w:rsidP="00226D38">
      <w:pPr>
        <w:numPr>
          <w:ilvl w:val="12"/>
          <w:numId w:val="0"/>
        </w:numPr>
        <w:tabs>
          <w:tab w:val="right" w:leader="dot" w:pos="9360"/>
        </w:tabs>
        <w:rPr>
          <w:rFonts w:ascii="Arial" w:hAnsi="Arial" w:cs="Arial"/>
        </w:rPr>
      </w:pPr>
      <w:r>
        <w:rPr>
          <w:rFonts w:ascii="Arial" w:hAnsi="Arial" w:cs="Arial"/>
        </w:rPr>
        <w:t>Table 4.2 Urinary isoprostane by diet treatment and week</w:t>
      </w:r>
      <w:r>
        <w:rPr>
          <w:rFonts w:ascii="Arial" w:hAnsi="Arial" w:cs="Arial"/>
        </w:rPr>
        <w:tab/>
        <w:t>114</w:t>
      </w:r>
    </w:p>
    <w:p w:rsidR="00330CF1" w:rsidRDefault="00330CF1" w:rsidP="00226D38">
      <w:pPr>
        <w:numPr>
          <w:ilvl w:val="12"/>
          <w:numId w:val="0"/>
        </w:numPr>
        <w:tabs>
          <w:tab w:val="right" w:leader="dot" w:pos="9360"/>
        </w:tabs>
        <w:rPr>
          <w:rFonts w:ascii="Arial" w:hAnsi="Arial" w:cs="Arial"/>
        </w:rPr>
      </w:pPr>
      <w:r>
        <w:rPr>
          <w:rFonts w:ascii="Arial" w:hAnsi="Arial" w:cs="Arial"/>
        </w:rPr>
        <w:t>Table 4.3 Urinary isoprostane/creatinine ratio by diet treatment and week</w:t>
      </w:r>
      <w:r>
        <w:rPr>
          <w:rFonts w:ascii="Arial" w:hAnsi="Arial" w:cs="Arial"/>
        </w:rPr>
        <w:tab/>
        <w:t>114</w:t>
      </w:r>
    </w:p>
    <w:p w:rsidR="00330CF1" w:rsidRDefault="00330CF1" w:rsidP="003730F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right" w:leader="dot" w:pos="9360"/>
        </w:tabs>
        <w:rPr>
          <w:rFonts w:ascii="Arial" w:hAnsi="Arial" w:cs="Arial"/>
        </w:rPr>
      </w:pPr>
      <w:r>
        <w:rPr>
          <w:rFonts w:ascii="Arial" w:hAnsi="Arial" w:cs="Arial"/>
        </w:rPr>
        <w:t xml:space="preserve">Table 4.4 Pearson Correlation Coefficients for urinary isoprostane, urinary    </w:t>
      </w:r>
    </w:p>
    <w:p w:rsidR="00330CF1" w:rsidRDefault="00330CF1" w:rsidP="00226D38">
      <w:pPr>
        <w:numPr>
          <w:ilvl w:val="12"/>
          <w:numId w:val="0"/>
        </w:numPr>
        <w:tabs>
          <w:tab w:val="right" w:leader="dot" w:pos="9360"/>
        </w:tabs>
        <w:rPr>
          <w:rFonts w:ascii="Arial" w:hAnsi="Arial" w:cs="Arial"/>
        </w:rPr>
      </w:pPr>
      <w:r>
        <w:rPr>
          <w:rFonts w:ascii="Arial" w:hAnsi="Arial" w:cs="Arial"/>
        </w:rPr>
        <w:t xml:space="preserve">                creatinine, and urinary isoprostane/creatinine ratio</w:t>
      </w:r>
      <w:r>
        <w:rPr>
          <w:rFonts w:ascii="Arial" w:hAnsi="Arial" w:cs="Arial"/>
        </w:rPr>
        <w:tab/>
        <w:t>115</w:t>
      </w:r>
    </w:p>
    <w:p w:rsidR="00330CF1" w:rsidRDefault="00330CF1" w:rsidP="00226D38">
      <w:pPr>
        <w:numPr>
          <w:ilvl w:val="12"/>
          <w:numId w:val="0"/>
        </w:numPr>
        <w:tabs>
          <w:tab w:val="right" w:leader="dot" w:pos="9360"/>
        </w:tabs>
        <w:rPr>
          <w:rFonts w:ascii="Arial" w:hAnsi="Arial" w:cs="Arial"/>
        </w:rPr>
      </w:pPr>
      <w:r>
        <w:rPr>
          <w:rFonts w:ascii="Arial" w:hAnsi="Arial" w:cs="Arial"/>
        </w:rPr>
        <w:t xml:space="preserve">Table 5.1 Published diet guaranteed analysis (dry matter basis) and diet ingredient lists </w:t>
      </w:r>
    </w:p>
    <w:p w:rsidR="00330CF1" w:rsidRDefault="00330CF1" w:rsidP="00226D38">
      <w:pPr>
        <w:numPr>
          <w:ilvl w:val="12"/>
          <w:numId w:val="0"/>
        </w:numPr>
        <w:tabs>
          <w:tab w:val="right" w:leader="dot" w:pos="9360"/>
        </w:tabs>
        <w:rPr>
          <w:rFonts w:ascii="Arial" w:hAnsi="Arial" w:cs="Arial"/>
        </w:rPr>
      </w:pPr>
      <w:r>
        <w:rPr>
          <w:rFonts w:ascii="Arial" w:hAnsi="Arial" w:cs="Arial"/>
        </w:rPr>
        <w:tab/>
        <w:t>121</w:t>
      </w:r>
    </w:p>
    <w:p w:rsidR="00330CF1" w:rsidRDefault="00330CF1" w:rsidP="00226D38">
      <w:pPr>
        <w:numPr>
          <w:ilvl w:val="12"/>
          <w:numId w:val="0"/>
        </w:numPr>
        <w:tabs>
          <w:tab w:val="right" w:leader="dot" w:pos="9360"/>
        </w:tabs>
        <w:rPr>
          <w:rFonts w:ascii="Arial" w:hAnsi="Arial" w:cs="Arial"/>
        </w:rPr>
      </w:pPr>
      <w:r>
        <w:rPr>
          <w:rFonts w:ascii="Arial" w:hAnsi="Arial" w:cs="Arial"/>
        </w:rPr>
        <w:t>Table 5.2 Analyzed diet nutrient composition (dry matter basis)</w:t>
      </w:r>
      <w:r>
        <w:rPr>
          <w:rFonts w:ascii="Arial" w:hAnsi="Arial" w:cs="Arial"/>
        </w:rPr>
        <w:tab/>
        <w:t>123</w:t>
      </w:r>
    </w:p>
    <w:p w:rsidR="00330CF1" w:rsidRDefault="00330CF1" w:rsidP="00226D38">
      <w:pPr>
        <w:numPr>
          <w:ilvl w:val="12"/>
          <w:numId w:val="0"/>
        </w:numPr>
        <w:tabs>
          <w:tab w:val="right" w:leader="dot" w:pos="9360"/>
        </w:tabs>
        <w:rPr>
          <w:rFonts w:ascii="Arial" w:hAnsi="Arial" w:cs="Arial"/>
        </w:rPr>
      </w:pPr>
      <w:r>
        <w:rPr>
          <w:rFonts w:ascii="Arial" w:hAnsi="Arial" w:cs="Arial"/>
        </w:rPr>
        <w:t>Table 5.3 Kitten mean apparent digestibility by diet treatment</w:t>
      </w:r>
      <w:r>
        <w:rPr>
          <w:rFonts w:ascii="Arial" w:hAnsi="Arial" w:cs="Arial"/>
        </w:rPr>
        <w:tab/>
        <w:t>124</w:t>
      </w:r>
    </w:p>
    <w:p w:rsidR="00330CF1" w:rsidRDefault="00330CF1" w:rsidP="00226D38">
      <w:pPr>
        <w:numPr>
          <w:ilvl w:val="12"/>
          <w:numId w:val="0"/>
        </w:numPr>
        <w:tabs>
          <w:tab w:val="right" w:leader="dot" w:pos="9360"/>
        </w:tabs>
        <w:rPr>
          <w:rFonts w:ascii="Arial" w:hAnsi="Arial" w:cs="Arial"/>
        </w:rPr>
      </w:pPr>
      <w:r>
        <w:rPr>
          <w:rFonts w:ascii="Arial" w:hAnsi="Arial" w:cs="Arial"/>
        </w:rPr>
        <w:t>Table 5.4 Adult mean apparent digestibility by diet treatment</w:t>
      </w:r>
      <w:r>
        <w:rPr>
          <w:rFonts w:ascii="Arial" w:hAnsi="Arial" w:cs="Arial"/>
        </w:rPr>
        <w:tab/>
        <w:t>124</w:t>
      </w:r>
    </w:p>
    <w:p w:rsidR="00330CF1" w:rsidRDefault="00330CF1" w:rsidP="00226D38">
      <w:pPr>
        <w:numPr>
          <w:ilvl w:val="12"/>
          <w:numId w:val="0"/>
        </w:numPr>
        <w:tabs>
          <w:tab w:val="right" w:leader="dot" w:pos="9360"/>
        </w:tabs>
        <w:rPr>
          <w:rFonts w:ascii="Arial" w:hAnsi="Arial" w:cs="Arial"/>
        </w:rPr>
      </w:pPr>
      <w:r>
        <w:rPr>
          <w:rFonts w:ascii="Arial" w:hAnsi="Arial" w:cs="Arial"/>
        </w:rPr>
        <w:t>Table 5.5 Kitten dry matter and caloric intake, and dry matter fecal output</w:t>
      </w:r>
      <w:r>
        <w:rPr>
          <w:rFonts w:ascii="Arial" w:hAnsi="Arial" w:cs="Arial"/>
        </w:rPr>
        <w:tab/>
        <w:t>125</w:t>
      </w:r>
    </w:p>
    <w:p w:rsidR="00330CF1" w:rsidRDefault="00330CF1" w:rsidP="00226D38">
      <w:pPr>
        <w:numPr>
          <w:ilvl w:val="12"/>
          <w:numId w:val="0"/>
        </w:numPr>
        <w:tabs>
          <w:tab w:val="right" w:leader="dot" w:pos="9360"/>
        </w:tabs>
        <w:rPr>
          <w:rFonts w:ascii="Arial" w:hAnsi="Arial" w:cs="Arial"/>
        </w:rPr>
      </w:pPr>
      <w:r>
        <w:rPr>
          <w:rFonts w:ascii="Arial" w:hAnsi="Arial" w:cs="Arial"/>
        </w:rPr>
        <w:t>Table 5.6 Adult dry matter and caloric intake and dry matter fecal output</w:t>
      </w:r>
      <w:r>
        <w:rPr>
          <w:rFonts w:ascii="Arial" w:hAnsi="Arial" w:cs="Arial"/>
        </w:rPr>
        <w:tab/>
        <w:t>125</w:t>
      </w:r>
    </w:p>
    <w:p w:rsidR="00330CF1" w:rsidRDefault="00330CF1" w:rsidP="00226D38">
      <w:pPr>
        <w:numPr>
          <w:ilvl w:val="12"/>
          <w:numId w:val="0"/>
        </w:numPr>
        <w:tabs>
          <w:tab w:val="right" w:leader="dot" w:pos="9360"/>
        </w:tabs>
        <w:rPr>
          <w:rFonts w:ascii="Arial" w:hAnsi="Arial" w:cs="Arial"/>
        </w:rPr>
      </w:pPr>
      <w:r>
        <w:rPr>
          <w:rFonts w:ascii="Arial" w:hAnsi="Arial" w:cs="Arial"/>
        </w:rPr>
        <w:t>Table 6.1 Composite fecal cultures</w:t>
      </w:r>
      <w:r>
        <w:rPr>
          <w:rFonts w:ascii="Arial" w:hAnsi="Arial" w:cs="Arial"/>
        </w:rPr>
        <w:tab/>
        <w:t>132</w:t>
      </w:r>
    </w:p>
    <w:p w:rsidR="00330CF1" w:rsidRDefault="00330CF1" w:rsidP="00226D38">
      <w:pPr>
        <w:numPr>
          <w:ilvl w:val="12"/>
          <w:numId w:val="0"/>
        </w:numPr>
        <w:tabs>
          <w:tab w:val="right" w:leader="dot" w:pos="9360"/>
        </w:tabs>
        <w:rPr>
          <w:rFonts w:ascii="Arial" w:hAnsi="Arial" w:cs="Arial"/>
        </w:rPr>
      </w:pPr>
      <w:r>
        <w:rPr>
          <w:rFonts w:ascii="Arial" w:hAnsi="Arial" w:cs="Arial"/>
        </w:rPr>
        <w:lastRenderedPageBreak/>
        <w:t>Table 6.2 Individual fecal cultures/treatment from kittens with diarrhea</w:t>
      </w:r>
      <w:r>
        <w:rPr>
          <w:rFonts w:ascii="Arial" w:hAnsi="Arial" w:cs="Arial"/>
        </w:rPr>
        <w:tab/>
        <w:t>134</w:t>
      </w:r>
    </w:p>
    <w:p w:rsidR="00330CF1" w:rsidRPr="003B04CD" w:rsidRDefault="00330CF1" w:rsidP="00C859FF">
      <w:pPr>
        <w:numPr>
          <w:ilvl w:val="12"/>
          <w:numId w:val="0"/>
        </w:numPr>
        <w:tabs>
          <w:tab w:val="right" w:leader="dot" w:pos="9360"/>
        </w:tabs>
        <w:rPr>
          <w:rFonts w:ascii="Arial" w:hAnsi="Arial" w:cs="Arial"/>
        </w:rPr>
      </w:pPr>
      <w:r>
        <w:rPr>
          <w:rFonts w:ascii="Arial" w:hAnsi="Arial" w:cs="Arial"/>
        </w:rPr>
        <w:t>Table 6.3 Aerobic plate count by diet</w:t>
      </w:r>
      <w:r>
        <w:rPr>
          <w:rFonts w:ascii="Arial" w:hAnsi="Arial" w:cs="Arial"/>
        </w:rPr>
        <w:tab/>
        <w:t>134</w:t>
      </w:r>
    </w:p>
    <w:p w:rsidR="00330CF1" w:rsidRDefault="00330CF1" w:rsidP="00B27567">
      <w:pPr>
        <w:numPr>
          <w:ilvl w:val="12"/>
          <w:numId w:val="0"/>
        </w:numPr>
        <w:jc w:val="center"/>
        <w:rPr>
          <w:rFonts w:ascii="Arial" w:hAnsi="Arial" w:cs="Arial"/>
        </w:rPr>
      </w:pPr>
      <w:r>
        <w:rPr>
          <w:rFonts w:ascii="Arial" w:hAnsi="Arial" w:cs="Arial"/>
          <w:sz w:val="28"/>
          <w:szCs w:val="28"/>
        </w:rPr>
        <w:br w:type="page"/>
      </w:r>
      <w:r>
        <w:rPr>
          <w:rFonts w:ascii="Arial" w:hAnsi="Arial" w:cs="Arial"/>
          <w:b/>
          <w:bCs/>
          <w:sz w:val="28"/>
          <w:szCs w:val="28"/>
        </w:rPr>
        <w:lastRenderedPageBreak/>
        <w:t>LIST OF FIGURES</w:t>
      </w:r>
    </w:p>
    <w:p w:rsidR="00330CF1" w:rsidRDefault="00330CF1" w:rsidP="003B04C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rPr>
          <w:rFonts w:ascii="Arial" w:hAnsi="Arial" w:cs="Arial"/>
        </w:rPr>
      </w:pPr>
    </w:p>
    <w:p w:rsidR="00330CF1" w:rsidRDefault="00330CF1" w:rsidP="00C859FF">
      <w:pPr>
        <w:numPr>
          <w:ilvl w:val="12"/>
          <w:numId w:val="0"/>
        </w:numPr>
        <w:tabs>
          <w:tab w:val="right" w:leader="dot" w:pos="9360"/>
        </w:tabs>
        <w:rPr>
          <w:rFonts w:ascii="Arial" w:hAnsi="Arial" w:cs="Arial"/>
        </w:rPr>
      </w:pPr>
      <w:r>
        <w:rPr>
          <w:rFonts w:ascii="Arial" w:hAnsi="Arial" w:cs="Arial"/>
        </w:rPr>
        <w:t>Figure 1.1 Colonic microbial protein metabolism</w:t>
      </w:r>
      <w:r>
        <w:rPr>
          <w:rFonts w:ascii="Arial" w:hAnsi="Arial" w:cs="Arial"/>
        </w:rPr>
        <w:tab/>
        <w:t>22</w:t>
      </w:r>
    </w:p>
    <w:p w:rsidR="00330CF1" w:rsidRDefault="00330CF1" w:rsidP="00C859FF">
      <w:pPr>
        <w:numPr>
          <w:ilvl w:val="12"/>
          <w:numId w:val="0"/>
        </w:numPr>
        <w:tabs>
          <w:tab w:val="right" w:leader="dot" w:pos="9360"/>
        </w:tabs>
        <w:rPr>
          <w:rFonts w:ascii="Arial" w:hAnsi="Arial" w:cs="Arial"/>
        </w:rPr>
      </w:pPr>
      <w:r>
        <w:rPr>
          <w:rFonts w:ascii="Arial" w:hAnsi="Arial" w:cs="Arial"/>
        </w:rPr>
        <w:t>Figure 1.2 Sources of free radical generation endogenously produced by cells and key metabolic pathways</w:t>
      </w:r>
      <w:r>
        <w:rPr>
          <w:rFonts w:ascii="Arial" w:hAnsi="Arial" w:cs="Arial"/>
        </w:rPr>
        <w:tab/>
        <w:t>26</w:t>
      </w:r>
    </w:p>
    <w:p w:rsidR="00330CF1" w:rsidRDefault="00330CF1" w:rsidP="00CF51A3">
      <w:pPr>
        <w:numPr>
          <w:ilvl w:val="12"/>
          <w:numId w:val="0"/>
        </w:numPr>
        <w:tabs>
          <w:tab w:val="right" w:leader="dot" w:pos="9360"/>
        </w:tabs>
        <w:ind w:left="8280" w:hanging="8280"/>
        <w:rPr>
          <w:rFonts w:ascii="Arial" w:hAnsi="Arial" w:cs="Arial"/>
        </w:rPr>
      </w:pPr>
      <w:r>
        <w:rPr>
          <w:rFonts w:ascii="Arial" w:hAnsi="Arial" w:cs="Arial"/>
        </w:rPr>
        <w:t>Figure 1.3 Oxygen dependent killing mechanism and enzymatic antioxidant defense</w:t>
      </w:r>
      <w:r>
        <w:rPr>
          <w:rFonts w:ascii="Arial" w:hAnsi="Arial" w:cs="Arial"/>
        </w:rPr>
        <w:tab/>
        <w:t>27</w:t>
      </w:r>
    </w:p>
    <w:p w:rsidR="00330CF1" w:rsidRDefault="00330CF1" w:rsidP="00C859FF">
      <w:pPr>
        <w:numPr>
          <w:ilvl w:val="12"/>
          <w:numId w:val="0"/>
        </w:numPr>
        <w:tabs>
          <w:tab w:val="right" w:leader="dot" w:pos="9360"/>
        </w:tabs>
        <w:rPr>
          <w:rFonts w:ascii="Arial" w:hAnsi="Arial" w:cs="Arial"/>
        </w:rPr>
      </w:pPr>
      <w:r>
        <w:rPr>
          <w:rFonts w:ascii="Arial" w:hAnsi="Arial" w:cs="Arial"/>
        </w:rPr>
        <w:t>Figure 1.4 Pathways of ROS formation, the lipid peroxidation process, and the role of glutathione</w:t>
      </w:r>
      <w:r>
        <w:rPr>
          <w:rFonts w:ascii="Arial" w:hAnsi="Arial" w:cs="Arial"/>
        </w:rPr>
        <w:tab/>
        <w:t>29</w:t>
      </w:r>
    </w:p>
    <w:p w:rsidR="00330CF1" w:rsidRDefault="00330CF1" w:rsidP="00C859FF">
      <w:pPr>
        <w:numPr>
          <w:ilvl w:val="12"/>
          <w:numId w:val="0"/>
        </w:numPr>
        <w:tabs>
          <w:tab w:val="right" w:leader="dot" w:pos="9360"/>
        </w:tabs>
        <w:rPr>
          <w:rFonts w:ascii="Arial" w:hAnsi="Arial" w:cs="Arial"/>
        </w:rPr>
      </w:pPr>
      <w:r>
        <w:rPr>
          <w:rFonts w:ascii="Arial" w:hAnsi="Arial" w:cs="Arial"/>
        </w:rPr>
        <w:t>Figure 1.5 Formation of 15-F</w:t>
      </w:r>
      <w:r>
        <w:rPr>
          <w:rFonts w:ascii="Arial" w:hAnsi="Arial" w:cs="Arial"/>
          <w:vertAlign w:val="subscript"/>
        </w:rPr>
        <w:t>2</w:t>
      </w:r>
      <w:r>
        <w:rPr>
          <w:rFonts w:ascii="Arial" w:hAnsi="Arial" w:cs="Arial"/>
        </w:rPr>
        <w:t xml:space="preserve"> isoprostane from arachidonic acid</w:t>
      </w:r>
      <w:r>
        <w:rPr>
          <w:rFonts w:ascii="Arial" w:hAnsi="Arial" w:cs="Arial"/>
        </w:rPr>
        <w:tab/>
        <w:t>32</w:t>
      </w:r>
    </w:p>
    <w:p w:rsidR="00330CF1" w:rsidRDefault="00330CF1" w:rsidP="00C859FF">
      <w:pPr>
        <w:numPr>
          <w:ilvl w:val="12"/>
          <w:numId w:val="0"/>
        </w:numPr>
        <w:tabs>
          <w:tab w:val="right" w:leader="dot" w:pos="9360"/>
        </w:tabs>
        <w:rPr>
          <w:rFonts w:ascii="Arial" w:hAnsi="Arial" w:cs="Arial"/>
        </w:rPr>
      </w:pPr>
      <w:r>
        <w:rPr>
          <w:rFonts w:ascii="Arial" w:hAnsi="Arial" w:cs="Arial"/>
        </w:rPr>
        <w:t>Figure 1.6 Initial stages of the Maillard reaction</w:t>
      </w:r>
      <w:r>
        <w:rPr>
          <w:rFonts w:ascii="Arial" w:hAnsi="Arial" w:cs="Arial"/>
        </w:rPr>
        <w:tab/>
        <w:t>42</w:t>
      </w:r>
    </w:p>
    <w:p w:rsidR="00330CF1" w:rsidRDefault="00330CF1" w:rsidP="00C859FF">
      <w:pPr>
        <w:numPr>
          <w:ilvl w:val="12"/>
          <w:numId w:val="0"/>
        </w:numPr>
        <w:tabs>
          <w:tab w:val="right" w:leader="dot" w:pos="9360"/>
        </w:tabs>
        <w:rPr>
          <w:rFonts w:ascii="Arial" w:hAnsi="Arial" w:cs="Arial"/>
        </w:rPr>
      </w:pPr>
      <w:r>
        <w:rPr>
          <w:rFonts w:ascii="Arial" w:hAnsi="Arial" w:cs="Arial"/>
        </w:rPr>
        <w:t>Figure 1.7 Pathways in the formation of Advanced Glycation End Products</w:t>
      </w:r>
      <w:r>
        <w:rPr>
          <w:rFonts w:ascii="Arial" w:hAnsi="Arial" w:cs="Arial"/>
        </w:rPr>
        <w:tab/>
        <w:t>43</w:t>
      </w:r>
    </w:p>
    <w:p w:rsidR="00330CF1" w:rsidRDefault="00330CF1" w:rsidP="00C859FF">
      <w:pPr>
        <w:numPr>
          <w:ilvl w:val="12"/>
          <w:numId w:val="0"/>
        </w:numPr>
        <w:tabs>
          <w:tab w:val="right" w:leader="dot" w:pos="9360"/>
        </w:tabs>
        <w:rPr>
          <w:rFonts w:ascii="Arial" w:hAnsi="Arial" w:cs="Arial"/>
        </w:rPr>
      </w:pPr>
      <w:r>
        <w:rPr>
          <w:rFonts w:ascii="Arial" w:hAnsi="Arial" w:cs="Arial"/>
        </w:rPr>
        <w:t>Figure 1.8 Formation of isopeptide crosslinks during processing</w:t>
      </w:r>
      <w:r>
        <w:rPr>
          <w:rFonts w:ascii="Arial" w:hAnsi="Arial" w:cs="Arial"/>
        </w:rPr>
        <w:tab/>
        <w:t>.45</w:t>
      </w:r>
    </w:p>
    <w:p w:rsidR="00330CF1" w:rsidRDefault="00330CF1" w:rsidP="00C859FF">
      <w:pPr>
        <w:numPr>
          <w:ilvl w:val="12"/>
          <w:numId w:val="0"/>
        </w:numPr>
        <w:tabs>
          <w:tab w:val="right" w:leader="dot" w:pos="9360"/>
        </w:tabs>
        <w:rPr>
          <w:rFonts w:ascii="Arial" w:hAnsi="Arial" w:cs="Arial"/>
        </w:rPr>
      </w:pPr>
      <w:r>
        <w:rPr>
          <w:rFonts w:ascii="Arial" w:hAnsi="Arial" w:cs="Arial"/>
        </w:rPr>
        <w:t>Figure 1.9 Formation of dehydroproteins and amino acid racemization</w:t>
      </w:r>
      <w:r>
        <w:rPr>
          <w:rFonts w:ascii="Arial" w:hAnsi="Arial" w:cs="Arial"/>
        </w:rPr>
        <w:tab/>
        <w:t>.46</w:t>
      </w:r>
    </w:p>
    <w:p w:rsidR="00330CF1" w:rsidRDefault="00330CF1" w:rsidP="00C859FF">
      <w:pPr>
        <w:numPr>
          <w:ilvl w:val="12"/>
          <w:numId w:val="0"/>
        </w:numPr>
        <w:tabs>
          <w:tab w:val="right" w:leader="dot" w:pos="9360"/>
        </w:tabs>
        <w:rPr>
          <w:rFonts w:ascii="Arial" w:hAnsi="Arial" w:cs="Arial"/>
        </w:rPr>
      </w:pPr>
      <w:r>
        <w:rPr>
          <w:rFonts w:ascii="Arial" w:hAnsi="Arial" w:cs="Arial"/>
        </w:rPr>
        <w:t>Figure 1.10 Formation of cross-linked peptides</w:t>
      </w:r>
      <w:r>
        <w:rPr>
          <w:rFonts w:ascii="Arial" w:hAnsi="Arial" w:cs="Arial"/>
        </w:rPr>
        <w:tab/>
        <w:t>47</w:t>
      </w:r>
    </w:p>
    <w:p w:rsidR="00330CF1" w:rsidRDefault="00330CF1" w:rsidP="00C859FF">
      <w:pPr>
        <w:numPr>
          <w:ilvl w:val="12"/>
          <w:numId w:val="0"/>
        </w:numPr>
        <w:tabs>
          <w:tab w:val="right" w:leader="dot" w:pos="9360"/>
        </w:tabs>
        <w:rPr>
          <w:rFonts w:ascii="Arial" w:hAnsi="Arial" w:cs="Arial"/>
        </w:rPr>
      </w:pPr>
      <w:r>
        <w:rPr>
          <w:rFonts w:ascii="Arial" w:hAnsi="Arial" w:cs="Arial"/>
        </w:rPr>
        <w:t>Figure 1.11 Proposed formation of heterocyclic amines (IQ) compounds from Maillard reaction products and creatine</w:t>
      </w:r>
      <w:r>
        <w:rPr>
          <w:rFonts w:ascii="Arial" w:hAnsi="Arial" w:cs="Arial"/>
        </w:rPr>
        <w:tab/>
        <w:t>49</w:t>
      </w:r>
    </w:p>
    <w:p w:rsidR="00330CF1" w:rsidRDefault="00330CF1" w:rsidP="00C859FF">
      <w:pPr>
        <w:numPr>
          <w:ilvl w:val="12"/>
          <w:numId w:val="0"/>
        </w:numPr>
        <w:tabs>
          <w:tab w:val="right" w:leader="dot" w:pos="9360"/>
        </w:tabs>
        <w:rPr>
          <w:rFonts w:ascii="Arial" w:hAnsi="Arial" w:cs="Arial"/>
        </w:rPr>
      </w:pPr>
      <w:r>
        <w:rPr>
          <w:rFonts w:ascii="Arial" w:hAnsi="Arial" w:cs="Arial"/>
        </w:rPr>
        <w:t>Figure 1.12 Methionine, cysteine and cystine oxidation</w:t>
      </w:r>
      <w:r>
        <w:rPr>
          <w:rFonts w:ascii="Arial" w:hAnsi="Arial" w:cs="Arial"/>
        </w:rPr>
        <w:tab/>
        <w:t>51</w:t>
      </w:r>
    </w:p>
    <w:p w:rsidR="00330CF1" w:rsidRDefault="00330CF1" w:rsidP="00C859FF">
      <w:pPr>
        <w:numPr>
          <w:ilvl w:val="12"/>
          <w:numId w:val="0"/>
        </w:numPr>
        <w:tabs>
          <w:tab w:val="right" w:leader="dot" w:pos="9360"/>
        </w:tabs>
        <w:rPr>
          <w:rFonts w:ascii="Arial" w:hAnsi="Arial" w:cs="Arial"/>
        </w:rPr>
      </w:pPr>
      <w:r>
        <w:rPr>
          <w:rFonts w:ascii="Arial" w:hAnsi="Arial" w:cs="Arial"/>
        </w:rPr>
        <w:t>Figure 1.13 Tyrosine oxidation</w:t>
      </w:r>
      <w:r>
        <w:rPr>
          <w:rFonts w:ascii="Arial" w:hAnsi="Arial" w:cs="Arial"/>
        </w:rPr>
        <w:tab/>
        <w:t>52</w:t>
      </w:r>
    </w:p>
    <w:p w:rsidR="00330CF1" w:rsidRDefault="00330CF1" w:rsidP="00C859FF">
      <w:pPr>
        <w:numPr>
          <w:ilvl w:val="12"/>
          <w:numId w:val="0"/>
        </w:numPr>
        <w:tabs>
          <w:tab w:val="right" w:leader="dot" w:pos="9360"/>
        </w:tabs>
        <w:rPr>
          <w:rFonts w:ascii="Arial" w:hAnsi="Arial" w:cs="Arial"/>
        </w:rPr>
      </w:pPr>
      <w:r>
        <w:rPr>
          <w:rFonts w:ascii="Arial" w:hAnsi="Arial" w:cs="Arial"/>
        </w:rPr>
        <w:t>Figure 1.14 Tryptophan derivatives from food processing</w:t>
      </w:r>
      <w:r>
        <w:rPr>
          <w:rFonts w:ascii="Arial" w:hAnsi="Arial" w:cs="Arial"/>
        </w:rPr>
        <w:tab/>
        <w:t>53</w:t>
      </w:r>
    </w:p>
    <w:p w:rsidR="00330CF1" w:rsidRDefault="00330CF1" w:rsidP="00C859FF">
      <w:pPr>
        <w:numPr>
          <w:ilvl w:val="12"/>
          <w:numId w:val="0"/>
        </w:numPr>
        <w:tabs>
          <w:tab w:val="right" w:leader="dot" w:pos="9360"/>
        </w:tabs>
        <w:rPr>
          <w:rFonts w:ascii="Arial" w:hAnsi="Arial" w:cs="Arial"/>
        </w:rPr>
      </w:pPr>
      <w:r>
        <w:rPr>
          <w:rFonts w:ascii="Arial" w:hAnsi="Arial" w:cs="Arial"/>
        </w:rPr>
        <w:t>Figure 1.15 Summary of crosslinking reactions that can occur during food processing</w:t>
      </w:r>
      <w:r>
        <w:rPr>
          <w:rFonts w:ascii="Arial" w:hAnsi="Arial" w:cs="Arial"/>
        </w:rPr>
        <w:tab/>
        <w:t>54</w:t>
      </w:r>
    </w:p>
    <w:p w:rsidR="00330CF1" w:rsidRDefault="00330CF1" w:rsidP="00C859FF">
      <w:pPr>
        <w:numPr>
          <w:ilvl w:val="12"/>
          <w:numId w:val="0"/>
        </w:numPr>
        <w:tabs>
          <w:tab w:val="right" w:leader="dot" w:pos="9360"/>
        </w:tabs>
        <w:rPr>
          <w:rFonts w:ascii="Arial" w:hAnsi="Arial" w:cs="Arial"/>
        </w:rPr>
      </w:pPr>
      <w:r>
        <w:rPr>
          <w:rFonts w:ascii="Arial" w:hAnsi="Arial" w:cs="Arial"/>
        </w:rPr>
        <w:t>Figure 2.1 Mean daily weight gain by sex and treatment</w:t>
      </w:r>
      <w:r>
        <w:rPr>
          <w:rFonts w:ascii="Arial" w:hAnsi="Arial" w:cs="Arial"/>
        </w:rPr>
        <w:tab/>
        <w:t>72</w:t>
      </w:r>
    </w:p>
    <w:p w:rsidR="00330CF1" w:rsidRDefault="00330CF1" w:rsidP="00C859FF">
      <w:pPr>
        <w:numPr>
          <w:ilvl w:val="12"/>
          <w:numId w:val="0"/>
        </w:numPr>
        <w:tabs>
          <w:tab w:val="right" w:leader="dot" w:pos="9360"/>
        </w:tabs>
        <w:rPr>
          <w:rFonts w:ascii="Arial" w:hAnsi="Arial" w:cs="Arial"/>
        </w:rPr>
      </w:pPr>
      <w:r>
        <w:rPr>
          <w:rFonts w:ascii="Arial" w:hAnsi="Arial" w:cs="Arial"/>
        </w:rPr>
        <w:t>Figure 2.2 Mean weekly weight by sex</w:t>
      </w:r>
      <w:r>
        <w:rPr>
          <w:rFonts w:ascii="Arial" w:hAnsi="Arial" w:cs="Arial"/>
        </w:rPr>
        <w:tab/>
        <w:t>73</w:t>
      </w:r>
    </w:p>
    <w:p w:rsidR="00330CF1" w:rsidRDefault="00330CF1" w:rsidP="00C859FF">
      <w:pPr>
        <w:numPr>
          <w:ilvl w:val="12"/>
          <w:numId w:val="0"/>
        </w:numPr>
        <w:tabs>
          <w:tab w:val="right" w:leader="dot" w:pos="9360"/>
        </w:tabs>
        <w:rPr>
          <w:rFonts w:ascii="Arial" w:hAnsi="Arial" w:cs="Arial"/>
        </w:rPr>
      </w:pPr>
      <w:r>
        <w:rPr>
          <w:rFonts w:ascii="Arial" w:hAnsi="Arial" w:cs="Arial"/>
        </w:rPr>
        <w:t>Figure 2.3 Male weekly weight by diet treatment</w:t>
      </w:r>
      <w:r>
        <w:rPr>
          <w:rFonts w:ascii="Arial" w:hAnsi="Arial" w:cs="Arial"/>
        </w:rPr>
        <w:tab/>
        <w:t>74</w:t>
      </w:r>
    </w:p>
    <w:p w:rsidR="00330CF1" w:rsidRDefault="00330CF1" w:rsidP="00C859FF">
      <w:pPr>
        <w:numPr>
          <w:ilvl w:val="12"/>
          <w:numId w:val="0"/>
        </w:numPr>
        <w:tabs>
          <w:tab w:val="right" w:leader="dot" w:pos="9360"/>
        </w:tabs>
        <w:ind w:left="86" w:hanging="86"/>
        <w:rPr>
          <w:rFonts w:ascii="Arial" w:hAnsi="Arial" w:cs="Arial"/>
        </w:rPr>
      </w:pPr>
      <w:r>
        <w:rPr>
          <w:rFonts w:ascii="Arial" w:hAnsi="Arial" w:cs="Arial"/>
        </w:rPr>
        <w:t>Figure 2.4 Female weekly weight by diet treatment</w:t>
      </w:r>
      <w:r>
        <w:rPr>
          <w:rFonts w:ascii="Arial" w:hAnsi="Arial" w:cs="Arial"/>
        </w:rPr>
        <w:tab/>
        <w:t>74</w:t>
      </w:r>
    </w:p>
    <w:p w:rsidR="00330CF1" w:rsidRDefault="00330CF1" w:rsidP="00C859FF">
      <w:pPr>
        <w:numPr>
          <w:ilvl w:val="12"/>
          <w:numId w:val="0"/>
        </w:numPr>
        <w:tabs>
          <w:tab w:val="right" w:leader="dot" w:pos="9360"/>
        </w:tabs>
        <w:rPr>
          <w:rFonts w:ascii="Arial" w:hAnsi="Arial" w:cs="Arial"/>
        </w:rPr>
      </w:pPr>
      <w:r>
        <w:rPr>
          <w:rFonts w:ascii="Arial" w:hAnsi="Arial" w:cs="Arial"/>
        </w:rPr>
        <w:t>Figure 2.5 Male weekly height by diet treatment</w:t>
      </w:r>
      <w:r>
        <w:rPr>
          <w:rFonts w:ascii="Arial" w:hAnsi="Arial" w:cs="Arial"/>
        </w:rPr>
        <w:tab/>
        <w:t>.75</w:t>
      </w:r>
    </w:p>
    <w:p w:rsidR="00330CF1" w:rsidRDefault="00330CF1" w:rsidP="00C859FF">
      <w:pPr>
        <w:numPr>
          <w:ilvl w:val="12"/>
          <w:numId w:val="0"/>
        </w:numPr>
        <w:tabs>
          <w:tab w:val="right" w:leader="dot" w:pos="9360"/>
        </w:tabs>
        <w:rPr>
          <w:rFonts w:ascii="Arial" w:hAnsi="Arial" w:cs="Arial"/>
        </w:rPr>
      </w:pPr>
      <w:r>
        <w:rPr>
          <w:rFonts w:ascii="Arial" w:hAnsi="Arial" w:cs="Arial"/>
        </w:rPr>
        <w:t>Figure 2.6 Female weekly height by diet treatment</w:t>
      </w:r>
      <w:r>
        <w:rPr>
          <w:rFonts w:ascii="Arial" w:hAnsi="Arial" w:cs="Arial"/>
        </w:rPr>
        <w:tab/>
        <w:t>75</w:t>
      </w:r>
    </w:p>
    <w:p w:rsidR="00330CF1" w:rsidRDefault="00330CF1" w:rsidP="00C859FF">
      <w:pPr>
        <w:numPr>
          <w:ilvl w:val="12"/>
          <w:numId w:val="0"/>
        </w:numPr>
        <w:tabs>
          <w:tab w:val="right" w:leader="dot" w:pos="9360"/>
        </w:tabs>
        <w:rPr>
          <w:rFonts w:ascii="Arial" w:hAnsi="Arial" w:cs="Arial"/>
        </w:rPr>
      </w:pPr>
      <w:r>
        <w:rPr>
          <w:rFonts w:ascii="Arial" w:hAnsi="Arial" w:cs="Arial"/>
        </w:rPr>
        <w:t>Figure 2.7 Male weekly length by diet treatment</w:t>
      </w:r>
      <w:r>
        <w:rPr>
          <w:rFonts w:ascii="Arial" w:hAnsi="Arial" w:cs="Arial"/>
        </w:rPr>
        <w:tab/>
        <w:t>76</w:t>
      </w:r>
    </w:p>
    <w:p w:rsidR="00330CF1" w:rsidRDefault="00330CF1" w:rsidP="00C859FF">
      <w:pPr>
        <w:numPr>
          <w:ilvl w:val="12"/>
          <w:numId w:val="0"/>
        </w:numPr>
        <w:tabs>
          <w:tab w:val="right" w:leader="dot" w:pos="9360"/>
        </w:tabs>
        <w:rPr>
          <w:rFonts w:ascii="Arial" w:hAnsi="Arial" w:cs="Arial"/>
        </w:rPr>
      </w:pPr>
      <w:r>
        <w:rPr>
          <w:rFonts w:ascii="Arial" w:hAnsi="Arial" w:cs="Arial"/>
        </w:rPr>
        <w:t>Figure 2.8 Female weekly length by diet treatment</w:t>
      </w:r>
      <w:r>
        <w:rPr>
          <w:rFonts w:ascii="Arial" w:hAnsi="Arial" w:cs="Arial"/>
        </w:rPr>
        <w:tab/>
        <w:t>.76</w:t>
      </w:r>
    </w:p>
    <w:p w:rsidR="00330CF1" w:rsidRDefault="00330CF1" w:rsidP="00C859FF">
      <w:pPr>
        <w:numPr>
          <w:ilvl w:val="12"/>
          <w:numId w:val="0"/>
        </w:numPr>
        <w:tabs>
          <w:tab w:val="right" w:leader="dot" w:pos="9360"/>
        </w:tabs>
        <w:rPr>
          <w:rFonts w:ascii="Arial" w:hAnsi="Arial" w:cs="Arial"/>
        </w:rPr>
      </w:pPr>
      <w:r>
        <w:rPr>
          <w:rFonts w:ascii="Arial" w:hAnsi="Arial" w:cs="Arial"/>
        </w:rPr>
        <w:t>Figure 2.9 Mean weekly height by sex</w:t>
      </w:r>
      <w:r>
        <w:rPr>
          <w:rFonts w:ascii="Arial" w:hAnsi="Arial" w:cs="Arial"/>
        </w:rPr>
        <w:tab/>
        <w:t>77</w:t>
      </w:r>
    </w:p>
    <w:p w:rsidR="00330CF1" w:rsidRDefault="00330CF1" w:rsidP="00C859FF">
      <w:pPr>
        <w:numPr>
          <w:ilvl w:val="12"/>
          <w:numId w:val="0"/>
        </w:numPr>
        <w:tabs>
          <w:tab w:val="right" w:leader="dot" w:pos="9360"/>
        </w:tabs>
        <w:rPr>
          <w:rFonts w:ascii="Arial" w:hAnsi="Arial" w:cs="Arial"/>
        </w:rPr>
      </w:pPr>
      <w:r>
        <w:rPr>
          <w:rFonts w:ascii="Arial" w:hAnsi="Arial" w:cs="Arial"/>
        </w:rPr>
        <w:t>Figure 2.10 Mean weekly length by sex</w:t>
      </w:r>
      <w:r>
        <w:rPr>
          <w:rFonts w:ascii="Arial" w:hAnsi="Arial" w:cs="Arial"/>
        </w:rPr>
        <w:tab/>
        <w:t>77</w:t>
      </w:r>
    </w:p>
    <w:p w:rsidR="00330CF1" w:rsidRDefault="00330CF1" w:rsidP="00C859FF">
      <w:pPr>
        <w:numPr>
          <w:ilvl w:val="12"/>
          <w:numId w:val="0"/>
        </w:numPr>
        <w:tabs>
          <w:tab w:val="right" w:leader="dot" w:pos="9360"/>
        </w:tabs>
        <w:rPr>
          <w:rFonts w:ascii="Arial" w:hAnsi="Arial" w:cs="Arial"/>
        </w:rPr>
      </w:pPr>
      <w:r>
        <w:rPr>
          <w:rFonts w:ascii="Arial" w:hAnsi="Arial" w:cs="Arial"/>
        </w:rPr>
        <w:t>Figure 2.11 DEXA body composition percentage by diet treatment and week</w:t>
      </w:r>
      <w:r>
        <w:rPr>
          <w:rFonts w:ascii="Arial" w:hAnsi="Arial" w:cs="Arial"/>
        </w:rPr>
        <w:tab/>
        <w:t>79</w:t>
      </w:r>
    </w:p>
    <w:p w:rsidR="00330CF1" w:rsidRDefault="00330CF1" w:rsidP="00C859FF">
      <w:pPr>
        <w:numPr>
          <w:ilvl w:val="12"/>
          <w:numId w:val="0"/>
        </w:numPr>
        <w:tabs>
          <w:tab w:val="right" w:leader="dot" w:pos="9360"/>
        </w:tabs>
        <w:rPr>
          <w:rFonts w:ascii="Arial" w:hAnsi="Arial" w:cs="Arial"/>
        </w:rPr>
      </w:pPr>
      <w:r>
        <w:rPr>
          <w:rFonts w:ascii="Arial" w:hAnsi="Arial" w:cs="Arial"/>
        </w:rPr>
        <w:t>Figure 2.12 DEXA body composition grams by diet treatment and week</w:t>
      </w:r>
      <w:r>
        <w:rPr>
          <w:rFonts w:ascii="Arial" w:hAnsi="Arial" w:cs="Arial"/>
        </w:rPr>
        <w:tab/>
        <w:t>81</w:t>
      </w:r>
    </w:p>
    <w:p w:rsidR="00330CF1" w:rsidRDefault="00330CF1" w:rsidP="00C859FF">
      <w:pPr>
        <w:numPr>
          <w:ilvl w:val="12"/>
          <w:numId w:val="0"/>
        </w:numPr>
        <w:tabs>
          <w:tab w:val="right" w:leader="dot" w:pos="9360"/>
        </w:tabs>
        <w:rPr>
          <w:rFonts w:ascii="Arial" w:hAnsi="Arial" w:cs="Arial"/>
        </w:rPr>
      </w:pPr>
      <w:r>
        <w:rPr>
          <w:rFonts w:ascii="Arial" w:hAnsi="Arial" w:cs="Arial"/>
        </w:rPr>
        <w:t>Figure 2.13 Feed efficiency by diet treatment and sex</w:t>
      </w:r>
      <w:r>
        <w:rPr>
          <w:rFonts w:ascii="Arial" w:hAnsi="Arial" w:cs="Arial"/>
        </w:rPr>
        <w:tab/>
        <w:t>87</w:t>
      </w:r>
    </w:p>
    <w:p w:rsidR="00330CF1" w:rsidRDefault="00330CF1" w:rsidP="00C859FF">
      <w:pPr>
        <w:numPr>
          <w:ilvl w:val="12"/>
          <w:numId w:val="0"/>
        </w:numPr>
        <w:tabs>
          <w:tab w:val="right" w:leader="dot" w:pos="9360"/>
        </w:tabs>
        <w:rPr>
          <w:rFonts w:ascii="Arial" w:hAnsi="Arial" w:cs="Arial"/>
        </w:rPr>
      </w:pPr>
      <w:r>
        <w:rPr>
          <w:rFonts w:ascii="Arial" w:hAnsi="Arial" w:cs="Arial"/>
        </w:rPr>
        <w:t>Figure 2.14 Protein efficiency ratio by diet treatment and sex</w:t>
      </w:r>
      <w:r>
        <w:rPr>
          <w:rFonts w:ascii="Arial" w:hAnsi="Arial" w:cs="Arial"/>
        </w:rPr>
        <w:tab/>
        <w:t>87</w:t>
      </w:r>
    </w:p>
    <w:p w:rsidR="00330CF1" w:rsidRDefault="00330CF1" w:rsidP="00C859FF">
      <w:pPr>
        <w:numPr>
          <w:ilvl w:val="12"/>
          <w:numId w:val="0"/>
        </w:numPr>
        <w:tabs>
          <w:tab w:val="right" w:leader="dot" w:pos="9360"/>
        </w:tabs>
        <w:rPr>
          <w:rFonts w:ascii="Arial" w:hAnsi="Arial" w:cs="Arial"/>
        </w:rPr>
      </w:pPr>
      <w:r>
        <w:rPr>
          <w:rFonts w:ascii="Arial" w:hAnsi="Arial" w:cs="Arial"/>
        </w:rPr>
        <w:t>Figure 3.1 Oxidative burst response to PMA by diet treatment and week</w:t>
      </w:r>
      <w:r>
        <w:rPr>
          <w:rFonts w:ascii="Arial" w:hAnsi="Arial" w:cs="Arial"/>
        </w:rPr>
        <w:tab/>
        <w:t>100</w:t>
      </w:r>
    </w:p>
    <w:p w:rsidR="00330CF1" w:rsidRDefault="00330CF1" w:rsidP="00C859FF">
      <w:pPr>
        <w:numPr>
          <w:ilvl w:val="12"/>
          <w:numId w:val="0"/>
        </w:numPr>
        <w:tabs>
          <w:tab w:val="right" w:leader="dot" w:pos="9360"/>
        </w:tabs>
        <w:rPr>
          <w:rFonts w:ascii="Arial" w:hAnsi="Arial" w:cs="Arial"/>
        </w:rPr>
      </w:pPr>
      <w:r>
        <w:rPr>
          <w:rFonts w:ascii="Arial" w:hAnsi="Arial" w:cs="Arial"/>
        </w:rPr>
        <w:t xml:space="preserve">Figure 3.2 Oxidative burst response to </w:t>
      </w:r>
      <w:r>
        <w:rPr>
          <w:rFonts w:ascii="Arial" w:hAnsi="Arial" w:cs="Arial"/>
          <w:i/>
        </w:rPr>
        <w:t>E. coli</w:t>
      </w:r>
      <w:r>
        <w:rPr>
          <w:rFonts w:ascii="Arial" w:hAnsi="Arial" w:cs="Arial"/>
        </w:rPr>
        <w:t xml:space="preserve"> by diet treatment and week</w:t>
      </w:r>
      <w:r>
        <w:rPr>
          <w:rFonts w:ascii="Arial" w:hAnsi="Arial" w:cs="Arial"/>
        </w:rPr>
        <w:tab/>
        <w:t>101</w:t>
      </w:r>
    </w:p>
    <w:p w:rsidR="00330CF1" w:rsidRDefault="00330CF1" w:rsidP="00A86AD4">
      <w:pPr>
        <w:numPr>
          <w:ilvl w:val="12"/>
          <w:numId w:val="0"/>
        </w:numPr>
        <w:tabs>
          <w:tab w:val="right" w:leader="dot" w:pos="9360"/>
        </w:tabs>
        <w:rPr>
          <w:rFonts w:ascii="Arial" w:hAnsi="Arial" w:cs="Arial"/>
        </w:rPr>
      </w:pPr>
      <w:r>
        <w:rPr>
          <w:rFonts w:ascii="Arial" w:hAnsi="Arial" w:cs="Arial"/>
        </w:rPr>
        <w:t>Figure 3.3 Phagocytosis response by diet treatment and week</w:t>
      </w:r>
      <w:r>
        <w:rPr>
          <w:rFonts w:ascii="Arial" w:hAnsi="Arial" w:cs="Arial"/>
        </w:rPr>
        <w:tab/>
        <w:t>101</w:t>
      </w:r>
    </w:p>
    <w:p w:rsidR="00330CF1" w:rsidRDefault="00330CF1" w:rsidP="004D4738">
      <w:pPr>
        <w:numPr>
          <w:ilvl w:val="12"/>
          <w:numId w:val="0"/>
        </w:numPr>
        <w:tabs>
          <w:tab w:val="right" w:leader="dot" w:pos="9360"/>
        </w:tabs>
        <w:rPr>
          <w:rFonts w:ascii="Arial" w:hAnsi="Arial" w:cs="Arial"/>
        </w:rPr>
      </w:pPr>
      <w:r>
        <w:rPr>
          <w:rFonts w:ascii="Arial" w:hAnsi="Arial" w:cs="Arial"/>
        </w:rPr>
        <w:t>Figure 3.4 Serum total lymphocytes by diet treatment and week</w:t>
      </w:r>
      <w:r>
        <w:rPr>
          <w:rFonts w:ascii="Arial" w:hAnsi="Arial" w:cs="Arial"/>
        </w:rPr>
        <w:tab/>
        <w:t>103</w:t>
      </w:r>
    </w:p>
    <w:p w:rsidR="00330CF1" w:rsidRDefault="00330CF1" w:rsidP="004D4738">
      <w:pPr>
        <w:numPr>
          <w:ilvl w:val="12"/>
          <w:numId w:val="0"/>
        </w:numPr>
        <w:tabs>
          <w:tab w:val="right" w:leader="dot" w:pos="9360"/>
        </w:tabs>
        <w:rPr>
          <w:rFonts w:ascii="Arial" w:hAnsi="Arial" w:cs="Arial"/>
        </w:rPr>
      </w:pPr>
      <w:r>
        <w:rPr>
          <w:rFonts w:ascii="Arial" w:hAnsi="Arial" w:cs="Arial"/>
        </w:rPr>
        <w:t>Figure 3.5 Total IgG by diet treatment and week</w:t>
      </w:r>
      <w:r>
        <w:rPr>
          <w:rFonts w:ascii="Arial" w:hAnsi="Arial" w:cs="Arial"/>
        </w:rPr>
        <w:tab/>
        <w:t>103</w:t>
      </w:r>
    </w:p>
    <w:p w:rsidR="00330CF1" w:rsidRDefault="00330CF1" w:rsidP="004D4738">
      <w:pPr>
        <w:numPr>
          <w:ilvl w:val="12"/>
          <w:numId w:val="0"/>
        </w:numPr>
        <w:tabs>
          <w:tab w:val="right" w:leader="dot" w:pos="9360"/>
        </w:tabs>
        <w:rPr>
          <w:rFonts w:ascii="Arial" w:hAnsi="Arial" w:cs="Arial"/>
        </w:rPr>
      </w:pPr>
      <w:r>
        <w:rPr>
          <w:rFonts w:ascii="Arial" w:hAnsi="Arial" w:cs="Arial"/>
        </w:rPr>
        <w:t>Figure 3.6 Total IgM by diet treatment and week</w:t>
      </w:r>
      <w:r>
        <w:rPr>
          <w:rFonts w:ascii="Arial" w:hAnsi="Arial" w:cs="Arial"/>
        </w:rPr>
        <w:tab/>
        <w:t>104</w:t>
      </w:r>
    </w:p>
    <w:p w:rsidR="00330CF1" w:rsidRDefault="00330CF1" w:rsidP="004D4738">
      <w:pPr>
        <w:numPr>
          <w:ilvl w:val="12"/>
          <w:numId w:val="0"/>
        </w:numPr>
        <w:tabs>
          <w:tab w:val="right" w:leader="dot" w:pos="9360"/>
        </w:tabs>
        <w:rPr>
          <w:rFonts w:ascii="Arial" w:hAnsi="Arial" w:cs="Arial"/>
        </w:rPr>
      </w:pPr>
      <w:r>
        <w:rPr>
          <w:rFonts w:ascii="Arial" w:hAnsi="Arial" w:cs="Arial"/>
        </w:rPr>
        <w:t>Figure 3.7 Post vaccination IgG herpes titers by diet treatment</w:t>
      </w:r>
      <w:r>
        <w:rPr>
          <w:rFonts w:ascii="Arial" w:hAnsi="Arial" w:cs="Arial"/>
        </w:rPr>
        <w:tab/>
        <w:t>105</w:t>
      </w:r>
    </w:p>
    <w:p w:rsidR="00330CF1" w:rsidRDefault="00330CF1" w:rsidP="003B04C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rPr>
          <w:rFonts w:ascii="Arial" w:hAnsi="Arial" w:cs="Arial"/>
        </w:rPr>
      </w:pPr>
      <w:r>
        <w:rPr>
          <w:rFonts w:ascii="Arial" w:hAnsi="Arial" w:cs="Arial"/>
        </w:rPr>
        <w:t xml:space="preserve">Figure 4.1 Urinary isoprostane/creatinine ratio log 10 transformation by </w:t>
      </w:r>
    </w:p>
    <w:p w:rsidR="00330CF1" w:rsidRDefault="00330CF1" w:rsidP="004D4738">
      <w:pPr>
        <w:numPr>
          <w:ilvl w:val="12"/>
          <w:numId w:val="0"/>
        </w:numPr>
        <w:tabs>
          <w:tab w:val="right" w:leader="dot" w:pos="9360"/>
        </w:tabs>
        <w:rPr>
          <w:rFonts w:ascii="Arial" w:hAnsi="Arial" w:cs="Arial"/>
        </w:rPr>
      </w:pPr>
      <w:r>
        <w:rPr>
          <w:rFonts w:ascii="Arial" w:hAnsi="Arial" w:cs="Arial"/>
        </w:rPr>
        <w:t xml:space="preserve">                 diet treatment and week</w:t>
      </w:r>
      <w:r>
        <w:rPr>
          <w:rFonts w:ascii="Arial" w:hAnsi="Arial" w:cs="Arial"/>
        </w:rPr>
        <w:tab/>
        <w:t>115</w:t>
      </w:r>
    </w:p>
    <w:p w:rsidR="00330CF1" w:rsidRDefault="00330CF1" w:rsidP="003B04C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rPr>
          <w:rFonts w:ascii="Arial" w:hAnsi="Arial" w:cs="Arial"/>
        </w:rPr>
      </w:pPr>
    </w:p>
    <w:p w:rsidR="00330CF1" w:rsidRPr="003B04CD" w:rsidRDefault="00330CF1" w:rsidP="003B04C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rPr>
          <w:rFonts w:ascii="Arial" w:hAnsi="Arial" w:cs="Arial"/>
        </w:rPr>
      </w:pPr>
    </w:p>
    <w:p w:rsidR="00330CF1" w:rsidRDefault="00330CF1" w:rsidP="00D95C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jc w:val="center"/>
        <w:rPr>
          <w:rFonts w:ascii="Arial" w:hAnsi="Arial" w:cs="Arial"/>
          <w:b/>
        </w:rPr>
      </w:pPr>
      <w:r w:rsidRPr="00C4735D">
        <w:rPr>
          <w:rFonts w:ascii="Arial" w:hAnsi="Arial" w:cs="Arial"/>
          <w:b/>
        </w:rPr>
        <w:lastRenderedPageBreak/>
        <w:t>LIST OF ABBREVIATIONS</w:t>
      </w:r>
    </w:p>
    <w:p w:rsidR="00330CF1" w:rsidRDefault="00330CF1" w:rsidP="00C4735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rPr>
          <w:rFonts w:ascii="Arial" w:hAnsi="Arial" w:cs="Arial"/>
          <w:b/>
        </w:rPr>
      </w:pP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AAFCO</w:t>
      </w:r>
      <w:r>
        <w:rPr>
          <w:rFonts w:ascii="Arial" w:hAnsi="Arial" w:cs="Arial"/>
        </w:rPr>
        <w:tab/>
        <w:t>Association of American Feed Control Officials</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ACP</w:t>
      </w:r>
      <w:r>
        <w:rPr>
          <w:rFonts w:ascii="Arial" w:hAnsi="Arial" w:cs="Arial"/>
        </w:rPr>
        <w:tab/>
        <w:t>acyl carrier protein</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AGE</w:t>
      </w:r>
      <w:r>
        <w:rPr>
          <w:rFonts w:ascii="Arial" w:hAnsi="Arial" w:cs="Arial"/>
        </w:rPr>
        <w:tab/>
        <w:t>advanced glycation end products</w:t>
      </w:r>
    </w:p>
    <w:p w:rsidR="00330CF1" w:rsidRPr="002403BA" w:rsidRDefault="00330CF1" w:rsidP="002403BA">
      <w:pPr>
        <w:numPr>
          <w:ilvl w:val="12"/>
          <w:numId w:val="0"/>
        </w:numPr>
        <w:tabs>
          <w:tab w:val="left" w:pos="1800"/>
        </w:tabs>
        <w:ind w:left="8280" w:hanging="8280"/>
        <w:rPr>
          <w:rFonts w:ascii="Arial" w:hAnsi="Arial" w:cs="Arial"/>
          <w:i/>
        </w:rPr>
      </w:pPr>
      <w:r>
        <w:rPr>
          <w:rFonts w:ascii="Arial" w:hAnsi="Arial" w:cs="Arial"/>
        </w:rPr>
        <w:t>AIEC</w:t>
      </w:r>
      <w:r>
        <w:rPr>
          <w:rFonts w:ascii="Arial" w:hAnsi="Arial" w:cs="Arial"/>
        </w:rPr>
        <w:tab/>
        <w:t xml:space="preserve">adherent-invasive </w:t>
      </w:r>
      <w:r>
        <w:rPr>
          <w:rFonts w:ascii="Arial" w:hAnsi="Arial" w:cs="Arial"/>
          <w:i/>
        </w:rPr>
        <w:t>Escherichia coli</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ALK</w:t>
      </w:r>
      <w:r>
        <w:rPr>
          <w:rFonts w:ascii="Arial" w:hAnsi="Arial" w:cs="Arial"/>
        </w:rPr>
        <w:tab/>
        <w:t>alkaline phosphatase</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ANOVA</w:t>
      </w:r>
      <w:r>
        <w:rPr>
          <w:rFonts w:ascii="Arial" w:hAnsi="Arial" w:cs="Arial"/>
        </w:rPr>
        <w:tab/>
        <w:t>analysis of variance</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APC</w:t>
      </w:r>
      <w:r>
        <w:rPr>
          <w:rFonts w:ascii="Arial" w:hAnsi="Arial" w:cs="Arial"/>
        </w:rPr>
        <w:tab/>
        <w:t>antigen-presenting cell</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APP</w:t>
      </w:r>
      <w:r>
        <w:rPr>
          <w:rFonts w:ascii="Arial" w:hAnsi="Arial" w:cs="Arial"/>
        </w:rPr>
        <w:tab/>
        <w:t>antimicrobial proteins and peptides</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AOC</w:t>
      </w:r>
      <w:r>
        <w:rPr>
          <w:rFonts w:ascii="Arial" w:hAnsi="Arial" w:cs="Arial"/>
        </w:rPr>
        <w:tab/>
        <w:t>American Oil Chemists’ Society</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ATP</w:t>
      </w:r>
      <w:r>
        <w:rPr>
          <w:rFonts w:ascii="Arial" w:hAnsi="Arial" w:cs="Arial"/>
        </w:rPr>
        <w:tab/>
        <w:t>adenosine triphosphate</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BARF</w:t>
      </w:r>
      <w:r>
        <w:rPr>
          <w:rFonts w:ascii="Arial" w:hAnsi="Arial" w:cs="Arial"/>
        </w:rPr>
        <w:tab/>
        <w:t>biologically appropriate raw foods</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BCFA</w:t>
      </w:r>
      <w:r>
        <w:rPr>
          <w:rFonts w:ascii="Arial" w:hAnsi="Arial" w:cs="Arial"/>
        </w:rPr>
        <w:tab/>
        <w:t>branched-chain fatty acid</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BCS</w:t>
      </w:r>
      <w:r>
        <w:rPr>
          <w:rFonts w:ascii="Arial" w:hAnsi="Arial" w:cs="Arial"/>
        </w:rPr>
        <w:tab/>
        <w:t>body condition score</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BOSS</w:t>
      </w:r>
      <w:r>
        <w:rPr>
          <w:rFonts w:ascii="Arial" w:hAnsi="Arial" w:cs="Arial"/>
        </w:rPr>
        <w:tab/>
        <w:t>Biomarkers of Oxidative Stress Study</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BSA</w:t>
      </w:r>
      <w:r>
        <w:rPr>
          <w:rFonts w:ascii="Arial" w:hAnsi="Arial" w:cs="Arial"/>
        </w:rPr>
        <w:tab/>
        <w:t>bovine serum albumin</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BUN</w:t>
      </w:r>
      <w:r>
        <w:rPr>
          <w:rFonts w:ascii="Arial" w:hAnsi="Arial" w:cs="Arial"/>
        </w:rPr>
        <w:tab/>
        <w:t>blood urea nitrogen</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CBC</w:t>
      </w:r>
      <w:r>
        <w:rPr>
          <w:rFonts w:ascii="Arial" w:hAnsi="Arial" w:cs="Arial"/>
        </w:rPr>
        <w:tab/>
        <w:t>complete blood count</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CD</w:t>
      </w:r>
      <w:r>
        <w:rPr>
          <w:rFonts w:ascii="Arial" w:hAnsi="Arial" w:cs="Arial"/>
        </w:rPr>
        <w:tab/>
        <w:t>cluster of differentiation</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CFU</w:t>
      </w:r>
      <w:r>
        <w:rPr>
          <w:rFonts w:ascii="Arial" w:hAnsi="Arial" w:cs="Arial"/>
        </w:rPr>
        <w:tab/>
        <w:t>colony forming unit</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CoA</w:t>
      </w:r>
      <w:r>
        <w:rPr>
          <w:rFonts w:ascii="Arial" w:hAnsi="Arial" w:cs="Arial"/>
        </w:rPr>
        <w:tab/>
        <w:t>coenzyme A</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CP</w:t>
      </w:r>
      <w:r>
        <w:rPr>
          <w:rFonts w:ascii="Arial" w:hAnsi="Arial" w:cs="Arial"/>
        </w:rPr>
        <w:tab/>
        <w:t>crude protein</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Cu</w:t>
      </w:r>
      <w:r>
        <w:rPr>
          <w:rFonts w:ascii="Arial" w:hAnsi="Arial" w:cs="Arial"/>
        </w:rPr>
        <w:tab/>
        <w:t>copper</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DC</w:t>
      </w:r>
      <w:r>
        <w:rPr>
          <w:rFonts w:ascii="Arial" w:hAnsi="Arial" w:cs="Arial"/>
        </w:rPr>
        <w:tab/>
        <w:t>dendritic cell</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DEXA</w:t>
      </w:r>
      <w:r>
        <w:rPr>
          <w:rFonts w:ascii="Arial" w:hAnsi="Arial" w:cs="Arial"/>
        </w:rPr>
        <w:tab/>
        <w:t>dual-energy X-ray absorpiometry</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DHA</w:t>
      </w:r>
      <w:r>
        <w:rPr>
          <w:rFonts w:ascii="Arial" w:hAnsi="Arial" w:cs="Arial"/>
        </w:rPr>
        <w:tab/>
        <w:t>docosahexaenoic acid</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DHR</w:t>
      </w:r>
      <w:r>
        <w:rPr>
          <w:rFonts w:ascii="Arial" w:hAnsi="Arial" w:cs="Arial"/>
        </w:rPr>
        <w:tab/>
        <w:t>dehydrorhodamine</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dL</w:t>
      </w:r>
      <w:r>
        <w:rPr>
          <w:rFonts w:ascii="Arial" w:hAnsi="Arial" w:cs="Arial"/>
        </w:rPr>
        <w:tab/>
        <w:t>deciliter</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DM</w:t>
      </w:r>
      <w:r>
        <w:rPr>
          <w:rFonts w:ascii="Arial" w:hAnsi="Arial" w:cs="Arial"/>
        </w:rPr>
        <w:tab/>
        <w:t>dry matter</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DNA</w:t>
      </w:r>
      <w:r>
        <w:rPr>
          <w:rFonts w:ascii="Arial" w:hAnsi="Arial" w:cs="Arial"/>
        </w:rPr>
        <w:tab/>
        <w:t>deoxyribonucleic acid</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DOPA</w:t>
      </w:r>
      <w:r>
        <w:rPr>
          <w:rFonts w:ascii="Arial" w:hAnsi="Arial" w:cs="Arial"/>
        </w:rPr>
        <w:tab/>
        <w:t>dihydroxyphenylalanine</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DSH</w:t>
      </w:r>
      <w:r>
        <w:rPr>
          <w:rFonts w:ascii="Arial" w:hAnsi="Arial" w:cs="Arial"/>
        </w:rPr>
        <w:tab/>
        <w:t>domestic shorthair</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DT</w:t>
      </w:r>
      <w:r>
        <w:rPr>
          <w:rFonts w:ascii="Arial" w:hAnsi="Arial" w:cs="Arial"/>
        </w:rPr>
        <w:tab/>
        <w:t>definitive type</w:t>
      </w:r>
    </w:p>
    <w:p w:rsidR="00330CF1" w:rsidRPr="00405A38" w:rsidRDefault="00330CF1" w:rsidP="002403BA">
      <w:pPr>
        <w:numPr>
          <w:ilvl w:val="12"/>
          <w:numId w:val="0"/>
        </w:numPr>
        <w:tabs>
          <w:tab w:val="left" w:pos="1800"/>
        </w:tabs>
        <w:ind w:left="8280" w:hanging="8280"/>
        <w:rPr>
          <w:rFonts w:ascii="Arial" w:hAnsi="Arial" w:cs="Arial"/>
          <w:i/>
        </w:rPr>
      </w:pPr>
      <w:r w:rsidRPr="00405A38">
        <w:rPr>
          <w:rFonts w:ascii="Arial" w:hAnsi="Arial" w:cs="Arial"/>
          <w:i/>
        </w:rPr>
        <w:t>E.coli</w:t>
      </w:r>
      <w:r>
        <w:rPr>
          <w:rFonts w:ascii="Arial" w:hAnsi="Arial" w:cs="Arial"/>
          <w:i/>
        </w:rPr>
        <w:tab/>
        <w:t>Escherichia coli</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EAA</w:t>
      </w:r>
      <w:r>
        <w:rPr>
          <w:rFonts w:ascii="Arial" w:hAnsi="Arial" w:cs="Arial"/>
        </w:rPr>
        <w:tab/>
        <w:t>essential amino acid</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 xml:space="preserve">EFA </w:t>
      </w:r>
      <w:r>
        <w:rPr>
          <w:rFonts w:ascii="Arial" w:hAnsi="Arial" w:cs="Arial"/>
        </w:rPr>
        <w:tab/>
        <w:t>essential fatty acid</w:t>
      </w:r>
    </w:p>
    <w:p w:rsidR="00330CF1" w:rsidRDefault="00330CF1" w:rsidP="002403BA">
      <w:pPr>
        <w:numPr>
          <w:ilvl w:val="12"/>
          <w:numId w:val="0"/>
        </w:numPr>
        <w:tabs>
          <w:tab w:val="left" w:pos="1800"/>
        </w:tabs>
        <w:ind w:left="8280" w:hanging="8280"/>
        <w:rPr>
          <w:rFonts w:ascii="Arial" w:hAnsi="Arial" w:cs="Arial"/>
        </w:rPr>
      </w:pPr>
      <w:r>
        <w:rPr>
          <w:rFonts w:ascii="Arial" w:hAnsi="Arial" w:cs="Arial"/>
        </w:rPr>
        <w:t>EAggEC</w:t>
      </w:r>
      <w:r>
        <w:rPr>
          <w:rFonts w:ascii="Arial" w:hAnsi="Arial" w:cs="Arial"/>
        </w:rPr>
        <w:tab/>
        <w:t xml:space="preserve">adherent-invasive </w:t>
      </w:r>
      <w:r>
        <w:rPr>
          <w:rFonts w:ascii="Arial" w:hAnsi="Arial" w:cs="Arial"/>
          <w:i/>
        </w:rPr>
        <w:t>Escherichia coli</w:t>
      </w:r>
    </w:p>
    <w:p w:rsidR="00330CF1" w:rsidRDefault="00330CF1" w:rsidP="002403BA">
      <w:pPr>
        <w:numPr>
          <w:ilvl w:val="12"/>
          <w:numId w:val="0"/>
        </w:numPr>
        <w:tabs>
          <w:tab w:val="left" w:pos="1800"/>
        </w:tabs>
        <w:ind w:left="8280" w:hanging="8280"/>
        <w:rPr>
          <w:rFonts w:ascii="Arial" w:hAnsi="Arial" w:cs="Arial"/>
          <w:i/>
        </w:rPr>
      </w:pPr>
      <w:r>
        <w:rPr>
          <w:rFonts w:ascii="Arial" w:hAnsi="Arial" w:cs="Arial"/>
        </w:rPr>
        <w:t>EIEC</w:t>
      </w:r>
      <w:r>
        <w:rPr>
          <w:rFonts w:ascii="Arial" w:hAnsi="Arial" w:cs="Arial"/>
        </w:rPr>
        <w:tab/>
        <w:t xml:space="preserve">enteroinvasive </w:t>
      </w:r>
      <w:r>
        <w:rPr>
          <w:rFonts w:ascii="Arial" w:hAnsi="Arial" w:cs="Arial"/>
          <w:i/>
        </w:rPr>
        <w:t>Escherichia coli</w:t>
      </w:r>
    </w:p>
    <w:p w:rsidR="00330CF1" w:rsidRDefault="00330CF1" w:rsidP="002403BA">
      <w:pPr>
        <w:numPr>
          <w:ilvl w:val="12"/>
          <w:numId w:val="0"/>
        </w:numPr>
        <w:tabs>
          <w:tab w:val="left" w:pos="1800"/>
        </w:tabs>
        <w:ind w:left="8280" w:hanging="8280"/>
        <w:rPr>
          <w:rFonts w:ascii="Arial" w:hAnsi="Arial" w:cs="Arial"/>
          <w:i/>
        </w:rPr>
      </w:pPr>
      <w:r>
        <w:rPr>
          <w:rFonts w:ascii="Arial" w:hAnsi="Arial" w:cs="Arial"/>
        </w:rPr>
        <w:t>ELISA</w:t>
      </w:r>
      <w:r>
        <w:rPr>
          <w:rFonts w:ascii="Arial" w:hAnsi="Arial" w:cs="Arial"/>
        </w:rPr>
        <w:tab/>
        <w:t>enzyme-linked immunosorbent assay</w:t>
      </w:r>
    </w:p>
    <w:p w:rsidR="00330CF1" w:rsidRDefault="00330CF1" w:rsidP="00432224">
      <w:pPr>
        <w:numPr>
          <w:ilvl w:val="12"/>
          <w:numId w:val="0"/>
        </w:numPr>
        <w:tabs>
          <w:tab w:val="left" w:pos="1800"/>
        </w:tabs>
        <w:ind w:left="8280" w:hanging="8280"/>
        <w:rPr>
          <w:rFonts w:ascii="Arial" w:hAnsi="Arial" w:cs="Arial"/>
          <w:i/>
        </w:rPr>
      </w:pPr>
      <w:r>
        <w:rPr>
          <w:rFonts w:ascii="Arial" w:hAnsi="Arial" w:cs="Arial"/>
        </w:rPr>
        <w:t>EPEC</w:t>
      </w:r>
      <w:r>
        <w:rPr>
          <w:rFonts w:ascii="Arial" w:hAnsi="Arial" w:cs="Arial"/>
        </w:rPr>
        <w:tab/>
        <w:t xml:space="preserve">enteropathogenic </w:t>
      </w:r>
      <w:r>
        <w:rPr>
          <w:rFonts w:ascii="Arial" w:hAnsi="Arial" w:cs="Arial"/>
          <w:i/>
        </w:rPr>
        <w:t>Escherichia coli</w:t>
      </w:r>
    </w:p>
    <w:p w:rsidR="00330CF1" w:rsidRPr="00432224" w:rsidRDefault="00330CF1" w:rsidP="00432224">
      <w:pPr>
        <w:numPr>
          <w:ilvl w:val="12"/>
          <w:numId w:val="0"/>
        </w:numPr>
        <w:tabs>
          <w:tab w:val="left" w:pos="1800"/>
        </w:tabs>
        <w:ind w:left="8280" w:hanging="8280"/>
        <w:rPr>
          <w:rFonts w:ascii="Arial" w:hAnsi="Arial" w:cs="Arial"/>
        </w:rPr>
      </w:pPr>
      <w:r>
        <w:rPr>
          <w:rFonts w:ascii="Arial" w:hAnsi="Arial" w:cs="Arial"/>
        </w:rPr>
        <w:t>E:T ratio</w:t>
      </w:r>
      <w:r>
        <w:rPr>
          <w:rFonts w:ascii="Arial" w:hAnsi="Arial" w:cs="Arial"/>
        </w:rPr>
        <w:tab/>
        <w:t>essential amino acid nitrogen to total nitrogen ratio</w:t>
      </w:r>
    </w:p>
    <w:p w:rsidR="00330CF1" w:rsidRDefault="00330CF1" w:rsidP="00405A38">
      <w:pPr>
        <w:numPr>
          <w:ilvl w:val="12"/>
          <w:numId w:val="0"/>
        </w:numPr>
        <w:tabs>
          <w:tab w:val="left" w:pos="1800"/>
        </w:tabs>
        <w:ind w:left="8280" w:hanging="8280"/>
        <w:rPr>
          <w:rFonts w:ascii="Arial" w:hAnsi="Arial" w:cs="Arial"/>
          <w:i/>
        </w:rPr>
      </w:pPr>
      <w:r>
        <w:rPr>
          <w:rFonts w:ascii="Arial" w:hAnsi="Arial" w:cs="Arial"/>
        </w:rPr>
        <w:t>ETEC</w:t>
      </w:r>
      <w:r>
        <w:rPr>
          <w:rFonts w:ascii="Arial" w:hAnsi="Arial" w:cs="Arial"/>
        </w:rPr>
        <w:tab/>
        <w:t xml:space="preserve">enterotoxigenic </w:t>
      </w:r>
      <w:r>
        <w:rPr>
          <w:rFonts w:ascii="Arial" w:hAnsi="Arial" w:cs="Arial"/>
          <w:i/>
        </w:rPr>
        <w:t>Escherichia coli</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FABP</w:t>
      </w:r>
      <w:r>
        <w:rPr>
          <w:rFonts w:ascii="Arial" w:hAnsi="Arial" w:cs="Arial"/>
        </w:rPr>
        <w:tab/>
        <w:t>fatty acid binding protein</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Fe</w:t>
      </w:r>
      <w:r>
        <w:rPr>
          <w:rFonts w:ascii="Arial" w:hAnsi="Arial" w:cs="Arial"/>
        </w:rPr>
        <w:tab/>
        <w:t>iron</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lastRenderedPageBreak/>
        <w:t>FHV</w:t>
      </w:r>
      <w:r>
        <w:rPr>
          <w:rFonts w:ascii="Arial" w:hAnsi="Arial" w:cs="Arial"/>
        </w:rPr>
        <w:tab/>
        <w:t>feline herpes virus</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Fiaf</w:t>
      </w:r>
      <w:r>
        <w:rPr>
          <w:rFonts w:ascii="Arial" w:hAnsi="Arial" w:cs="Arial"/>
        </w:rPr>
        <w:tab/>
        <w:t>fasting induced adipocyte factor</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FISH</w:t>
      </w:r>
      <w:r>
        <w:rPr>
          <w:rFonts w:ascii="Arial" w:hAnsi="Arial" w:cs="Arial"/>
        </w:rPr>
        <w:tab/>
        <w:t>fluorescent in situ hybridization</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fL</w:t>
      </w:r>
      <w:r>
        <w:rPr>
          <w:rFonts w:ascii="Arial" w:hAnsi="Arial" w:cs="Arial"/>
        </w:rPr>
        <w:tab/>
        <w:t>femtoliters</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FITC</w:t>
      </w:r>
      <w:r>
        <w:rPr>
          <w:rFonts w:ascii="Arial" w:hAnsi="Arial" w:cs="Arial"/>
        </w:rPr>
        <w:tab/>
        <w:t>fluorescein isothiocyanate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FLUTD</w:t>
      </w:r>
      <w:r>
        <w:rPr>
          <w:rFonts w:ascii="Arial" w:hAnsi="Arial" w:cs="Arial"/>
        </w:rPr>
        <w:tab/>
        <w:t>feline lower urinary tract disease</w:t>
      </w:r>
    </w:p>
    <w:p w:rsidR="00330CF1" w:rsidRPr="00406B43" w:rsidRDefault="00330CF1" w:rsidP="00406B43">
      <w:pPr>
        <w:numPr>
          <w:ilvl w:val="12"/>
          <w:numId w:val="0"/>
        </w:numPr>
        <w:tabs>
          <w:tab w:val="left" w:pos="1800"/>
        </w:tabs>
        <w:ind w:left="8280" w:hanging="8280"/>
        <w:rPr>
          <w:rFonts w:ascii="Arial" w:hAnsi="Arial" w:cs="Arial"/>
          <w:i/>
        </w:rPr>
      </w:pPr>
      <w:r>
        <w:rPr>
          <w:rFonts w:ascii="Arial" w:hAnsi="Arial" w:cs="Arial"/>
        </w:rPr>
        <w:t>FPV</w:t>
      </w:r>
      <w:r>
        <w:rPr>
          <w:rFonts w:ascii="Arial" w:hAnsi="Arial" w:cs="Arial"/>
        </w:rPr>
        <w:tab/>
        <w:t>feline panleukopenia virus</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GALT</w:t>
      </w:r>
      <w:r>
        <w:rPr>
          <w:rFonts w:ascii="Arial" w:hAnsi="Arial" w:cs="Arial"/>
        </w:rPr>
        <w:tab/>
        <w:t>gut-associated lymphoid tissue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GFR</w:t>
      </w:r>
      <w:r>
        <w:rPr>
          <w:rFonts w:ascii="Arial" w:hAnsi="Arial" w:cs="Arial"/>
        </w:rPr>
        <w:tab/>
        <w:t>glomerular filtration rate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GI</w:t>
      </w:r>
      <w:r>
        <w:rPr>
          <w:rFonts w:ascii="Arial" w:hAnsi="Arial" w:cs="Arial"/>
        </w:rPr>
        <w:tab/>
        <w:t>gastrointestinal</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gm</w:t>
      </w:r>
      <w:r>
        <w:rPr>
          <w:rFonts w:ascii="Arial" w:hAnsi="Arial" w:cs="Arial"/>
        </w:rPr>
        <w:tab/>
        <w:t>gram</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GSH</w:t>
      </w:r>
      <w:r>
        <w:rPr>
          <w:rFonts w:ascii="Arial" w:hAnsi="Arial" w:cs="Arial"/>
        </w:rPr>
        <w:tab/>
        <w:t>reduced glutathione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GSH-Px</w:t>
      </w:r>
      <w:r>
        <w:rPr>
          <w:rFonts w:ascii="Arial" w:hAnsi="Arial" w:cs="Arial"/>
        </w:rPr>
        <w:tab/>
        <w:t>glutathione peroxidase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GSH-Red</w:t>
      </w:r>
      <w:r>
        <w:rPr>
          <w:rFonts w:ascii="Arial" w:hAnsi="Arial" w:cs="Arial"/>
        </w:rPr>
        <w:tab/>
        <w:t>glutathione reductase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GS-MS</w:t>
      </w:r>
      <w:r>
        <w:rPr>
          <w:rFonts w:ascii="Arial" w:hAnsi="Arial" w:cs="Arial"/>
        </w:rPr>
        <w:tab/>
        <w:t>gas chromatography-mass spectrometry</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GSSG</w:t>
      </w:r>
      <w:r>
        <w:rPr>
          <w:rFonts w:ascii="Arial" w:hAnsi="Arial" w:cs="Arial"/>
        </w:rPr>
        <w:tab/>
        <w:t>glutathione disulfide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HAA</w:t>
      </w:r>
      <w:r>
        <w:rPr>
          <w:rFonts w:ascii="Arial" w:hAnsi="Arial" w:cs="Arial"/>
        </w:rPr>
        <w:tab/>
        <w:t>heterocyclic amine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HDL</w:t>
      </w:r>
      <w:r>
        <w:rPr>
          <w:rFonts w:ascii="Arial" w:hAnsi="Arial" w:cs="Arial"/>
        </w:rPr>
        <w:tab/>
        <w:t>high-density lipoprotein</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Hgb</w:t>
      </w:r>
      <w:r>
        <w:rPr>
          <w:rFonts w:ascii="Arial" w:hAnsi="Arial" w:cs="Arial"/>
        </w:rPr>
        <w:tab/>
        <w:t>hemoglobin</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HMPS</w:t>
      </w:r>
      <w:r>
        <w:rPr>
          <w:rFonts w:ascii="Arial" w:hAnsi="Arial" w:cs="Arial"/>
        </w:rPr>
        <w:tab/>
        <w:t>hexose monophosphate shunt</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HNE</w:t>
      </w:r>
      <w:r>
        <w:rPr>
          <w:rFonts w:ascii="Arial" w:hAnsi="Arial" w:cs="Arial"/>
        </w:rPr>
        <w:tab/>
        <w:t>hydroxynonenal</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HP</w:t>
      </w:r>
      <w:r>
        <w:rPr>
          <w:rFonts w:ascii="Arial" w:hAnsi="Arial" w:cs="Arial"/>
        </w:rPr>
        <w:tab/>
        <w:t>high protein</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HRP</w:t>
      </w:r>
      <w:r>
        <w:rPr>
          <w:rFonts w:ascii="Arial" w:hAnsi="Arial" w:cs="Arial"/>
        </w:rPr>
        <w:tab/>
        <w:t>horseradish peroxidase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IEL</w:t>
      </w:r>
      <w:r>
        <w:rPr>
          <w:rFonts w:ascii="Arial" w:hAnsi="Arial" w:cs="Arial"/>
        </w:rPr>
        <w:tab/>
        <w:t>intra-epithelial lymphocytes</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IgG, IgM, IgA</w:t>
      </w:r>
      <w:r>
        <w:rPr>
          <w:rFonts w:ascii="Arial" w:hAnsi="Arial" w:cs="Arial"/>
        </w:rPr>
        <w:tab/>
        <w:t>Immunoglobulin G/A/M</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IL-1/4/5/6/10</w:t>
      </w:r>
      <w:r>
        <w:rPr>
          <w:rFonts w:ascii="Arial" w:hAnsi="Arial" w:cs="Arial"/>
        </w:rPr>
        <w:tab/>
        <w:t>interleukin 1/4/5/6/10</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IU</w:t>
      </w:r>
      <w:r>
        <w:rPr>
          <w:rFonts w:ascii="Arial" w:hAnsi="Arial" w:cs="Arial"/>
        </w:rPr>
        <w:tab/>
        <w:t>international unit</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Kcal</w:t>
      </w:r>
      <w:r>
        <w:rPr>
          <w:rFonts w:ascii="Arial" w:hAnsi="Arial" w:cs="Arial"/>
        </w:rPr>
        <w:tab/>
        <w:t>kilocalorie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kg</w:t>
      </w:r>
      <w:r>
        <w:rPr>
          <w:rFonts w:ascii="Arial" w:hAnsi="Arial" w:cs="Arial"/>
        </w:rPr>
        <w:tab/>
        <w:t>kilogram</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LAL</w:t>
      </w:r>
      <w:r>
        <w:rPr>
          <w:rFonts w:ascii="Arial" w:hAnsi="Arial" w:cs="Arial"/>
        </w:rPr>
        <w:tab/>
        <w:t>lysinoalanine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L-FABP</w:t>
      </w:r>
      <w:r>
        <w:rPr>
          <w:rFonts w:ascii="Arial" w:hAnsi="Arial" w:cs="Arial"/>
        </w:rPr>
        <w:tab/>
        <w:t>sodium/glucose cotransporter</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LCPUFA</w:t>
      </w:r>
      <w:r>
        <w:rPr>
          <w:rFonts w:ascii="Arial" w:hAnsi="Arial" w:cs="Arial"/>
        </w:rPr>
        <w:tab/>
        <w:t>long-chain polyunsaturated fatty acid</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LPS</w:t>
      </w:r>
      <w:r>
        <w:rPr>
          <w:rFonts w:ascii="Arial" w:hAnsi="Arial" w:cs="Arial"/>
        </w:rPr>
        <w:tab/>
        <w:t>lipopolysaccharide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LT</w:t>
      </w:r>
      <w:r>
        <w:rPr>
          <w:rFonts w:ascii="Arial" w:hAnsi="Arial" w:cs="Arial"/>
        </w:rPr>
        <w:tab/>
        <w:t>heat-labile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MHC</w:t>
      </w:r>
      <w:r>
        <w:rPr>
          <w:rFonts w:ascii="Arial" w:hAnsi="Arial" w:cs="Arial"/>
        </w:rPr>
        <w:tab/>
        <w:t>major histocompatibility complex</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MCHC</w:t>
      </w:r>
      <w:r>
        <w:rPr>
          <w:rFonts w:ascii="Arial" w:hAnsi="Arial" w:cs="Arial"/>
        </w:rPr>
        <w:tab/>
        <w:t>mean cell hemoglobin content</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MCV</w:t>
      </w:r>
      <w:r>
        <w:rPr>
          <w:rFonts w:ascii="Arial" w:hAnsi="Arial" w:cs="Arial"/>
        </w:rPr>
        <w:tab/>
        <w:t>mean cell volume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mEq</w:t>
      </w:r>
      <w:r>
        <w:rPr>
          <w:rFonts w:ascii="Arial" w:hAnsi="Arial" w:cs="Arial"/>
        </w:rPr>
        <w:tab/>
        <w:t>milliequivalent</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mg</w:t>
      </w:r>
      <w:r>
        <w:rPr>
          <w:rFonts w:ascii="Arial" w:hAnsi="Arial" w:cs="Arial"/>
        </w:rPr>
        <w:tab/>
        <w:t>milligram</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mL</w:t>
      </w:r>
      <w:r>
        <w:rPr>
          <w:rFonts w:ascii="Arial" w:hAnsi="Arial" w:cs="Arial"/>
        </w:rPr>
        <w:tab/>
        <w:t>milliliter</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MP</w:t>
      </w:r>
      <w:r>
        <w:rPr>
          <w:rFonts w:ascii="Arial" w:hAnsi="Arial" w:cs="Arial"/>
        </w:rPr>
        <w:tab/>
        <w:t>moderate protein</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MPO</w:t>
      </w:r>
      <w:r>
        <w:rPr>
          <w:rFonts w:ascii="Arial" w:hAnsi="Arial" w:cs="Arial"/>
        </w:rPr>
        <w:tab/>
        <w:t>myeloperoxidase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mRNA</w:t>
      </w:r>
      <w:r>
        <w:rPr>
          <w:rFonts w:ascii="Arial" w:hAnsi="Arial" w:cs="Arial"/>
        </w:rPr>
        <w:tab/>
        <w:t>messenger ribonucleic acid</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N</w:t>
      </w:r>
      <w:r>
        <w:rPr>
          <w:rFonts w:ascii="Arial" w:hAnsi="Arial" w:cs="Arial"/>
        </w:rPr>
        <w:tab/>
        <w:t>nitrogen</w:t>
      </w:r>
    </w:p>
    <w:p w:rsidR="00330CF1" w:rsidRPr="00DB6A24" w:rsidRDefault="00330CF1" w:rsidP="00405A38">
      <w:pPr>
        <w:numPr>
          <w:ilvl w:val="12"/>
          <w:numId w:val="0"/>
        </w:numPr>
        <w:tabs>
          <w:tab w:val="left" w:pos="1800"/>
        </w:tabs>
        <w:ind w:left="8280" w:hanging="8280"/>
        <w:rPr>
          <w:rFonts w:ascii="Arial" w:hAnsi="Arial" w:cs="Arial"/>
        </w:rPr>
      </w:pPr>
      <w:r>
        <w:rPr>
          <w:rFonts w:ascii="Arial" w:hAnsi="Arial" w:cs="Arial"/>
        </w:rPr>
        <w:t>Na</w:t>
      </w:r>
      <w:r>
        <w:rPr>
          <w:rFonts w:ascii="Arial" w:hAnsi="Arial" w:cs="Arial"/>
          <w:vertAlign w:val="superscript"/>
        </w:rPr>
        <w:t>+</w:t>
      </w:r>
      <w:r>
        <w:rPr>
          <w:rFonts w:ascii="Arial" w:hAnsi="Arial" w:cs="Arial"/>
        </w:rPr>
        <w:t>/K</w:t>
      </w:r>
      <w:r>
        <w:rPr>
          <w:rFonts w:ascii="Arial" w:hAnsi="Arial" w:cs="Arial"/>
          <w:vertAlign w:val="superscript"/>
        </w:rPr>
        <w:t xml:space="preserve">+ </w:t>
      </w:r>
      <w:r>
        <w:rPr>
          <w:rFonts w:ascii="Arial" w:hAnsi="Arial" w:cs="Arial"/>
        </w:rPr>
        <w:t>ATPase</w:t>
      </w:r>
      <w:r>
        <w:rPr>
          <w:rFonts w:ascii="Arial" w:hAnsi="Arial" w:cs="Arial"/>
        </w:rPr>
        <w:tab/>
        <w:t>sodium potassium adenosine triphosphatase</w:t>
      </w:r>
    </w:p>
    <w:p w:rsidR="00330CF1" w:rsidRDefault="00330CF1" w:rsidP="00A7222A">
      <w:pPr>
        <w:numPr>
          <w:ilvl w:val="12"/>
          <w:numId w:val="0"/>
        </w:numPr>
        <w:tabs>
          <w:tab w:val="left" w:pos="1800"/>
        </w:tabs>
        <w:ind w:left="8280" w:hanging="8280"/>
        <w:rPr>
          <w:rFonts w:ascii="Arial" w:hAnsi="Arial" w:cs="Arial"/>
        </w:rPr>
      </w:pPr>
      <w:r>
        <w:rPr>
          <w:rFonts w:ascii="Arial" w:hAnsi="Arial" w:cs="Arial"/>
        </w:rPr>
        <w:lastRenderedPageBreak/>
        <w:t>NADH</w:t>
      </w:r>
      <w:r>
        <w:rPr>
          <w:rFonts w:ascii="Arial" w:hAnsi="Arial" w:cs="Arial"/>
        </w:rPr>
        <w:tab/>
        <w:t>reduced nicotinamide adenine dinucleotide</w:t>
      </w:r>
    </w:p>
    <w:p w:rsidR="00330CF1" w:rsidRDefault="00330CF1" w:rsidP="00A7222A">
      <w:pPr>
        <w:numPr>
          <w:ilvl w:val="12"/>
          <w:numId w:val="0"/>
        </w:numPr>
        <w:tabs>
          <w:tab w:val="left" w:pos="1800"/>
        </w:tabs>
        <w:ind w:left="8280" w:hanging="8280"/>
        <w:rPr>
          <w:rFonts w:ascii="Arial" w:hAnsi="Arial" w:cs="Arial"/>
        </w:rPr>
      </w:pPr>
      <w:r>
        <w:rPr>
          <w:rFonts w:ascii="Arial" w:hAnsi="Arial" w:cs="Arial"/>
        </w:rPr>
        <w:t>NADPH</w:t>
      </w:r>
      <w:r>
        <w:rPr>
          <w:rFonts w:ascii="Arial" w:hAnsi="Arial" w:cs="Arial"/>
        </w:rPr>
        <w:tab/>
        <w:t>reduced nicotinamide adenine phosphate dinucleotide</w:t>
      </w:r>
    </w:p>
    <w:p w:rsidR="00330CF1" w:rsidRDefault="00330CF1" w:rsidP="00A7222A">
      <w:pPr>
        <w:numPr>
          <w:ilvl w:val="12"/>
          <w:numId w:val="0"/>
        </w:numPr>
        <w:tabs>
          <w:tab w:val="left" w:pos="1800"/>
        </w:tabs>
        <w:ind w:left="8280" w:hanging="8280"/>
        <w:rPr>
          <w:rFonts w:ascii="Arial" w:hAnsi="Arial" w:cs="Arial"/>
        </w:rPr>
      </w:pPr>
      <w:r>
        <w:rPr>
          <w:rFonts w:ascii="Arial" w:hAnsi="Arial" w:cs="Arial"/>
        </w:rPr>
        <w:t>NFE</w:t>
      </w:r>
      <w:r>
        <w:rPr>
          <w:rFonts w:ascii="Arial" w:hAnsi="Arial" w:cs="Arial"/>
        </w:rPr>
        <w:tab/>
        <w:t>nitrogen-free extract</w:t>
      </w:r>
    </w:p>
    <w:p w:rsidR="00330CF1" w:rsidRDefault="00330CF1" w:rsidP="00A7222A">
      <w:pPr>
        <w:numPr>
          <w:ilvl w:val="12"/>
          <w:numId w:val="0"/>
        </w:numPr>
        <w:tabs>
          <w:tab w:val="left" w:pos="1800"/>
        </w:tabs>
        <w:ind w:left="8280" w:hanging="8280"/>
        <w:rPr>
          <w:rFonts w:ascii="Arial" w:hAnsi="Arial" w:cs="Arial"/>
        </w:rPr>
      </w:pPr>
      <w:r>
        <w:rPr>
          <w:rFonts w:ascii="Arial" w:hAnsi="Arial" w:cs="Arial"/>
        </w:rPr>
        <w:t>NF-Kβ</w:t>
      </w:r>
      <w:r>
        <w:rPr>
          <w:rFonts w:ascii="Arial" w:hAnsi="Arial" w:cs="Arial"/>
        </w:rPr>
        <w:tab/>
        <w:t>nuclear factor kappa-beta</w:t>
      </w:r>
    </w:p>
    <w:p w:rsidR="00330CF1" w:rsidRDefault="00330CF1" w:rsidP="00A7222A">
      <w:pPr>
        <w:numPr>
          <w:ilvl w:val="12"/>
          <w:numId w:val="0"/>
        </w:numPr>
        <w:tabs>
          <w:tab w:val="left" w:pos="1800"/>
        </w:tabs>
        <w:ind w:left="8280" w:hanging="8280"/>
        <w:rPr>
          <w:rFonts w:ascii="Arial" w:hAnsi="Arial" w:cs="Arial"/>
        </w:rPr>
      </w:pPr>
      <w:r>
        <w:rPr>
          <w:rFonts w:ascii="Arial" w:hAnsi="Arial" w:cs="Arial"/>
        </w:rPr>
        <w:t>ng</w:t>
      </w:r>
      <w:r>
        <w:rPr>
          <w:rFonts w:ascii="Arial" w:hAnsi="Arial" w:cs="Arial"/>
        </w:rPr>
        <w:tab/>
        <w:t>nanogram</w:t>
      </w:r>
    </w:p>
    <w:p w:rsidR="00330CF1" w:rsidRDefault="00330CF1" w:rsidP="00A7222A">
      <w:pPr>
        <w:numPr>
          <w:ilvl w:val="12"/>
          <w:numId w:val="0"/>
        </w:numPr>
        <w:tabs>
          <w:tab w:val="left" w:pos="1800"/>
        </w:tabs>
        <w:ind w:left="8280" w:hanging="8280"/>
        <w:rPr>
          <w:rFonts w:ascii="Arial" w:hAnsi="Arial" w:cs="Arial"/>
        </w:rPr>
      </w:pPr>
      <w:r>
        <w:rPr>
          <w:rFonts w:ascii="Arial" w:hAnsi="Arial" w:cs="Arial"/>
        </w:rPr>
        <w:t>NIH</w:t>
      </w:r>
      <w:r>
        <w:rPr>
          <w:rFonts w:ascii="Arial" w:hAnsi="Arial" w:cs="Arial"/>
        </w:rPr>
        <w:tab/>
        <w:t>National Institutes of Health</w:t>
      </w:r>
    </w:p>
    <w:p w:rsidR="00330CF1" w:rsidRDefault="00330CF1" w:rsidP="00A7222A">
      <w:pPr>
        <w:numPr>
          <w:ilvl w:val="12"/>
          <w:numId w:val="0"/>
        </w:numPr>
        <w:tabs>
          <w:tab w:val="left" w:pos="1800"/>
        </w:tabs>
        <w:ind w:left="8280" w:hanging="8280"/>
        <w:rPr>
          <w:rFonts w:ascii="Arial" w:hAnsi="Arial" w:cs="Arial"/>
        </w:rPr>
      </w:pPr>
      <w:r>
        <w:rPr>
          <w:rFonts w:ascii="Arial" w:hAnsi="Arial" w:cs="Arial"/>
        </w:rPr>
        <w:t>NHANES</w:t>
      </w:r>
      <w:r>
        <w:rPr>
          <w:rFonts w:ascii="Arial" w:hAnsi="Arial" w:cs="Arial"/>
        </w:rPr>
        <w:tab/>
        <w:t>National Health and Nutrition Examination Survey</w:t>
      </w:r>
    </w:p>
    <w:p w:rsidR="00330CF1" w:rsidRDefault="00330CF1" w:rsidP="00A7222A">
      <w:pPr>
        <w:numPr>
          <w:ilvl w:val="12"/>
          <w:numId w:val="0"/>
        </w:numPr>
        <w:tabs>
          <w:tab w:val="left" w:pos="1800"/>
        </w:tabs>
        <w:ind w:left="8280" w:hanging="8280"/>
        <w:rPr>
          <w:rFonts w:ascii="Arial" w:hAnsi="Arial" w:cs="Arial"/>
        </w:rPr>
      </w:pPr>
      <w:r>
        <w:rPr>
          <w:rFonts w:ascii="Arial" w:hAnsi="Arial" w:cs="Arial"/>
        </w:rPr>
        <w:t>NO</w:t>
      </w:r>
      <w:r>
        <w:rPr>
          <w:rFonts w:ascii="Arial" w:hAnsi="Arial" w:cs="Arial"/>
        </w:rPr>
        <w:tab/>
        <w:t>nitric oxide</w:t>
      </w:r>
    </w:p>
    <w:p w:rsidR="00330CF1" w:rsidRDefault="00330CF1" w:rsidP="00A7222A">
      <w:pPr>
        <w:numPr>
          <w:ilvl w:val="12"/>
          <w:numId w:val="0"/>
        </w:numPr>
        <w:tabs>
          <w:tab w:val="left" w:pos="1800"/>
        </w:tabs>
        <w:ind w:left="8280" w:hanging="8280"/>
        <w:rPr>
          <w:rFonts w:ascii="Arial" w:hAnsi="Arial" w:cs="Arial"/>
        </w:rPr>
      </w:pPr>
      <w:r>
        <w:rPr>
          <w:rFonts w:ascii="Arial" w:hAnsi="Arial" w:cs="Arial"/>
        </w:rPr>
        <w:t>NOD</w:t>
      </w:r>
      <w:r>
        <w:rPr>
          <w:rFonts w:ascii="Arial" w:hAnsi="Arial" w:cs="Arial"/>
        </w:rPr>
        <w:tab/>
        <w:t>nod-like receptors</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NRC</w:t>
      </w:r>
      <w:r>
        <w:rPr>
          <w:rFonts w:ascii="Arial" w:hAnsi="Arial" w:cs="Arial"/>
        </w:rPr>
        <w:tab/>
        <w:t>National Research Council</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OM</w:t>
      </w:r>
      <w:r>
        <w:rPr>
          <w:rFonts w:ascii="Arial" w:hAnsi="Arial" w:cs="Arial"/>
        </w:rPr>
        <w:tab/>
        <w:t>organic matter</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PCR</w:t>
      </w:r>
      <w:r>
        <w:rPr>
          <w:rFonts w:ascii="Arial" w:hAnsi="Arial" w:cs="Arial"/>
        </w:rPr>
        <w:tab/>
        <w:t>polymerase chain reaction</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PCV</w:t>
      </w:r>
      <w:r>
        <w:rPr>
          <w:rFonts w:ascii="Arial" w:hAnsi="Arial" w:cs="Arial"/>
        </w:rPr>
        <w:tab/>
        <w:t>packed cell volume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PER</w:t>
      </w:r>
      <w:r>
        <w:rPr>
          <w:rFonts w:ascii="Arial" w:hAnsi="Arial" w:cs="Arial"/>
        </w:rPr>
        <w:tab/>
        <w:t>protein efficiency ratio</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PGE</w:t>
      </w:r>
      <w:r>
        <w:rPr>
          <w:rFonts w:ascii="Arial" w:hAnsi="Arial" w:cs="Arial"/>
        </w:rPr>
        <w:tab/>
        <w:t>prostaglandin</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pH</w:t>
      </w:r>
      <w:r>
        <w:rPr>
          <w:rFonts w:ascii="Arial" w:hAnsi="Arial" w:cs="Arial"/>
        </w:rPr>
        <w:tab/>
        <w:t>negative log of hydrogen ion concentration (measure of acidity)</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pIgR</w:t>
      </w:r>
      <w:r>
        <w:rPr>
          <w:rFonts w:ascii="Arial" w:hAnsi="Arial" w:cs="Arial"/>
        </w:rPr>
        <w:tab/>
        <w:t>polymeric immunoglobulin receptor</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PLRP-2</w:t>
      </w:r>
      <w:r>
        <w:rPr>
          <w:rFonts w:ascii="Arial" w:hAnsi="Arial" w:cs="Arial"/>
        </w:rPr>
        <w:tab/>
        <w:t>pancreatic lipase-related protein-2</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PMA</w:t>
      </w:r>
      <w:r>
        <w:rPr>
          <w:rFonts w:ascii="Arial" w:hAnsi="Arial" w:cs="Arial"/>
        </w:rPr>
        <w:tab/>
        <w:t>phorbol myristate acetate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PMN</w:t>
      </w:r>
      <w:r>
        <w:rPr>
          <w:rFonts w:ascii="Arial" w:hAnsi="Arial" w:cs="Arial"/>
        </w:rPr>
        <w:tab/>
        <w:t>polymorphonuclear cells</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Prot</w:t>
      </w:r>
      <w:r>
        <w:rPr>
          <w:rFonts w:ascii="Arial" w:hAnsi="Arial" w:cs="Arial"/>
        </w:rPr>
        <w:tab/>
        <w:t>protein</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PSA</w:t>
      </w:r>
      <w:r>
        <w:rPr>
          <w:rFonts w:ascii="Arial" w:hAnsi="Arial" w:cs="Arial"/>
        </w:rPr>
        <w:tab/>
        <w:t>polysaccaride A</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RAGE</w:t>
      </w:r>
      <w:r>
        <w:rPr>
          <w:rFonts w:ascii="Arial" w:hAnsi="Arial" w:cs="Arial"/>
        </w:rPr>
        <w:tab/>
        <w:t>receptor for advanced glycation end products</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RBC</w:t>
      </w:r>
      <w:r>
        <w:rPr>
          <w:rFonts w:ascii="Arial" w:hAnsi="Arial" w:cs="Arial"/>
        </w:rPr>
        <w:tab/>
        <w:t>red blood cell</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ROS</w:t>
      </w:r>
      <w:r>
        <w:rPr>
          <w:rFonts w:ascii="Arial" w:hAnsi="Arial" w:cs="Arial"/>
        </w:rPr>
        <w:tab/>
        <w:t>reactive oxygen species</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RNA</w:t>
      </w:r>
      <w:r>
        <w:rPr>
          <w:rFonts w:ascii="Arial" w:hAnsi="Arial" w:cs="Arial"/>
        </w:rPr>
        <w:tab/>
        <w:t>ribonucleic acid</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RNS</w:t>
      </w:r>
      <w:r>
        <w:rPr>
          <w:rFonts w:ascii="Arial" w:hAnsi="Arial" w:cs="Arial"/>
        </w:rPr>
        <w:tab/>
        <w:t>reactive nitrogen species</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rRNA</w:t>
      </w:r>
      <w:r>
        <w:rPr>
          <w:rFonts w:ascii="Arial" w:hAnsi="Arial" w:cs="Arial"/>
        </w:rPr>
        <w:tab/>
        <w:t>ribosomal ribonucleic acid</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SCFA</w:t>
      </w:r>
      <w:r>
        <w:rPr>
          <w:rFonts w:ascii="Arial" w:hAnsi="Arial" w:cs="Arial"/>
        </w:rPr>
        <w:tab/>
        <w:t>short-chain fatty acid</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SEM</w:t>
      </w:r>
      <w:r>
        <w:rPr>
          <w:rFonts w:ascii="Arial" w:hAnsi="Arial" w:cs="Arial"/>
        </w:rPr>
        <w:tab/>
        <w:t>standard error of the mean</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SOD</w:t>
      </w:r>
      <w:r>
        <w:rPr>
          <w:rFonts w:ascii="Arial" w:hAnsi="Arial" w:cs="Arial"/>
        </w:rPr>
        <w:tab/>
        <w:t>superoxide dismutase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SPF</w:t>
      </w:r>
      <w:r>
        <w:rPr>
          <w:rFonts w:ascii="Arial" w:hAnsi="Arial" w:cs="Arial"/>
        </w:rPr>
        <w:tab/>
        <w:t>specific pathogen free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spp.</w:t>
      </w:r>
      <w:r>
        <w:rPr>
          <w:rFonts w:ascii="Arial" w:hAnsi="Arial" w:cs="Arial"/>
        </w:rPr>
        <w:tab/>
        <w:t>species</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sprr2a</w:t>
      </w:r>
      <w:r>
        <w:rPr>
          <w:rFonts w:ascii="Arial" w:hAnsi="Arial" w:cs="Arial"/>
        </w:rPr>
        <w:tab/>
        <w:t>small protein-rich protein-2</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ST</w:t>
      </w:r>
      <w:r>
        <w:rPr>
          <w:rFonts w:ascii="Arial" w:hAnsi="Arial" w:cs="Arial"/>
        </w:rPr>
        <w:tab/>
        <w:t>heat-stable</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TBS</w:t>
      </w:r>
      <w:r>
        <w:rPr>
          <w:rFonts w:ascii="Arial" w:hAnsi="Arial" w:cs="Arial"/>
        </w:rPr>
        <w:tab/>
        <w:t>tris-buffered saline</w:t>
      </w:r>
    </w:p>
    <w:p w:rsidR="00330CF1" w:rsidRDefault="00330CF1" w:rsidP="007D5C2C">
      <w:pPr>
        <w:numPr>
          <w:ilvl w:val="12"/>
          <w:numId w:val="0"/>
        </w:numPr>
        <w:tabs>
          <w:tab w:val="left" w:pos="1800"/>
        </w:tabs>
        <w:ind w:left="8280" w:hanging="8280"/>
        <w:rPr>
          <w:rFonts w:ascii="Arial" w:hAnsi="Arial" w:cs="Arial"/>
        </w:rPr>
      </w:pPr>
      <w:r>
        <w:rPr>
          <w:rFonts w:ascii="Arial" w:hAnsi="Arial" w:cs="Arial"/>
        </w:rPr>
        <w:t>TGF-β</w:t>
      </w:r>
      <w:r>
        <w:rPr>
          <w:rFonts w:ascii="Arial" w:hAnsi="Arial" w:cs="Arial"/>
        </w:rPr>
        <w:tab/>
        <w:t>transforming growth factor beta</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Th1</w:t>
      </w:r>
      <w:r>
        <w:rPr>
          <w:rFonts w:ascii="Arial" w:hAnsi="Arial" w:cs="Arial"/>
        </w:rPr>
        <w:tab/>
        <w:t>T helper 1 cell</w:t>
      </w:r>
    </w:p>
    <w:p w:rsidR="00330CF1" w:rsidRDefault="00330CF1" w:rsidP="00405A38">
      <w:pPr>
        <w:numPr>
          <w:ilvl w:val="12"/>
          <w:numId w:val="0"/>
        </w:numPr>
        <w:tabs>
          <w:tab w:val="left" w:pos="1800"/>
        </w:tabs>
        <w:ind w:left="8280" w:hanging="8280"/>
        <w:rPr>
          <w:rFonts w:ascii="Arial" w:hAnsi="Arial" w:cs="Arial"/>
        </w:rPr>
      </w:pPr>
      <w:r>
        <w:rPr>
          <w:rFonts w:ascii="Arial" w:hAnsi="Arial" w:cs="Arial"/>
        </w:rPr>
        <w:t>Th2</w:t>
      </w:r>
      <w:r>
        <w:rPr>
          <w:rFonts w:ascii="Arial" w:hAnsi="Arial" w:cs="Arial"/>
        </w:rPr>
        <w:tab/>
        <w:t>T helper 2 cell</w:t>
      </w:r>
    </w:p>
    <w:p w:rsidR="00330CF1" w:rsidRPr="007D5C2C" w:rsidRDefault="00330CF1" w:rsidP="007D5C2C">
      <w:pPr>
        <w:tabs>
          <w:tab w:val="left" w:pos="1800"/>
        </w:tabs>
        <w:rPr>
          <w:rFonts w:ascii="Arial" w:hAnsi="Arial" w:cs="Arial"/>
        </w:rPr>
      </w:pPr>
      <w:r w:rsidRPr="007D5C2C">
        <w:rPr>
          <w:rFonts w:ascii="Arial" w:hAnsi="Arial" w:cs="Arial"/>
        </w:rPr>
        <w:t>TLR</w:t>
      </w:r>
      <w:r w:rsidRPr="007D5C2C">
        <w:rPr>
          <w:rFonts w:ascii="Arial" w:hAnsi="Arial" w:cs="Arial"/>
        </w:rPr>
        <w:tab/>
        <w:t>Toll-like receptor</w:t>
      </w:r>
    </w:p>
    <w:p w:rsidR="00330CF1" w:rsidRPr="007D5C2C" w:rsidRDefault="00330CF1" w:rsidP="007D5C2C">
      <w:pPr>
        <w:tabs>
          <w:tab w:val="left" w:pos="1620"/>
          <w:tab w:val="left" w:pos="1800"/>
        </w:tabs>
        <w:rPr>
          <w:rFonts w:ascii="Arial" w:hAnsi="Arial" w:cs="Arial"/>
        </w:rPr>
      </w:pPr>
      <w:r w:rsidRPr="007D5C2C">
        <w:rPr>
          <w:rFonts w:ascii="Arial" w:hAnsi="Arial" w:cs="Arial"/>
        </w:rPr>
        <w:t>TNF-α</w:t>
      </w:r>
      <w:r>
        <w:rPr>
          <w:rFonts w:ascii="Arial" w:hAnsi="Arial" w:cs="Arial"/>
        </w:rPr>
        <w:tab/>
      </w:r>
      <w:r>
        <w:rPr>
          <w:rFonts w:ascii="Arial" w:hAnsi="Arial" w:cs="Arial"/>
        </w:rPr>
        <w:tab/>
      </w:r>
      <w:r w:rsidRPr="007D5C2C">
        <w:rPr>
          <w:rFonts w:ascii="Arial" w:hAnsi="Arial" w:cs="Arial"/>
        </w:rPr>
        <w:t>tumor necrosis factor alpha</w:t>
      </w:r>
    </w:p>
    <w:p w:rsidR="00330CF1" w:rsidRPr="007D5C2C" w:rsidRDefault="00330CF1" w:rsidP="007D5C2C">
      <w:pPr>
        <w:tabs>
          <w:tab w:val="left" w:pos="1800"/>
        </w:tabs>
        <w:rPr>
          <w:rFonts w:ascii="Arial" w:hAnsi="Arial" w:cs="Arial"/>
        </w:rPr>
      </w:pPr>
      <w:r w:rsidRPr="007D5C2C">
        <w:rPr>
          <w:rFonts w:ascii="Arial" w:hAnsi="Arial" w:cs="Arial"/>
        </w:rPr>
        <w:t>WBC</w:t>
      </w:r>
      <w:r w:rsidRPr="007D5C2C">
        <w:rPr>
          <w:rFonts w:ascii="Arial" w:hAnsi="Arial" w:cs="Arial"/>
        </w:rPr>
        <w:tab/>
        <w:t>white blood cell</w:t>
      </w:r>
    </w:p>
    <w:p w:rsidR="00330CF1" w:rsidRDefault="00330CF1" w:rsidP="00080105">
      <w:pPr>
        <w:pStyle w:val="StyleHeading1Centered"/>
        <w:jc w:val="left"/>
        <w:rPr>
          <w:rFonts w:cs="Arial"/>
          <w:sz w:val="32"/>
          <w:szCs w:val="32"/>
        </w:rPr>
        <w:sectPr w:rsidR="00330CF1" w:rsidSect="00BE1CA7">
          <w:pgSz w:w="12240" w:h="15840" w:code="1"/>
          <w:pgMar w:top="1440" w:right="1440" w:bottom="1440" w:left="1440" w:header="720" w:footer="1440" w:gutter="0"/>
          <w:pgNumType w:fmt="lowerRoman" w:start="1"/>
          <w:cols w:space="720"/>
          <w:noEndnote/>
          <w:titlePg/>
          <w:docGrid w:linePitch="360"/>
        </w:sectPr>
      </w:pPr>
      <w:bookmarkStart w:id="1" w:name="_Toc305485829"/>
    </w:p>
    <w:p w:rsidR="00330CF1" w:rsidRPr="00793F25" w:rsidRDefault="00330CF1" w:rsidP="00080105">
      <w:pPr>
        <w:pStyle w:val="StyleHeading1Centered"/>
        <w:rPr>
          <w:rFonts w:cs="Arial"/>
          <w:sz w:val="32"/>
          <w:szCs w:val="32"/>
        </w:rPr>
      </w:pPr>
      <w:r>
        <w:rPr>
          <w:rFonts w:cs="Arial"/>
          <w:sz w:val="32"/>
          <w:szCs w:val="32"/>
        </w:rPr>
        <w:lastRenderedPageBreak/>
        <w:t>INT</w:t>
      </w:r>
      <w:r w:rsidRPr="00793F25">
        <w:rPr>
          <w:rFonts w:cs="Arial"/>
          <w:sz w:val="32"/>
          <w:szCs w:val="32"/>
        </w:rPr>
        <w:t>roduction</w:t>
      </w:r>
      <w:bookmarkEnd w:id="1"/>
    </w:p>
    <w:p w:rsidR="00330CF1" w:rsidRPr="008B7643" w:rsidRDefault="00330CF1">
      <w:pPr>
        <w:numPr>
          <w:ilvl w:val="12"/>
          <w:numId w:val="0"/>
        </w:numPr>
        <w:jc w:val="center"/>
        <w:rPr>
          <w:rFonts w:ascii="Arial" w:hAnsi="Arial" w:cs="Arial"/>
        </w:rPr>
      </w:pPr>
    </w:p>
    <w:p w:rsidR="00330CF1" w:rsidRPr="008B7643" w:rsidRDefault="00330CF1" w:rsidP="00F72112">
      <w:pPr>
        <w:pStyle w:val="NoSpacing"/>
        <w:jc w:val="center"/>
        <w:rPr>
          <w:rFonts w:ascii="Arial" w:hAnsi="Arial" w:cs="Arial"/>
          <w:b/>
        </w:rPr>
      </w:pPr>
      <w:r w:rsidRPr="008B7643">
        <w:rPr>
          <w:rFonts w:ascii="Arial" w:hAnsi="Arial" w:cs="Arial"/>
          <w:b/>
        </w:rPr>
        <w:t>Project Summary</w:t>
      </w:r>
    </w:p>
    <w:p w:rsidR="00330CF1" w:rsidRDefault="00330CF1" w:rsidP="00F72112">
      <w:pPr>
        <w:pStyle w:val="NoSpacing"/>
        <w:rPr>
          <w:rFonts w:ascii="Times New Roman" w:hAnsi="Times New Roman"/>
          <w:b/>
        </w:rPr>
      </w:pPr>
    </w:p>
    <w:p w:rsidR="00330CF1" w:rsidRPr="008B7643" w:rsidRDefault="00330CF1" w:rsidP="00F72112">
      <w:pPr>
        <w:rPr>
          <w:rFonts w:ascii="Arial" w:hAnsi="Arial" w:cs="Arial"/>
        </w:rPr>
      </w:pPr>
      <w:r w:rsidRPr="008B7643">
        <w:rPr>
          <w:rFonts w:ascii="Arial" w:hAnsi="Arial" w:cs="Arial"/>
          <w:b/>
          <w:sz w:val="20"/>
          <w:szCs w:val="20"/>
        </w:rPr>
        <w:t xml:space="preserve">     </w:t>
      </w:r>
      <w:r w:rsidRPr="008B7643">
        <w:rPr>
          <w:rFonts w:ascii="Arial" w:hAnsi="Arial" w:cs="Arial"/>
        </w:rPr>
        <w:t xml:space="preserve">Cats have evolved as strict carnivores, receiving all </w:t>
      </w:r>
      <w:r>
        <w:rPr>
          <w:rFonts w:ascii="Arial" w:hAnsi="Arial" w:cs="Arial"/>
        </w:rPr>
        <w:t xml:space="preserve">of </w:t>
      </w:r>
      <w:r w:rsidRPr="008B7643">
        <w:rPr>
          <w:rFonts w:ascii="Arial" w:hAnsi="Arial" w:cs="Arial"/>
        </w:rPr>
        <w:t>their nece</w:t>
      </w:r>
      <w:r>
        <w:rPr>
          <w:rFonts w:ascii="Arial" w:hAnsi="Arial" w:cs="Arial"/>
        </w:rPr>
        <w:t>ssary nutrients in unprocessed animal tissue</w:t>
      </w:r>
      <w:r w:rsidRPr="008B7643">
        <w:rPr>
          <w:rFonts w:ascii="Arial" w:hAnsi="Arial" w:cs="Arial"/>
        </w:rPr>
        <w:t>.  It has only been within the last 100 years that commercial heat-processed foods have been made and market</w:t>
      </w:r>
      <w:r>
        <w:rPr>
          <w:rFonts w:ascii="Arial" w:hAnsi="Arial" w:cs="Arial"/>
        </w:rPr>
        <w:t>ed for domestic felids.</w:t>
      </w:r>
      <w:r>
        <w:rPr>
          <w:rFonts w:ascii="Arial" w:hAnsi="Arial" w:cs="Arial"/>
          <w:noProof/>
        </w:rPr>
        <w:t>[1]</w:t>
      </w:r>
      <w:r>
        <w:rPr>
          <w:rFonts w:ascii="Arial" w:hAnsi="Arial" w:cs="Arial"/>
        </w:rPr>
        <w:t xml:space="preserve">  A recent</w:t>
      </w:r>
      <w:r w:rsidRPr="008B7643">
        <w:rPr>
          <w:rFonts w:ascii="Arial" w:hAnsi="Arial" w:cs="Arial"/>
        </w:rPr>
        <w:t xml:space="preserve"> study found that 4% of U.S. cat owners or approximately 2.9 million cats are fed raw meat as all or part of their diet.</w:t>
      </w:r>
      <w:r>
        <w:rPr>
          <w:rFonts w:ascii="Arial" w:hAnsi="Arial" w:cs="Arial"/>
          <w:noProof/>
        </w:rPr>
        <w:t>[2]</w:t>
      </w:r>
      <w:r w:rsidRPr="008B7643">
        <w:rPr>
          <w:rFonts w:ascii="Arial" w:hAnsi="Arial" w:cs="Arial"/>
          <w:sz w:val="20"/>
          <w:szCs w:val="20"/>
        </w:rPr>
        <w:t xml:space="preserve"> </w:t>
      </w:r>
      <w:r w:rsidRPr="008B7643">
        <w:rPr>
          <w:rFonts w:ascii="Arial" w:hAnsi="Arial" w:cs="Arial"/>
        </w:rPr>
        <w:t xml:space="preserve"> Proponents of raw food diets describe numerous benefits</w:t>
      </w:r>
      <w:r w:rsidRPr="008B7643">
        <w:rPr>
          <w:rFonts w:ascii="Arial" w:eastAsia="Calibri" w:hAnsi="Arial" w:cs="Arial"/>
        </w:rPr>
        <w:t xml:space="preserve"> including increased digestibility, improved skin and coat quali</w:t>
      </w:r>
      <w:r w:rsidRPr="008B7643">
        <w:rPr>
          <w:rFonts w:ascii="Arial" w:hAnsi="Arial" w:cs="Arial"/>
        </w:rPr>
        <w:t>ty,</w:t>
      </w:r>
      <w:r w:rsidRPr="008B7643">
        <w:rPr>
          <w:rFonts w:ascii="Arial" w:eastAsia="Calibri" w:hAnsi="Arial" w:cs="Arial"/>
        </w:rPr>
        <w:t xml:space="preserve"> i</w:t>
      </w:r>
      <w:r w:rsidRPr="008B7643">
        <w:rPr>
          <w:rFonts w:ascii="Arial" w:hAnsi="Arial" w:cs="Arial"/>
        </w:rPr>
        <w:t>mproved stool characteristics, enhanced</w:t>
      </w:r>
      <w:r w:rsidRPr="008B7643">
        <w:rPr>
          <w:rFonts w:ascii="Arial" w:eastAsia="Calibri" w:hAnsi="Arial" w:cs="Arial"/>
        </w:rPr>
        <w:t xml:space="preserve"> immune function, and decreased incidence of many medical conditions (i.e. obesity, d</w:t>
      </w:r>
      <w:r>
        <w:rPr>
          <w:rFonts w:ascii="Arial" w:eastAsia="Calibri" w:hAnsi="Arial" w:cs="Arial"/>
        </w:rPr>
        <w:t>iabetes mellitus, allergies, FLUTD</w:t>
      </w:r>
      <w:r w:rsidRPr="008B7643">
        <w:rPr>
          <w:rFonts w:ascii="Arial" w:eastAsia="Calibri" w:hAnsi="Arial" w:cs="Arial"/>
        </w:rPr>
        <w:t>,</w:t>
      </w:r>
      <w:r>
        <w:rPr>
          <w:rFonts w:ascii="Arial" w:eastAsia="Calibri" w:hAnsi="Arial" w:cs="Arial"/>
        </w:rPr>
        <w:t xml:space="preserve"> arthritis, and cancer).</w:t>
      </w:r>
      <w:r>
        <w:rPr>
          <w:rFonts w:ascii="Arial" w:eastAsia="Calibri" w:hAnsi="Arial" w:cs="Arial"/>
          <w:noProof/>
        </w:rPr>
        <w:t>[3, 4]</w:t>
      </w:r>
      <w:r>
        <w:rPr>
          <w:rFonts w:ascii="Arial" w:eastAsia="Calibri" w:hAnsi="Arial" w:cs="Arial"/>
        </w:rPr>
        <w:t xml:space="preserve"> </w:t>
      </w:r>
      <w:r w:rsidRPr="008B7643">
        <w:rPr>
          <w:rFonts w:ascii="Arial" w:eastAsia="Calibri" w:hAnsi="Arial" w:cs="Arial"/>
        </w:rPr>
        <w:t xml:space="preserve"> However, raw food diets have raised concerns in two areas, food safety/public health and nutritional adequacy.  While several studies have addressed food safety and public health</w:t>
      </w:r>
      <w:r>
        <w:rPr>
          <w:rFonts w:ascii="Arial" w:eastAsia="Calibri" w:hAnsi="Arial" w:cs="Arial"/>
        </w:rPr>
        <w:t xml:space="preserve"> issues </w:t>
      </w:r>
      <w:r>
        <w:rPr>
          <w:rFonts w:ascii="Arial" w:eastAsia="Calibri" w:hAnsi="Arial" w:cs="Arial"/>
          <w:noProof/>
        </w:rPr>
        <w:t>[5-8]</w:t>
      </w:r>
      <w:r w:rsidRPr="008B7643">
        <w:rPr>
          <w:rFonts w:ascii="Arial" w:eastAsia="Calibri" w:hAnsi="Arial" w:cs="Arial"/>
        </w:rPr>
        <w:t>, to date</w:t>
      </w:r>
      <w:r>
        <w:rPr>
          <w:rFonts w:ascii="Arial" w:eastAsia="Calibri" w:hAnsi="Arial" w:cs="Arial"/>
        </w:rPr>
        <w:t>,</w:t>
      </w:r>
      <w:r w:rsidRPr="008B7643">
        <w:rPr>
          <w:rFonts w:ascii="Arial" w:eastAsia="Calibri" w:hAnsi="Arial" w:cs="Arial"/>
        </w:rPr>
        <w:t xml:space="preserve"> there have been no published studies examining</w:t>
      </w:r>
      <w:r w:rsidRPr="008B7643">
        <w:rPr>
          <w:rFonts w:ascii="Arial" w:hAnsi="Arial" w:cs="Arial"/>
        </w:rPr>
        <w:t xml:space="preserve"> objective evidence to substantiate any</w:t>
      </w:r>
      <w:r>
        <w:rPr>
          <w:rFonts w:ascii="Arial" w:hAnsi="Arial" w:cs="Arial"/>
        </w:rPr>
        <w:t xml:space="preserve"> benefits to feeding these diets </w:t>
      </w:r>
      <w:r w:rsidRPr="00127942">
        <w:rPr>
          <w:rFonts w:ascii="Arial" w:hAnsi="Arial" w:cs="Arial"/>
        </w:rPr>
        <w:t>to</w:t>
      </w:r>
      <w:r w:rsidRPr="005B0EE9">
        <w:rPr>
          <w:rFonts w:ascii="Arial" w:hAnsi="Arial" w:cs="Arial"/>
          <w:color w:val="FF0000"/>
        </w:rPr>
        <w:t xml:space="preserve"> </w:t>
      </w:r>
      <w:r>
        <w:rPr>
          <w:rFonts w:ascii="Arial" w:hAnsi="Arial" w:cs="Arial"/>
        </w:rPr>
        <w:t>domestic cats.</w:t>
      </w:r>
    </w:p>
    <w:p w:rsidR="00330CF1" w:rsidRPr="008B7643" w:rsidRDefault="00330CF1" w:rsidP="00F72112">
      <w:pPr>
        <w:rPr>
          <w:rFonts w:ascii="Arial" w:hAnsi="Arial" w:cs="Arial"/>
          <w:sz w:val="20"/>
          <w:szCs w:val="20"/>
        </w:rPr>
      </w:pPr>
      <w:r w:rsidRPr="008B7643">
        <w:rPr>
          <w:rFonts w:ascii="Arial" w:hAnsi="Arial" w:cs="Arial"/>
        </w:rPr>
        <w:t xml:space="preserve">     </w:t>
      </w:r>
      <w:r w:rsidRPr="008B7643">
        <w:rPr>
          <w:rFonts w:ascii="Arial" w:eastAsia="Calibri" w:hAnsi="Arial" w:cs="Arial"/>
        </w:rPr>
        <w:t>Heat processing is known to alter nutrient and amino acid structure and bioavailability</w:t>
      </w:r>
      <w:r w:rsidRPr="008B7643">
        <w:rPr>
          <w:rFonts w:ascii="Arial" w:hAnsi="Arial" w:cs="Arial"/>
        </w:rPr>
        <w:t xml:space="preserve"> due to amino acid racemization and crosslinking, and formation </w:t>
      </w:r>
      <w:r>
        <w:rPr>
          <w:rFonts w:ascii="Arial" w:hAnsi="Arial" w:cs="Arial"/>
        </w:rPr>
        <w:t>of Maillard reaction products.</w:t>
      </w:r>
      <w:r>
        <w:rPr>
          <w:rFonts w:ascii="Arial" w:hAnsi="Arial" w:cs="Arial"/>
          <w:noProof/>
        </w:rPr>
        <w:t>[9]</w:t>
      </w:r>
      <w:r>
        <w:rPr>
          <w:rFonts w:ascii="Arial" w:eastAsia="Calibri" w:hAnsi="Arial" w:cs="Arial"/>
        </w:rPr>
        <w:t xml:space="preserve">  </w:t>
      </w:r>
      <w:r w:rsidRPr="008B7643">
        <w:rPr>
          <w:rFonts w:ascii="Arial" w:eastAsia="Calibri" w:hAnsi="Arial" w:cs="Arial"/>
        </w:rPr>
        <w:t>Reducing sugars in the presence of heat and moisture readily bind to free amino groups in proteins forming Maillard reaction products.  Maillard reaction products alter the nutritive value of foods by altering amino acid structure and reduci</w:t>
      </w:r>
      <w:r>
        <w:rPr>
          <w:rFonts w:ascii="Arial" w:eastAsia="Calibri" w:hAnsi="Arial" w:cs="Arial"/>
        </w:rPr>
        <w:t xml:space="preserve">ng protein digestibility.  Lysine </w:t>
      </w:r>
      <w:r w:rsidRPr="008B7643">
        <w:rPr>
          <w:rFonts w:ascii="Arial" w:eastAsia="Calibri" w:hAnsi="Arial" w:cs="Arial"/>
        </w:rPr>
        <w:t>and arg</w:t>
      </w:r>
      <w:r w:rsidRPr="008B7643">
        <w:rPr>
          <w:rFonts w:ascii="Arial" w:hAnsi="Arial" w:cs="Arial"/>
        </w:rPr>
        <w:t>inine are</w:t>
      </w:r>
      <w:r w:rsidRPr="008B7643">
        <w:rPr>
          <w:rFonts w:ascii="Arial" w:eastAsia="Calibri" w:hAnsi="Arial" w:cs="Arial"/>
        </w:rPr>
        <w:t xml:space="preserve"> particularly susceptible to damage by heat processing.  The presence of Maillard reaction products and decreased protein bioavailability can lead to bacterial overgrowth in the gastrointestinal tract, further reducing nutrient digestion and promoting nutritional deficiencies (i.e. taurine deficiency)</w:t>
      </w:r>
      <w:r>
        <w:rPr>
          <w:rFonts w:ascii="Arial" w:eastAsia="Calibri" w:hAnsi="Arial" w:cs="Arial"/>
        </w:rPr>
        <w:t>.</w:t>
      </w:r>
      <w:r>
        <w:rPr>
          <w:rFonts w:ascii="Arial" w:eastAsia="Calibri" w:hAnsi="Arial" w:cs="Arial"/>
          <w:noProof/>
        </w:rPr>
        <w:t>[10]</w:t>
      </w:r>
    </w:p>
    <w:p w:rsidR="00330CF1" w:rsidRDefault="00330CF1" w:rsidP="00793F25">
      <w:pPr>
        <w:rPr>
          <w:rFonts w:ascii="Arial" w:hAnsi="Arial" w:cs="Arial"/>
        </w:rPr>
      </w:pPr>
      <w:r>
        <w:rPr>
          <w:rFonts w:ascii="Arial" w:hAnsi="Arial" w:cs="Arial"/>
        </w:rPr>
        <w:t xml:space="preserve">     The goal of my </w:t>
      </w:r>
      <w:r w:rsidRPr="008B7643">
        <w:rPr>
          <w:rFonts w:ascii="Arial" w:hAnsi="Arial" w:cs="Arial"/>
        </w:rPr>
        <w:t>disse</w:t>
      </w:r>
      <w:r>
        <w:rPr>
          <w:rFonts w:ascii="Arial" w:hAnsi="Arial" w:cs="Arial"/>
        </w:rPr>
        <w:t>rtation was to evaluate</w:t>
      </w:r>
      <w:r w:rsidRPr="008B7643">
        <w:rPr>
          <w:rFonts w:ascii="Arial" w:hAnsi="Arial" w:cs="Arial"/>
        </w:rPr>
        <w:t xml:space="preserve"> current</w:t>
      </w:r>
      <w:r>
        <w:rPr>
          <w:rFonts w:ascii="Arial" w:hAnsi="Arial" w:cs="Arial"/>
        </w:rPr>
        <w:t xml:space="preserve"> popular yet</w:t>
      </w:r>
      <w:r w:rsidRPr="008B7643">
        <w:rPr>
          <w:rFonts w:ascii="Arial" w:hAnsi="Arial" w:cs="Arial"/>
        </w:rPr>
        <w:t xml:space="preserve"> unsubstantiated claims o</w:t>
      </w:r>
      <w:r>
        <w:rPr>
          <w:rFonts w:ascii="Arial" w:hAnsi="Arial" w:cs="Arial"/>
        </w:rPr>
        <w:t>f feeding raw food diets to cats</w:t>
      </w:r>
      <w:r w:rsidRPr="008B7643">
        <w:rPr>
          <w:rFonts w:ascii="Arial" w:hAnsi="Arial" w:cs="Arial"/>
        </w:rPr>
        <w:t xml:space="preserve">. </w:t>
      </w:r>
      <w:r>
        <w:rPr>
          <w:rFonts w:ascii="Arial" w:hAnsi="Arial" w:cs="Arial"/>
        </w:rPr>
        <w:t xml:space="preserve"> </w:t>
      </w:r>
      <w:r w:rsidRPr="008B7643">
        <w:rPr>
          <w:rFonts w:ascii="Arial" w:hAnsi="Arial" w:cs="Arial"/>
        </w:rPr>
        <w:t xml:space="preserve">To examine nutritional adequacy and performance, twenty-four </w:t>
      </w:r>
      <w:r>
        <w:rPr>
          <w:rFonts w:ascii="Arial" w:hAnsi="Arial" w:cs="Arial"/>
        </w:rPr>
        <w:t>9-week old kittens underwent</w:t>
      </w:r>
      <w:r w:rsidRPr="008B7643">
        <w:rPr>
          <w:rFonts w:ascii="Arial" w:hAnsi="Arial" w:cs="Arial"/>
        </w:rPr>
        <w:t xml:space="preserve"> an AAFCO feeding growth protocol similar to what is used </w:t>
      </w:r>
      <w:r w:rsidRPr="00E65886">
        <w:rPr>
          <w:rFonts w:ascii="Arial" w:hAnsi="Arial" w:cs="Arial"/>
        </w:rPr>
        <w:t xml:space="preserve">in the pet food </w:t>
      </w:r>
      <w:r w:rsidRPr="008B7643">
        <w:rPr>
          <w:rFonts w:ascii="Arial" w:hAnsi="Arial" w:cs="Arial"/>
        </w:rPr>
        <w:t>industry to determine nutritional adequacy of commercial pet foods.  Innate and</w:t>
      </w:r>
      <w:r>
        <w:rPr>
          <w:rFonts w:ascii="Arial" w:hAnsi="Arial" w:cs="Arial"/>
        </w:rPr>
        <w:t xml:space="preserve"> humoral immune function were</w:t>
      </w:r>
      <w:r w:rsidRPr="008B7643">
        <w:rPr>
          <w:rFonts w:ascii="Arial" w:hAnsi="Arial" w:cs="Arial"/>
        </w:rPr>
        <w:t xml:space="preserve"> </w:t>
      </w:r>
      <w:r>
        <w:rPr>
          <w:rFonts w:ascii="Arial" w:hAnsi="Arial" w:cs="Arial"/>
        </w:rPr>
        <w:t>evaluated</w:t>
      </w:r>
      <w:r w:rsidRPr="008B7643">
        <w:rPr>
          <w:rFonts w:ascii="Arial" w:hAnsi="Arial" w:cs="Arial"/>
        </w:rPr>
        <w:t xml:space="preserve"> by plasma immunoglobulin levels</w:t>
      </w:r>
      <w:r>
        <w:rPr>
          <w:rFonts w:ascii="Arial" w:hAnsi="Arial" w:cs="Arial"/>
        </w:rPr>
        <w:t>, vaccine serology</w:t>
      </w:r>
      <w:r w:rsidRPr="008B7643">
        <w:rPr>
          <w:rFonts w:ascii="Arial" w:hAnsi="Arial" w:cs="Arial"/>
        </w:rPr>
        <w:t xml:space="preserve"> and neutrophil function </w:t>
      </w:r>
      <w:r>
        <w:rPr>
          <w:rFonts w:ascii="Arial" w:hAnsi="Arial" w:cs="Arial"/>
        </w:rPr>
        <w:t>tests.  Apparent digestibility was examined by feeding 6 kittens and 4 adult cats in a crossover design.  Apparent dry matter, organic matter, protein, fat and energy digestibility was compared between two raw diets and a heat-processed diet.</w:t>
      </w:r>
    </w:p>
    <w:p w:rsidR="00330CF1" w:rsidRDefault="00330CF1" w:rsidP="00793F25">
      <w:pPr>
        <w:rPr>
          <w:rFonts w:ascii="Arial" w:hAnsi="Arial" w:cs="Arial"/>
        </w:rPr>
      </w:pPr>
    </w:p>
    <w:p w:rsidR="00330CF1" w:rsidRDefault="00330CF1" w:rsidP="00793F25">
      <w:pPr>
        <w:rPr>
          <w:rFonts w:ascii="Arial" w:hAnsi="Arial" w:cs="Arial"/>
        </w:rPr>
      </w:pPr>
    </w:p>
    <w:p w:rsidR="00330CF1" w:rsidRDefault="00330CF1" w:rsidP="00793F25">
      <w:pPr>
        <w:rPr>
          <w:rFonts w:ascii="Arial" w:hAnsi="Arial" w:cs="Arial"/>
        </w:rPr>
      </w:pPr>
    </w:p>
    <w:p w:rsidR="00330CF1" w:rsidRDefault="00330CF1" w:rsidP="00793F25">
      <w:pPr>
        <w:jc w:val="center"/>
        <w:rPr>
          <w:rFonts w:ascii="Arial" w:hAnsi="Arial" w:cs="Arial"/>
          <w:b/>
          <w:sz w:val="32"/>
          <w:szCs w:val="32"/>
        </w:rPr>
      </w:pPr>
    </w:p>
    <w:p w:rsidR="00330CF1" w:rsidRDefault="00330CF1" w:rsidP="00793F25">
      <w:pPr>
        <w:jc w:val="center"/>
        <w:rPr>
          <w:rFonts w:ascii="Arial" w:hAnsi="Arial" w:cs="Arial"/>
          <w:b/>
          <w:sz w:val="32"/>
          <w:szCs w:val="32"/>
        </w:rPr>
      </w:pPr>
    </w:p>
    <w:p w:rsidR="00330CF1" w:rsidRDefault="00330CF1" w:rsidP="00793F25">
      <w:pPr>
        <w:jc w:val="center"/>
        <w:rPr>
          <w:rFonts w:ascii="Arial" w:hAnsi="Arial" w:cs="Arial"/>
          <w:b/>
          <w:sz w:val="32"/>
          <w:szCs w:val="32"/>
        </w:rPr>
      </w:pPr>
    </w:p>
    <w:p w:rsidR="00330CF1" w:rsidRDefault="00330CF1" w:rsidP="00793F25">
      <w:pPr>
        <w:jc w:val="center"/>
        <w:rPr>
          <w:rFonts w:ascii="Arial" w:hAnsi="Arial" w:cs="Arial"/>
          <w:b/>
          <w:sz w:val="32"/>
          <w:szCs w:val="32"/>
        </w:rPr>
      </w:pPr>
    </w:p>
    <w:p w:rsidR="00330CF1" w:rsidRDefault="00330CF1">
      <w:pPr>
        <w:rPr>
          <w:rFonts w:ascii="Arial" w:hAnsi="Arial" w:cs="Arial"/>
          <w:b/>
          <w:sz w:val="32"/>
          <w:szCs w:val="32"/>
        </w:rPr>
      </w:pPr>
      <w:r>
        <w:rPr>
          <w:rFonts w:ascii="Arial" w:hAnsi="Arial" w:cs="Arial"/>
          <w:b/>
          <w:sz w:val="32"/>
          <w:szCs w:val="32"/>
        </w:rPr>
        <w:br w:type="page"/>
      </w:r>
    </w:p>
    <w:p w:rsidR="00330CF1" w:rsidRPr="00793F25" w:rsidRDefault="00330CF1" w:rsidP="00793F25">
      <w:pPr>
        <w:jc w:val="center"/>
        <w:rPr>
          <w:rFonts w:ascii="Arial" w:hAnsi="Arial" w:cs="Arial"/>
          <w:b/>
          <w:sz w:val="32"/>
          <w:szCs w:val="32"/>
        </w:rPr>
      </w:pPr>
      <w:r>
        <w:rPr>
          <w:rFonts w:ascii="Arial" w:hAnsi="Arial" w:cs="Arial"/>
          <w:b/>
          <w:sz w:val="32"/>
          <w:szCs w:val="32"/>
        </w:rPr>
        <w:lastRenderedPageBreak/>
        <w:t>CHAPTER</w:t>
      </w:r>
      <w:r w:rsidRPr="00793F25">
        <w:rPr>
          <w:rFonts w:ascii="Arial" w:hAnsi="Arial" w:cs="Arial"/>
          <w:b/>
          <w:sz w:val="32"/>
          <w:szCs w:val="32"/>
        </w:rPr>
        <w:t xml:space="preserve"> 1</w:t>
      </w:r>
    </w:p>
    <w:p w:rsidR="00330CF1" w:rsidRPr="00F76476" w:rsidRDefault="00330CF1" w:rsidP="00F76476">
      <w:pPr>
        <w:jc w:val="center"/>
        <w:rPr>
          <w:rFonts w:ascii="Arial" w:hAnsi="Arial" w:cs="Arial"/>
          <w:b/>
          <w:sz w:val="32"/>
          <w:szCs w:val="32"/>
        </w:rPr>
      </w:pPr>
      <w:r>
        <w:rPr>
          <w:rFonts w:ascii="Arial" w:hAnsi="Arial" w:cs="Arial"/>
          <w:b/>
          <w:sz w:val="32"/>
          <w:szCs w:val="32"/>
        </w:rPr>
        <w:t>LITERATURE REVIEW</w:t>
      </w:r>
    </w:p>
    <w:p w:rsidR="00330CF1" w:rsidRPr="00F76476" w:rsidRDefault="00330CF1" w:rsidP="007759FC">
      <w:pPr>
        <w:pStyle w:val="Heading2"/>
      </w:pPr>
      <w:bookmarkStart w:id="2" w:name="_Toc276578150"/>
      <w:bookmarkStart w:id="3" w:name="_Toc305485830"/>
      <w:r>
        <w:t>Unique Nutrient Requirements in Growing Kittens</w:t>
      </w:r>
      <w:bookmarkEnd w:id="2"/>
      <w:bookmarkEnd w:id="3"/>
    </w:p>
    <w:p w:rsidR="00330CF1" w:rsidRDefault="00330CF1">
      <w:pPr>
        <w:numPr>
          <w:ilvl w:val="12"/>
          <w:numId w:val="0"/>
        </w:numPr>
        <w:rPr>
          <w:rFonts w:ascii="Arial" w:hAnsi="Arial" w:cs="Arial"/>
        </w:rPr>
      </w:pPr>
      <w:r>
        <w:rPr>
          <w:rFonts w:ascii="Arial" w:hAnsi="Arial" w:cs="Arial"/>
        </w:rPr>
        <w:t xml:space="preserve">     Cats have evolved as strict carnivores.  All of their nutritional requirements can be met by eating animal tissue.  As a consequence of all meat diets, they have developed unique adaptations in their metabolism and nutrient requirements when compared with omnivores and herbivores.  </w:t>
      </w:r>
      <w:r w:rsidRPr="00082925">
        <w:rPr>
          <w:rFonts w:ascii="Arial" w:hAnsi="Arial" w:cs="Arial"/>
        </w:rPr>
        <w:t xml:space="preserve">These include a high requirement for dietary nitrogen and an absolute requirement for taurine besides the 10 other essential amino acids required by most mammals.  In addition, felids </w:t>
      </w:r>
      <w:r>
        <w:rPr>
          <w:rFonts w:ascii="Arial" w:hAnsi="Arial" w:cs="Arial"/>
        </w:rPr>
        <w:t xml:space="preserve">require preformed Vitamin A, Vitamin D, niacin, and arachidonic acid to be present in their diet due to insufficient </w:t>
      </w:r>
      <w:r w:rsidRPr="00794253">
        <w:rPr>
          <w:rFonts w:ascii="Arial" w:hAnsi="Arial" w:cs="Arial"/>
          <w:i/>
        </w:rPr>
        <w:t>in vivo</w:t>
      </w:r>
      <w:r>
        <w:rPr>
          <w:rFonts w:ascii="Arial" w:hAnsi="Arial" w:cs="Arial"/>
        </w:rPr>
        <w:t xml:space="preserve"> synthesis.  These additional requirements have resulted from either deletion or reduction of necessary enzymes required for synthesis of these compounds or increased activity of alternate pathways.</w:t>
      </w:r>
      <w:r>
        <w:rPr>
          <w:rFonts w:ascii="Arial" w:hAnsi="Arial" w:cs="Arial"/>
          <w:noProof/>
        </w:rPr>
        <w:t>[11]</w:t>
      </w:r>
      <w:r>
        <w:rPr>
          <w:rFonts w:ascii="Arial" w:hAnsi="Arial" w:cs="Arial"/>
        </w:rPr>
        <w:t xml:space="preserve">  All of these compounds are abundant in animal tissue making development of enzyme systems for these redundant.</w:t>
      </w:r>
    </w:p>
    <w:p w:rsidR="00330CF1" w:rsidRPr="00225025" w:rsidRDefault="00330CF1" w:rsidP="00225025">
      <w:pPr>
        <w:pStyle w:val="Heading3"/>
      </w:pPr>
      <w:bookmarkStart w:id="4" w:name="_Toc305485831"/>
      <w:r>
        <w:t>Protein and amino a</w:t>
      </w:r>
      <w:r w:rsidRPr="00225025">
        <w:t xml:space="preserve">cid </w:t>
      </w:r>
      <w:r>
        <w:t>r</w:t>
      </w:r>
      <w:r w:rsidRPr="00225025">
        <w:t>equirements</w:t>
      </w:r>
      <w:bookmarkEnd w:id="4"/>
    </w:p>
    <w:p w:rsidR="00330CF1" w:rsidRDefault="00330CF1">
      <w:pPr>
        <w:numPr>
          <w:ilvl w:val="12"/>
          <w:numId w:val="0"/>
        </w:numPr>
        <w:rPr>
          <w:rFonts w:ascii="Arial" w:hAnsi="Arial" w:cs="Arial"/>
        </w:rPr>
      </w:pPr>
      <w:r>
        <w:rPr>
          <w:rFonts w:ascii="Arial" w:hAnsi="Arial" w:cs="Arial"/>
        </w:rPr>
        <w:t xml:space="preserve">     In young animals, protein is required for maintenance of tissue protein levels and for accrual of tissue associated with growth.  Therefore, dietary protein requirements are higher during periods of growth than during maintenance of a steady state.  </w:t>
      </w:r>
      <w:r w:rsidRPr="00756B6F">
        <w:rPr>
          <w:rFonts w:ascii="Arial" w:hAnsi="Arial" w:cs="Arial"/>
        </w:rPr>
        <w:t>Dietary</w:t>
      </w:r>
      <w:r w:rsidRPr="00801541">
        <w:rPr>
          <w:rFonts w:ascii="Arial" w:hAnsi="Arial" w:cs="Arial"/>
          <w:color w:val="C00000"/>
        </w:rPr>
        <w:t xml:space="preserve"> </w:t>
      </w:r>
      <w:r w:rsidRPr="00756B6F">
        <w:rPr>
          <w:rFonts w:ascii="Arial" w:hAnsi="Arial" w:cs="Arial"/>
        </w:rPr>
        <w:t>protein must provide for 1-</w:t>
      </w:r>
      <w:r>
        <w:rPr>
          <w:rFonts w:ascii="Arial" w:hAnsi="Arial" w:cs="Arial"/>
        </w:rPr>
        <w:t xml:space="preserve"> essential amino acids, </w:t>
      </w:r>
      <w:r w:rsidRPr="00756B6F">
        <w:rPr>
          <w:rFonts w:ascii="Arial" w:hAnsi="Arial" w:cs="Arial"/>
        </w:rPr>
        <w:t>2- nitrogen for synthesis of nonessential amino acids, and 3- nitrogen for synthesis of other nitrogenous compounds such as purines and pyrimidines</w:t>
      </w:r>
      <w:r w:rsidRPr="00801541">
        <w:rPr>
          <w:rFonts w:ascii="Arial" w:hAnsi="Arial" w:cs="Arial"/>
          <w:color w:val="C00000"/>
        </w:rPr>
        <w:t xml:space="preserve">. </w:t>
      </w:r>
      <w:r>
        <w:rPr>
          <w:rFonts w:ascii="Arial" w:hAnsi="Arial" w:cs="Arial"/>
        </w:rPr>
        <w:t xml:space="preserve"> Cats, when compared with other species, have higher nitrogen requirements due to their lack of down-regulation of enzymes for nitrogen metabolism.</w:t>
      </w:r>
      <w:r>
        <w:rPr>
          <w:rFonts w:ascii="Arial" w:hAnsi="Arial" w:cs="Arial"/>
          <w:noProof/>
        </w:rPr>
        <w:t>[11]</w:t>
      </w:r>
      <w:r>
        <w:rPr>
          <w:rFonts w:ascii="Arial" w:hAnsi="Arial" w:cs="Arial"/>
        </w:rPr>
        <w:t xml:space="preserve">  They use amino acids for gluconeogenesis and energy, besides protein synthesis (Table 1).</w:t>
      </w:r>
      <w:r>
        <w:rPr>
          <w:rFonts w:ascii="Arial" w:hAnsi="Arial" w:cs="Arial"/>
          <w:noProof/>
        </w:rPr>
        <w:t>[11]</w:t>
      </w:r>
    </w:p>
    <w:p w:rsidR="00330CF1" w:rsidRDefault="00330CF1">
      <w:pPr>
        <w:numPr>
          <w:ilvl w:val="12"/>
          <w:numId w:val="0"/>
        </w:numPr>
        <w:rPr>
          <w:rFonts w:ascii="Arial" w:hAnsi="Arial" w:cs="Arial"/>
        </w:rPr>
      </w:pPr>
    </w:p>
    <w:p w:rsidR="00330CF1" w:rsidRDefault="00330CF1">
      <w:pPr>
        <w:numPr>
          <w:ilvl w:val="12"/>
          <w:numId w:val="0"/>
        </w:numPr>
        <w:rPr>
          <w:rFonts w:ascii="Arial" w:hAnsi="Arial" w:cs="Arial"/>
        </w:rPr>
      </w:pPr>
    </w:p>
    <w:p w:rsidR="00330CF1" w:rsidRDefault="00330CF1" w:rsidP="000F2AAA">
      <w:pPr>
        <w:numPr>
          <w:ilvl w:val="12"/>
          <w:numId w:val="0"/>
        </w:numPr>
        <w:jc w:val="center"/>
        <w:rPr>
          <w:rFonts w:ascii="Arial" w:hAnsi="Arial" w:cs="Arial"/>
        </w:rPr>
      </w:pPr>
      <w:r w:rsidRPr="00A11B47">
        <w:rPr>
          <w:rFonts w:ascii="Arial" w:hAnsi="Arial" w:cs="Arial"/>
          <w:b/>
        </w:rPr>
        <w:t>Table 1.1</w:t>
      </w:r>
      <w:r>
        <w:rPr>
          <w:rFonts w:ascii="Arial" w:hAnsi="Arial" w:cs="Arial"/>
        </w:rPr>
        <w:t xml:space="preserve"> </w:t>
      </w:r>
      <w:r w:rsidRPr="009F5E54">
        <w:rPr>
          <w:rFonts w:ascii="Arial" w:hAnsi="Arial" w:cs="Arial"/>
        </w:rPr>
        <w:t>Minimum</w:t>
      </w:r>
      <w:r>
        <w:rPr>
          <w:rFonts w:ascii="Arial" w:hAnsi="Arial" w:cs="Arial"/>
        </w:rPr>
        <w:t xml:space="preserve"> crude protein requirements in carnivores and omnivores  (percentage on a dry matter basis)</w:t>
      </w:r>
    </w:p>
    <w:p w:rsidR="00330CF1" w:rsidRDefault="00330CF1" w:rsidP="000F2AAA">
      <w:pPr>
        <w:numPr>
          <w:ilvl w:val="12"/>
          <w:numId w:val="0"/>
        </w:num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096"/>
        <w:gridCol w:w="3294"/>
      </w:tblGrid>
      <w:tr w:rsidR="00330CF1" w:rsidRPr="00B57102" w:rsidTr="00162072">
        <w:tc>
          <w:tcPr>
            <w:tcW w:w="2268" w:type="dxa"/>
          </w:tcPr>
          <w:p w:rsidR="00330CF1" w:rsidRPr="00B57102" w:rsidRDefault="00330CF1" w:rsidP="002854F5">
            <w:pPr>
              <w:numPr>
                <w:ilvl w:val="12"/>
                <w:numId w:val="0"/>
              </w:numPr>
              <w:rPr>
                <w:rFonts w:ascii="Arial" w:hAnsi="Arial" w:cs="Arial"/>
              </w:rPr>
            </w:pPr>
          </w:p>
        </w:tc>
        <w:tc>
          <w:tcPr>
            <w:tcW w:w="3096" w:type="dxa"/>
          </w:tcPr>
          <w:p w:rsidR="00330CF1" w:rsidRPr="00B57102" w:rsidRDefault="00330CF1" w:rsidP="002854F5">
            <w:pPr>
              <w:numPr>
                <w:ilvl w:val="12"/>
                <w:numId w:val="0"/>
              </w:numPr>
              <w:jc w:val="center"/>
              <w:rPr>
                <w:rFonts w:ascii="Arial" w:hAnsi="Arial" w:cs="Arial"/>
              </w:rPr>
            </w:pPr>
            <w:r w:rsidRPr="00B57102">
              <w:rPr>
                <w:rFonts w:ascii="Arial" w:hAnsi="Arial" w:cs="Arial"/>
              </w:rPr>
              <w:t>Recommended CP requirement for growth</w:t>
            </w:r>
          </w:p>
        </w:tc>
        <w:tc>
          <w:tcPr>
            <w:tcW w:w="3294" w:type="dxa"/>
          </w:tcPr>
          <w:p w:rsidR="00330CF1" w:rsidRPr="00B57102" w:rsidRDefault="00330CF1" w:rsidP="002854F5">
            <w:pPr>
              <w:numPr>
                <w:ilvl w:val="12"/>
                <w:numId w:val="0"/>
              </w:numPr>
              <w:jc w:val="center"/>
              <w:rPr>
                <w:rFonts w:ascii="Arial" w:hAnsi="Arial" w:cs="Arial"/>
              </w:rPr>
            </w:pPr>
            <w:r w:rsidRPr="00B57102">
              <w:rPr>
                <w:rFonts w:ascii="Arial" w:hAnsi="Arial" w:cs="Arial"/>
              </w:rPr>
              <w:t>Recommended CP requirement for maintenance</w:t>
            </w:r>
          </w:p>
        </w:tc>
      </w:tr>
      <w:tr w:rsidR="00330CF1" w:rsidRPr="00B57102" w:rsidTr="00162072">
        <w:tc>
          <w:tcPr>
            <w:tcW w:w="2268" w:type="dxa"/>
          </w:tcPr>
          <w:p w:rsidR="00330CF1" w:rsidRPr="00B57102" w:rsidRDefault="00330CF1" w:rsidP="002854F5">
            <w:pPr>
              <w:numPr>
                <w:ilvl w:val="12"/>
                <w:numId w:val="0"/>
              </w:numPr>
              <w:rPr>
                <w:rFonts w:ascii="Arial" w:hAnsi="Arial" w:cs="Arial"/>
              </w:rPr>
            </w:pPr>
            <w:r w:rsidRPr="00B57102">
              <w:rPr>
                <w:rFonts w:ascii="Arial" w:hAnsi="Arial" w:cs="Arial"/>
              </w:rPr>
              <w:t>Carnivore (mink)</w:t>
            </w:r>
          </w:p>
        </w:tc>
        <w:tc>
          <w:tcPr>
            <w:tcW w:w="3096" w:type="dxa"/>
          </w:tcPr>
          <w:p w:rsidR="00330CF1" w:rsidRPr="00B57102" w:rsidRDefault="00330CF1" w:rsidP="002854F5">
            <w:pPr>
              <w:numPr>
                <w:ilvl w:val="12"/>
                <w:numId w:val="0"/>
              </w:numPr>
              <w:jc w:val="center"/>
              <w:rPr>
                <w:rFonts w:ascii="Arial" w:hAnsi="Arial" w:cs="Arial"/>
              </w:rPr>
            </w:pPr>
            <w:r w:rsidRPr="00B57102">
              <w:rPr>
                <w:rFonts w:ascii="Arial" w:hAnsi="Arial" w:cs="Arial"/>
              </w:rPr>
              <w:t>32-38</w:t>
            </w:r>
            <w:r>
              <w:rPr>
                <w:rFonts w:ascii="Arial" w:hAnsi="Arial" w:cs="Arial"/>
              </w:rPr>
              <w:t>%</w:t>
            </w:r>
          </w:p>
        </w:tc>
        <w:tc>
          <w:tcPr>
            <w:tcW w:w="3294" w:type="dxa"/>
          </w:tcPr>
          <w:p w:rsidR="00330CF1" w:rsidRPr="00B57102" w:rsidRDefault="00330CF1" w:rsidP="002854F5">
            <w:pPr>
              <w:numPr>
                <w:ilvl w:val="12"/>
                <w:numId w:val="0"/>
              </w:numPr>
              <w:jc w:val="center"/>
              <w:rPr>
                <w:rFonts w:ascii="Arial" w:hAnsi="Arial" w:cs="Arial"/>
              </w:rPr>
            </w:pPr>
            <w:r w:rsidRPr="00B57102">
              <w:rPr>
                <w:rFonts w:ascii="Arial" w:hAnsi="Arial" w:cs="Arial"/>
              </w:rPr>
              <w:t>21.8-26</w:t>
            </w:r>
            <w:r>
              <w:rPr>
                <w:rFonts w:ascii="Arial" w:hAnsi="Arial" w:cs="Arial"/>
              </w:rPr>
              <w:t>%</w:t>
            </w:r>
          </w:p>
        </w:tc>
      </w:tr>
      <w:tr w:rsidR="00330CF1" w:rsidRPr="00B57102" w:rsidTr="00162072">
        <w:tc>
          <w:tcPr>
            <w:tcW w:w="2268" w:type="dxa"/>
          </w:tcPr>
          <w:p w:rsidR="00330CF1" w:rsidRPr="00B57102" w:rsidRDefault="00330CF1" w:rsidP="002854F5">
            <w:pPr>
              <w:numPr>
                <w:ilvl w:val="12"/>
                <w:numId w:val="0"/>
              </w:numPr>
              <w:rPr>
                <w:rFonts w:ascii="Arial" w:hAnsi="Arial" w:cs="Arial"/>
              </w:rPr>
            </w:pPr>
            <w:r w:rsidRPr="00B57102">
              <w:rPr>
                <w:rFonts w:ascii="Arial" w:hAnsi="Arial" w:cs="Arial"/>
              </w:rPr>
              <w:t>Carnivore (cat)</w:t>
            </w:r>
          </w:p>
        </w:tc>
        <w:tc>
          <w:tcPr>
            <w:tcW w:w="3096" w:type="dxa"/>
          </w:tcPr>
          <w:p w:rsidR="00330CF1" w:rsidRPr="00B57102" w:rsidRDefault="00330CF1" w:rsidP="002854F5">
            <w:pPr>
              <w:numPr>
                <w:ilvl w:val="12"/>
                <w:numId w:val="0"/>
              </w:numPr>
              <w:jc w:val="center"/>
              <w:rPr>
                <w:rFonts w:ascii="Arial" w:hAnsi="Arial" w:cs="Arial"/>
              </w:rPr>
            </w:pPr>
            <w:r w:rsidRPr="00B57102">
              <w:rPr>
                <w:rFonts w:ascii="Arial" w:hAnsi="Arial" w:cs="Arial"/>
              </w:rPr>
              <w:t>22.5</w:t>
            </w:r>
            <w:r>
              <w:rPr>
                <w:rFonts w:ascii="Arial" w:hAnsi="Arial" w:cs="Arial"/>
              </w:rPr>
              <w:t>%</w:t>
            </w:r>
          </w:p>
        </w:tc>
        <w:tc>
          <w:tcPr>
            <w:tcW w:w="3294" w:type="dxa"/>
          </w:tcPr>
          <w:p w:rsidR="00330CF1" w:rsidRPr="00B57102" w:rsidRDefault="00330CF1" w:rsidP="002854F5">
            <w:pPr>
              <w:numPr>
                <w:ilvl w:val="12"/>
                <w:numId w:val="0"/>
              </w:numPr>
              <w:jc w:val="center"/>
              <w:rPr>
                <w:rFonts w:ascii="Arial" w:hAnsi="Arial" w:cs="Arial"/>
              </w:rPr>
            </w:pPr>
            <w:r w:rsidRPr="00B57102">
              <w:rPr>
                <w:rFonts w:ascii="Arial" w:hAnsi="Arial" w:cs="Arial"/>
              </w:rPr>
              <w:t>20</w:t>
            </w:r>
            <w:r>
              <w:rPr>
                <w:rFonts w:ascii="Arial" w:hAnsi="Arial" w:cs="Arial"/>
              </w:rPr>
              <w:t>%</w:t>
            </w:r>
          </w:p>
        </w:tc>
      </w:tr>
      <w:tr w:rsidR="00330CF1" w:rsidRPr="00B57102" w:rsidTr="00162072">
        <w:tc>
          <w:tcPr>
            <w:tcW w:w="2268" w:type="dxa"/>
          </w:tcPr>
          <w:p w:rsidR="00330CF1" w:rsidRPr="00B57102" w:rsidRDefault="00330CF1" w:rsidP="002854F5">
            <w:pPr>
              <w:numPr>
                <w:ilvl w:val="12"/>
                <w:numId w:val="0"/>
              </w:numPr>
              <w:rPr>
                <w:rFonts w:ascii="Arial" w:hAnsi="Arial" w:cs="Arial"/>
              </w:rPr>
            </w:pPr>
            <w:r w:rsidRPr="00B57102">
              <w:rPr>
                <w:rFonts w:ascii="Arial" w:hAnsi="Arial" w:cs="Arial"/>
              </w:rPr>
              <w:t>Omnivore (dog)</w:t>
            </w:r>
          </w:p>
        </w:tc>
        <w:tc>
          <w:tcPr>
            <w:tcW w:w="3096" w:type="dxa"/>
          </w:tcPr>
          <w:p w:rsidR="00330CF1" w:rsidRPr="00B57102" w:rsidRDefault="00330CF1" w:rsidP="002854F5">
            <w:pPr>
              <w:numPr>
                <w:ilvl w:val="12"/>
                <w:numId w:val="0"/>
              </w:numPr>
              <w:jc w:val="center"/>
              <w:rPr>
                <w:rFonts w:ascii="Arial" w:hAnsi="Arial" w:cs="Arial"/>
              </w:rPr>
            </w:pPr>
            <w:r w:rsidRPr="00B57102">
              <w:rPr>
                <w:rFonts w:ascii="Arial" w:hAnsi="Arial" w:cs="Arial"/>
              </w:rPr>
              <w:t>17.5-22.5</w:t>
            </w:r>
            <w:r>
              <w:rPr>
                <w:rFonts w:ascii="Arial" w:hAnsi="Arial" w:cs="Arial"/>
              </w:rPr>
              <w:t>%</w:t>
            </w:r>
          </w:p>
        </w:tc>
        <w:tc>
          <w:tcPr>
            <w:tcW w:w="3294" w:type="dxa"/>
          </w:tcPr>
          <w:p w:rsidR="00330CF1" w:rsidRPr="00B57102" w:rsidRDefault="00330CF1" w:rsidP="002854F5">
            <w:pPr>
              <w:numPr>
                <w:ilvl w:val="12"/>
                <w:numId w:val="0"/>
              </w:numPr>
              <w:jc w:val="center"/>
              <w:rPr>
                <w:rFonts w:ascii="Arial" w:hAnsi="Arial" w:cs="Arial"/>
              </w:rPr>
            </w:pPr>
            <w:r w:rsidRPr="00B57102">
              <w:rPr>
                <w:rFonts w:ascii="Arial" w:hAnsi="Arial" w:cs="Arial"/>
              </w:rPr>
              <w:t>10.0</w:t>
            </w:r>
            <w:r>
              <w:rPr>
                <w:rFonts w:ascii="Arial" w:hAnsi="Arial" w:cs="Arial"/>
              </w:rPr>
              <w:t>%</w:t>
            </w:r>
          </w:p>
        </w:tc>
      </w:tr>
      <w:tr w:rsidR="00330CF1" w:rsidRPr="00B57102" w:rsidTr="00162072">
        <w:tc>
          <w:tcPr>
            <w:tcW w:w="2268" w:type="dxa"/>
          </w:tcPr>
          <w:p w:rsidR="00330CF1" w:rsidRPr="00B57102" w:rsidRDefault="00330CF1" w:rsidP="002854F5">
            <w:pPr>
              <w:numPr>
                <w:ilvl w:val="12"/>
                <w:numId w:val="0"/>
              </w:numPr>
              <w:rPr>
                <w:rFonts w:ascii="Arial" w:hAnsi="Arial" w:cs="Arial"/>
              </w:rPr>
            </w:pPr>
            <w:r w:rsidRPr="00B57102">
              <w:rPr>
                <w:rFonts w:ascii="Arial" w:hAnsi="Arial" w:cs="Arial"/>
              </w:rPr>
              <w:t>Omnivore (rat)</w:t>
            </w:r>
          </w:p>
        </w:tc>
        <w:tc>
          <w:tcPr>
            <w:tcW w:w="3096" w:type="dxa"/>
          </w:tcPr>
          <w:p w:rsidR="00330CF1" w:rsidRPr="00B57102" w:rsidRDefault="00330CF1" w:rsidP="002854F5">
            <w:pPr>
              <w:numPr>
                <w:ilvl w:val="12"/>
                <w:numId w:val="0"/>
              </w:numPr>
              <w:jc w:val="center"/>
              <w:rPr>
                <w:rFonts w:ascii="Arial" w:hAnsi="Arial" w:cs="Arial"/>
              </w:rPr>
            </w:pPr>
            <w:r w:rsidRPr="00B57102">
              <w:rPr>
                <w:rFonts w:ascii="Arial" w:hAnsi="Arial" w:cs="Arial"/>
              </w:rPr>
              <w:t>1</w:t>
            </w:r>
            <w:r>
              <w:rPr>
                <w:rFonts w:ascii="Arial" w:hAnsi="Arial" w:cs="Arial"/>
              </w:rPr>
              <w:t>6.6%</w:t>
            </w:r>
          </w:p>
        </w:tc>
        <w:tc>
          <w:tcPr>
            <w:tcW w:w="3294" w:type="dxa"/>
          </w:tcPr>
          <w:p w:rsidR="00330CF1" w:rsidRPr="00B57102" w:rsidRDefault="00330CF1" w:rsidP="002854F5">
            <w:pPr>
              <w:numPr>
                <w:ilvl w:val="12"/>
                <w:numId w:val="0"/>
              </w:numPr>
              <w:jc w:val="center"/>
              <w:rPr>
                <w:rFonts w:ascii="Arial" w:hAnsi="Arial" w:cs="Arial"/>
              </w:rPr>
            </w:pPr>
            <w:r>
              <w:rPr>
                <w:rFonts w:ascii="Arial" w:hAnsi="Arial" w:cs="Arial"/>
              </w:rPr>
              <w:t>5.5%</w:t>
            </w:r>
          </w:p>
        </w:tc>
      </w:tr>
    </w:tbl>
    <w:p w:rsidR="00330CF1" w:rsidRDefault="00330CF1">
      <w:pPr>
        <w:numPr>
          <w:ilvl w:val="12"/>
          <w:numId w:val="0"/>
        </w:numPr>
        <w:rPr>
          <w:rFonts w:ascii="Arial" w:hAnsi="Arial" w:cs="Arial"/>
        </w:rPr>
      </w:pPr>
      <w:r w:rsidRPr="00EF64DA">
        <w:rPr>
          <w:rFonts w:ascii="Arial" w:hAnsi="Arial" w:cs="Arial"/>
          <w:b/>
          <w:i/>
        </w:rPr>
        <w:t>Sources</w:t>
      </w:r>
      <w:r>
        <w:rPr>
          <w:rFonts w:ascii="Arial" w:hAnsi="Arial" w:cs="Arial"/>
        </w:rPr>
        <w:t>: Data from Nutrient Requirements of Mink and Foxes, National Academy Press (1982), p. 33; Nutrient Requirements of Dogs and Cats, National Academy Press (2006) pp. 357-369; Nutrient Requirements of Laboratory Animals, National Academy Press (1995), p.13.</w:t>
      </w:r>
    </w:p>
    <w:p w:rsidR="00330CF1" w:rsidRDefault="00330CF1">
      <w:pPr>
        <w:numPr>
          <w:ilvl w:val="12"/>
          <w:numId w:val="0"/>
        </w:numPr>
        <w:rPr>
          <w:rFonts w:ascii="Arial" w:hAnsi="Arial" w:cs="Arial"/>
        </w:rPr>
      </w:pPr>
    </w:p>
    <w:p w:rsidR="00330CF1" w:rsidRDefault="00330CF1">
      <w:pPr>
        <w:numPr>
          <w:ilvl w:val="12"/>
          <w:numId w:val="0"/>
        </w:numPr>
        <w:rPr>
          <w:rFonts w:ascii="Arial" w:hAnsi="Arial" w:cs="Arial"/>
        </w:rPr>
      </w:pPr>
    </w:p>
    <w:p w:rsidR="00330CF1" w:rsidRDefault="00330CF1">
      <w:pPr>
        <w:numPr>
          <w:ilvl w:val="12"/>
          <w:numId w:val="0"/>
        </w:numPr>
        <w:rPr>
          <w:rFonts w:ascii="Arial" w:hAnsi="Arial" w:cs="Arial"/>
        </w:rPr>
      </w:pPr>
    </w:p>
    <w:p w:rsidR="00330CF1" w:rsidRDefault="00330CF1">
      <w:pPr>
        <w:numPr>
          <w:ilvl w:val="12"/>
          <w:numId w:val="0"/>
        </w:numPr>
        <w:rPr>
          <w:rFonts w:ascii="Arial" w:hAnsi="Arial" w:cs="Arial"/>
          <w:color w:val="FF0000"/>
        </w:rPr>
      </w:pPr>
      <w:r w:rsidRPr="00705FAC">
        <w:rPr>
          <w:rFonts w:ascii="Arial" w:hAnsi="Arial" w:cs="Arial"/>
        </w:rPr>
        <w:lastRenderedPageBreak/>
        <w:t xml:space="preserve">     </w:t>
      </w:r>
      <w:r>
        <w:rPr>
          <w:rFonts w:ascii="Arial" w:hAnsi="Arial" w:cs="Arial"/>
          <w:color w:val="000000"/>
        </w:rPr>
        <w:t>Cats require 11</w:t>
      </w:r>
      <w:r w:rsidRPr="00A11B47">
        <w:rPr>
          <w:rFonts w:ascii="Arial" w:hAnsi="Arial" w:cs="Arial"/>
          <w:color w:val="000000"/>
        </w:rPr>
        <w:t xml:space="preserve"> es</w:t>
      </w:r>
      <w:r>
        <w:rPr>
          <w:rFonts w:ascii="Arial" w:hAnsi="Arial" w:cs="Arial"/>
          <w:color w:val="000000"/>
        </w:rPr>
        <w:t>sential amino acids.  These include</w:t>
      </w:r>
      <w:r w:rsidRPr="00A11B47">
        <w:rPr>
          <w:rFonts w:ascii="Arial" w:hAnsi="Arial" w:cs="Arial"/>
          <w:color w:val="000000"/>
        </w:rPr>
        <w:t xml:space="preserve"> arginine, histidine, isoleucine, leucine, lysine, methionine, phenylalanine, threonine, tryptophan,valine and taurine.</w:t>
      </w:r>
      <w:r>
        <w:rPr>
          <w:rFonts w:ascii="Arial" w:hAnsi="Arial" w:cs="Arial"/>
          <w:noProof/>
          <w:color w:val="000000"/>
        </w:rPr>
        <w:t>[12]</w:t>
      </w:r>
      <w:r>
        <w:rPr>
          <w:rFonts w:ascii="Arial" w:hAnsi="Arial" w:cs="Arial"/>
          <w:color w:val="000000"/>
        </w:rPr>
        <w:t xml:space="preserve">  </w:t>
      </w:r>
      <w:r w:rsidRPr="00A11B47">
        <w:rPr>
          <w:rFonts w:ascii="Arial" w:hAnsi="Arial" w:cs="Arial"/>
          <w:color w:val="000000"/>
        </w:rPr>
        <w:t>In determining nutrient requirements, the response to a lack of any of these</w:t>
      </w:r>
      <w:r>
        <w:rPr>
          <w:rFonts w:ascii="Arial" w:hAnsi="Arial" w:cs="Arial"/>
          <w:color w:val="000000"/>
        </w:rPr>
        <w:t xml:space="preserve"> first 10 amino acids</w:t>
      </w:r>
      <w:r w:rsidRPr="00A11B47">
        <w:rPr>
          <w:rFonts w:ascii="Arial" w:hAnsi="Arial" w:cs="Arial"/>
          <w:color w:val="000000"/>
        </w:rPr>
        <w:t xml:space="preserve"> in their diet result</w:t>
      </w:r>
      <w:r>
        <w:rPr>
          <w:rFonts w:ascii="Arial" w:hAnsi="Arial" w:cs="Arial"/>
          <w:color w:val="000000"/>
        </w:rPr>
        <w:t>s</w:t>
      </w:r>
      <w:r w:rsidRPr="00A11B47">
        <w:rPr>
          <w:rFonts w:ascii="Arial" w:hAnsi="Arial" w:cs="Arial"/>
          <w:color w:val="000000"/>
        </w:rPr>
        <w:t xml:space="preserve"> in a 30-50% decrease in food intake, weight loss and decreased plasma concentration.</w:t>
      </w:r>
      <w:r>
        <w:rPr>
          <w:rFonts w:ascii="Arial" w:hAnsi="Arial" w:cs="Arial"/>
          <w:noProof/>
          <w:color w:val="000000"/>
        </w:rPr>
        <w:t>[12]</w:t>
      </w:r>
      <w:r>
        <w:rPr>
          <w:rFonts w:ascii="Arial" w:hAnsi="Arial" w:cs="Arial"/>
          <w:color w:val="000000"/>
        </w:rPr>
        <w:t xml:space="preserve">  </w:t>
      </w:r>
      <w:r w:rsidRPr="00A11B47">
        <w:rPr>
          <w:rFonts w:ascii="Arial" w:hAnsi="Arial" w:cs="Arial"/>
          <w:color w:val="000000"/>
        </w:rPr>
        <w:t>In addition, felids have an absolute requirement for taurine due to inadequate syn</w:t>
      </w:r>
      <w:r>
        <w:rPr>
          <w:rFonts w:ascii="Arial" w:hAnsi="Arial" w:cs="Arial"/>
          <w:color w:val="000000"/>
        </w:rPr>
        <w:t>thesis from cysteine and  obligate taurine</w:t>
      </w:r>
      <w:r w:rsidRPr="00A11B47">
        <w:rPr>
          <w:rFonts w:ascii="Arial" w:hAnsi="Arial" w:cs="Arial"/>
          <w:color w:val="000000"/>
        </w:rPr>
        <w:t xml:space="preserve"> conjugation of bile acids</w:t>
      </w:r>
      <w:r>
        <w:rPr>
          <w:rFonts w:ascii="Arial" w:hAnsi="Arial" w:cs="Arial"/>
          <w:color w:val="000000"/>
        </w:rPr>
        <w:t>.</w:t>
      </w:r>
      <w:r>
        <w:rPr>
          <w:rFonts w:ascii="Arial" w:hAnsi="Arial" w:cs="Arial"/>
          <w:noProof/>
          <w:color w:val="000000"/>
        </w:rPr>
        <w:t>[12]</w:t>
      </w:r>
      <w:r>
        <w:rPr>
          <w:rFonts w:ascii="Arial" w:hAnsi="Arial" w:cs="Arial"/>
          <w:color w:val="000000"/>
        </w:rPr>
        <w:t xml:space="preserve">  </w:t>
      </w:r>
      <w:r w:rsidRPr="00A11B47">
        <w:rPr>
          <w:rFonts w:ascii="Arial" w:hAnsi="Arial" w:cs="Arial"/>
          <w:color w:val="000000"/>
        </w:rPr>
        <w:t>An all meat diet has a good balance of these essential amino</w:t>
      </w:r>
      <w:r>
        <w:rPr>
          <w:rFonts w:ascii="Arial" w:hAnsi="Arial" w:cs="Arial"/>
          <w:color w:val="000000"/>
        </w:rPr>
        <w:t xml:space="preserve"> acids.</w:t>
      </w:r>
    </w:p>
    <w:p w:rsidR="00330CF1" w:rsidRPr="00756B6F" w:rsidRDefault="00330CF1">
      <w:pPr>
        <w:numPr>
          <w:ilvl w:val="12"/>
          <w:numId w:val="0"/>
        </w:numPr>
        <w:rPr>
          <w:rFonts w:ascii="Arial" w:hAnsi="Arial" w:cs="Arial"/>
        </w:rPr>
      </w:pPr>
      <w:r>
        <w:rPr>
          <w:rFonts w:ascii="Arial" w:hAnsi="Arial" w:cs="Arial"/>
          <w:color w:val="FF0000"/>
        </w:rPr>
        <w:t xml:space="preserve">     </w:t>
      </w:r>
      <w:r w:rsidRPr="00A11B47">
        <w:rPr>
          <w:rFonts w:ascii="Arial" w:hAnsi="Arial" w:cs="Arial"/>
          <w:color w:val="000000"/>
        </w:rPr>
        <w:t>Felids have a unique response to a deficiency of the amino acid arginine. </w:t>
      </w:r>
      <w:r>
        <w:rPr>
          <w:rFonts w:ascii="Arial" w:hAnsi="Arial" w:cs="Arial"/>
          <w:color w:val="000000"/>
        </w:rPr>
        <w:t xml:space="preserve"> </w:t>
      </w:r>
      <w:r w:rsidRPr="00A11B47">
        <w:rPr>
          <w:rFonts w:ascii="Arial" w:hAnsi="Arial" w:cs="Arial"/>
          <w:color w:val="000000"/>
        </w:rPr>
        <w:t xml:space="preserve"> Dietary arginine is required in the growth stage of most mammals but can be adequately synthesized in </w:t>
      </w:r>
      <w:r>
        <w:rPr>
          <w:rFonts w:ascii="Arial" w:hAnsi="Arial" w:cs="Arial"/>
          <w:color w:val="000000"/>
        </w:rPr>
        <w:t>adult humans, ruminants, rats, and swine.</w:t>
      </w:r>
      <w:r>
        <w:rPr>
          <w:rFonts w:ascii="Arial" w:hAnsi="Arial" w:cs="Arial"/>
          <w:noProof/>
          <w:color w:val="000000"/>
        </w:rPr>
        <w:t>[12]</w:t>
      </w:r>
      <w:r>
        <w:rPr>
          <w:rFonts w:ascii="Arial" w:hAnsi="Arial" w:cs="Arial"/>
          <w:color w:val="000000"/>
        </w:rPr>
        <w:t xml:space="preserve"> </w:t>
      </w:r>
      <w:r>
        <w:rPr>
          <w:rFonts w:ascii="Arial" w:hAnsi="Arial" w:cs="Arial"/>
        </w:rPr>
        <w:t xml:space="preserve"> In mammals, arginine is an essential component of the urea cycle involved in nitrogen metabolism.  In other non-strict carnivorous mammals, arginine can be synthesized from citrulline in the kidney.  The majority of citrulline is synthesized in the intestine from glutamate with ornithine as an intermediate.  The cat has low activities of 2 enzymes in the metabolism of glutamate to ornithine in the intestinal mucosa, pyrroline-5-carboxylate synthase and ornithine aminotransferase.  As a consequence, cats produce minimal amounts of ornithine, citrulline and arginine.</w:t>
      </w:r>
      <w:r>
        <w:rPr>
          <w:rFonts w:ascii="Arial" w:hAnsi="Arial" w:cs="Arial"/>
          <w:noProof/>
        </w:rPr>
        <w:t>[13]</w:t>
      </w:r>
      <w:r>
        <w:rPr>
          <w:rFonts w:ascii="Arial" w:hAnsi="Arial" w:cs="Arial"/>
        </w:rPr>
        <w:t xml:space="preserve">  Any ingested arginine is rapidly depleted in the liver due to high activity of liver arginase. Depletion of urea cycle intermediates during the post absorptive phase conserves nitrogen when food may become scarce.</w:t>
      </w:r>
      <w:r>
        <w:rPr>
          <w:rFonts w:ascii="Arial" w:hAnsi="Arial" w:cs="Arial"/>
          <w:noProof/>
        </w:rPr>
        <w:t>[14]</w:t>
      </w:r>
      <w:r>
        <w:rPr>
          <w:rFonts w:ascii="Arial" w:hAnsi="Arial" w:cs="Arial"/>
        </w:rPr>
        <w:t xml:space="preserve">  </w:t>
      </w:r>
      <w:r w:rsidRPr="00756B6F">
        <w:rPr>
          <w:rFonts w:ascii="Arial" w:hAnsi="Arial" w:cs="Arial"/>
        </w:rPr>
        <w:t xml:space="preserve">Overnight fasting will result in severe depletion of arginine in the urea cycle.  Subsequent feeding of an arginine free diet </w:t>
      </w:r>
      <w:r>
        <w:rPr>
          <w:rFonts w:ascii="Arial" w:hAnsi="Arial" w:cs="Arial"/>
        </w:rPr>
        <w:t>results in hyperammonemia.</w:t>
      </w:r>
      <w:r>
        <w:rPr>
          <w:rFonts w:ascii="Arial" w:hAnsi="Arial" w:cs="Arial"/>
          <w:noProof/>
        </w:rPr>
        <w:t>[15]</w:t>
      </w:r>
    </w:p>
    <w:p w:rsidR="00330CF1" w:rsidRDefault="00330CF1">
      <w:pPr>
        <w:numPr>
          <w:ilvl w:val="12"/>
          <w:numId w:val="0"/>
        </w:numPr>
        <w:rPr>
          <w:rFonts w:ascii="Arial" w:hAnsi="Arial" w:cs="Arial"/>
        </w:rPr>
      </w:pPr>
      <w:r>
        <w:rPr>
          <w:rFonts w:ascii="Arial" w:hAnsi="Arial" w:cs="Arial"/>
        </w:rPr>
        <w:t xml:space="preserve">     Taurine is an essential amino acid unique to the cat.  Many mammals are able to synthesize taurine from the sulfur-containing amino acids methionine and cysteine.  Cats are able to synthesize a limited amount of taurine from dietary cysteine/cystine but not enough to maintain normal body concentrations due to low activity of two enzymes in this pathway.  These are cysteine sulphinate decarboxylase, the rate-limiting enzyme in taurine synthesis and cysteine dioxygenase.</w:t>
      </w:r>
      <w:r>
        <w:rPr>
          <w:rFonts w:ascii="Arial" w:hAnsi="Arial" w:cs="Arial"/>
          <w:noProof/>
        </w:rPr>
        <w:t>[16]</w:t>
      </w:r>
      <w:r>
        <w:rPr>
          <w:rFonts w:ascii="Arial" w:hAnsi="Arial" w:cs="Arial"/>
        </w:rPr>
        <w:t xml:space="preserve">  Limited production coupled with obligate conjugation of taurine to bile acids results in its essential requirement.</w:t>
      </w:r>
    </w:p>
    <w:p w:rsidR="00330CF1" w:rsidRDefault="00330CF1">
      <w:pPr>
        <w:numPr>
          <w:ilvl w:val="12"/>
          <w:numId w:val="0"/>
        </w:numPr>
        <w:rPr>
          <w:rFonts w:ascii="Arial" w:hAnsi="Arial" w:cs="Arial"/>
        </w:rPr>
      </w:pPr>
      <w:r>
        <w:rPr>
          <w:rFonts w:ascii="Arial" w:hAnsi="Arial" w:cs="Arial"/>
        </w:rPr>
        <w:t xml:space="preserve">     </w:t>
      </w:r>
      <w:r w:rsidRPr="00CC69E4">
        <w:rPr>
          <w:rFonts w:ascii="Arial" w:hAnsi="Arial" w:cs="Arial"/>
        </w:rPr>
        <w:t>Taurine differs from other amino acids in that it is a sulfonic rather than a carboxylic amino acid and a β- rather than an α-</w:t>
      </w:r>
      <w:r>
        <w:rPr>
          <w:rFonts w:ascii="Arial" w:hAnsi="Arial" w:cs="Arial"/>
        </w:rPr>
        <w:t xml:space="preserve"> </w:t>
      </w:r>
      <w:r w:rsidRPr="00CC69E4">
        <w:rPr>
          <w:rFonts w:ascii="Arial" w:hAnsi="Arial" w:cs="Arial"/>
        </w:rPr>
        <w:t>amino acid.  Consequently, it has no aminoacyl</w:t>
      </w:r>
      <w:r>
        <w:rPr>
          <w:rFonts w:ascii="Arial" w:hAnsi="Arial" w:cs="Arial"/>
        </w:rPr>
        <w:t xml:space="preserve"> tRNA synthase for incorporation with tRNA and protein synthesis.  Instead, taurine plays essential roles in maintaining the structural integrity of membranes, osmoregulation, bile acid conjugation, calcium binding and transport, antioxidant, and neuroregulation and development.</w:t>
      </w:r>
      <w:r>
        <w:rPr>
          <w:rFonts w:ascii="Arial" w:hAnsi="Arial" w:cs="Arial"/>
          <w:noProof/>
        </w:rPr>
        <w:t>[17, 18]</w:t>
      </w:r>
      <w:r>
        <w:rPr>
          <w:rFonts w:ascii="Arial" w:hAnsi="Arial" w:cs="Arial"/>
        </w:rPr>
        <w:t xml:space="preserve">  In many mammals, bile acids can be conjugated to either glycine or taurine.  </w:t>
      </w:r>
      <w:r w:rsidRPr="00127942">
        <w:rPr>
          <w:rFonts w:ascii="Arial" w:hAnsi="Arial" w:cs="Arial"/>
        </w:rPr>
        <w:t>The cat conjugates its bile acids exclusively with taurine, thus increasing taurine requirements</w:t>
      </w:r>
      <w:r w:rsidRPr="00681254">
        <w:rPr>
          <w:rFonts w:ascii="Arial" w:hAnsi="Arial" w:cs="Arial"/>
          <w:color w:val="FF0000"/>
        </w:rPr>
        <w:t xml:space="preserve">. </w:t>
      </w:r>
      <w:r w:rsidRPr="00681254">
        <w:rPr>
          <w:rFonts w:ascii="Arial" w:hAnsi="Arial" w:cs="Arial"/>
        </w:rPr>
        <w:t xml:space="preserve"> </w:t>
      </w:r>
      <w:r w:rsidRPr="00127942">
        <w:rPr>
          <w:rFonts w:ascii="Arial" w:hAnsi="Arial" w:cs="Arial"/>
        </w:rPr>
        <w:t>The greatest concentration of taurine levels is found in the brain of newborn animals.  L</w:t>
      </w:r>
      <w:r>
        <w:rPr>
          <w:rFonts w:ascii="Arial" w:hAnsi="Arial" w:cs="Arial"/>
        </w:rPr>
        <w:t>arge amounts of taurine are transported along axons before and during synaptogenesis stabilizing these axons until the formation of synapses are complete.</w:t>
      </w:r>
      <w:r>
        <w:rPr>
          <w:rFonts w:ascii="Arial" w:hAnsi="Arial" w:cs="Arial"/>
          <w:noProof/>
        </w:rPr>
        <w:t>[19]</w:t>
      </w:r>
      <w:r>
        <w:rPr>
          <w:rFonts w:ascii="Arial" w:hAnsi="Arial" w:cs="Arial"/>
        </w:rPr>
        <w:t xml:space="preserve">  A deficiency in taurine affects numerous systems including visual (retinal degeneration), reproductive (spontaneous resorptions, abortions, stillbirths and offspring with abnormal development), cardiac (myocardial failure), and immune suppression.</w:t>
      </w:r>
      <w:r>
        <w:rPr>
          <w:rFonts w:ascii="Arial" w:hAnsi="Arial" w:cs="Arial"/>
          <w:noProof/>
        </w:rPr>
        <w:t>[19]</w:t>
      </w:r>
      <w:r>
        <w:rPr>
          <w:rFonts w:ascii="Arial" w:hAnsi="Arial" w:cs="Arial"/>
        </w:rPr>
        <w:t xml:space="preserve">  Live kittens born to taurine-deficient queens are significantly smaller with reduced taurine brain levels.  Taurine-deficient kittens develop thoracic kyphosis, paresis, and</w:t>
      </w:r>
      <w:r w:rsidRPr="00CC69E4">
        <w:rPr>
          <w:rFonts w:ascii="Arial" w:hAnsi="Arial" w:cs="Arial"/>
        </w:rPr>
        <w:t xml:space="preserve"> </w:t>
      </w:r>
      <w:r>
        <w:rPr>
          <w:rFonts w:ascii="Arial" w:hAnsi="Arial" w:cs="Arial"/>
        </w:rPr>
        <w:t>abnormal hind leg development with an abnormal gait.</w:t>
      </w:r>
      <w:r>
        <w:rPr>
          <w:rFonts w:ascii="Arial" w:hAnsi="Arial" w:cs="Arial"/>
          <w:noProof/>
        </w:rPr>
        <w:t>[19]</w:t>
      </w:r>
      <w:r>
        <w:rPr>
          <w:rFonts w:ascii="Arial" w:hAnsi="Arial" w:cs="Arial"/>
        </w:rPr>
        <w:t xml:space="preserve">  Taurine is so critical for normal development that it has been called a neural growth factor or “vitamin-like </w:t>
      </w:r>
      <w:r>
        <w:rPr>
          <w:rFonts w:ascii="Arial" w:hAnsi="Arial" w:cs="Arial"/>
        </w:rPr>
        <w:lastRenderedPageBreak/>
        <w:t>molecule.”</w:t>
      </w:r>
      <w:r>
        <w:rPr>
          <w:rFonts w:ascii="Arial" w:hAnsi="Arial" w:cs="Arial"/>
          <w:noProof/>
        </w:rPr>
        <w:t>[19]</w:t>
      </w:r>
      <w:r>
        <w:rPr>
          <w:rFonts w:ascii="Arial" w:hAnsi="Arial" w:cs="Arial"/>
        </w:rPr>
        <w:t xml:space="preserve">  High concentrations of taurine are found in most animal tissues, some marine algae, arthropods, molluscs, and fish.</w:t>
      </w:r>
      <w:r>
        <w:rPr>
          <w:rFonts w:ascii="Arial" w:hAnsi="Arial" w:cs="Arial"/>
          <w:noProof/>
        </w:rPr>
        <w:t>[18]</w:t>
      </w:r>
    </w:p>
    <w:p w:rsidR="00330CF1" w:rsidRDefault="00330CF1">
      <w:pPr>
        <w:numPr>
          <w:ilvl w:val="12"/>
          <w:numId w:val="0"/>
        </w:numPr>
        <w:rPr>
          <w:rFonts w:ascii="Arial" w:hAnsi="Arial" w:cs="Arial"/>
        </w:rPr>
      </w:pPr>
      <w:r>
        <w:rPr>
          <w:rFonts w:ascii="Arial" w:hAnsi="Arial" w:cs="Arial"/>
        </w:rPr>
        <w:t xml:space="preserve">     Kittens are tolerant of high levels of dietary amino acids with the exception of arginine, methionine, and tryptophan.  When arginine was fed at 45 g/kg diet DM, kittens had a small decrease in growth rate.</w:t>
      </w:r>
      <w:r>
        <w:rPr>
          <w:rFonts w:ascii="Arial" w:hAnsi="Arial" w:cs="Arial"/>
          <w:noProof/>
        </w:rPr>
        <w:t>[20]</w:t>
      </w:r>
      <w:r>
        <w:rPr>
          <w:rFonts w:ascii="Arial" w:hAnsi="Arial" w:cs="Arial"/>
        </w:rPr>
        <w:t xml:space="preserve">  A safe upper limit has not been set but 35 mg/kg diet DM has been recommended.</w:t>
      </w:r>
      <w:r>
        <w:rPr>
          <w:rFonts w:ascii="Arial" w:hAnsi="Arial" w:cs="Arial"/>
          <w:noProof/>
        </w:rPr>
        <w:t>[12]</w:t>
      </w:r>
      <w:r>
        <w:rPr>
          <w:rFonts w:ascii="Arial" w:hAnsi="Arial" w:cs="Arial"/>
        </w:rPr>
        <w:t xml:space="preserve">  Similarly, when tryptophan was fed at 20 to 60g/kg diet DM, food intake was decreased.  Subsequently, the safe upper limit for tryptophan was set at 17 g/kg diet DM.</w:t>
      </w:r>
      <w:r>
        <w:rPr>
          <w:rFonts w:ascii="Arial" w:hAnsi="Arial" w:cs="Arial"/>
          <w:noProof/>
        </w:rPr>
        <w:t>[12]</w:t>
      </w:r>
      <w:r>
        <w:rPr>
          <w:rFonts w:ascii="Arial" w:hAnsi="Arial" w:cs="Arial"/>
        </w:rPr>
        <w:t xml:space="preserve">  Cats given methionine at 1 gram per kilogram of body weight develop methemoglobinemia and Heinz-body formation.</w:t>
      </w:r>
      <w:r>
        <w:rPr>
          <w:rFonts w:ascii="Arial" w:hAnsi="Arial" w:cs="Arial"/>
          <w:noProof/>
        </w:rPr>
        <w:t>[21]</w:t>
      </w:r>
      <w:r>
        <w:rPr>
          <w:rFonts w:ascii="Arial" w:hAnsi="Arial" w:cs="Arial"/>
        </w:rPr>
        <w:t xml:space="preserve">  Methylthioproprionate, a product of methionine catabolism, acts as an erythrocyte oxidizing agent.</w:t>
      </w:r>
      <w:r>
        <w:rPr>
          <w:rFonts w:ascii="Arial" w:hAnsi="Arial" w:cs="Arial"/>
          <w:noProof/>
        </w:rPr>
        <w:t>[21]</w:t>
      </w:r>
      <w:r>
        <w:rPr>
          <w:rFonts w:ascii="Arial" w:hAnsi="Arial" w:cs="Arial"/>
        </w:rPr>
        <w:t xml:space="preserve">  Kittens fed 20g and 30g/kg diet DM have suppressed food intake and growth.</w:t>
      </w:r>
      <w:r>
        <w:rPr>
          <w:rFonts w:ascii="Arial" w:hAnsi="Arial" w:cs="Arial"/>
          <w:noProof/>
        </w:rPr>
        <w:t>[22]</w:t>
      </w:r>
      <w:r>
        <w:rPr>
          <w:rFonts w:ascii="Arial" w:hAnsi="Arial" w:cs="Arial"/>
        </w:rPr>
        <w:t xml:space="preserve">  These effects are due to a limited ability to upregulate the enzymes necessary for methionine catabolism when compared with the rat.</w:t>
      </w:r>
      <w:r>
        <w:rPr>
          <w:rFonts w:ascii="Arial" w:hAnsi="Arial" w:cs="Arial"/>
          <w:noProof/>
        </w:rPr>
        <w:t>[23]</w:t>
      </w:r>
      <w:r>
        <w:rPr>
          <w:rFonts w:ascii="Arial" w:hAnsi="Arial" w:cs="Arial"/>
        </w:rPr>
        <w:t xml:space="preserve">  In laboratory animals, excess methionine has been shown to be toxic to liver and brain tissues resulting in neurological signs secondary to accumulation of methanethiol, a toxic product of methionine catabolism.</w:t>
      </w:r>
      <w:r>
        <w:rPr>
          <w:rFonts w:ascii="Arial" w:hAnsi="Arial" w:cs="Arial"/>
          <w:noProof/>
        </w:rPr>
        <w:t>[24]</w:t>
      </w:r>
      <w:r>
        <w:rPr>
          <w:rFonts w:ascii="Arial" w:hAnsi="Arial" w:cs="Arial"/>
        </w:rPr>
        <w:t xml:space="preserve">  These effects are due to suppression of oxygen consumption in liver and brain mitochondria and inhibition of Na</w:t>
      </w:r>
      <w:r>
        <w:rPr>
          <w:rFonts w:ascii="Arial" w:hAnsi="Arial" w:cs="Arial"/>
          <w:vertAlign w:val="superscript"/>
        </w:rPr>
        <w:t>+</w:t>
      </w:r>
      <w:r>
        <w:rPr>
          <w:rFonts w:ascii="Arial" w:hAnsi="Arial" w:cs="Arial"/>
        </w:rPr>
        <w:t>/K</w:t>
      </w:r>
      <w:r>
        <w:rPr>
          <w:rFonts w:ascii="Arial" w:hAnsi="Arial" w:cs="Arial"/>
          <w:vertAlign w:val="superscript"/>
        </w:rPr>
        <w:t>+</w:t>
      </w:r>
      <w:r>
        <w:rPr>
          <w:rFonts w:ascii="Arial" w:hAnsi="Arial" w:cs="Arial"/>
        </w:rPr>
        <w:t xml:space="preserve"> ATPase.</w:t>
      </w:r>
      <w:r>
        <w:rPr>
          <w:rFonts w:ascii="Arial" w:hAnsi="Arial" w:cs="Arial"/>
          <w:noProof/>
        </w:rPr>
        <w:t>[24]</w:t>
      </w:r>
      <w:r>
        <w:rPr>
          <w:rFonts w:ascii="Arial" w:hAnsi="Arial" w:cs="Arial"/>
        </w:rPr>
        <w:t xml:space="preserve">  Kittens, when fed excess levels of methionine (3 - 4% DM), showed evidence of ataxia which may have been related to a similar mechanism.(Personal communication 2012, CAKirk).  NRC has set the safe upper limit for methionine/cysteine at 13 g/kg diet DM.</w:t>
      </w:r>
      <w:r>
        <w:rPr>
          <w:rFonts w:ascii="Arial" w:hAnsi="Arial" w:cs="Arial"/>
          <w:noProof/>
        </w:rPr>
        <w:t>[12]</w:t>
      </w:r>
      <w:r>
        <w:rPr>
          <w:rFonts w:ascii="Arial" w:hAnsi="Arial" w:cs="Arial"/>
        </w:rPr>
        <w:t xml:space="preserve">  Of these three amino acids, methionine is the only one with levels in prey carcasses close to the safe upper limit.  It is felt that the peptide-bound methionine found in meat would be less toxic than if fed the purified amino acid, thus felids would not exceed the maximal requirement.</w:t>
      </w:r>
      <w:r>
        <w:rPr>
          <w:rFonts w:ascii="Arial" w:hAnsi="Arial" w:cs="Arial"/>
          <w:noProof/>
        </w:rPr>
        <w:t>[12]</w:t>
      </w:r>
      <w:r>
        <w:rPr>
          <w:rFonts w:ascii="Arial" w:hAnsi="Arial" w:cs="Arial"/>
        </w:rPr>
        <w:t xml:space="preserve"> </w:t>
      </w:r>
    </w:p>
    <w:p w:rsidR="00330CF1" w:rsidRPr="00274988" w:rsidRDefault="00330CF1" w:rsidP="00274988">
      <w:pPr>
        <w:numPr>
          <w:ilvl w:val="12"/>
          <w:numId w:val="0"/>
        </w:numPr>
        <w:tabs>
          <w:tab w:val="left" w:pos="0"/>
        </w:tabs>
        <w:rPr>
          <w:rFonts w:ascii="Arial" w:hAnsi="Arial" w:cs="Arial"/>
        </w:rPr>
      </w:pPr>
      <w:r>
        <w:rPr>
          <w:rFonts w:ascii="Arial" w:hAnsi="Arial" w:cs="Arial"/>
        </w:rPr>
        <w:t xml:space="preserve">     Besides essential amino acids, mammals have an absolute requirement for nitrogen to support production of dispensable amino acids and other nitrogenous compounds.  The minimum level of dietary crude protein in kittens fed purified amino acid diets was found to be 180-200 gm/kg diet DM with close to 100% bioavailability.</w:t>
      </w:r>
      <w:r>
        <w:rPr>
          <w:rFonts w:ascii="Arial" w:hAnsi="Arial" w:cs="Arial"/>
          <w:noProof/>
        </w:rPr>
        <w:t>[12]</w:t>
      </w:r>
      <w:r>
        <w:rPr>
          <w:rFonts w:ascii="Arial" w:hAnsi="Arial" w:cs="Arial"/>
        </w:rPr>
        <w:t xml:space="preserve">  Commercial cat foods are less digestible than purified diets with the average total digestibility for extruded dry diets being 75% and canned diets 80%.</w:t>
      </w:r>
      <w:r>
        <w:rPr>
          <w:rFonts w:ascii="Arial" w:hAnsi="Arial" w:cs="Arial"/>
          <w:noProof/>
        </w:rPr>
        <w:t>[25]</w:t>
      </w:r>
      <w:r>
        <w:rPr>
          <w:rFonts w:ascii="Arial" w:hAnsi="Arial" w:cs="Arial"/>
        </w:rPr>
        <w:t xml:space="preserve">  Taking into account these lower digestibilities, the crude protein recommendations for kittens listed in AAFCO is 300 g/kg diet DM or 30% DM.</w:t>
      </w:r>
      <w:r>
        <w:rPr>
          <w:rFonts w:ascii="Arial" w:hAnsi="Arial" w:cs="Arial"/>
          <w:noProof/>
        </w:rPr>
        <w:t>[25]</w:t>
      </w:r>
      <w:r>
        <w:rPr>
          <w:rFonts w:ascii="Arial" w:hAnsi="Arial" w:cs="Arial"/>
        </w:rPr>
        <w:t xml:space="preserve">  Work in other species has shown that growth rates are optimal when dietary essential amino acids to total nitrogen ratio’s (E:T ratios) are between 0.4 to 0.65.</w:t>
      </w:r>
      <w:r>
        <w:rPr>
          <w:rFonts w:ascii="Arial" w:hAnsi="Arial" w:cs="Arial"/>
          <w:noProof/>
        </w:rPr>
        <w:t>[26]</w:t>
      </w:r>
      <w:r>
        <w:rPr>
          <w:rFonts w:ascii="Arial" w:hAnsi="Arial" w:cs="Arial"/>
        </w:rPr>
        <w:t xml:space="preserve">  Kittens were found to have maximal growth rates at broader E:T ratio’s (0.3 to 1.0) and wide ranges of crude protein when arginine and methionine were limited to nontoxic levels.</w:t>
      </w:r>
      <w:r>
        <w:rPr>
          <w:rFonts w:ascii="Arial" w:hAnsi="Arial" w:cs="Arial"/>
          <w:noProof/>
        </w:rPr>
        <w:t>[26]</w:t>
      </w:r>
      <w:r>
        <w:rPr>
          <w:rFonts w:ascii="Arial" w:hAnsi="Arial" w:cs="Arial"/>
        </w:rPr>
        <w:t xml:space="preserve">  </w:t>
      </w:r>
      <w:r w:rsidRPr="004675AD">
        <w:rPr>
          <w:rFonts w:ascii="Arial" w:hAnsi="Arial" w:cs="Arial"/>
        </w:rPr>
        <w:t xml:space="preserve">The crude protein requirement is higher </w:t>
      </w:r>
      <w:r>
        <w:rPr>
          <w:rFonts w:ascii="Arial" w:hAnsi="Arial" w:cs="Arial"/>
        </w:rPr>
        <w:t>when only EAA are fed due to</w:t>
      </w:r>
      <w:r w:rsidRPr="004675AD">
        <w:rPr>
          <w:rFonts w:ascii="Arial" w:hAnsi="Arial" w:cs="Arial"/>
        </w:rPr>
        <w:t xml:space="preserve"> high obligatory nitrogen loss as urea (especially arginine) in the conversion of nitrogen from essential amino acids to dispensible amino acids in the liver.</w:t>
      </w:r>
      <w:r>
        <w:rPr>
          <w:rFonts w:ascii="Arial" w:hAnsi="Arial" w:cs="Arial"/>
          <w:noProof/>
        </w:rPr>
        <w:t>[26]</w:t>
      </w:r>
      <w:r w:rsidRPr="004675AD">
        <w:rPr>
          <w:rFonts w:ascii="Arial" w:hAnsi="Arial" w:cs="Arial"/>
        </w:rPr>
        <w:t xml:space="preserve"> </w:t>
      </w:r>
      <w:r>
        <w:rPr>
          <w:rFonts w:ascii="Arial" w:hAnsi="Arial" w:cs="Arial"/>
        </w:rPr>
        <w:t xml:space="preserve"> </w:t>
      </w:r>
      <w:r w:rsidRPr="004675AD">
        <w:rPr>
          <w:rFonts w:ascii="Arial" w:hAnsi="Arial" w:cs="Arial"/>
        </w:rPr>
        <w:t xml:space="preserve">The arginine requirement is proportional to </w:t>
      </w:r>
      <w:r>
        <w:rPr>
          <w:rFonts w:ascii="Arial" w:hAnsi="Arial" w:cs="Arial"/>
        </w:rPr>
        <w:t>the dietary crude protein content in order to maintain adequate urea cycle constituents.</w:t>
      </w:r>
      <w:r>
        <w:rPr>
          <w:rFonts w:ascii="Arial" w:hAnsi="Arial" w:cs="Arial"/>
          <w:noProof/>
        </w:rPr>
        <w:t>[27]</w:t>
      </w:r>
      <w:bookmarkStart w:id="5" w:name="_Toc305485832"/>
    </w:p>
    <w:p w:rsidR="00330CF1" w:rsidRDefault="00330CF1" w:rsidP="00225025">
      <w:pPr>
        <w:pStyle w:val="Heading3"/>
      </w:pPr>
    </w:p>
    <w:p w:rsidR="00330CF1" w:rsidRDefault="00330CF1" w:rsidP="00225025">
      <w:pPr>
        <w:pStyle w:val="Heading3"/>
      </w:pPr>
    </w:p>
    <w:p w:rsidR="00330CF1" w:rsidRPr="001D5C5C" w:rsidRDefault="00330CF1" w:rsidP="001D5C5C"/>
    <w:p w:rsidR="00330CF1" w:rsidRDefault="00330CF1" w:rsidP="00225025">
      <w:pPr>
        <w:pStyle w:val="Heading3"/>
      </w:pPr>
      <w:r>
        <w:lastRenderedPageBreak/>
        <w:t>Lipids and fatty acid requirements</w:t>
      </w:r>
      <w:bookmarkEnd w:id="5"/>
    </w:p>
    <w:p w:rsidR="00330CF1" w:rsidRPr="00BA6850" w:rsidRDefault="00330CF1" w:rsidP="00BA6850"/>
    <w:p w:rsidR="00330CF1" w:rsidRDefault="00330CF1">
      <w:pPr>
        <w:numPr>
          <w:ilvl w:val="12"/>
          <w:numId w:val="0"/>
        </w:numPr>
        <w:rPr>
          <w:rFonts w:ascii="Arial" w:hAnsi="Arial" w:cs="Arial"/>
        </w:rPr>
      </w:pPr>
      <w:r>
        <w:rPr>
          <w:rFonts w:ascii="Arial" w:hAnsi="Arial" w:cs="Arial"/>
          <w:b/>
          <w:i/>
        </w:rPr>
        <w:t xml:space="preserve">     </w:t>
      </w:r>
      <w:r>
        <w:rPr>
          <w:rFonts w:ascii="Arial" w:hAnsi="Arial" w:cs="Arial"/>
        </w:rPr>
        <w:t>Lipids and fatty acids play essential roles as sources of energy, membrane structure, lubrication and signaling molecules.</w:t>
      </w:r>
      <w:r>
        <w:rPr>
          <w:rFonts w:ascii="Arial" w:hAnsi="Arial" w:cs="Arial"/>
          <w:noProof/>
        </w:rPr>
        <w:t>[28]</w:t>
      </w:r>
      <w:r>
        <w:rPr>
          <w:rFonts w:ascii="Arial" w:hAnsi="Arial" w:cs="Arial"/>
        </w:rPr>
        <w:t xml:space="preserve">  Essential fatty acids (EFA) are those required in the diet due to inadequate </w:t>
      </w:r>
      <w:r w:rsidRPr="00A940F3">
        <w:rPr>
          <w:rFonts w:ascii="Arial" w:hAnsi="Arial" w:cs="Arial"/>
          <w:i/>
        </w:rPr>
        <w:t>in vivo</w:t>
      </w:r>
      <w:r>
        <w:rPr>
          <w:rFonts w:ascii="Arial" w:hAnsi="Arial" w:cs="Arial"/>
        </w:rPr>
        <w:t xml:space="preserve"> synthesis.  EFA are classified into 2 systems of nomenclature depending on the position of the terminal double bond relative to the methyl- or omega- carbon.  Mammals  synthesize saturated fatty acids and fatty acids of the omega- 9 series (double bond 9 carbons in from terminal methyl carbon).  The omega 6 series and omega 3 series have the first double bond 6 carbons and 3 carbons from the methyl carbon end, respectively.  Mammals, when compared with plants, are incapable of synthesizing fatty acids of the omega 3 and omega 6 series at 18 carbon chain lengths.</w:t>
      </w:r>
      <w:r>
        <w:rPr>
          <w:rFonts w:ascii="Arial" w:hAnsi="Arial" w:cs="Arial"/>
          <w:noProof/>
        </w:rPr>
        <w:t>[29]</w:t>
      </w:r>
      <w:r>
        <w:rPr>
          <w:rFonts w:ascii="Arial" w:hAnsi="Arial" w:cs="Arial"/>
        </w:rPr>
        <w:t xml:space="preserve">  Thus, the essential fatty acids for mammals with 18 carbons for each of these series are linoleic acid (18:2n-6) and linolenic acid (18:3n-3).</w:t>
      </w:r>
      <w:r>
        <w:rPr>
          <w:rFonts w:ascii="Arial" w:hAnsi="Arial" w:cs="Arial"/>
          <w:noProof/>
        </w:rPr>
        <w:t>[29]</w:t>
      </w:r>
      <w:r>
        <w:rPr>
          <w:rFonts w:ascii="Arial" w:hAnsi="Arial" w:cs="Arial"/>
        </w:rPr>
        <w:t xml:space="preserve">  Longer derivatives of these 18 carbon fatty acids are also physiologically essential.</w:t>
      </w:r>
      <w:r>
        <w:rPr>
          <w:rFonts w:ascii="Arial" w:hAnsi="Arial" w:cs="Arial"/>
          <w:noProof/>
        </w:rPr>
        <w:t>[28]</w:t>
      </w:r>
      <w:r>
        <w:rPr>
          <w:rFonts w:ascii="Arial" w:hAnsi="Arial" w:cs="Arial"/>
        </w:rPr>
        <w:t xml:space="preserve">  These include the omega-6 arachidonic acid (20:4n-6) and omega-3 docosahexaenoic acid (22:6n-3).  Many mammals, if fed the 18-carbon parent compounds are able to synthesize these longer-chain polyunsaturated fatty acids (LCPUFA) through desaturase and elongase enzyme systems.  Felids are unique in that they have limited activity of the delta-6 desaturase enzyme required for synthesis of both arachidonic and docosahexaenoic acid making them conditionally essential for reproductive (arachidonic acid) and developmental (docosahexaenoic acid) life stages.</w:t>
      </w:r>
      <w:r>
        <w:rPr>
          <w:rFonts w:ascii="Arial" w:hAnsi="Arial" w:cs="Arial"/>
          <w:noProof/>
        </w:rPr>
        <w:t>[30]</w:t>
      </w:r>
    </w:p>
    <w:p w:rsidR="00330CF1" w:rsidRDefault="00330CF1">
      <w:pPr>
        <w:numPr>
          <w:ilvl w:val="12"/>
          <w:numId w:val="0"/>
        </w:numPr>
        <w:rPr>
          <w:rFonts w:ascii="Arial" w:hAnsi="Arial" w:cs="Arial"/>
        </w:rPr>
      </w:pPr>
      <w:r>
        <w:rPr>
          <w:rFonts w:ascii="Arial" w:hAnsi="Arial" w:cs="Arial"/>
        </w:rPr>
        <w:t xml:space="preserve">     Additional dietary arachidonic acid is required for normal reproduction in female cats.</w:t>
      </w:r>
      <w:r>
        <w:rPr>
          <w:rFonts w:ascii="Arial" w:hAnsi="Arial" w:cs="Arial"/>
          <w:noProof/>
        </w:rPr>
        <w:t>[31]</w:t>
      </w:r>
      <w:r>
        <w:rPr>
          <w:rFonts w:ascii="Arial" w:hAnsi="Arial" w:cs="Arial"/>
        </w:rPr>
        <w:t xml:space="preserve">  Male cats are able to synthesize adequate arachidonic acid within the testicle for normal spermatogenesis.</w:t>
      </w:r>
      <w:r>
        <w:rPr>
          <w:rFonts w:ascii="Arial" w:hAnsi="Arial" w:cs="Arial"/>
          <w:noProof/>
        </w:rPr>
        <w:t>[31]</w:t>
      </w:r>
      <w:r>
        <w:rPr>
          <w:rFonts w:ascii="Arial" w:hAnsi="Arial" w:cs="Arial"/>
        </w:rPr>
        <w:t xml:space="preserve">  It is unknown whether there is an additional pathway for synthesis of arachidonic acid bypassing the delta-6 desaturase step, thus supplying enough for maintenance but not reproduction.</w:t>
      </w:r>
      <w:r>
        <w:rPr>
          <w:rFonts w:ascii="Arial" w:hAnsi="Arial" w:cs="Arial"/>
          <w:noProof/>
        </w:rPr>
        <w:t>[29]</w:t>
      </w:r>
    </w:p>
    <w:p w:rsidR="00330CF1" w:rsidRDefault="00330CF1">
      <w:pPr>
        <w:numPr>
          <w:ilvl w:val="12"/>
          <w:numId w:val="0"/>
        </w:numPr>
        <w:rPr>
          <w:rFonts w:ascii="Arial" w:hAnsi="Arial" w:cs="Arial"/>
        </w:rPr>
      </w:pPr>
      <w:r>
        <w:rPr>
          <w:rFonts w:ascii="Arial" w:hAnsi="Arial" w:cs="Arial"/>
        </w:rPr>
        <w:t xml:space="preserve">     The human brain and retina are known to contain high levels of docosahexaenoic acid (DHA) particularly during neurological development.</w:t>
      </w:r>
      <w:r>
        <w:rPr>
          <w:rFonts w:ascii="Arial" w:hAnsi="Arial" w:cs="Arial"/>
          <w:noProof/>
        </w:rPr>
        <w:t>[28]</w:t>
      </w:r>
      <w:r>
        <w:rPr>
          <w:rFonts w:ascii="Arial" w:hAnsi="Arial" w:cs="Arial"/>
        </w:rPr>
        <w:t xml:space="preserve">  Feline maturation of neural tissues continues until 3 months of age.</w:t>
      </w:r>
      <w:r>
        <w:rPr>
          <w:rFonts w:ascii="Arial" w:hAnsi="Arial" w:cs="Arial"/>
          <w:noProof/>
        </w:rPr>
        <w:t>[32]</w:t>
      </w:r>
      <w:r>
        <w:rPr>
          <w:rFonts w:ascii="Arial" w:hAnsi="Arial" w:cs="Arial"/>
        </w:rPr>
        <w:t xml:space="preserve">  While adult felids are capable of producing DHA from 18-carbon precursors, kittens lack this ability.</w:t>
      </w:r>
      <w:r>
        <w:rPr>
          <w:rFonts w:ascii="Arial" w:hAnsi="Arial" w:cs="Arial"/>
          <w:noProof/>
        </w:rPr>
        <w:t>[33]</w:t>
      </w:r>
      <w:r>
        <w:rPr>
          <w:rFonts w:ascii="Arial" w:hAnsi="Arial" w:cs="Arial"/>
        </w:rPr>
        <w:t xml:space="preserve">  Kittens from queens fed only omega-6 fatty acids compared to queens fed omega-6 and omega-3 fatty acids had much lower levels of brain and retinal DHA resulting in delayed visual responses within the retina.</w:t>
      </w:r>
      <w:r>
        <w:rPr>
          <w:rFonts w:ascii="Arial" w:hAnsi="Arial" w:cs="Arial"/>
          <w:noProof/>
        </w:rPr>
        <w:t>[34]</w:t>
      </w:r>
      <w:r>
        <w:rPr>
          <w:rFonts w:ascii="Arial" w:hAnsi="Arial" w:cs="Arial"/>
        </w:rPr>
        <w:t xml:space="preserve">  Therefore, a nutritional source of DHA is required for normal neonatal neurological development.  Feline milk provides adequate DHA to nursing kittens for neural development.</w:t>
      </w:r>
    </w:p>
    <w:p w:rsidR="00330CF1" w:rsidRDefault="00330CF1">
      <w:pPr>
        <w:numPr>
          <w:ilvl w:val="12"/>
          <w:numId w:val="0"/>
        </w:numPr>
        <w:rPr>
          <w:rFonts w:ascii="Arial" w:hAnsi="Arial" w:cs="Arial"/>
        </w:rPr>
      </w:pPr>
    </w:p>
    <w:p w:rsidR="00330CF1" w:rsidRDefault="00330CF1" w:rsidP="00225025">
      <w:pPr>
        <w:pStyle w:val="Heading3"/>
      </w:pPr>
      <w:bookmarkStart w:id="6" w:name="_Toc305485833"/>
      <w:r>
        <w:t>Carbohydrates and energy requirements</w:t>
      </w:r>
      <w:bookmarkEnd w:id="6"/>
    </w:p>
    <w:p w:rsidR="00330CF1" w:rsidRDefault="00330CF1">
      <w:pPr>
        <w:numPr>
          <w:ilvl w:val="12"/>
          <w:numId w:val="0"/>
        </w:numPr>
        <w:rPr>
          <w:rFonts w:ascii="Arial" w:hAnsi="Arial" w:cs="Arial"/>
        </w:rPr>
      </w:pPr>
    </w:p>
    <w:p w:rsidR="00330CF1" w:rsidRDefault="00330CF1">
      <w:pPr>
        <w:numPr>
          <w:ilvl w:val="12"/>
          <w:numId w:val="0"/>
        </w:numPr>
        <w:rPr>
          <w:rFonts w:ascii="Arial" w:hAnsi="Arial" w:cs="Arial"/>
        </w:rPr>
      </w:pPr>
      <w:r>
        <w:rPr>
          <w:rFonts w:ascii="Arial" w:hAnsi="Arial" w:cs="Arial"/>
        </w:rPr>
        <w:t xml:space="preserve">     </w:t>
      </w:r>
      <w:r w:rsidRPr="00127942">
        <w:rPr>
          <w:rFonts w:ascii="Arial" w:hAnsi="Arial" w:cs="Arial"/>
        </w:rPr>
        <w:t>Cats and kittens have no absolute requirement for carbohydrates; however they do have a requirement for energy</w:t>
      </w:r>
      <w:r>
        <w:rPr>
          <w:rFonts w:ascii="Arial" w:hAnsi="Arial" w:cs="Arial"/>
        </w:rPr>
        <w:t>.  While carbohydrates are a good source of energy via ATP production, feral cats only derive 2% of their energy from carbohydrates.</w:t>
      </w:r>
      <w:r>
        <w:rPr>
          <w:rFonts w:ascii="Arial" w:hAnsi="Arial" w:cs="Arial"/>
          <w:noProof/>
        </w:rPr>
        <w:t>[35]</w:t>
      </w:r>
      <w:r>
        <w:rPr>
          <w:rFonts w:ascii="Arial" w:hAnsi="Arial" w:cs="Arial"/>
        </w:rPr>
        <w:t xml:space="preserve">  The majority of energy production is from catabolism of protein via gluconeogenesis, and fats.  The daily energy requirement for kittens from birth to 10 months of age ranges </w:t>
      </w:r>
      <w:r>
        <w:rPr>
          <w:rFonts w:ascii="Arial" w:hAnsi="Arial" w:cs="Arial"/>
        </w:rPr>
        <w:lastRenderedPageBreak/>
        <w:t>from 250 kcal/kg body weight/day at birth to 95 kcal/kg of body weight at 10 months of age.</w:t>
      </w:r>
      <w:r>
        <w:rPr>
          <w:rFonts w:ascii="Arial" w:hAnsi="Arial" w:cs="Arial"/>
          <w:noProof/>
        </w:rPr>
        <w:t>[36]</w:t>
      </w:r>
    </w:p>
    <w:p w:rsidR="00330CF1" w:rsidRPr="003A2952" w:rsidRDefault="00330CF1">
      <w:pPr>
        <w:numPr>
          <w:ilvl w:val="12"/>
          <w:numId w:val="0"/>
        </w:numPr>
        <w:rPr>
          <w:rFonts w:ascii="Arial" w:hAnsi="Arial" w:cs="Arial"/>
          <w:color w:val="FF0000"/>
        </w:rPr>
      </w:pPr>
      <w:r>
        <w:rPr>
          <w:rFonts w:ascii="Arial" w:hAnsi="Arial" w:cs="Arial"/>
        </w:rPr>
        <w:t xml:space="preserve">     Cats have limited ability to handle high concentrations of carbohydrates in their diet compared with other species.  Kittens tolerate up to 6 grams lactose/kg body weight during nursing.</w:t>
      </w:r>
      <w:r>
        <w:rPr>
          <w:rFonts w:ascii="Arial" w:hAnsi="Arial" w:cs="Arial"/>
          <w:noProof/>
        </w:rPr>
        <w:t>[37]</w:t>
      </w:r>
      <w:r>
        <w:rPr>
          <w:rFonts w:ascii="Arial" w:hAnsi="Arial" w:cs="Arial"/>
        </w:rPr>
        <w:t xml:space="preserve">  Similar to other mammals, kittens have decreased intestinal lactase after weaning.</w:t>
      </w:r>
      <w:r>
        <w:rPr>
          <w:rFonts w:ascii="Arial" w:hAnsi="Arial" w:cs="Arial"/>
          <w:noProof/>
        </w:rPr>
        <w:t>[38]</w:t>
      </w:r>
      <w:r>
        <w:rPr>
          <w:rFonts w:ascii="Arial" w:hAnsi="Arial" w:cs="Arial"/>
        </w:rPr>
        <w:t xml:space="preserve">  Adult cats tolerate up to 1 gram lactose/kg body weight, while higher amounts result in changes within the intestinal tract i.e. osmotic water flow, increased microbial fermentation.</w:t>
      </w:r>
      <w:r>
        <w:rPr>
          <w:rFonts w:ascii="Arial" w:hAnsi="Arial" w:cs="Arial"/>
          <w:noProof/>
        </w:rPr>
        <w:t>[37]</w:t>
      </w:r>
      <w:r>
        <w:rPr>
          <w:rFonts w:ascii="Arial" w:hAnsi="Arial" w:cs="Arial"/>
        </w:rPr>
        <w:t xml:space="preserve">  While carbohydrate digestibility in cats is nearly 100% for simple sugars</w:t>
      </w:r>
      <w:r w:rsidRPr="00337703">
        <w:rPr>
          <w:rFonts w:ascii="Arial" w:hAnsi="Arial" w:cs="Arial"/>
        </w:rPr>
        <w:t xml:space="preserve"> </w:t>
      </w:r>
      <w:r>
        <w:rPr>
          <w:rFonts w:ascii="Arial" w:hAnsi="Arial" w:cs="Arial"/>
        </w:rPr>
        <w:t xml:space="preserve">and starches </w:t>
      </w:r>
      <w:r>
        <w:rPr>
          <w:rFonts w:ascii="Arial" w:hAnsi="Arial" w:cs="Arial"/>
          <w:noProof/>
        </w:rPr>
        <w:t>[39]</w:t>
      </w:r>
      <w:r>
        <w:rPr>
          <w:rFonts w:ascii="Arial" w:hAnsi="Arial" w:cs="Arial"/>
        </w:rPr>
        <w:t>, cats have lower levels of pancreatic and intestinal amylase compared to dogs, and no salivary amylase.</w:t>
      </w:r>
      <w:r>
        <w:rPr>
          <w:rFonts w:ascii="Arial" w:hAnsi="Arial" w:cs="Arial"/>
          <w:noProof/>
        </w:rPr>
        <w:t>[40]</w:t>
      </w:r>
      <w:r>
        <w:rPr>
          <w:rFonts w:ascii="Arial" w:hAnsi="Arial" w:cs="Arial"/>
        </w:rPr>
        <w:t xml:space="preserve">  Glucokinase, an important glycolytic enzyme during high carbohydrate loads is absent in the liver of cats.</w:t>
      </w:r>
      <w:r>
        <w:rPr>
          <w:rFonts w:ascii="Arial" w:hAnsi="Arial" w:cs="Arial"/>
          <w:noProof/>
        </w:rPr>
        <w:t>[41]</w:t>
      </w:r>
      <w:r>
        <w:rPr>
          <w:rFonts w:ascii="Arial" w:hAnsi="Arial" w:cs="Arial"/>
        </w:rPr>
        <w:t xml:space="preserve">  Due to these metabolic adaptations to a low carbohydrate diet, high carbohydrate commercial diets have been implicated to cause a variety of disorders in cats including obesity and diabetes mellitus</w:t>
      </w:r>
      <w:r w:rsidRPr="004F034C">
        <w:rPr>
          <w:rFonts w:ascii="Arial" w:hAnsi="Arial" w:cs="Arial"/>
        </w:rPr>
        <w:t>.</w:t>
      </w:r>
      <w:r>
        <w:rPr>
          <w:rFonts w:ascii="Arial" w:hAnsi="Arial" w:cs="Arial"/>
          <w:noProof/>
        </w:rPr>
        <w:t>[42]</w:t>
      </w:r>
    </w:p>
    <w:p w:rsidR="00330CF1" w:rsidRDefault="00330CF1">
      <w:pPr>
        <w:numPr>
          <w:ilvl w:val="12"/>
          <w:numId w:val="0"/>
        </w:numPr>
        <w:rPr>
          <w:rFonts w:ascii="Arial" w:hAnsi="Arial" w:cs="Arial"/>
        </w:rPr>
      </w:pPr>
    </w:p>
    <w:p w:rsidR="00330CF1" w:rsidRDefault="00330CF1" w:rsidP="00225025">
      <w:pPr>
        <w:pStyle w:val="Heading3"/>
      </w:pPr>
      <w:bookmarkStart w:id="7" w:name="_Toc305485834"/>
      <w:r>
        <w:t>Other nutrient considerations specific to growth in kittens</w:t>
      </w:r>
      <w:bookmarkEnd w:id="7"/>
    </w:p>
    <w:p w:rsidR="00330CF1" w:rsidRDefault="00330CF1">
      <w:pPr>
        <w:numPr>
          <w:ilvl w:val="12"/>
          <w:numId w:val="0"/>
        </w:numPr>
        <w:rPr>
          <w:rFonts w:ascii="Arial" w:hAnsi="Arial" w:cs="Arial"/>
        </w:rPr>
      </w:pPr>
    </w:p>
    <w:p w:rsidR="00330CF1" w:rsidRDefault="00330CF1">
      <w:pPr>
        <w:numPr>
          <w:ilvl w:val="12"/>
          <w:numId w:val="0"/>
        </w:numPr>
        <w:rPr>
          <w:rFonts w:ascii="Arial" w:hAnsi="Arial" w:cs="Arial"/>
        </w:rPr>
      </w:pPr>
      <w:r>
        <w:rPr>
          <w:rFonts w:ascii="Arial" w:hAnsi="Arial" w:cs="Arial"/>
        </w:rPr>
        <w:t xml:space="preserve">     Bone growth depends on dietary sources of Vitamin D, calcium and phosphorus.  In human beings, Vitamin D is a conditional nutrient depending on the amount of ultraviolet radiation they are exposed to.  Ultraviolet radiation to the skin converts the steroid 7-dehydrocholesterol to pre-Vitamin D which is then transported to the liver and kidney for hydroxylation to its active form 1,25-dihydroxyvitamin D.  Minimal pre-Vitamin D synthesis occurs in cat skin due to high activity of the enzyme 7-dehydrocholesterol reductase.  7-Dehydrocholesterol reductase catalyzes the conversion of dehydrocholesterol to cholesterol in an alternative pathway limiting availability of skin precursors for Vitamin D synthesis.</w:t>
      </w:r>
      <w:r>
        <w:rPr>
          <w:rFonts w:ascii="Arial" w:hAnsi="Arial" w:cs="Arial"/>
          <w:noProof/>
        </w:rPr>
        <w:t>[43]</w:t>
      </w:r>
      <w:r>
        <w:rPr>
          <w:rFonts w:ascii="Arial" w:hAnsi="Arial" w:cs="Arial"/>
        </w:rPr>
        <w:t xml:space="preserve">  Thus Vitamin D is a requirement in the diet of felids.  A diet of small mammals would supply adequate Vitamin D for the species.  A minimum requirement of 250 IU/kg diet was found to support adequate plasma 25-hydroxyvitamin D levels.</w:t>
      </w:r>
      <w:r>
        <w:rPr>
          <w:rFonts w:ascii="Arial" w:hAnsi="Arial" w:cs="Arial"/>
          <w:noProof/>
        </w:rPr>
        <w:t>[43]</w:t>
      </w:r>
    </w:p>
    <w:p w:rsidR="00330CF1" w:rsidRDefault="00330CF1" w:rsidP="00530C2E">
      <w:pPr>
        <w:numPr>
          <w:ilvl w:val="12"/>
          <w:numId w:val="0"/>
        </w:numPr>
        <w:rPr>
          <w:rFonts w:ascii="Arial" w:hAnsi="Arial" w:cs="Arial"/>
        </w:rPr>
      </w:pPr>
      <w:r w:rsidRPr="00366410">
        <w:rPr>
          <w:rFonts w:ascii="Arial" w:hAnsi="Arial" w:cs="Arial"/>
        </w:rPr>
        <w:t xml:space="preserve">     Growing animals synthesize bone mineral from </w:t>
      </w:r>
      <w:r>
        <w:rPr>
          <w:rFonts w:ascii="Arial" w:hAnsi="Arial" w:cs="Arial"/>
        </w:rPr>
        <w:t xml:space="preserve">circulating </w:t>
      </w:r>
      <w:r w:rsidRPr="00366410">
        <w:rPr>
          <w:rFonts w:ascii="Arial" w:hAnsi="Arial" w:cs="Arial"/>
        </w:rPr>
        <w:t xml:space="preserve">calcium and phosphate. </w:t>
      </w:r>
      <w:r>
        <w:rPr>
          <w:rFonts w:ascii="Arial" w:hAnsi="Arial" w:cs="Arial"/>
        </w:rPr>
        <w:t xml:space="preserve">Kittens, compared to adults, have </w:t>
      </w:r>
      <w:r w:rsidRPr="00366410">
        <w:rPr>
          <w:rFonts w:ascii="Arial" w:hAnsi="Arial" w:cs="Arial"/>
        </w:rPr>
        <w:t xml:space="preserve">higher requirements for calcium and phosphorus </w:t>
      </w:r>
      <w:r>
        <w:rPr>
          <w:rFonts w:ascii="Arial" w:hAnsi="Arial" w:cs="Arial"/>
        </w:rPr>
        <w:t>due to bone growth</w:t>
      </w:r>
      <w:r w:rsidRPr="00366410">
        <w:rPr>
          <w:rFonts w:ascii="Arial" w:hAnsi="Arial" w:cs="Arial"/>
        </w:rPr>
        <w:t xml:space="preserve">. </w:t>
      </w:r>
      <w:r>
        <w:rPr>
          <w:rFonts w:ascii="Arial" w:hAnsi="Arial" w:cs="Arial"/>
        </w:rPr>
        <w:t xml:space="preserve"> </w:t>
      </w:r>
      <w:r w:rsidRPr="00366410">
        <w:rPr>
          <w:rFonts w:ascii="Arial" w:hAnsi="Arial" w:cs="Arial"/>
        </w:rPr>
        <w:t xml:space="preserve">On the basis of bone density </w:t>
      </w:r>
      <w:r>
        <w:rPr>
          <w:rFonts w:ascii="Arial" w:hAnsi="Arial" w:cs="Arial"/>
        </w:rPr>
        <w:t>determination u</w:t>
      </w:r>
      <w:r w:rsidRPr="00366410">
        <w:rPr>
          <w:rFonts w:ascii="Arial" w:hAnsi="Arial" w:cs="Arial"/>
        </w:rPr>
        <w:t xml:space="preserve">sing </w:t>
      </w:r>
      <w:r>
        <w:rPr>
          <w:rFonts w:ascii="Arial" w:hAnsi="Arial" w:cs="Arial"/>
        </w:rPr>
        <w:t>d</w:t>
      </w:r>
      <w:r w:rsidRPr="00366410">
        <w:rPr>
          <w:rFonts w:ascii="Arial" w:hAnsi="Arial" w:cs="Arial"/>
        </w:rPr>
        <w:t>ual-</w:t>
      </w:r>
      <w:r>
        <w:rPr>
          <w:rFonts w:ascii="Arial" w:hAnsi="Arial" w:cs="Arial"/>
        </w:rPr>
        <w:t>e</w:t>
      </w:r>
      <w:r w:rsidRPr="00366410">
        <w:rPr>
          <w:rFonts w:ascii="Arial" w:hAnsi="Arial" w:cs="Arial"/>
        </w:rPr>
        <w:t xml:space="preserve">nergy </w:t>
      </w:r>
      <w:r>
        <w:rPr>
          <w:rFonts w:ascii="Arial" w:hAnsi="Arial" w:cs="Arial"/>
        </w:rPr>
        <w:t>x</w:t>
      </w:r>
      <w:r w:rsidRPr="00366410">
        <w:rPr>
          <w:rFonts w:ascii="Arial" w:hAnsi="Arial" w:cs="Arial"/>
        </w:rPr>
        <w:t xml:space="preserve">-ray absorptiometry (DEXA), a minimum of 5 g </w:t>
      </w:r>
      <w:r>
        <w:rPr>
          <w:rFonts w:ascii="Arial" w:hAnsi="Arial" w:cs="Arial"/>
        </w:rPr>
        <w:t>calcium/kg DM was determined by feeding kittens varying levels of calcium and phosphorous.</w:t>
      </w:r>
      <w:r>
        <w:rPr>
          <w:rFonts w:ascii="Arial" w:hAnsi="Arial" w:cs="Arial"/>
          <w:noProof/>
        </w:rPr>
        <w:t>[44]</w:t>
      </w:r>
      <w:r>
        <w:rPr>
          <w:rFonts w:ascii="Arial" w:hAnsi="Arial" w:cs="Arial"/>
        </w:rPr>
        <w:t xml:space="preserve">  Kittens require approximately three times more dietary calcium and phosphorous when compared with adult cats (Table 1.2).</w:t>
      </w:r>
      <w:r w:rsidRPr="007D2602">
        <w:rPr>
          <w:rFonts w:ascii="Arial" w:hAnsi="Arial" w:cs="Arial"/>
        </w:rPr>
        <w:t xml:space="preserve"> </w:t>
      </w:r>
      <w:r>
        <w:rPr>
          <w:rFonts w:ascii="Arial" w:hAnsi="Arial" w:cs="Arial"/>
        </w:rPr>
        <w:t xml:space="preserve"> Compared with puppies, kittens seem to be relatively insensitive to inverse calcium: phosphorus ratios as long as there is adequate calcium in the diet.</w:t>
      </w:r>
      <w:r>
        <w:rPr>
          <w:rFonts w:ascii="Arial" w:hAnsi="Arial" w:cs="Arial"/>
          <w:noProof/>
        </w:rPr>
        <w:t>[44]</w:t>
      </w:r>
      <w:r>
        <w:rPr>
          <w:rFonts w:ascii="Arial" w:hAnsi="Arial" w:cs="Arial"/>
        </w:rPr>
        <w:t xml:space="preserve">  Unlike young large breed dogs, young cats are not susceptible to developmental orthopedic disease.  Dietary calcium supplementation at 23 g/kg DM fed to 10-week old kittens resulted in hypomagnesemia with clinical signs of generalized weakness and muscle tremors progressing to hyperexcitability, seizures and extensor rigidity.</w:t>
      </w:r>
      <w:r>
        <w:rPr>
          <w:rFonts w:ascii="Arial" w:hAnsi="Arial" w:cs="Arial"/>
          <w:noProof/>
        </w:rPr>
        <w:t>[45]</w:t>
      </w:r>
    </w:p>
    <w:p w:rsidR="00330CF1" w:rsidRDefault="00330CF1" w:rsidP="00366410">
      <w:pPr>
        <w:numPr>
          <w:ilvl w:val="12"/>
          <w:numId w:val="0"/>
        </w:numPr>
        <w:rPr>
          <w:rFonts w:ascii="Arial" w:hAnsi="Arial" w:cs="Arial"/>
        </w:rPr>
      </w:pPr>
    </w:p>
    <w:p w:rsidR="00330CF1" w:rsidRDefault="00330CF1" w:rsidP="00366410">
      <w:pPr>
        <w:numPr>
          <w:ilvl w:val="12"/>
          <w:numId w:val="0"/>
        </w:numPr>
        <w:rPr>
          <w:rFonts w:ascii="Arial" w:hAnsi="Arial" w:cs="Arial"/>
        </w:rPr>
      </w:pPr>
    </w:p>
    <w:p w:rsidR="00330CF1" w:rsidRDefault="00330CF1" w:rsidP="00366410">
      <w:pPr>
        <w:numPr>
          <w:ilvl w:val="12"/>
          <w:numId w:val="0"/>
        </w:numPr>
        <w:rPr>
          <w:rFonts w:ascii="Arial" w:hAnsi="Arial" w:cs="Arial"/>
        </w:rPr>
      </w:pPr>
    </w:p>
    <w:p w:rsidR="00330CF1" w:rsidRDefault="00330CF1" w:rsidP="00366410">
      <w:pPr>
        <w:numPr>
          <w:ilvl w:val="12"/>
          <w:numId w:val="0"/>
        </w:numPr>
        <w:jc w:val="center"/>
        <w:rPr>
          <w:rFonts w:ascii="Arial" w:hAnsi="Arial" w:cs="Arial"/>
        </w:rPr>
      </w:pPr>
      <w:r w:rsidRPr="00BA6850">
        <w:rPr>
          <w:rFonts w:ascii="Arial" w:hAnsi="Arial" w:cs="Arial"/>
          <w:b/>
        </w:rPr>
        <w:lastRenderedPageBreak/>
        <w:t>Table 1.2</w:t>
      </w:r>
      <w:r>
        <w:rPr>
          <w:rFonts w:ascii="Arial" w:hAnsi="Arial" w:cs="Arial"/>
        </w:rPr>
        <w:t xml:space="preserve"> Feline calcium and phosphorus requirements for growth </w:t>
      </w:r>
    </w:p>
    <w:p w:rsidR="00330CF1" w:rsidRDefault="00330CF1" w:rsidP="00366410">
      <w:pPr>
        <w:numPr>
          <w:ilvl w:val="12"/>
          <w:numId w:val="0"/>
        </w:numPr>
        <w:jc w:val="center"/>
        <w:rPr>
          <w:rFonts w:ascii="Arial" w:hAnsi="Arial" w:cs="Arial"/>
        </w:rPr>
      </w:pPr>
      <w:r>
        <w:rPr>
          <w:rFonts w:ascii="Arial" w:hAnsi="Arial" w:cs="Arial"/>
        </w:rPr>
        <w:t>and maintenance (grams per kilogram of dry matter)</w:t>
      </w:r>
    </w:p>
    <w:p w:rsidR="00330CF1" w:rsidRDefault="00330CF1" w:rsidP="00366410">
      <w:pPr>
        <w:numPr>
          <w:ilvl w:val="12"/>
          <w:numId w:val="0"/>
        </w:num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3180"/>
        <w:gridCol w:w="3318"/>
      </w:tblGrid>
      <w:tr w:rsidR="00330CF1" w:rsidRPr="003D7F70" w:rsidTr="00572629">
        <w:tc>
          <w:tcPr>
            <w:tcW w:w="2358" w:type="dxa"/>
          </w:tcPr>
          <w:p w:rsidR="00330CF1" w:rsidRPr="003D7F70" w:rsidRDefault="00330CF1" w:rsidP="00572629">
            <w:pPr>
              <w:numPr>
                <w:ilvl w:val="12"/>
                <w:numId w:val="0"/>
              </w:numPr>
              <w:rPr>
                <w:rFonts w:ascii="Arial" w:hAnsi="Arial" w:cs="Arial"/>
              </w:rPr>
            </w:pPr>
          </w:p>
        </w:tc>
        <w:tc>
          <w:tcPr>
            <w:tcW w:w="3180" w:type="dxa"/>
          </w:tcPr>
          <w:p w:rsidR="00330CF1" w:rsidRPr="003D7F70" w:rsidRDefault="00330CF1" w:rsidP="00900074">
            <w:pPr>
              <w:numPr>
                <w:ilvl w:val="12"/>
                <w:numId w:val="0"/>
              </w:numPr>
              <w:jc w:val="center"/>
              <w:rPr>
                <w:rFonts w:ascii="Arial" w:hAnsi="Arial" w:cs="Arial"/>
              </w:rPr>
            </w:pPr>
            <w:r>
              <w:rPr>
                <w:rFonts w:ascii="Arial" w:hAnsi="Arial" w:cs="Arial"/>
              </w:rPr>
              <w:t>Minimum for</w:t>
            </w:r>
            <w:r w:rsidRPr="003D7F70">
              <w:rPr>
                <w:rFonts w:ascii="Arial" w:hAnsi="Arial" w:cs="Arial"/>
              </w:rPr>
              <w:t xml:space="preserve"> Growth</w:t>
            </w:r>
          </w:p>
        </w:tc>
        <w:tc>
          <w:tcPr>
            <w:tcW w:w="3318" w:type="dxa"/>
          </w:tcPr>
          <w:p w:rsidR="00330CF1" w:rsidRPr="003D7F70" w:rsidRDefault="00330CF1" w:rsidP="00900074">
            <w:pPr>
              <w:numPr>
                <w:ilvl w:val="12"/>
                <w:numId w:val="0"/>
              </w:numPr>
              <w:jc w:val="center"/>
              <w:rPr>
                <w:rFonts w:ascii="Arial" w:hAnsi="Arial" w:cs="Arial"/>
              </w:rPr>
            </w:pPr>
            <w:r>
              <w:rPr>
                <w:rFonts w:ascii="Arial" w:hAnsi="Arial" w:cs="Arial"/>
              </w:rPr>
              <w:t>Minimum for</w:t>
            </w:r>
            <w:r w:rsidRPr="003D7F70">
              <w:rPr>
                <w:rFonts w:ascii="Arial" w:hAnsi="Arial" w:cs="Arial"/>
              </w:rPr>
              <w:t xml:space="preserve"> Maintenance</w:t>
            </w:r>
          </w:p>
        </w:tc>
      </w:tr>
      <w:tr w:rsidR="00330CF1" w:rsidRPr="003D7F70" w:rsidTr="00572629">
        <w:tc>
          <w:tcPr>
            <w:tcW w:w="2358" w:type="dxa"/>
          </w:tcPr>
          <w:p w:rsidR="00330CF1" w:rsidRPr="003D7F70" w:rsidRDefault="00330CF1" w:rsidP="00572629">
            <w:pPr>
              <w:numPr>
                <w:ilvl w:val="12"/>
                <w:numId w:val="0"/>
              </w:numPr>
              <w:rPr>
                <w:rFonts w:ascii="Arial" w:hAnsi="Arial" w:cs="Arial"/>
              </w:rPr>
            </w:pPr>
            <w:r w:rsidRPr="003D7F70">
              <w:rPr>
                <w:rFonts w:ascii="Arial" w:hAnsi="Arial" w:cs="Arial"/>
              </w:rPr>
              <w:t>Calcium(grams)</w:t>
            </w:r>
          </w:p>
        </w:tc>
        <w:tc>
          <w:tcPr>
            <w:tcW w:w="3180" w:type="dxa"/>
          </w:tcPr>
          <w:p w:rsidR="00330CF1" w:rsidRPr="003D7F70" w:rsidRDefault="00330CF1" w:rsidP="00900074">
            <w:pPr>
              <w:numPr>
                <w:ilvl w:val="12"/>
                <w:numId w:val="0"/>
              </w:numPr>
              <w:jc w:val="center"/>
              <w:rPr>
                <w:rFonts w:ascii="Arial" w:hAnsi="Arial" w:cs="Arial"/>
              </w:rPr>
            </w:pPr>
            <w:r w:rsidRPr="003D7F70">
              <w:rPr>
                <w:rFonts w:ascii="Arial" w:hAnsi="Arial" w:cs="Arial"/>
              </w:rPr>
              <w:t>5.2</w:t>
            </w:r>
          </w:p>
        </w:tc>
        <w:tc>
          <w:tcPr>
            <w:tcW w:w="3318" w:type="dxa"/>
          </w:tcPr>
          <w:p w:rsidR="00330CF1" w:rsidRPr="003D7F70" w:rsidRDefault="00330CF1" w:rsidP="00900074">
            <w:pPr>
              <w:numPr>
                <w:ilvl w:val="12"/>
                <w:numId w:val="0"/>
              </w:numPr>
              <w:jc w:val="center"/>
              <w:rPr>
                <w:rFonts w:ascii="Arial" w:hAnsi="Arial" w:cs="Arial"/>
              </w:rPr>
            </w:pPr>
            <w:r w:rsidRPr="003D7F70">
              <w:rPr>
                <w:rFonts w:ascii="Arial" w:hAnsi="Arial" w:cs="Arial"/>
              </w:rPr>
              <w:t>1.6</w:t>
            </w:r>
          </w:p>
        </w:tc>
      </w:tr>
      <w:tr w:rsidR="00330CF1" w:rsidRPr="003D7F70" w:rsidTr="00572629">
        <w:tc>
          <w:tcPr>
            <w:tcW w:w="2358" w:type="dxa"/>
          </w:tcPr>
          <w:p w:rsidR="00330CF1" w:rsidRPr="003D7F70" w:rsidRDefault="00330CF1" w:rsidP="00572629">
            <w:pPr>
              <w:numPr>
                <w:ilvl w:val="12"/>
                <w:numId w:val="0"/>
              </w:numPr>
              <w:rPr>
                <w:rFonts w:ascii="Arial" w:hAnsi="Arial" w:cs="Arial"/>
              </w:rPr>
            </w:pPr>
            <w:r w:rsidRPr="003D7F70">
              <w:rPr>
                <w:rFonts w:ascii="Arial" w:hAnsi="Arial" w:cs="Arial"/>
              </w:rPr>
              <w:t>Phosphorus(grams)</w:t>
            </w:r>
          </w:p>
        </w:tc>
        <w:tc>
          <w:tcPr>
            <w:tcW w:w="3180" w:type="dxa"/>
          </w:tcPr>
          <w:p w:rsidR="00330CF1" w:rsidRPr="003D7F70" w:rsidRDefault="00330CF1" w:rsidP="00900074">
            <w:pPr>
              <w:numPr>
                <w:ilvl w:val="12"/>
                <w:numId w:val="0"/>
              </w:numPr>
              <w:jc w:val="center"/>
              <w:rPr>
                <w:rFonts w:ascii="Arial" w:hAnsi="Arial" w:cs="Arial"/>
              </w:rPr>
            </w:pPr>
            <w:r w:rsidRPr="003D7F70">
              <w:rPr>
                <w:rFonts w:ascii="Arial" w:hAnsi="Arial" w:cs="Arial"/>
              </w:rPr>
              <w:t>4.8</w:t>
            </w:r>
          </w:p>
        </w:tc>
        <w:tc>
          <w:tcPr>
            <w:tcW w:w="3318" w:type="dxa"/>
          </w:tcPr>
          <w:p w:rsidR="00330CF1" w:rsidRPr="003D7F70" w:rsidRDefault="00330CF1" w:rsidP="00900074">
            <w:pPr>
              <w:numPr>
                <w:ilvl w:val="12"/>
                <w:numId w:val="0"/>
              </w:numPr>
              <w:jc w:val="center"/>
              <w:rPr>
                <w:rFonts w:ascii="Arial" w:hAnsi="Arial" w:cs="Arial"/>
              </w:rPr>
            </w:pPr>
            <w:r w:rsidRPr="003D7F70">
              <w:rPr>
                <w:rFonts w:ascii="Arial" w:hAnsi="Arial" w:cs="Arial"/>
              </w:rPr>
              <w:t>1.4</w:t>
            </w:r>
          </w:p>
        </w:tc>
      </w:tr>
    </w:tbl>
    <w:p w:rsidR="00330CF1" w:rsidRDefault="00330CF1" w:rsidP="00366410">
      <w:pPr>
        <w:rPr>
          <w:rFonts w:ascii="Arial" w:hAnsi="Arial" w:cs="Arial"/>
          <w:sz w:val="22"/>
          <w:szCs w:val="22"/>
        </w:rPr>
      </w:pPr>
      <w:r w:rsidRPr="00EF64DA">
        <w:rPr>
          <w:rFonts w:ascii="Arial" w:hAnsi="Arial" w:cs="Arial"/>
          <w:b/>
          <w:i/>
          <w:sz w:val="22"/>
          <w:szCs w:val="22"/>
        </w:rPr>
        <w:t>Source</w:t>
      </w:r>
      <w:r w:rsidRPr="00E3742B">
        <w:rPr>
          <w:rFonts w:ascii="Arial" w:hAnsi="Arial" w:cs="Arial"/>
          <w:sz w:val="22"/>
          <w:szCs w:val="22"/>
        </w:rPr>
        <w:t>: Nutrient Requirements of Dogs and Cats, National Academy Press (2006), p</w:t>
      </w:r>
      <w:r>
        <w:rPr>
          <w:rFonts w:ascii="Arial" w:hAnsi="Arial" w:cs="Arial"/>
          <w:sz w:val="22"/>
          <w:szCs w:val="22"/>
        </w:rPr>
        <w:t>p</w:t>
      </w:r>
      <w:r w:rsidRPr="00E3742B">
        <w:rPr>
          <w:rFonts w:ascii="Arial" w:hAnsi="Arial" w:cs="Arial"/>
          <w:sz w:val="22"/>
          <w:szCs w:val="22"/>
        </w:rPr>
        <w:t>.</w:t>
      </w:r>
      <w:r>
        <w:rPr>
          <w:rFonts w:ascii="Arial" w:hAnsi="Arial" w:cs="Arial"/>
          <w:sz w:val="22"/>
          <w:szCs w:val="22"/>
        </w:rPr>
        <w:t>364-367.</w:t>
      </w:r>
      <w:r w:rsidRPr="00E3742B">
        <w:rPr>
          <w:rFonts w:ascii="Arial" w:hAnsi="Arial" w:cs="Arial"/>
          <w:sz w:val="22"/>
          <w:szCs w:val="22"/>
        </w:rPr>
        <w:t xml:space="preserve"> </w:t>
      </w:r>
    </w:p>
    <w:p w:rsidR="00330CF1" w:rsidRDefault="00330CF1" w:rsidP="00366410">
      <w:pPr>
        <w:rPr>
          <w:rFonts w:ascii="Arial" w:hAnsi="Arial" w:cs="Arial"/>
          <w:sz w:val="22"/>
          <w:szCs w:val="22"/>
        </w:rPr>
      </w:pPr>
    </w:p>
    <w:p w:rsidR="00330CF1" w:rsidRPr="00E3742B" w:rsidRDefault="00330CF1" w:rsidP="00366410">
      <w:pPr>
        <w:rPr>
          <w:rFonts w:ascii="Arial" w:hAnsi="Arial" w:cs="Arial"/>
          <w:sz w:val="22"/>
          <w:szCs w:val="22"/>
        </w:rPr>
      </w:pPr>
    </w:p>
    <w:p w:rsidR="00330CF1" w:rsidRPr="00F76F8A" w:rsidRDefault="00330CF1" w:rsidP="00530C2E">
      <w:pPr>
        <w:numPr>
          <w:ilvl w:val="12"/>
          <w:numId w:val="0"/>
        </w:numPr>
        <w:rPr>
          <w:rFonts w:ascii="Arial" w:hAnsi="Arial" w:cs="Arial"/>
        </w:rPr>
      </w:pPr>
      <w:r>
        <w:rPr>
          <w:rFonts w:ascii="Arial" w:hAnsi="Arial" w:cs="Arial"/>
        </w:rPr>
        <w:t>Hypomagnesemia was thought to occur because of formation of insoluble calcium-magnesium-phosphate complexes in the intestinal lumen reducing the amount of magnesium absorption.</w:t>
      </w:r>
      <w:r>
        <w:rPr>
          <w:rFonts w:ascii="Arial" w:hAnsi="Arial" w:cs="Arial"/>
          <w:noProof/>
        </w:rPr>
        <w:t>[45]</w:t>
      </w:r>
      <w:r>
        <w:rPr>
          <w:rFonts w:ascii="Arial" w:hAnsi="Arial" w:cs="Arial"/>
        </w:rPr>
        <w:t xml:space="preserve">  With normal levels of calcium (5-6 gms/kg DM diet), the magnesium requirement is 200 mg/kg DM diet.  Very high levels of calcium (20-25 grams/kg DM diet) require 500 mg magnesium/kg diet.</w:t>
      </w:r>
      <w:r>
        <w:rPr>
          <w:rFonts w:ascii="Arial" w:hAnsi="Arial" w:cs="Arial"/>
          <w:noProof/>
        </w:rPr>
        <w:t>[45]</w:t>
      </w:r>
    </w:p>
    <w:p w:rsidR="00330CF1" w:rsidRDefault="00330CF1">
      <w:pPr>
        <w:numPr>
          <w:ilvl w:val="12"/>
          <w:numId w:val="0"/>
        </w:numPr>
        <w:rPr>
          <w:rFonts w:ascii="Arial" w:hAnsi="Arial" w:cs="Arial"/>
        </w:rPr>
      </w:pPr>
      <w:r>
        <w:rPr>
          <w:rFonts w:ascii="Arial" w:hAnsi="Arial" w:cs="Arial"/>
        </w:rPr>
        <w:t xml:space="preserve">     Serum inorganic phosphorus used in bone formation is primarily bound to one or two hydrogen ions.</w:t>
      </w:r>
      <w:r>
        <w:rPr>
          <w:rFonts w:ascii="Arial" w:hAnsi="Arial" w:cs="Arial"/>
          <w:noProof/>
        </w:rPr>
        <w:t>[46]</w:t>
      </w:r>
      <w:r>
        <w:rPr>
          <w:rFonts w:ascii="Arial" w:hAnsi="Arial" w:cs="Arial"/>
        </w:rPr>
        <w:t xml:space="preserve">  The high level of circulating phosphorus required for bone formation results in higher hydrogen ion concentrations in kitten blood.  To maintain normal acid-base balance, hydrogen ions are excreted in urine.  Kittens have lower urine pH compared to adult cats when fed the same diet.</w:t>
      </w:r>
      <w:r>
        <w:rPr>
          <w:rFonts w:ascii="Arial" w:hAnsi="Arial" w:cs="Arial"/>
          <w:noProof/>
        </w:rPr>
        <w:t>[47]</w:t>
      </w:r>
      <w:r>
        <w:rPr>
          <w:rFonts w:ascii="Arial" w:hAnsi="Arial" w:cs="Arial"/>
        </w:rPr>
        <w:t xml:space="preserve">  Besides age, urine pH is also dependent on diet and method of feeding (</w:t>
      </w:r>
      <w:r w:rsidRPr="00366410">
        <w:rPr>
          <w:rFonts w:ascii="Arial" w:hAnsi="Arial" w:cs="Arial"/>
          <w:i/>
        </w:rPr>
        <w:t>ad-libitum</w:t>
      </w:r>
      <w:r>
        <w:rPr>
          <w:rFonts w:ascii="Arial" w:hAnsi="Arial" w:cs="Arial"/>
        </w:rPr>
        <w:t xml:space="preserve"> vs. meal-fed).  High protein diets (&gt;50% DM protein) can result in aciduria due to production of inorganic sulfur compounds from catabolism of methionine and cysteine.</w:t>
      </w:r>
      <w:r>
        <w:rPr>
          <w:rFonts w:ascii="Arial" w:hAnsi="Arial" w:cs="Arial"/>
          <w:noProof/>
        </w:rPr>
        <w:t>[48]</w:t>
      </w:r>
      <w:r>
        <w:rPr>
          <w:rFonts w:ascii="Arial" w:hAnsi="Arial" w:cs="Arial"/>
        </w:rPr>
        <w:t xml:space="preserve">  Addition of acidifying minerals such as ammonium phosphate (3% DM) to a basal diet in kittens resulted in depressed weight gains and reduced final body weights when compared with kittens fed less than 3% DM dietary ammonium phosphate.</w:t>
      </w:r>
      <w:r>
        <w:rPr>
          <w:rFonts w:ascii="Arial" w:hAnsi="Arial" w:cs="Arial"/>
          <w:noProof/>
        </w:rPr>
        <w:t>[47]</w:t>
      </w:r>
      <w:r>
        <w:rPr>
          <w:rFonts w:ascii="Arial" w:hAnsi="Arial" w:cs="Arial"/>
        </w:rPr>
        <w:t xml:space="preserve">  Besides growth retardation, chronic ingestion of highly acidifying diets with 1.5% to 3% ammonium chloride cause bone dissolution with retarded mineralization and abnormal bone remodeling.  Bone resorption occurs with release of carbonate and phosphate buffers to reduce systemic acid loads.</w:t>
      </w:r>
      <w:r>
        <w:rPr>
          <w:rFonts w:ascii="Arial" w:hAnsi="Arial" w:cs="Arial"/>
          <w:noProof/>
        </w:rPr>
        <w:t>[49]</w:t>
      </w:r>
      <w:r>
        <w:rPr>
          <w:rFonts w:ascii="Arial" w:hAnsi="Arial" w:cs="Arial"/>
        </w:rPr>
        <w:t xml:space="preserve">  These same ammonium chloride levels also resulted in systemic metabolic acidosis.</w:t>
      </w:r>
      <w:r>
        <w:rPr>
          <w:rFonts w:ascii="Arial" w:hAnsi="Arial" w:cs="Arial"/>
          <w:noProof/>
        </w:rPr>
        <w:t>[49]</w:t>
      </w:r>
    </w:p>
    <w:p w:rsidR="00330CF1" w:rsidRPr="009C0AB7" w:rsidRDefault="00330CF1">
      <w:pPr>
        <w:numPr>
          <w:ilvl w:val="12"/>
          <w:numId w:val="0"/>
        </w:numPr>
        <w:rPr>
          <w:rFonts w:ascii="Arial" w:hAnsi="Arial" w:cs="Arial"/>
        </w:rPr>
      </w:pPr>
      <w:r>
        <w:rPr>
          <w:rFonts w:ascii="Arial" w:hAnsi="Arial" w:cs="Arial"/>
        </w:rPr>
        <w:t xml:space="preserve">     Potassium requirement in young felids is dependent on the level of protein in the diet.</w:t>
      </w:r>
      <w:r>
        <w:rPr>
          <w:rFonts w:ascii="Arial" w:hAnsi="Arial" w:cs="Arial"/>
          <w:noProof/>
        </w:rPr>
        <w:t>[50]</w:t>
      </w:r>
      <w:r>
        <w:rPr>
          <w:rFonts w:ascii="Arial" w:hAnsi="Arial" w:cs="Arial"/>
        </w:rPr>
        <w:t xml:space="preserve">  The uptake of cation amino acids into the cell is exchanged for intracellular potassium.  Urinary potassium excretion increases as protein intake increases.  Requirements for the minimal amount of potassium in a kitten growth diet containing 33% DM protein is 2 g/kg DM diet, and 5 g/kg DM diet in a diet containing 68% DM protein.</w:t>
      </w:r>
      <w:r>
        <w:rPr>
          <w:rFonts w:ascii="Arial" w:hAnsi="Arial" w:cs="Arial"/>
          <w:noProof/>
        </w:rPr>
        <w:t>[50]</w:t>
      </w:r>
      <w:r>
        <w:rPr>
          <w:rFonts w:ascii="Arial" w:hAnsi="Arial" w:cs="Arial"/>
        </w:rPr>
        <w:t xml:space="preserve"> </w:t>
      </w:r>
    </w:p>
    <w:p w:rsidR="00330CF1" w:rsidRDefault="00330CF1" w:rsidP="00E926A9">
      <w:pPr>
        <w:numPr>
          <w:ilvl w:val="12"/>
          <w:numId w:val="0"/>
        </w:numPr>
        <w:tabs>
          <w:tab w:val="left" w:pos="2022"/>
        </w:tabs>
        <w:rPr>
          <w:rFonts w:ascii="Arial" w:hAnsi="Arial" w:cs="Arial"/>
        </w:rPr>
      </w:pPr>
    </w:p>
    <w:p w:rsidR="00330CF1" w:rsidRDefault="00330CF1" w:rsidP="00530C2E">
      <w:pPr>
        <w:pStyle w:val="Heading2"/>
      </w:pPr>
      <w:bookmarkStart w:id="8" w:name="_Toc305485835"/>
      <w:r>
        <w:t>Normal Parameters for Growth and Development in Kittens</w:t>
      </w:r>
      <w:bookmarkEnd w:id="8"/>
    </w:p>
    <w:p w:rsidR="00330CF1" w:rsidRDefault="00330CF1" w:rsidP="0020777E">
      <w:pPr>
        <w:pStyle w:val="Heading3"/>
      </w:pPr>
      <w:bookmarkStart w:id="9" w:name="_Toc305485836"/>
      <w:r>
        <w:t>Weight gain and body composition</w:t>
      </w:r>
      <w:bookmarkEnd w:id="9"/>
    </w:p>
    <w:p w:rsidR="00330CF1" w:rsidRDefault="00330CF1" w:rsidP="0047119C"/>
    <w:p w:rsidR="00330CF1" w:rsidRPr="00CF5D72" w:rsidRDefault="00330CF1" w:rsidP="00ED38BF">
      <w:pPr>
        <w:rPr>
          <w:rFonts w:ascii="Arial" w:hAnsi="Arial" w:cs="Arial"/>
          <w:color w:val="FF0000"/>
        </w:rPr>
      </w:pPr>
      <w:r>
        <w:t xml:space="preserve">     </w:t>
      </w:r>
      <w:r w:rsidRPr="001725BD">
        <w:rPr>
          <w:rFonts w:ascii="Arial" w:hAnsi="Arial" w:cs="Arial"/>
        </w:rPr>
        <w:t xml:space="preserve">In a study </w:t>
      </w:r>
      <w:r>
        <w:rPr>
          <w:rFonts w:ascii="Arial" w:hAnsi="Arial" w:cs="Arial"/>
        </w:rPr>
        <w:t>of</w:t>
      </w:r>
      <w:r w:rsidRPr="001725BD">
        <w:rPr>
          <w:rFonts w:ascii="Arial" w:hAnsi="Arial" w:cs="Arial"/>
        </w:rPr>
        <w:t xml:space="preserve"> 100 domestic short-haired k</w:t>
      </w:r>
      <w:r>
        <w:rPr>
          <w:rFonts w:ascii="Arial" w:hAnsi="Arial" w:cs="Arial"/>
        </w:rPr>
        <w:t>ittens</w:t>
      </w:r>
      <w:r w:rsidRPr="001725BD">
        <w:rPr>
          <w:rFonts w:ascii="Arial" w:hAnsi="Arial" w:cs="Arial"/>
        </w:rPr>
        <w:t xml:space="preserve"> examining weight gain and food intake, average birthweight</w:t>
      </w:r>
      <w:r>
        <w:rPr>
          <w:rFonts w:ascii="Arial" w:hAnsi="Arial" w:cs="Arial"/>
        </w:rPr>
        <w:t xml:space="preserve"> for male kittens was 117 grams</w:t>
      </w:r>
      <w:r w:rsidRPr="001725BD">
        <w:rPr>
          <w:rFonts w:ascii="Arial" w:hAnsi="Arial" w:cs="Arial"/>
        </w:rPr>
        <w:t xml:space="preserve"> while average birthweight for females was 111 grams.</w:t>
      </w:r>
      <w:r>
        <w:rPr>
          <w:rFonts w:ascii="Arial" w:hAnsi="Arial" w:cs="Arial"/>
          <w:noProof/>
        </w:rPr>
        <w:t>[51]</w:t>
      </w:r>
      <w:r>
        <w:rPr>
          <w:rFonts w:ascii="Arial" w:hAnsi="Arial" w:cs="Arial"/>
        </w:rPr>
        <w:t xml:space="preserve">  </w:t>
      </w:r>
      <w:r w:rsidRPr="001725BD">
        <w:rPr>
          <w:rFonts w:ascii="Arial" w:hAnsi="Arial" w:cs="Arial"/>
        </w:rPr>
        <w:t xml:space="preserve">These </w:t>
      </w:r>
      <w:r>
        <w:rPr>
          <w:rFonts w:ascii="Arial" w:hAnsi="Arial" w:cs="Arial"/>
        </w:rPr>
        <w:t xml:space="preserve">gender </w:t>
      </w:r>
      <w:r w:rsidRPr="001725BD">
        <w:rPr>
          <w:rFonts w:ascii="Arial" w:hAnsi="Arial" w:cs="Arial"/>
        </w:rPr>
        <w:t>differences were not d</w:t>
      </w:r>
      <w:r>
        <w:rPr>
          <w:rFonts w:ascii="Arial" w:hAnsi="Arial" w:cs="Arial"/>
        </w:rPr>
        <w:t xml:space="preserve">eemed significant.  </w:t>
      </w:r>
      <w:r w:rsidRPr="001725BD">
        <w:rPr>
          <w:rFonts w:ascii="Arial" w:hAnsi="Arial" w:cs="Arial"/>
        </w:rPr>
        <w:lastRenderedPageBreak/>
        <w:t>Growth rate</w:t>
      </w:r>
      <w:r>
        <w:rPr>
          <w:rFonts w:ascii="Arial" w:hAnsi="Arial" w:cs="Arial"/>
        </w:rPr>
        <w:t>s were affected by gender of the kitten and weight of the queen during lactation.  Males had higher weight gains than females and larger queens had heavier kittens</w:t>
      </w:r>
      <w:r w:rsidRPr="001725BD">
        <w:rPr>
          <w:rFonts w:ascii="Arial" w:hAnsi="Arial" w:cs="Arial"/>
        </w:rPr>
        <w:t xml:space="preserve"> due to greater body reserves for milk </w:t>
      </w:r>
      <w:r>
        <w:rPr>
          <w:rFonts w:ascii="Arial" w:hAnsi="Arial" w:cs="Arial"/>
        </w:rPr>
        <w:t>production.  Litter size had no effect on growth rate.  At 10 weeks of age or 2 weeks after weaning, growth rate differences attributed to</w:t>
      </w:r>
      <w:r w:rsidRPr="001725BD">
        <w:rPr>
          <w:rFonts w:ascii="Arial" w:hAnsi="Arial" w:cs="Arial"/>
        </w:rPr>
        <w:t xml:space="preserve"> queen weight were no longer significant.</w:t>
      </w:r>
      <w:r>
        <w:rPr>
          <w:rFonts w:ascii="Arial" w:hAnsi="Arial" w:cs="Arial"/>
          <w:noProof/>
        </w:rPr>
        <w:t>[51]</w:t>
      </w:r>
      <w:r>
        <w:rPr>
          <w:rFonts w:ascii="Arial" w:hAnsi="Arial" w:cs="Arial"/>
        </w:rPr>
        <w:t xml:space="preserve"> </w:t>
      </w:r>
      <w:r w:rsidRPr="001725BD">
        <w:rPr>
          <w:rFonts w:ascii="Arial" w:hAnsi="Arial" w:cs="Arial"/>
        </w:rPr>
        <w:t xml:space="preserve"> Male DSH </w:t>
      </w:r>
      <w:r>
        <w:rPr>
          <w:rFonts w:ascii="Arial" w:hAnsi="Arial" w:cs="Arial"/>
        </w:rPr>
        <w:t>kittens gained between 10 to 16.7</w:t>
      </w:r>
      <w:r w:rsidRPr="001725BD">
        <w:rPr>
          <w:rFonts w:ascii="Arial" w:hAnsi="Arial" w:cs="Arial"/>
        </w:rPr>
        <w:t xml:space="preserve"> gr</w:t>
      </w:r>
      <w:r>
        <w:rPr>
          <w:rFonts w:ascii="Arial" w:hAnsi="Arial" w:cs="Arial"/>
        </w:rPr>
        <w:t>ams/day (average of 13.11</w:t>
      </w:r>
      <w:r w:rsidRPr="001725BD">
        <w:rPr>
          <w:rFonts w:ascii="Arial" w:hAnsi="Arial" w:cs="Arial"/>
        </w:rPr>
        <w:t xml:space="preserve"> g/day</w:t>
      </w:r>
      <w:r>
        <w:rPr>
          <w:rFonts w:ascii="Arial" w:hAnsi="Arial" w:cs="Arial"/>
        </w:rPr>
        <w:t>)</w:t>
      </w:r>
      <w:r w:rsidRPr="001725BD">
        <w:rPr>
          <w:rFonts w:ascii="Arial" w:hAnsi="Arial" w:cs="Arial"/>
        </w:rPr>
        <w:t xml:space="preserve"> </w:t>
      </w:r>
      <w:r>
        <w:rPr>
          <w:rFonts w:ascii="Arial" w:hAnsi="Arial" w:cs="Arial"/>
        </w:rPr>
        <w:t>during the first 9 weeks and 10-22 grams/day (average of 15.84 g/day) during weeks 9-19.</w:t>
      </w:r>
      <w:r w:rsidRPr="001725BD">
        <w:rPr>
          <w:rFonts w:ascii="Arial" w:hAnsi="Arial" w:cs="Arial"/>
        </w:rPr>
        <w:t xml:space="preserve">  Female DSH kittens gained between 9</w:t>
      </w:r>
      <w:r>
        <w:rPr>
          <w:rFonts w:ascii="Arial" w:hAnsi="Arial" w:cs="Arial"/>
        </w:rPr>
        <w:t>.1 to 13.1 grams/day (average of 11.87</w:t>
      </w:r>
      <w:r w:rsidRPr="001725BD">
        <w:rPr>
          <w:rFonts w:ascii="Arial" w:hAnsi="Arial" w:cs="Arial"/>
        </w:rPr>
        <w:t xml:space="preserve"> g/day</w:t>
      </w:r>
      <w:r>
        <w:rPr>
          <w:rFonts w:ascii="Arial" w:hAnsi="Arial" w:cs="Arial"/>
        </w:rPr>
        <w:t>) during the first 9 weeks and between 9.0 and 17 grams/day (average of 12.99 grams/day)</w:t>
      </w:r>
      <w:r w:rsidRPr="001725BD">
        <w:rPr>
          <w:rFonts w:ascii="Arial" w:hAnsi="Arial" w:cs="Arial"/>
        </w:rPr>
        <w:t xml:space="preserve"> </w:t>
      </w:r>
      <w:r>
        <w:rPr>
          <w:rFonts w:ascii="Arial" w:hAnsi="Arial" w:cs="Arial"/>
        </w:rPr>
        <w:t>during weeks 9-19.</w:t>
      </w:r>
      <w:r>
        <w:rPr>
          <w:rFonts w:ascii="Arial" w:hAnsi="Arial" w:cs="Arial"/>
          <w:noProof/>
        </w:rPr>
        <w:t>[51]</w:t>
      </w:r>
      <w:r w:rsidRPr="001725BD">
        <w:rPr>
          <w:rFonts w:ascii="Arial" w:hAnsi="Arial" w:cs="Arial"/>
        </w:rPr>
        <w:t xml:space="preserve"> </w:t>
      </w:r>
      <w:r>
        <w:rPr>
          <w:rFonts w:ascii="Arial" w:hAnsi="Arial" w:cs="Arial"/>
        </w:rPr>
        <w:t xml:space="preserve"> Weight gain and growth slows when kittens approach 80% of their adult size at 30 weeks.</w:t>
      </w:r>
      <w:r>
        <w:rPr>
          <w:rFonts w:ascii="Arial" w:hAnsi="Arial" w:cs="Arial"/>
          <w:noProof/>
        </w:rPr>
        <w:t>[36]</w:t>
      </w:r>
      <w:r>
        <w:rPr>
          <w:rFonts w:ascii="Arial" w:hAnsi="Arial" w:cs="Arial"/>
        </w:rPr>
        <w:t xml:space="preserve">  Most cats reach adult body weight and skeletal maturity at 40 weeks or 10 months of age.  Additional weight gain after this age is attributed to muscle development.</w:t>
      </w:r>
      <w:r>
        <w:rPr>
          <w:rFonts w:ascii="Arial" w:hAnsi="Arial" w:cs="Arial"/>
          <w:noProof/>
        </w:rPr>
        <w:t>[36]</w:t>
      </w:r>
    </w:p>
    <w:p w:rsidR="00330CF1" w:rsidRPr="00ED38BF" w:rsidRDefault="00330CF1" w:rsidP="003A2952">
      <w:pPr>
        <w:rPr>
          <w:rFonts w:ascii="Arial" w:hAnsi="Arial" w:cs="Arial"/>
        </w:rPr>
      </w:pPr>
      <w:r w:rsidRPr="001725BD">
        <w:rPr>
          <w:rFonts w:ascii="Arial" w:hAnsi="Arial" w:cs="Arial"/>
        </w:rPr>
        <w:t xml:space="preserve"> </w:t>
      </w:r>
      <w:r>
        <w:rPr>
          <w:rFonts w:ascii="Arial" w:hAnsi="Arial" w:cs="Arial"/>
        </w:rPr>
        <w:t xml:space="preserve">    For </w:t>
      </w:r>
      <w:r w:rsidRPr="001725BD">
        <w:rPr>
          <w:rFonts w:ascii="Arial" w:hAnsi="Arial" w:cs="Arial"/>
        </w:rPr>
        <w:t>purebred kittens, birthweight was significantly affected by breed, litter size and gestation length.</w:t>
      </w:r>
      <w:r>
        <w:rPr>
          <w:rFonts w:ascii="Arial" w:hAnsi="Arial" w:cs="Arial"/>
          <w:noProof/>
        </w:rPr>
        <w:t>[52, 53]</w:t>
      </w:r>
      <w:r>
        <w:rPr>
          <w:rFonts w:ascii="Arial" w:hAnsi="Arial" w:cs="Arial"/>
        </w:rPr>
        <w:t xml:space="preserve"> </w:t>
      </w:r>
      <w:r w:rsidRPr="001725BD">
        <w:rPr>
          <w:rFonts w:ascii="Arial" w:hAnsi="Arial" w:cs="Arial"/>
        </w:rPr>
        <w:t xml:space="preserve"> Mean birth weights varied between 72.7 g</w:t>
      </w:r>
      <w:r>
        <w:rPr>
          <w:rFonts w:ascii="Arial" w:hAnsi="Arial" w:cs="Arial"/>
        </w:rPr>
        <w:t>m</w:t>
      </w:r>
      <w:r w:rsidRPr="001725BD">
        <w:rPr>
          <w:rFonts w:ascii="Arial" w:hAnsi="Arial" w:cs="Arial"/>
        </w:rPr>
        <w:t xml:space="preserve"> for Korats (shortest gestation length </w:t>
      </w:r>
      <w:r>
        <w:rPr>
          <w:rFonts w:ascii="Arial" w:hAnsi="Arial" w:cs="Arial"/>
        </w:rPr>
        <w:t xml:space="preserve">of </w:t>
      </w:r>
      <w:r w:rsidRPr="001725BD">
        <w:rPr>
          <w:rFonts w:ascii="Arial" w:hAnsi="Arial" w:cs="Arial"/>
        </w:rPr>
        <w:t>63 days) to 116.1 g</w:t>
      </w:r>
      <w:r>
        <w:rPr>
          <w:rFonts w:ascii="Arial" w:hAnsi="Arial" w:cs="Arial"/>
        </w:rPr>
        <w:t>m</w:t>
      </w:r>
      <w:r w:rsidRPr="001725BD">
        <w:rPr>
          <w:rFonts w:ascii="Arial" w:hAnsi="Arial" w:cs="Arial"/>
        </w:rPr>
        <w:t xml:space="preserve"> for Maine C</w:t>
      </w:r>
      <w:r>
        <w:rPr>
          <w:rFonts w:ascii="Arial" w:hAnsi="Arial" w:cs="Arial"/>
        </w:rPr>
        <w:t>oon kittens (gestation length of 65.5 days)</w:t>
      </w:r>
      <w:r w:rsidRPr="001725BD">
        <w:rPr>
          <w:rFonts w:ascii="Arial" w:hAnsi="Arial" w:cs="Arial"/>
        </w:rPr>
        <w:t>.</w:t>
      </w:r>
      <w:r>
        <w:rPr>
          <w:rFonts w:ascii="Arial" w:hAnsi="Arial" w:cs="Arial"/>
          <w:noProof/>
        </w:rPr>
        <w:t>[52]</w:t>
      </w:r>
      <w:r>
        <w:rPr>
          <w:rFonts w:ascii="Arial" w:hAnsi="Arial" w:cs="Arial"/>
        </w:rPr>
        <w:t xml:space="preserve">  In a second study representing 29 different breeds, mean birth weight was 101 grams ± 18 grams for males and 93 grams ± 31 grams for females.</w:t>
      </w:r>
      <w:r>
        <w:rPr>
          <w:rFonts w:ascii="Arial" w:hAnsi="Arial" w:cs="Arial"/>
          <w:noProof/>
        </w:rPr>
        <w:t>[53]</w:t>
      </w:r>
      <w:r>
        <w:rPr>
          <w:rFonts w:ascii="Arial" w:hAnsi="Arial" w:cs="Arial"/>
        </w:rPr>
        <w:t xml:space="preserve">  The birthweight of purebred kittens in both of these studies decreased with larger litter sizes.</w:t>
      </w:r>
    </w:p>
    <w:p w:rsidR="00330CF1" w:rsidRDefault="00330CF1" w:rsidP="0047119C">
      <w:pPr>
        <w:rPr>
          <w:rFonts w:ascii="Arial" w:hAnsi="Arial" w:cs="Arial"/>
        </w:rPr>
      </w:pPr>
      <w:r>
        <w:rPr>
          <w:rFonts w:ascii="Arial" w:hAnsi="Arial" w:cs="Arial"/>
        </w:rPr>
        <w:t xml:space="preserve">     There have been very few studies evaluating body composition of kittens as they mature.  Kienzle analyzed whole body carcass composition for protein, fat, water and mineral and found that total body water decreased from birth (79% water) to 12 weeks (62% water) while total body fat  increased from birth (17%) to 12  weeks (31%) of age.</w:t>
      </w:r>
      <w:r>
        <w:rPr>
          <w:rFonts w:ascii="Arial" w:hAnsi="Arial" w:cs="Arial"/>
          <w:noProof/>
        </w:rPr>
        <w:t>[54]</w:t>
      </w:r>
      <w:r>
        <w:rPr>
          <w:rFonts w:ascii="Arial" w:hAnsi="Arial" w:cs="Arial"/>
        </w:rPr>
        <w:t xml:space="preserve">  Since this study in 1991, there have been 2 additional studies examining body composition of kittens using DEXA for determining percentages of skeletal (bone/mineral), fat and  lean tissue (Table 1.3).</w:t>
      </w:r>
      <w:r>
        <w:rPr>
          <w:rFonts w:ascii="Arial" w:hAnsi="Arial" w:cs="Arial"/>
          <w:noProof/>
        </w:rPr>
        <w:t>[55, 56]</w:t>
      </w:r>
      <w:r>
        <w:rPr>
          <w:rFonts w:ascii="Arial" w:hAnsi="Arial" w:cs="Arial"/>
        </w:rPr>
        <w:t xml:space="preserve">  Comparatively, there are large difference in weight and bone mineral content at 6-8 weeks in these two studies, along with inability in the Lauten study to distinguish fat from lean at this age.  Inadequate growth is described as&lt; 7 grams/day.</w:t>
      </w:r>
      <w:r>
        <w:rPr>
          <w:rFonts w:ascii="Arial" w:hAnsi="Arial" w:cs="Arial"/>
          <w:noProof/>
        </w:rPr>
        <w:t>[57]</w:t>
      </w:r>
      <w:r>
        <w:rPr>
          <w:rFonts w:ascii="Arial" w:hAnsi="Arial" w:cs="Arial"/>
        </w:rPr>
        <w:t xml:space="preserve">  The 6-7 week old kittens in Lauten’s study had average weight gains of 8.8 g/day, above what is considered deficient but still poor.  The bone-mineral differences may be due to software or positioning differences but seem exceedingly low in the Lauten study.  The level of fat at 8 weeks of age in Munday’s study is very low and not consistent with Kienzle’s previous carcass analysis of at least 17% body fat at birth.  Future studies are needed to further define normal bone, fat and lean developmental changes associated with growth in kittens.</w:t>
      </w:r>
    </w:p>
    <w:p w:rsidR="00330CF1" w:rsidRDefault="00330CF1" w:rsidP="0047119C">
      <w:pPr>
        <w:rPr>
          <w:rFonts w:ascii="Arial" w:hAnsi="Arial" w:cs="Arial"/>
        </w:rPr>
      </w:pPr>
    </w:p>
    <w:p w:rsidR="00330CF1" w:rsidRDefault="00330CF1" w:rsidP="0047119C">
      <w:pPr>
        <w:rPr>
          <w:rFonts w:ascii="Arial" w:hAnsi="Arial" w:cs="Arial"/>
        </w:rPr>
      </w:pPr>
    </w:p>
    <w:p w:rsidR="00330CF1" w:rsidRDefault="00330CF1" w:rsidP="0047119C">
      <w:pPr>
        <w:rPr>
          <w:rFonts w:ascii="Arial" w:hAnsi="Arial" w:cs="Arial"/>
        </w:rPr>
      </w:pPr>
    </w:p>
    <w:p w:rsidR="00330CF1" w:rsidRDefault="00330CF1" w:rsidP="0047119C">
      <w:pPr>
        <w:rPr>
          <w:rFonts w:ascii="Arial" w:hAnsi="Arial" w:cs="Arial"/>
        </w:rPr>
      </w:pPr>
    </w:p>
    <w:p w:rsidR="00330CF1" w:rsidRDefault="00330CF1" w:rsidP="0047119C">
      <w:pPr>
        <w:rPr>
          <w:rFonts w:ascii="Arial" w:hAnsi="Arial" w:cs="Arial"/>
        </w:rPr>
      </w:pPr>
    </w:p>
    <w:p w:rsidR="00330CF1" w:rsidRDefault="00330CF1" w:rsidP="0047119C">
      <w:pPr>
        <w:rPr>
          <w:rFonts w:ascii="Arial" w:hAnsi="Arial" w:cs="Arial"/>
        </w:rPr>
      </w:pPr>
    </w:p>
    <w:p w:rsidR="00330CF1" w:rsidRDefault="00330CF1" w:rsidP="0047119C">
      <w:pPr>
        <w:rPr>
          <w:rFonts w:ascii="Arial" w:hAnsi="Arial" w:cs="Arial"/>
        </w:rPr>
      </w:pPr>
    </w:p>
    <w:p w:rsidR="00330CF1" w:rsidRDefault="00330CF1" w:rsidP="0047119C">
      <w:pPr>
        <w:rPr>
          <w:rFonts w:ascii="Arial" w:hAnsi="Arial" w:cs="Arial"/>
        </w:rPr>
      </w:pPr>
    </w:p>
    <w:p w:rsidR="00330CF1" w:rsidRDefault="00330CF1" w:rsidP="0047119C">
      <w:pPr>
        <w:rPr>
          <w:rFonts w:ascii="Arial" w:hAnsi="Arial" w:cs="Arial"/>
        </w:rPr>
      </w:pPr>
    </w:p>
    <w:p w:rsidR="00330CF1" w:rsidRDefault="00330CF1" w:rsidP="00E3742B">
      <w:pPr>
        <w:jc w:val="center"/>
        <w:rPr>
          <w:rFonts w:ascii="Arial" w:hAnsi="Arial" w:cs="Arial"/>
        </w:rPr>
      </w:pPr>
      <w:r w:rsidRPr="00BA6850">
        <w:rPr>
          <w:rFonts w:ascii="Arial" w:hAnsi="Arial" w:cs="Arial"/>
          <w:b/>
        </w:rPr>
        <w:lastRenderedPageBreak/>
        <w:t>Table 1.3</w:t>
      </w:r>
      <w:r>
        <w:rPr>
          <w:rFonts w:ascii="Arial" w:hAnsi="Arial" w:cs="Arial"/>
        </w:rPr>
        <w:t xml:space="preserve"> Published body composition of kittens using </w:t>
      </w:r>
    </w:p>
    <w:p w:rsidR="00330CF1" w:rsidRDefault="00330CF1" w:rsidP="00E3742B">
      <w:pPr>
        <w:jc w:val="center"/>
        <w:rPr>
          <w:rFonts w:ascii="Arial" w:hAnsi="Arial" w:cs="Arial"/>
        </w:rPr>
      </w:pPr>
      <w:r>
        <w:rPr>
          <w:rFonts w:ascii="Arial" w:hAnsi="Arial" w:cs="Arial"/>
        </w:rPr>
        <w:t>dual-energy x-ray absorptiometry</w:t>
      </w:r>
    </w:p>
    <w:p w:rsidR="00330CF1" w:rsidRPr="0047119C" w:rsidRDefault="00330CF1" w:rsidP="00E3742B">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591"/>
        <w:gridCol w:w="1199"/>
        <w:gridCol w:w="1530"/>
        <w:gridCol w:w="1350"/>
        <w:gridCol w:w="990"/>
        <w:gridCol w:w="1080"/>
      </w:tblGrid>
      <w:tr w:rsidR="00330CF1" w:rsidRPr="003D7F70" w:rsidTr="00366410">
        <w:tc>
          <w:tcPr>
            <w:tcW w:w="1188" w:type="dxa"/>
          </w:tcPr>
          <w:p w:rsidR="00330CF1" w:rsidRDefault="00330CF1" w:rsidP="0047119C">
            <w:pPr>
              <w:rPr>
                <w:rFonts w:ascii="Arial" w:hAnsi="Arial" w:cs="Arial"/>
              </w:rPr>
            </w:pPr>
          </w:p>
          <w:p w:rsidR="00330CF1" w:rsidRPr="003D7F70" w:rsidRDefault="00330CF1" w:rsidP="0047119C">
            <w:pPr>
              <w:rPr>
                <w:rFonts w:ascii="Arial" w:hAnsi="Arial" w:cs="Arial"/>
              </w:rPr>
            </w:pPr>
            <w:r w:rsidRPr="003D7F70">
              <w:rPr>
                <w:rFonts w:ascii="Arial" w:hAnsi="Arial" w:cs="Arial"/>
              </w:rPr>
              <w:t>Study</w:t>
            </w:r>
          </w:p>
        </w:tc>
        <w:tc>
          <w:tcPr>
            <w:tcW w:w="1591" w:type="dxa"/>
          </w:tcPr>
          <w:p w:rsidR="00330CF1" w:rsidRPr="003D7F70" w:rsidRDefault="00330CF1" w:rsidP="003D7F70">
            <w:pPr>
              <w:jc w:val="center"/>
              <w:rPr>
                <w:rFonts w:ascii="Arial" w:hAnsi="Arial" w:cs="Arial"/>
              </w:rPr>
            </w:pPr>
            <w:r w:rsidRPr="003D7F70">
              <w:rPr>
                <w:rFonts w:ascii="Arial" w:hAnsi="Arial" w:cs="Arial"/>
              </w:rPr>
              <w:t>Age of kittens (wks)</w:t>
            </w:r>
          </w:p>
        </w:tc>
        <w:tc>
          <w:tcPr>
            <w:tcW w:w="1199" w:type="dxa"/>
          </w:tcPr>
          <w:p w:rsidR="00330CF1" w:rsidRPr="003D7F70" w:rsidRDefault="00330CF1" w:rsidP="003D7F70">
            <w:pPr>
              <w:jc w:val="center"/>
              <w:rPr>
                <w:rFonts w:ascii="Arial" w:hAnsi="Arial" w:cs="Arial"/>
              </w:rPr>
            </w:pPr>
            <w:r w:rsidRPr="003D7F70">
              <w:rPr>
                <w:rFonts w:ascii="Arial" w:hAnsi="Arial" w:cs="Arial"/>
              </w:rPr>
              <w:t>Number of kittens</w:t>
            </w:r>
          </w:p>
        </w:tc>
        <w:tc>
          <w:tcPr>
            <w:tcW w:w="1530" w:type="dxa"/>
          </w:tcPr>
          <w:p w:rsidR="00330CF1" w:rsidRPr="003D7F70" w:rsidRDefault="00330CF1" w:rsidP="003D7F70">
            <w:pPr>
              <w:jc w:val="center"/>
              <w:rPr>
                <w:rFonts w:ascii="Arial" w:hAnsi="Arial" w:cs="Arial"/>
              </w:rPr>
            </w:pPr>
            <w:r w:rsidRPr="003D7F70">
              <w:rPr>
                <w:rFonts w:ascii="Arial" w:hAnsi="Arial" w:cs="Arial"/>
              </w:rPr>
              <w:t>Total weight</w:t>
            </w:r>
          </w:p>
          <w:p w:rsidR="00330CF1" w:rsidRPr="003D7F70" w:rsidRDefault="00330CF1" w:rsidP="003D7F70">
            <w:pPr>
              <w:jc w:val="center"/>
              <w:rPr>
                <w:rFonts w:ascii="Arial" w:hAnsi="Arial" w:cs="Arial"/>
              </w:rPr>
            </w:pPr>
            <w:r>
              <w:rPr>
                <w:rFonts w:ascii="Arial" w:hAnsi="Arial" w:cs="Arial"/>
              </w:rPr>
              <w:t>(</w:t>
            </w:r>
            <w:r w:rsidRPr="003D7F70">
              <w:rPr>
                <w:rFonts w:ascii="Arial" w:hAnsi="Arial" w:cs="Arial"/>
              </w:rPr>
              <w:t>grams</w:t>
            </w:r>
            <w:r>
              <w:rPr>
                <w:rFonts w:ascii="Arial" w:hAnsi="Arial" w:cs="Arial"/>
              </w:rPr>
              <w:t>)</w:t>
            </w:r>
          </w:p>
        </w:tc>
        <w:tc>
          <w:tcPr>
            <w:tcW w:w="1350" w:type="dxa"/>
          </w:tcPr>
          <w:p w:rsidR="00330CF1" w:rsidRPr="003D7F70" w:rsidRDefault="00330CF1" w:rsidP="0034345C">
            <w:pPr>
              <w:jc w:val="center"/>
              <w:rPr>
                <w:rFonts w:ascii="Arial" w:hAnsi="Arial" w:cs="Arial"/>
              </w:rPr>
            </w:pPr>
            <w:r w:rsidRPr="003D7F70">
              <w:rPr>
                <w:rFonts w:ascii="Arial" w:hAnsi="Arial" w:cs="Arial"/>
              </w:rPr>
              <w:t xml:space="preserve">Bone Mineral </w:t>
            </w:r>
            <w:r>
              <w:rPr>
                <w:rFonts w:ascii="Arial" w:hAnsi="Arial" w:cs="Arial"/>
              </w:rPr>
              <w:t>%</w:t>
            </w:r>
          </w:p>
        </w:tc>
        <w:tc>
          <w:tcPr>
            <w:tcW w:w="990" w:type="dxa"/>
          </w:tcPr>
          <w:p w:rsidR="00330CF1" w:rsidRDefault="00330CF1" w:rsidP="003D7F70">
            <w:pPr>
              <w:jc w:val="center"/>
              <w:rPr>
                <w:rFonts w:ascii="Arial" w:hAnsi="Arial" w:cs="Arial"/>
              </w:rPr>
            </w:pPr>
          </w:p>
          <w:p w:rsidR="00330CF1" w:rsidRPr="003D7F70" w:rsidRDefault="00330CF1" w:rsidP="003D7F70">
            <w:pPr>
              <w:jc w:val="center"/>
              <w:rPr>
                <w:rFonts w:ascii="Arial" w:hAnsi="Arial" w:cs="Arial"/>
              </w:rPr>
            </w:pPr>
            <w:r w:rsidRPr="003D7F70">
              <w:rPr>
                <w:rFonts w:ascii="Arial" w:hAnsi="Arial" w:cs="Arial"/>
              </w:rPr>
              <w:t>Fat%</w:t>
            </w:r>
          </w:p>
        </w:tc>
        <w:tc>
          <w:tcPr>
            <w:tcW w:w="1080" w:type="dxa"/>
          </w:tcPr>
          <w:p w:rsidR="00330CF1" w:rsidRDefault="00330CF1" w:rsidP="003D7F70">
            <w:pPr>
              <w:jc w:val="center"/>
              <w:rPr>
                <w:rFonts w:ascii="Arial" w:hAnsi="Arial" w:cs="Arial"/>
              </w:rPr>
            </w:pPr>
          </w:p>
          <w:p w:rsidR="00330CF1" w:rsidRPr="003D7F70" w:rsidRDefault="00330CF1" w:rsidP="003D7F70">
            <w:pPr>
              <w:jc w:val="center"/>
              <w:rPr>
                <w:rFonts w:ascii="Arial" w:hAnsi="Arial" w:cs="Arial"/>
              </w:rPr>
            </w:pPr>
            <w:r w:rsidRPr="003D7F70">
              <w:rPr>
                <w:rFonts w:ascii="Arial" w:hAnsi="Arial" w:cs="Arial"/>
              </w:rPr>
              <w:t>Lean%</w:t>
            </w:r>
          </w:p>
        </w:tc>
      </w:tr>
      <w:tr w:rsidR="00330CF1" w:rsidRPr="003D7F70" w:rsidTr="00366410">
        <w:tc>
          <w:tcPr>
            <w:tcW w:w="1188" w:type="dxa"/>
          </w:tcPr>
          <w:p w:rsidR="00330CF1" w:rsidRPr="001518CF" w:rsidRDefault="00330CF1" w:rsidP="0047119C">
            <w:pPr>
              <w:rPr>
                <w:rFonts w:ascii="Arial" w:hAnsi="Arial" w:cs="Arial"/>
                <w:vertAlign w:val="superscript"/>
              </w:rPr>
            </w:pPr>
            <w:r w:rsidRPr="003D7F70">
              <w:rPr>
                <w:rFonts w:ascii="Arial" w:hAnsi="Arial" w:cs="Arial"/>
              </w:rPr>
              <w:t>Lauten</w:t>
            </w:r>
            <w:r>
              <w:rPr>
                <w:rFonts w:ascii="Arial" w:hAnsi="Arial" w:cs="Arial"/>
                <w:vertAlign w:val="superscript"/>
              </w:rPr>
              <w:t>1</w:t>
            </w:r>
          </w:p>
        </w:tc>
        <w:tc>
          <w:tcPr>
            <w:tcW w:w="1591" w:type="dxa"/>
          </w:tcPr>
          <w:p w:rsidR="00330CF1" w:rsidRPr="003D7F70" w:rsidRDefault="00330CF1" w:rsidP="003D7F70">
            <w:pPr>
              <w:jc w:val="center"/>
              <w:rPr>
                <w:rFonts w:ascii="Arial" w:hAnsi="Arial" w:cs="Arial"/>
              </w:rPr>
            </w:pPr>
            <w:r w:rsidRPr="003D7F70">
              <w:rPr>
                <w:rFonts w:ascii="Arial" w:hAnsi="Arial" w:cs="Arial"/>
              </w:rPr>
              <w:t>6-7</w:t>
            </w:r>
          </w:p>
        </w:tc>
        <w:tc>
          <w:tcPr>
            <w:tcW w:w="1199" w:type="dxa"/>
          </w:tcPr>
          <w:p w:rsidR="00330CF1" w:rsidRPr="003D7F70" w:rsidRDefault="00330CF1" w:rsidP="003D7F70">
            <w:pPr>
              <w:jc w:val="center"/>
              <w:rPr>
                <w:rFonts w:ascii="Arial" w:hAnsi="Arial" w:cs="Arial"/>
              </w:rPr>
            </w:pPr>
            <w:r w:rsidRPr="003D7F70">
              <w:rPr>
                <w:rFonts w:ascii="Arial" w:hAnsi="Arial" w:cs="Arial"/>
              </w:rPr>
              <w:t>7</w:t>
            </w:r>
          </w:p>
        </w:tc>
        <w:tc>
          <w:tcPr>
            <w:tcW w:w="1530" w:type="dxa"/>
          </w:tcPr>
          <w:p w:rsidR="00330CF1" w:rsidRPr="003D7F70" w:rsidRDefault="00330CF1" w:rsidP="003D7F70">
            <w:pPr>
              <w:jc w:val="center"/>
              <w:rPr>
                <w:rFonts w:ascii="Arial" w:hAnsi="Arial" w:cs="Arial"/>
              </w:rPr>
            </w:pPr>
            <w:r w:rsidRPr="003D7F70">
              <w:rPr>
                <w:rFonts w:ascii="Arial" w:hAnsi="Arial" w:cs="Arial"/>
              </w:rPr>
              <w:t>398.4</w:t>
            </w:r>
          </w:p>
        </w:tc>
        <w:tc>
          <w:tcPr>
            <w:tcW w:w="1350" w:type="dxa"/>
          </w:tcPr>
          <w:p w:rsidR="00330CF1" w:rsidRPr="003D7F70" w:rsidRDefault="00330CF1" w:rsidP="003D7F70">
            <w:pPr>
              <w:jc w:val="center"/>
              <w:rPr>
                <w:rFonts w:ascii="Arial" w:hAnsi="Arial" w:cs="Arial"/>
              </w:rPr>
            </w:pPr>
            <w:r w:rsidRPr="003D7F70">
              <w:rPr>
                <w:rFonts w:ascii="Arial" w:hAnsi="Arial" w:cs="Arial"/>
              </w:rPr>
              <w:t>0.62</w:t>
            </w:r>
          </w:p>
        </w:tc>
        <w:tc>
          <w:tcPr>
            <w:tcW w:w="2070" w:type="dxa"/>
            <w:gridSpan w:val="2"/>
          </w:tcPr>
          <w:p w:rsidR="00330CF1" w:rsidRPr="003D7F70" w:rsidRDefault="00330CF1" w:rsidP="003D7F70">
            <w:pPr>
              <w:jc w:val="center"/>
              <w:rPr>
                <w:rFonts w:ascii="Arial" w:hAnsi="Arial" w:cs="Arial"/>
              </w:rPr>
            </w:pPr>
            <w:r w:rsidRPr="003D7F70">
              <w:rPr>
                <w:rFonts w:ascii="Arial" w:hAnsi="Arial" w:cs="Arial"/>
              </w:rPr>
              <w:t>99.40 soft tissue*</w:t>
            </w:r>
          </w:p>
        </w:tc>
      </w:tr>
      <w:tr w:rsidR="00330CF1" w:rsidRPr="003D7F70" w:rsidTr="00366410">
        <w:tc>
          <w:tcPr>
            <w:tcW w:w="1188" w:type="dxa"/>
          </w:tcPr>
          <w:p w:rsidR="00330CF1" w:rsidRPr="003D7F70" w:rsidRDefault="00330CF1" w:rsidP="0047119C">
            <w:pPr>
              <w:rPr>
                <w:rFonts w:ascii="Arial" w:hAnsi="Arial" w:cs="Arial"/>
              </w:rPr>
            </w:pPr>
          </w:p>
        </w:tc>
        <w:tc>
          <w:tcPr>
            <w:tcW w:w="1591" w:type="dxa"/>
          </w:tcPr>
          <w:p w:rsidR="00330CF1" w:rsidRPr="003D7F70" w:rsidRDefault="00330CF1" w:rsidP="003D7F70">
            <w:pPr>
              <w:jc w:val="center"/>
              <w:rPr>
                <w:rFonts w:ascii="Arial" w:hAnsi="Arial" w:cs="Arial"/>
              </w:rPr>
            </w:pPr>
            <w:r w:rsidRPr="003D7F70">
              <w:rPr>
                <w:rFonts w:ascii="Arial" w:hAnsi="Arial" w:cs="Arial"/>
              </w:rPr>
              <w:t>16-20</w:t>
            </w:r>
          </w:p>
        </w:tc>
        <w:tc>
          <w:tcPr>
            <w:tcW w:w="1199" w:type="dxa"/>
          </w:tcPr>
          <w:p w:rsidR="00330CF1" w:rsidRPr="003D7F70" w:rsidRDefault="00330CF1" w:rsidP="003D7F70">
            <w:pPr>
              <w:jc w:val="center"/>
              <w:rPr>
                <w:rFonts w:ascii="Arial" w:hAnsi="Arial" w:cs="Arial"/>
              </w:rPr>
            </w:pPr>
            <w:r w:rsidRPr="003D7F70">
              <w:rPr>
                <w:rFonts w:ascii="Arial" w:hAnsi="Arial" w:cs="Arial"/>
              </w:rPr>
              <w:t>12</w:t>
            </w:r>
          </w:p>
        </w:tc>
        <w:tc>
          <w:tcPr>
            <w:tcW w:w="1530" w:type="dxa"/>
          </w:tcPr>
          <w:p w:rsidR="00330CF1" w:rsidRPr="003D7F70" w:rsidRDefault="00330CF1" w:rsidP="003D7F70">
            <w:pPr>
              <w:jc w:val="center"/>
              <w:rPr>
                <w:rFonts w:ascii="Arial" w:hAnsi="Arial" w:cs="Arial"/>
              </w:rPr>
            </w:pPr>
            <w:r w:rsidRPr="003D7F70">
              <w:rPr>
                <w:rFonts w:ascii="Arial" w:hAnsi="Arial" w:cs="Arial"/>
              </w:rPr>
              <w:t>2679.0</w:t>
            </w:r>
          </w:p>
        </w:tc>
        <w:tc>
          <w:tcPr>
            <w:tcW w:w="1350" w:type="dxa"/>
          </w:tcPr>
          <w:p w:rsidR="00330CF1" w:rsidRPr="003D7F70" w:rsidRDefault="00330CF1" w:rsidP="003D7F70">
            <w:pPr>
              <w:jc w:val="center"/>
              <w:rPr>
                <w:rFonts w:ascii="Arial" w:hAnsi="Arial" w:cs="Arial"/>
              </w:rPr>
            </w:pPr>
            <w:r w:rsidRPr="003D7F70">
              <w:rPr>
                <w:rFonts w:ascii="Arial" w:hAnsi="Arial" w:cs="Arial"/>
              </w:rPr>
              <w:t>2.79</w:t>
            </w:r>
          </w:p>
        </w:tc>
        <w:tc>
          <w:tcPr>
            <w:tcW w:w="990" w:type="dxa"/>
          </w:tcPr>
          <w:p w:rsidR="00330CF1" w:rsidRPr="003D7F70" w:rsidRDefault="00330CF1" w:rsidP="003D7F70">
            <w:pPr>
              <w:jc w:val="center"/>
              <w:rPr>
                <w:rFonts w:ascii="Arial" w:hAnsi="Arial" w:cs="Arial"/>
              </w:rPr>
            </w:pPr>
            <w:r w:rsidRPr="003D7F70">
              <w:rPr>
                <w:rFonts w:ascii="Arial" w:hAnsi="Arial" w:cs="Arial"/>
              </w:rPr>
              <w:t>16.1</w:t>
            </w:r>
          </w:p>
        </w:tc>
        <w:tc>
          <w:tcPr>
            <w:tcW w:w="1080" w:type="dxa"/>
          </w:tcPr>
          <w:p w:rsidR="00330CF1" w:rsidRPr="003D7F70" w:rsidRDefault="00330CF1" w:rsidP="003D7F70">
            <w:pPr>
              <w:jc w:val="center"/>
              <w:rPr>
                <w:rFonts w:ascii="Arial" w:hAnsi="Arial" w:cs="Arial"/>
              </w:rPr>
            </w:pPr>
            <w:r w:rsidRPr="003D7F70">
              <w:rPr>
                <w:rFonts w:ascii="Arial" w:hAnsi="Arial" w:cs="Arial"/>
              </w:rPr>
              <w:t>81.1</w:t>
            </w:r>
          </w:p>
        </w:tc>
      </w:tr>
      <w:tr w:rsidR="00330CF1" w:rsidRPr="003D7F70" w:rsidTr="00366410">
        <w:tc>
          <w:tcPr>
            <w:tcW w:w="1188" w:type="dxa"/>
          </w:tcPr>
          <w:p w:rsidR="00330CF1" w:rsidRPr="003D7F70" w:rsidRDefault="00330CF1" w:rsidP="0047119C">
            <w:pPr>
              <w:rPr>
                <w:rFonts w:ascii="Arial" w:hAnsi="Arial" w:cs="Arial"/>
              </w:rPr>
            </w:pPr>
          </w:p>
        </w:tc>
        <w:tc>
          <w:tcPr>
            <w:tcW w:w="1591" w:type="dxa"/>
          </w:tcPr>
          <w:p w:rsidR="00330CF1" w:rsidRPr="003D7F70" w:rsidRDefault="00330CF1" w:rsidP="003D7F70">
            <w:pPr>
              <w:jc w:val="center"/>
              <w:rPr>
                <w:rFonts w:ascii="Arial" w:hAnsi="Arial" w:cs="Arial"/>
              </w:rPr>
            </w:pPr>
            <w:r w:rsidRPr="003D7F70">
              <w:rPr>
                <w:rFonts w:ascii="Arial" w:hAnsi="Arial" w:cs="Arial"/>
              </w:rPr>
              <w:t>&gt;6 months</w:t>
            </w:r>
          </w:p>
        </w:tc>
        <w:tc>
          <w:tcPr>
            <w:tcW w:w="1199" w:type="dxa"/>
          </w:tcPr>
          <w:p w:rsidR="00330CF1" w:rsidRPr="003D7F70" w:rsidRDefault="00330CF1" w:rsidP="003D7F70">
            <w:pPr>
              <w:jc w:val="center"/>
              <w:rPr>
                <w:rFonts w:ascii="Arial" w:hAnsi="Arial" w:cs="Arial"/>
              </w:rPr>
            </w:pPr>
            <w:r w:rsidRPr="003D7F70">
              <w:rPr>
                <w:rFonts w:ascii="Arial" w:hAnsi="Arial" w:cs="Arial"/>
              </w:rPr>
              <w:t>14</w:t>
            </w:r>
          </w:p>
        </w:tc>
        <w:tc>
          <w:tcPr>
            <w:tcW w:w="1530" w:type="dxa"/>
          </w:tcPr>
          <w:p w:rsidR="00330CF1" w:rsidRPr="003D7F70" w:rsidRDefault="00330CF1" w:rsidP="003D7F70">
            <w:pPr>
              <w:jc w:val="center"/>
              <w:rPr>
                <w:rFonts w:ascii="Arial" w:hAnsi="Arial" w:cs="Arial"/>
              </w:rPr>
            </w:pPr>
            <w:r w:rsidRPr="003D7F70">
              <w:rPr>
                <w:rFonts w:ascii="Arial" w:hAnsi="Arial" w:cs="Arial"/>
              </w:rPr>
              <w:t>3502</w:t>
            </w:r>
          </w:p>
        </w:tc>
        <w:tc>
          <w:tcPr>
            <w:tcW w:w="1350" w:type="dxa"/>
          </w:tcPr>
          <w:p w:rsidR="00330CF1" w:rsidRPr="003D7F70" w:rsidRDefault="00330CF1" w:rsidP="003D7F70">
            <w:pPr>
              <w:jc w:val="center"/>
              <w:rPr>
                <w:rFonts w:ascii="Arial" w:hAnsi="Arial" w:cs="Arial"/>
              </w:rPr>
            </w:pPr>
            <w:r w:rsidRPr="003D7F70">
              <w:rPr>
                <w:rFonts w:ascii="Arial" w:hAnsi="Arial" w:cs="Arial"/>
              </w:rPr>
              <w:t>2.70</w:t>
            </w:r>
          </w:p>
        </w:tc>
        <w:tc>
          <w:tcPr>
            <w:tcW w:w="990" w:type="dxa"/>
          </w:tcPr>
          <w:p w:rsidR="00330CF1" w:rsidRPr="003D7F70" w:rsidRDefault="00330CF1" w:rsidP="003D7F70">
            <w:pPr>
              <w:jc w:val="center"/>
              <w:rPr>
                <w:rFonts w:ascii="Arial" w:hAnsi="Arial" w:cs="Arial"/>
              </w:rPr>
            </w:pPr>
            <w:r w:rsidRPr="003D7F70">
              <w:rPr>
                <w:rFonts w:ascii="Arial" w:hAnsi="Arial" w:cs="Arial"/>
              </w:rPr>
              <w:t>18.7</w:t>
            </w:r>
          </w:p>
        </w:tc>
        <w:tc>
          <w:tcPr>
            <w:tcW w:w="1080" w:type="dxa"/>
          </w:tcPr>
          <w:p w:rsidR="00330CF1" w:rsidRPr="003D7F70" w:rsidRDefault="00330CF1" w:rsidP="003D7F70">
            <w:pPr>
              <w:jc w:val="center"/>
              <w:rPr>
                <w:rFonts w:ascii="Arial" w:hAnsi="Arial" w:cs="Arial"/>
              </w:rPr>
            </w:pPr>
            <w:r w:rsidRPr="003D7F70">
              <w:rPr>
                <w:rFonts w:ascii="Arial" w:hAnsi="Arial" w:cs="Arial"/>
              </w:rPr>
              <w:t>78.6</w:t>
            </w:r>
          </w:p>
        </w:tc>
      </w:tr>
      <w:tr w:rsidR="00330CF1" w:rsidRPr="003D7F70" w:rsidTr="00366410">
        <w:tc>
          <w:tcPr>
            <w:tcW w:w="1188" w:type="dxa"/>
          </w:tcPr>
          <w:p w:rsidR="00330CF1" w:rsidRPr="003D7F70" w:rsidRDefault="00330CF1" w:rsidP="0047119C">
            <w:pPr>
              <w:rPr>
                <w:rFonts w:ascii="Arial" w:hAnsi="Arial" w:cs="Arial"/>
              </w:rPr>
            </w:pPr>
          </w:p>
        </w:tc>
        <w:tc>
          <w:tcPr>
            <w:tcW w:w="1591" w:type="dxa"/>
          </w:tcPr>
          <w:p w:rsidR="00330CF1" w:rsidRPr="003D7F70" w:rsidRDefault="00330CF1" w:rsidP="003D7F70">
            <w:pPr>
              <w:jc w:val="center"/>
              <w:rPr>
                <w:rFonts w:ascii="Arial" w:hAnsi="Arial" w:cs="Arial"/>
              </w:rPr>
            </w:pPr>
          </w:p>
        </w:tc>
        <w:tc>
          <w:tcPr>
            <w:tcW w:w="1199" w:type="dxa"/>
          </w:tcPr>
          <w:p w:rsidR="00330CF1" w:rsidRPr="003D7F70" w:rsidRDefault="00330CF1" w:rsidP="003D7F70">
            <w:pPr>
              <w:jc w:val="center"/>
              <w:rPr>
                <w:rFonts w:ascii="Arial" w:hAnsi="Arial" w:cs="Arial"/>
              </w:rPr>
            </w:pPr>
          </w:p>
        </w:tc>
        <w:tc>
          <w:tcPr>
            <w:tcW w:w="1530" w:type="dxa"/>
          </w:tcPr>
          <w:p w:rsidR="00330CF1" w:rsidRPr="003D7F70" w:rsidRDefault="00330CF1" w:rsidP="003D7F70">
            <w:pPr>
              <w:jc w:val="center"/>
              <w:rPr>
                <w:rFonts w:ascii="Arial" w:hAnsi="Arial" w:cs="Arial"/>
              </w:rPr>
            </w:pPr>
          </w:p>
        </w:tc>
        <w:tc>
          <w:tcPr>
            <w:tcW w:w="1350" w:type="dxa"/>
          </w:tcPr>
          <w:p w:rsidR="00330CF1" w:rsidRPr="003D7F70" w:rsidRDefault="00330CF1" w:rsidP="003D7F70">
            <w:pPr>
              <w:jc w:val="center"/>
              <w:rPr>
                <w:rFonts w:ascii="Arial" w:hAnsi="Arial" w:cs="Arial"/>
              </w:rPr>
            </w:pPr>
          </w:p>
        </w:tc>
        <w:tc>
          <w:tcPr>
            <w:tcW w:w="990" w:type="dxa"/>
          </w:tcPr>
          <w:p w:rsidR="00330CF1" w:rsidRPr="003D7F70" w:rsidRDefault="00330CF1" w:rsidP="003D7F70">
            <w:pPr>
              <w:jc w:val="center"/>
              <w:rPr>
                <w:rFonts w:ascii="Arial" w:hAnsi="Arial" w:cs="Arial"/>
              </w:rPr>
            </w:pPr>
          </w:p>
        </w:tc>
        <w:tc>
          <w:tcPr>
            <w:tcW w:w="1080" w:type="dxa"/>
          </w:tcPr>
          <w:p w:rsidR="00330CF1" w:rsidRPr="003D7F70" w:rsidRDefault="00330CF1" w:rsidP="003D7F70">
            <w:pPr>
              <w:jc w:val="center"/>
              <w:rPr>
                <w:rFonts w:ascii="Arial" w:hAnsi="Arial" w:cs="Arial"/>
              </w:rPr>
            </w:pPr>
          </w:p>
        </w:tc>
      </w:tr>
      <w:tr w:rsidR="00330CF1" w:rsidRPr="003D7F70" w:rsidTr="00366410">
        <w:tc>
          <w:tcPr>
            <w:tcW w:w="1188" w:type="dxa"/>
          </w:tcPr>
          <w:p w:rsidR="00330CF1" w:rsidRPr="001518CF" w:rsidRDefault="00330CF1" w:rsidP="0047119C">
            <w:pPr>
              <w:rPr>
                <w:rFonts w:ascii="Arial" w:hAnsi="Arial" w:cs="Arial"/>
                <w:vertAlign w:val="superscript"/>
              </w:rPr>
            </w:pPr>
            <w:r w:rsidRPr="003D7F70">
              <w:rPr>
                <w:rFonts w:ascii="Arial" w:hAnsi="Arial" w:cs="Arial"/>
              </w:rPr>
              <w:t>Munday</w:t>
            </w:r>
            <w:r>
              <w:rPr>
                <w:rFonts w:ascii="Arial" w:hAnsi="Arial" w:cs="Arial"/>
                <w:vertAlign w:val="superscript"/>
              </w:rPr>
              <w:t>2</w:t>
            </w:r>
          </w:p>
        </w:tc>
        <w:tc>
          <w:tcPr>
            <w:tcW w:w="1591" w:type="dxa"/>
          </w:tcPr>
          <w:p w:rsidR="00330CF1" w:rsidRPr="003D7F70" w:rsidRDefault="00330CF1" w:rsidP="003D7F70">
            <w:pPr>
              <w:jc w:val="center"/>
              <w:rPr>
                <w:rFonts w:ascii="Arial" w:hAnsi="Arial" w:cs="Arial"/>
              </w:rPr>
            </w:pPr>
            <w:r w:rsidRPr="003D7F70">
              <w:rPr>
                <w:rFonts w:ascii="Arial" w:hAnsi="Arial" w:cs="Arial"/>
              </w:rPr>
              <w:t>8</w:t>
            </w:r>
          </w:p>
        </w:tc>
        <w:tc>
          <w:tcPr>
            <w:tcW w:w="1199" w:type="dxa"/>
          </w:tcPr>
          <w:p w:rsidR="00330CF1" w:rsidRPr="003D7F70" w:rsidRDefault="00330CF1" w:rsidP="003D7F70">
            <w:pPr>
              <w:jc w:val="center"/>
              <w:rPr>
                <w:rFonts w:ascii="Arial" w:hAnsi="Arial" w:cs="Arial"/>
              </w:rPr>
            </w:pPr>
            <w:r w:rsidRPr="003D7F70">
              <w:rPr>
                <w:rFonts w:ascii="Arial" w:hAnsi="Arial" w:cs="Arial"/>
              </w:rPr>
              <w:t>55</w:t>
            </w:r>
          </w:p>
        </w:tc>
        <w:tc>
          <w:tcPr>
            <w:tcW w:w="1530" w:type="dxa"/>
          </w:tcPr>
          <w:p w:rsidR="00330CF1" w:rsidRPr="003D7F70" w:rsidRDefault="00330CF1" w:rsidP="003D7F70">
            <w:pPr>
              <w:jc w:val="center"/>
              <w:rPr>
                <w:rFonts w:ascii="Arial" w:hAnsi="Arial" w:cs="Arial"/>
              </w:rPr>
            </w:pPr>
            <w:r w:rsidRPr="003D7F70">
              <w:rPr>
                <w:rFonts w:ascii="Arial" w:hAnsi="Arial" w:cs="Arial"/>
              </w:rPr>
              <w:t>820</w:t>
            </w:r>
          </w:p>
        </w:tc>
        <w:tc>
          <w:tcPr>
            <w:tcW w:w="1350" w:type="dxa"/>
          </w:tcPr>
          <w:p w:rsidR="00330CF1" w:rsidRPr="003D7F70" w:rsidRDefault="00330CF1" w:rsidP="003D7F70">
            <w:pPr>
              <w:jc w:val="center"/>
              <w:rPr>
                <w:rFonts w:ascii="Arial" w:hAnsi="Arial" w:cs="Arial"/>
              </w:rPr>
            </w:pPr>
            <w:r w:rsidRPr="003D7F70">
              <w:rPr>
                <w:rFonts w:ascii="Arial" w:hAnsi="Arial" w:cs="Arial"/>
              </w:rPr>
              <w:t>2.63</w:t>
            </w:r>
          </w:p>
        </w:tc>
        <w:tc>
          <w:tcPr>
            <w:tcW w:w="990" w:type="dxa"/>
          </w:tcPr>
          <w:p w:rsidR="00330CF1" w:rsidRPr="003D7F70" w:rsidRDefault="00330CF1" w:rsidP="003D7F70">
            <w:pPr>
              <w:jc w:val="center"/>
              <w:rPr>
                <w:rFonts w:ascii="Arial" w:hAnsi="Arial" w:cs="Arial"/>
              </w:rPr>
            </w:pPr>
            <w:r w:rsidRPr="003D7F70">
              <w:rPr>
                <w:rFonts w:ascii="Arial" w:hAnsi="Arial" w:cs="Arial"/>
              </w:rPr>
              <w:t>5.5</w:t>
            </w:r>
          </w:p>
        </w:tc>
        <w:tc>
          <w:tcPr>
            <w:tcW w:w="1080" w:type="dxa"/>
          </w:tcPr>
          <w:p w:rsidR="00330CF1" w:rsidRPr="003D7F70" w:rsidRDefault="00330CF1" w:rsidP="003D7F70">
            <w:pPr>
              <w:jc w:val="center"/>
              <w:rPr>
                <w:rFonts w:ascii="Arial" w:hAnsi="Arial" w:cs="Arial"/>
              </w:rPr>
            </w:pPr>
            <w:r w:rsidRPr="003D7F70">
              <w:rPr>
                <w:rFonts w:ascii="Arial" w:hAnsi="Arial" w:cs="Arial"/>
              </w:rPr>
              <w:t>92.32</w:t>
            </w:r>
          </w:p>
        </w:tc>
      </w:tr>
      <w:tr w:rsidR="00330CF1" w:rsidRPr="003D7F70" w:rsidTr="00366410">
        <w:tc>
          <w:tcPr>
            <w:tcW w:w="1188" w:type="dxa"/>
          </w:tcPr>
          <w:p w:rsidR="00330CF1" w:rsidRPr="003D7F70" w:rsidRDefault="00330CF1" w:rsidP="0047119C">
            <w:pPr>
              <w:rPr>
                <w:rFonts w:ascii="Arial" w:hAnsi="Arial" w:cs="Arial"/>
              </w:rPr>
            </w:pPr>
          </w:p>
        </w:tc>
        <w:tc>
          <w:tcPr>
            <w:tcW w:w="1591" w:type="dxa"/>
          </w:tcPr>
          <w:p w:rsidR="00330CF1" w:rsidRPr="003D7F70" w:rsidRDefault="00330CF1" w:rsidP="003D7F70">
            <w:pPr>
              <w:jc w:val="center"/>
              <w:rPr>
                <w:rFonts w:ascii="Arial" w:hAnsi="Arial" w:cs="Arial"/>
              </w:rPr>
            </w:pPr>
            <w:r w:rsidRPr="003D7F70">
              <w:rPr>
                <w:rFonts w:ascii="Arial" w:hAnsi="Arial" w:cs="Arial"/>
              </w:rPr>
              <w:t>18</w:t>
            </w:r>
          </w:p>
        </w:tc>
        <w:tc>
          <w:tcPr>
            <w:tcW w:w="1199" w:type="dxa"/>
          </w:tcPr>
          <w:p w:rsidR="00330CF1" w:rsidRPr="003D7F70" w:rsidRDefault="00330CF1" w:rsidP="003D7F70">
            <w:pPr>
              <w:jc w:val="center"/>
              <w:rPr>
                <w:rFonts w:ascii="Arial" w:hAnsi="Arial" w:cs="Arial"/>
              </w:rPr>
            </w:pPr>
            <w:r w:rsidRPr="003D7F70">
              <w:rPr>
                <w:rFonts w:ascii="Arial" w:hAnsi="Arial" w:cs="Arial"/>
              </w:rPr>
              <w:t>24</w:t>
            </w:r>
          </w:p>
        </w:tc>
        <w:tc>
          <w:tcPr>
            <w:tcW w:w="1530" w:type="dxa"/>
          </w:tcPr>
          <w:p w:rsidR="00330CF1" w:rsidRPr="003D7F70" w:rsidRDefault="00330CF1" w:rsidP="003D7F70">
            <w:pPr>
              <w:jc w:val="center"/>
              <w:rPr>
                <w:rFonts w:ascii="Arial" w:hAnsi="Arial" w:cs="Arial"/>
              </w:rPr>
            </w:pPr>
            <w:r w:rsidRPr="003D7F70">
              <w:rPr>
                <w:rFonts w:ascii="Arial" w:hAnsi="Arial" w:cs="Arial"/>
              </w:rPr>
              <w:t>1790</w:t>
            </w:r>
          </w:p>
        </w:tc>
        <w:tc>
          <w:tcPr>
            <w:tcW w:w="1350" w:type="dxa"/>
          </w:tcPr>
          <w:p w:rsidR="00330CF1" w:rsidRPr="003D7F70" w:rsidRDefault="00330CF1" w:rsidP="003D7F70">
            <w:pPr>
              <w:jc w:val="center"/>
              <w:rPr>
                <w:rFonts w:ascii="Arial" w:hAnsi="Arial" w:cs="Arial"/>
              </w:rPr>
            </w:pPr>
            <w:r w:rsidRPr="003D7F70">
              <w:rPr>
                <w:rFonts w:ascii="Arial" w:hAnsi="Arial" w:cs="Arial"/>
              </w:rPr>
              <w:t>2.07</w:t>
            </w:r>
          </w:p>
        </w:tc>
        <w:tc>
          <w:tcPr>
            <w:tcW w:w="990" w:type="dxa"/>
          </w:tcPr>
          <w:p w:rsidR="00330CF1" w:rsidRPr="003D7F70" w:rsidRDefault="00330CF1" w:rsidP="003D7F70">
            <w:pPr>
              <w:jc w:val="center"/>
              <w:rPr>
                <w:rFonts w:ascii="Arial" w:hAnsi="Arial" w:cs="Arial"/>
              </w:rPr>
            </w:pPr>
            <w:r w:rsidRPr="003D7F70">
              <w:rPr>
                <w:rFonts w:ascii="Arial" w:hAnsi="Arial" w:cs="Arial"/>
              </w:rPr>
              <w:t>12.94</w:t>
            </w:r>
          </w:p>
        </w:tc>
        <w:tc>
          <w:tcPr>
            <w:tcW w:w="1080" w:type="dxa"/>
          </w:tcPr>
          <w:p w:rsidR="00330CF1" w:rsidRPr="003D7F70" w:rsidRDefault="00330CF1" w:rsidP="003D7F70">
            <w:pPr>
              <w:jc w:val="center"/>
              <w:rPr>
                <w:rFonts w:ascii="Arial" w:hAnsi="Arial" w:cs="Arial"/>
              </w:rPr>
            </w:pPr>
            <w:r w:rsidRPr="003D7F70">
              <w:rPr>
                <w:rFonts w:ascii="Arial" w:hAnsi="Arial" w:cs="Arial"/>
              </w:rPr>
              <w:t>79.44</w:t>
            </w:r>
          </w:p>
        </w:tc>
      </w:tr>
      <w:tr w:rsidR="00330CF1" w:rsidRPr="003D7F70" w:rsidTr="00366410">
        <w:tc>
          <w:tcPr>
            <w:tcW w:w="1188" w:type="dxa"/>
          </w:tcPr>
          <w:p w:rsidR="00330CF1" w:rsidRPr="003D7F70" w:rsidRDefault="00330CF1" w:rsidP="0047119C">
            <w:pPr>
              <w:rPr>
                <w:rFonts w:ascii="Arial" w:hAnsi="Arial" w:cs="Arial"/>
              </w:rPr>
            </w:pPr>
          </w:p>
        </w:tc>
        <w:tc>
          <w:tcPr>
            <w:tcW w:w="1591" w:type="dxa"/>
          </w:tcPr>
          <w:p w:rsidR="00330CF1" w:rsidRPr="003D7F70" w:rsidRDefault="00330CF1" w:rsidP="003D7F70">
            <w:pPr>
              <w:jc w:val="center"/>
              <w:rPr>
                <w:rFonts w:ascii="Arial" w:hAnsi="Arial" w:cs="Arial"/>
              </w:rPr>
            </w:pPr>
            <w:r w:rsidRPr="003D7F70">
              <w:rPr>
                <w:rFonts w:ascii="Arial" w:hAnsi="Arial" w:cs="Arial"/>
              </w:rPr>
              <w:t>&gt;6 month</w:t>
            </w:r>
          </w:p>
        </w:tc>
        <w:tc>
          <w:tcPr>
            <w:tcW w:w="1199" w:type="dxa"/>
          </w:tcPr>
          <w:p w:rsidR="00330CF1" w:rsidRPr="003D7F70" w:rsidRDefault="00330CF1" w:rsidP="003D7F70">
            <w:pPr>
              <w:jc w:val="center"/>
              <w:rPr>
                <w:rFonts w:ascii="Arial" w:hAnsi="Arial" w:cs="Arial"/>
              </w:rPr>
            </w:pPr>
            <w:r w:rsidRPr="003D7F70">
              <w:rPr>
                <w:rFonts w:ascii="Arial" w:hAnsi="Arial" w:cs="Arial"/>
              </w:rPr>
              <w:t>49</w:t>
            </w:r>
          </w:p>
        </w:tc>
        <w:tc>
          <w:tcPr>
            <w:tcW w:w="1530" w:type="dxa"/>
          </w:tcPr>
          <w:p w:rsidR="00330CF1" w:rsidRPr="003D7F70" w:rsidRDefault="00330CF1" w:rsidP="003D7F70">
            <w:pPr>
              <w:jc w:val="center"/>
              <w:rPr>
                <w:rFonts w:ascii="Arial" w:hAnsi="Arial" w:cs="Arial"/>
              </w:rPr>
            </w:pPr>
            <w:r w:rsidRPr="003D7F70">
              <w:rPr>
                <w:rFonts w:ascii="Arial" w:hAnsi="Arial" w:cs="Arial"/>
              </w:rPr>
              <w:t>4300</w:t>
            </w:r>
          </w:p>
        </w:tc>
        <w:tc>
          <w:tcPr>
            <w:tcW w:w="1350" w:type="dxa"/>
          </w:tcPr>
          <w:p w:rsidR="00330CF1" w:rsidRPr="003D7F70" w:rsidRDefault="00330CF1" w:rsidP="003D7F70">
            <w:pPr>
              <w:jc w:val="center"/>
              <w:rPr>
                <w:rFonts w:ascii="Arial" w:hAnsi="Arial" w:cs="Arial"/>
              </w:rPr>
            </w:pPr>
            <w:r w:rsidRPr="003D7F70">
              <w:rPr>
                <w:rFonts w:ascii="Arial" w:hAnsi="Arial" w:cs="Arial"/>
              </w:rPr>
              <w:t>3.05</w:t>
            </w:r>
          </w:p>
        </w:tc>
        <w:tc>
          <w:tcPr>
            <w:tcW w:w="990" w:type="dxa"/>
          </w:tcPr>
          <w:p w:rsidR="00330CF1" w:rsidRPr="003D7F70" w:rsidRDefault="00330CF1" w:rsidP="003D7F70">
            <w:pPr>
              <w:jc w:val="center"/>
              <w:rPr>
                <w:rFonts w:ascii="Arial" w:hAnsi="Arial" w:cs="Arial"/>
              </w:rPr>
            </w:pPr>
            <w:r w:rsidRPr="003D7F70">
              <w:rPr>
                <w:rFonts w:ascii="Arial" w:hAnsi="Arial" w:cs="Arial"/>
              </w:rPr>
              <w:t>24.36</w:t>
            </w:r>
          </w:p>
        </w:tc>
        <w:tc>
          <w:tcPr>
            <w:tcW w:w="1080" w:type="dxa"/>
          </w:tcPr>
          <w:p w:rsidR="00330CF1" w:rsidRPr="003D7F70" w:rsidRDefault="00330CF1" w:rsidP="003D7F70">
            <w:pPr>
              <w:jc w:val="center"/>
              <w:rPr>
                <w:rFonts w:ascii="Arial" w:hAnsi="Arial" w:cs="Arial"/>
              </w:rPr>
            </w:pPr>
            <w:r w:rsidRPr="003D7F70">
              <w:rPr>
                <w:rFonts w:ascii="Arial" w:hAnsi="Arial" w:cs="Arial"/>
              </w:rPr>
              <w:t>69.91</w:t>
            </w:r>
          </w:p>
        </w:tc>
      </w:tr>
    </w:tbl>
    <w:p w:rsidR="00330CF1" w:rsidRPr="00E3742B" w:rsidRDefault="00330CF1" w:rsidP="0047119C">
      <w:pPr>
        <w:rPr>
          <w:rFonts w:ascii="Arial" w:hAnsi="Arial" w:cs="Arial"/>
          <w:sz w:val="22"/>
          <w:szCs w:val="22"/>
        </w:rPr>
      </w:pPr>
      <w:r w:rsidRPr="00E3742B">
        <w:rPr>
          <w:rFonts w:ascii="Arial" w:hAnsi="Arial" w:cs="Arial"/>
          <w:sz w:val="22"/>
          <w:szCs w:val="22"/>
        </w:rPr>
        <w:t>*NOTE: Unable to separate fat from lean analysis due to software limitations</w:t>
      </w:r>
    </w:p>
    <w:p w:rsidR="00330CF1" w:rsidRPr="00BB15AF" w:rsidRDefault="00330CF1" w:rsidP="00530C2E">
      <w:pPr>
        <w:rPr>
          <w:rFonts w:ascii="Arial" w:hAnsi="Arial" w:cs="Arial"/>
          <w:sz w:val="22"/>
          <w:szCs w:val="22"/>
        </w:rPr>
      </w:pPr>
      <w:r w:rsidRPr="00EF64DA">
        <w:rPr>
          <w:rFonts w:ascii="Arial" w:hAnsi="Arial" w:cs="Arial"/>
          <w:b/>
          <w:i/>
          <w:sz w:val="22"/>
          <w:szCs w:val="22"/>
        </w:rPr>
        <w:t>Sources</w:t>
      </w:r>
      <w:r w:rsidRPr="00E3742B">
        <w:rPr>
          <w:rFonts w:ascii="Arial" w:hAnsi="Arial" w:cs="Arial"/>
          <w:sz w:val="22"/>
          <w:szCs w:val="22"/>
        </w:rPr>
        <w:t>:</w:t>
      </w:r>
      <w:r>
        <w:rPr>
          <w:rFonts w:ascii="Arial" w:hAnsi="Arial" w:cs="Arial"/>
          <w:sz w:val="22"/>
          <w:szCs w:val="22"/>
        </w:rPr>
        <w:t xml:space="preserve">1. Data from Lauten, et al. 2000; 2. Munday, et al. </w:t>
      </w:r>
      <w:r w:rsidRPr="00E3742B">
        <w:rPr>
          <w:rFonts w:ascii="Arial" w:hAnsi="Arial" w:cs="Arial"/>
          <w:sz w:val="22"/>
          <w:szCs w:val="22"/>
        </w:rPr>
        <w:t xml:space="preserve">1994.    </w:t>
      </w:r>
      <w:bookmarkStart w:id="10" w:name="_Toc305485837"/>
    </w:p>
    <w:p w:rsidR="00330CF1" w:rsidRDefault="00330CF1" w:rsidP="00530C2E">
      <w:pPr>
        <w:rPr>
          <w:rFonts w:ascii="Arial" w:hAnsi="Arial" w:cs="Arial"/>
          <w:b/>
          <w:i/>
        </w:rPr>
      </w:pPr>
    </w:p>
    <w:p w:rsidR="00330CF1" w:rsidRDefault="00330CF1" w:rsidP="00530C2E">
      <w:pPr>
        <w:rPr>
          <w:rFonts w:ascii="Arial" w:hAnsi="Arial" w:cs="Arial"/>
          <w:b/>
          <w:i/>
        </w:rPr>
      </w:pPr>
    </w:p>
    <w:p w:rsidR="00330CF1" w:rsidRDefault="00330CF1" w:rsidP="00530C2E">
      <w:pPr>
        <w:rPr>
          <w:rFonts w:ascii="Arial" w:hAnsi="Arial" w:cs="Arial"/>
          <w:b/>
          <w:i/>
        </w:rPr>
      </w:pPr>
    </w:p>
    <w:p w:rsidR="00330CF1" w:rsidRPr="00530C2E" w:rsidRDefault="00330CF1" w:rsidP="00530C2E">
      <w:pPr>
        <w:rPr>
          <w:rFonts w:ascii="Arial" w:hAnsi="Arial" w:cs="Arial"/>
          <w:b/>
          <w:i/>
        </w:rPr>
      </w:pPr>
      <w:r w:rsidRPr="00530C2E">
        <w:rPr>
          <w:rFonts w:ascii="Arial" w:hAnsi="Arial" w:cs="Arial"/>
          <w:b/>
          <w:i/>
        </w:rPr>
        <w:t xml:space="preserve">Growth and </w:t>
      </w:r>
      <w:r>
        <w:rPr>
          <w:rFonts w:ascii="Arial" w:hAnsi="Arial" w:cs="Arial"/>
          <w:b/>
          <w:i/>
        </w:rPr>
        <w:t>d</w:t>
      </w:r>
      <w:r w:rsidRPr="00530C2E">
        <w:rPr>
          <w:rFonts w:ascii="Arial" w:hAnsi="Arial" w:cs="Arial"/>
          <w:b/>
          <w:i/>
        </w:rPr>
        <w:t xml:space="preserve">evelopment of </w:t>
      </w:r>
      <w:r>
        <w:rPr>
          <w:rFonts w:ascii="Arial" w:hAnsi="Arial" w:cs="Arial"/>
          <w:b/>
          <w:i/>
        </w:rPr>
        <w:t>intestinal</w:t>
      </w:r>
      <w:r w:rsidRPr="00530C2E">
        <w:rPr>
          <w:rFonts w:ascii="Arial" w:hAnsi="Arial" w:cs="Arial"/>
          <w:b/>
          <w:i/>
        </w:rPr>
        <w:t xml:space="preserve"> and </w:t>
      </w:r>
      <w:r>
        <w:rPr>
          <w:rFonts w:ascii="Arial" w:hAnsi="Arial" w:cs="Arial"/>
          <w:b/>
          <w:i/>
        </w:rPr>
        <w:t>nutrient t</w:t>
      </w:r>
      <w:r w:rsidRPr="00530C2E">
        <w:rPr>
          <w:rFonts w:ascii="Arial" w:hAnsi="Arial" w:cs="Arial"/>
          <w:b/>
          <w:i/>
        </w:rPr>
        <w:t>ransporters</w:t>
      </w:r>
      <w:bookmarkEnd w:id="10"/>
    </w:p>
    <w:p w:rsidR="00330CF1" w:rsidRDefault="00330CF1" w:rsidP="003A2952"/>
    <w:p w:rsidR="00330CF1" w:rsidRDefault="00330CF1" w:rsidP="003A2952">
      <w:pPr>
        <w:rPr>
          <w:rFonts w:ascii="Arial" w:hAnsi="Arial" w:cs="Arial"/>
        </w:rPr>
      </w:pPr>
      <w:r>
        <w:rPr>
          <w:rFonts w:ascii="Arial" w:hAnsi="Arial" w:cs="Arial"/>
        </w:rPr>
        <w:t xml:space="preserve">     Diet significantly impacts intestinal growth and development.  Although the placenta supplies the majority of nutrients during gestation, the fetus swallows amniotic fluid which supplies a small amount of energy and nutrients and other biologically active substances such as growth factors and hormones.</w:t>
      </w:r>
      <w:r>
        <w:rPr>
          <w:rFonts w:ascii="Arial" w:hAnsi="Arial" w:cs="Arial"/>
          <w:noProof/>
        </w:rPr>
        <w:t>[58]</w:t>
      </w:r>
      <w:r>
        <w:rPr>
          <w:rFonts w:ascii="Arial" w:hAnsi="Arial" w:cs="Arial"/>
        </w:rPr>
        <w:t xml:space="preserve">  At birth, it is essential that the newborn’s intestinal tract be ready to absorb and digest nutrients in mother’s milk.  The first intake of milk in the neonate stimulates increases in intestinal motor activity </w:t>
      </w:r>
      <w:r>
        <w:rPr>
          <w:rFonts w:ascii="Arial" w:hAnsi="Arial" w:cs="Arial"/>
          <w:noProof/>
        </w:rPr>
        <w:t>[59]</w:t>
      </w:r>
      <w:r>
        <w:rPr>
          <w:rFonts w:ascii="Arial" w:hAnsi="Arial" w:cs="Arial"/>
        </w:rPr>
        <w:t>,</w:t>
      </w:r>
      <w:r>
        <w:rPr>
          <w:rFonts w:ascii="Arial" w:hAnsi="Arial" w:cs="Arial"/>
          <w:color w:val="FF0000"/>
        </w:rPr>
        <w:t xml:space="preserve"> </w:t>
      </w:r>
      <w:r>
        <w:rPr>
          <w:rFonts w:ascii="Arial" w:hAnsi="Arial" w:cs="Arial"/>
        </w:rPr>
        <w:t xml:space="preserve">oxygen extraction </w:t>
      </w:r>
      <w:r>
        <w:rPr>
          <w:rFonts w:ascii="Arial" w:hAnsi="Arial" w:cs="Arial"/>
          <w:noProof/>
        </w:rPr>
        <w:t>[60]</w:t>
      </w:r>
      <w:r>
        <w:rPr>
          <w:rFonts w:ascii="Arial" w:hAnsi="Arial" w:cs="Arial"/>
        </w:rPr>
        <w:t>, and surges in hormones associated with digestion.</w:t>
      </w:r>
      <w:r>
        <w:rPr>
          <w:rFonts w:ascii="Arial" w:hAnsi="Arial" w:cs="Arial"/>
          <w:noProof/>
        </w:rPr>
        <w:t>[61]</w:t>
      </w:r>
      <w:r>
        <w:rPr>
          <w:rFonts w:ascii="Arial" w:hAnsi="Arial" w:cs="Arial"/>
        </w:rPr>
        <w:t xml:space="preserve"> </w:t>
      </w:r>
      <w:r>
        <w:rPr>
          <w:rFonts w:ascii="Arial" w:hAnsi="Arial" w:cs="Arial"/>
          <w:color w:val="FF0000"/>
        </w:rPr>
        <w:t xml:space="preserve"> </w:t>
      </w:r>
      <w:r>
        <w:rPr>
          <w:rFonts w:ascii="Arial" w:hAnsi="Arial" w:cs="Arial"/>
        </w:rPr>
        <w:t xml:space="preserve">Intestinal growth and development is not seen in starved animals </w:t>
      </w:r>
      <w:r>
        <w:rPr>
          <w:rFonts w:ascii="Arial" w:hAnsi="Arial" w:cs="Arial"/>
          <w:noProof/>
        </w:rPr>
        <w:t>[62]</w:t>
      </w:r>
      <w:r w:rsidRPr="00E80E4D">
        <w:rPr>
          <w:rFonts w:ascii="Arial" w:hAnsi="Arial" w:cs="Arial"/>
          <w:color w:val="FF0000"/>
        </w:rPr>
        <w:t xml:space="preserve"> </w:t>
      </w:r>
      <w:r>
        <w:rPr>
          <w:rFonts w:ascii="Arial" w:hAnsi="Arial" w:cs="Arial"/>
        </w:rPr>
        <w:t>and is more rapid with colostrum fed animals than animals fed mature milk.</w:t>
      </w:r>
      <w:r>
        <w:rPr>
          <w:rFonts w:ascii="Arial" w:hAnsi="Arial" w:cs="Arial"/>
          <w:noProof/>
        </w:rPr>
        <w:t>[63]</w:t>
      </w:r>
      <w:r>
        <w:rPr>
          <w:rFonts w:ascii="Arial" w:hAnsi="Arial" w:cs="Arial"/>
        </w:rPr>
        <w:t xml:space="preserve">  Another period of rapid change in intestinal development occurs at weaning with the switch from mother’s milk to a post-weaning diet of solid foods.  </w:t>
      </w:r>
      <w:r w:rsidRPr="00127942">
        <w:rPr>
          <w:rFonts w:ascii="Arial" w:hAnsi="Arial" w:cs="Arial"/>
        </w:rPr>
        <w:t>Weaning is associated with the appearance of digestive and transporter functions which are characteristic of adults</w:t>
      </w:r>
      <w:r>
        <w:rPr>
          <w:rFonts w:ascii="Arial" w:hAnsi="Arial" w:cs="Arial"/>
        </w:rPr>
        <w:t>.  These changes include enterocyte proliferation, increases in villous height and crypt depth, loss of ability for macromolar uptake, changes in enzyme and transporter activity levels, and decline of lactase activity.</w:t>
      </w:r>
      <w:r>
        <w:rPr>
          <w:rFonts w:ascii="Arial" w:hAnsi="Arial" w:cs="Arial"/>
          <w:noProof/>
        </w:rPr>
        <w:t>[58]</w:t>
      </w:r>
      <w:r>
        <w:rPr>
          <w:rFonts w:ascii="Arial" w:hAnsi="Arial" w:cs="Arial"/>
        </w:rPr>
        <w:t xml:space="preserve">  Post-weaning diets are generally more resistant to hydrolysis and result in higher concentrations of nutrients seen in the distal intestine and colon.</w:t>
      </w:r>
      <w:r>
        <w:rPr>
          <w:rFonts w:ascii="Arial" w:hAnsi="Arial" w:cs="Arial"/>
          <w:noProof/>
        </w:rPr>
        <w:t>[58]</w:t>
      </w:r>
      <w:r>
        <w:rPr>
          <w:rFonts w:ascii="Arial" w:hAnsi="Arial" w:cs="Arial"/>
        </w:rPr>
        <w:t xml:space="preserve">  The type of diet (herbivore, omnivore or carnivore) and species dictates these enzyme and transporter pattern changes. </w:t>
      </w:r>
    </w:p>
    <w:p w:rsidR="00330CF1" w:rsidRDefault="00330CF1" w:rsidP="00014E36">
      <w:pPr>
        <w:rPr>
          <w:rFonts w:ascii="Arial" w:hAnsi="Arial" w:cs="Arial"/>
        </w:rPr>
      </w:pPr>
      <w:r>
        <w:rPr>
          <w:rFonts w:ascii="Arial" w:hAnsi="Arial" w:cs="Arial"/>
        </w:rPr>
        <w:t xml:space="preserve">     Cats as strict carnivores have unique patterns of intestinal development.  Cat’s nutrient uptake levels are at their maximal level at birth.</w:t>
      </w:r>
      <w:r>
        <w:rPr>
          <w:rFonts w:ascii="Arial" w:hAnsi="Arial" w:cs="Arial"/>
          <w:noProof/>
        </w:rPr>
        <w:t>[64]</w:t>
      </w:r>
      <w:r>
        <w:rPr>
          <w:rFonts w:ascii="Arial" w:hAnsi="Arial" w:cs="Arial"/>
        </w:rPr>
        <w:t xml:space="preserve">  Their mucosal mass remains unchanged for the first week and mucosal thickness does not change from day 1 to day 35.</w:t>
      </w:r>
      <w:r>
        <w:rPr>
          <w:rFonts w:ascii="Arial" w:hAnsi="Arial" w:cs="Arial"/>
          <w:noProof/>
        </w:rPr>
        <w:t>[64]</w:t>
      </w:r>
      <w:r>
        <w:rPr>
          <w:rFonts w:ascii="Arial" w:hAnsi="Arial" w:cs="Arial"/>
        </w:rPr>
        <w:t xml:space="preserve">  In contrast, dogs mucosal mass doubles in the first 24 hours after birth.  The cat intestine also does not undergo any significant increase in intestinal length or mass during the first week.</w:t>
      </w:r>
      <w:r>
        <w:rPr>
          <w:rFonts w:ascii="Arial" w:hAnsi="Arial" w:cs="Arial"/>
          <w:noProof/>
        </w:rPr>
        <w:t>[64]</w:t>
      </w:r>
      <w:r>
        <w:rPr>
          <w:rFonts w:ascii="Arial" w:hAnsi="Arial" w:cs="Arial"/>
        </w:rPr>
        <w:t xml:space="preserve">  The ratio of amino acid/sugar uptake increases with age in cats and uptakes of glucose and galactose sharply decline after weaning.  Fructose transport is constant but at a low level.</w:t>
      </w:r>
      <w:r>
        <w:rPr>
          <w:rFonts w:ascii="Arial" w:hAnsi="Arial" w:cs="Arial"/>
          <w:noProof/>
        </w:rPr>
        <w:t>[64]</w:t>
      </w:r>
      <w:r>
        <w:rPr>
          <w:rFonts w:ascii="Arial" w:hAnsi="Arial" w:cs="Arial"/>
        </w:rPr>
        <w:t xml:space="preserve">  Uptake of the basic amino acids arginine </w:t>
      </w:r>
      <w:r>
        <w:rPr>
          <w:rFonts w:ascii="Arial" w:hAnsi="Arial" w:cs="Arial"/>
        </w:rPr>
        <w:lastRenderedPageBreak/>
        <w:t>and lysine are high at birth and remain high through day 35 compared to other amino acids.</w:t>
      </w:r>
      <w:r>
        <w:rPr>
          <w:rFonts w:ascii="Arial" w:hAnsi="Arial" w:cs="Arial"/>
          <w:noProof/>
        </w:rPr>
        <w:t>[64]</w:t>
      </w:r>
      <w:r>
        <w:rPr>
          <w:rFonts w:ascii="Arial" w:hAnsi="Arial" w:cs="Arial"/>
        </w:rPr>
        <w:t xml:space="preserve"> This coincides with the cat’s high requirement for arginine and makes arginine readily available at birth to meet the demands of high nitrogen intake.</w:t>
      </w:r>
    </w:p>
    <w:p w:rsidR="00330CF1" w:rsidRDefault="00330CF1" w:rsidP="003F469C">
      <w:pPr>
        <w:rPr>
          <w:rFonts w:ascii="Arial" w:hAnsi="Arial" w:cs="Arial"/>
        </w:rPr>
      </w:pPr>
      <w:r>
        <w:rPr>
          <w:rFonts w:ascii="Arial" w:hAnsi="Arial" w:cs="Arial"/>
        </w:rPr>
        <w:t xml:space="preserve">     Apparent digestibility for protein, carbohydrate, organic matter and dry matter increases during weaning until 19 weeks of age, when it plateaus to adult levels.  These increases in digestibility are related to increases in enzyme activity rather than to further maturation of the gastrointestinal tract.</w:t>
      </w:r>
      <w:r>
        <w:rPr>
          <w:rFonts w:ascii="Arial" w:hAnsi="Arial" w:cs="Arial"/>
          <w:noProof/>
        </w:rPr>
        <w:t>[65]</w:t>
      </w:r>
      <w:r>
        <w:rPr>
          <w:rFonts w:ascii="Arial" w:hAnsi="Arial" w:cs="Arial"/>
        </w:rPr>
        <w:t xml:space="preserve">  Adult apparent fat digestibility and lipase activities occur when kittens reach 24 weeks of age.</w:t>
      </w:r>
      <w:r>
        <w:rPr>
          <w:rFonts w:ascii="Arial" w:hAnsi="Arial" w:cs="Arial"/>
          <w:noProof/>
        </w:rPr>
        <w:t>[65]</w:t>
      </w:r>
      <w:r>
        <w:rPr>
          <w:rFonts w:ascii="Arial" w:hAnsi="Arial" w:cs="Arial"/>
        </w:rPr>
        <w:t xml:space="preserve">  Development of kitten lipase is delayed compared to carbohydrate and protein digestibility due to presence of bile-activated lipase in queen’s milk, and early reliance on the mother’s lipase for fat digestion.</w:t>
      </w:r>
      <w:r>
        <w:rPr>
          <w:rFonts w:ascii="Arial" w:hAnsi="Arial" w:cs="Arial"/>
          <w:noProof/>
        </w:rPr>
        <w:t>[66]</w:t>
      </w:r>
    </w:p>
    <w:p w:rsidR="00330CF1" w:rsidRDefault="00330CF1" w:rsidP="003F469C">
      <w:pPr>
        <w:rPr>
          <w:rFonts w:ascii="Arial" w:hAnsi="Arial" w:cs="Arial"/>
        </w:rPr>
      </w:pPr>
      <w:r>
        <w:rPr>
          <w:rFonts w:ascii="Arial" w:hAnsi="Arial" w:cs="Arial"/>
        </w:rPr>
        <w:t xml:space="preserve">     The ability to up or down regulate nutrient transporters is advantageous in species with unpredictable diets.  Omnivores such as rodents have this ability.  In comparison, cats, with a strict carnivorous diet, are unable to regulate monosaccharide transporters, although they are able to modulate transporters for some amino acids in response to changes in dietary protein.</w:t>
      </w:r>
      <w:r>
        <w:rPr>
          <w:rFonts w:ascii="Arial" w:hAnsi="Arial" w:cs="Arial"/>
          <w:noProof/>
        </w:rPr>
        <w:t>[67]</w:t>
      </w:r>
      <w:r>
        <w:rPr>
          <w:rFonts w:ascii="Arial" w:hAnsi="Arial" w:cs="Arial"/>
        </w:rPr>
        <w:t xml:space="preserve">  Similar to other metabolic adaptations in the carnivore, the inability to regulate sugar transporters is teleologically advantageous as such nutrients are a minimal part of the natural diet.  Elimination of unnecessary metabolic pathways conserve metabolic substrates and energy.</w:t>
      </w:r>
    </w:p>
    <w:p w:rsidR="00330CF1" w:rsidRDefault="00330CF1" w:rsidP="000578A6">
      <w:pPr>
        <w:pStyle w:val="Heading3"/>
      </w:pPr>
      <w:bookmarkStart w:id="11" w:name="_Toc305485838"/>
      <w:r>
        <w:t>Normal feline pediatric hematology and serum biochemistry parameters</w:t>
      </w:r>
      <w:bookmarkEnd w:id="11"/>
    </w:p>
    <w:p w:rsidR="00330CF1" w:rsidRDefault="00330CF1" w:rsidP="003F469C">
      <w:pPr>
        <w:rPr>
          <w:rFonts w:ascii="Arial" w:hAnsi="Arial" w:cs="Arial"/>
          <w:b/>
          <w:i/>
        </w:rPr>
      </w:pPr>
    </w:p>
    <w:p w:rsidR="00330CF1" w:rsidRPr="00572629" w:rsidRDefault="00330CF1" w:rsidP="003F469C">
      <w:pPr>
        <w:rPr>
          <w:rFonts w:ascii="Arial" w:hAnsi="Arial" w:cs="Arial"/>
        </w:rPr>
      </w:pPr>
      <w:r>
        <w:rPr>
          <w:rFonts w:ascii="Arial" w:hAnsi="Arial" w:cs="Arial"/>
        </w:rPr>
        <w:t xml:space="preserve">     The hematopoietic system matures throughout neonatal, weaning and early post-weaning periods in kittens.  Initial packed cell volume (PCV) values in newborns are the same as adults due to presence of larger fetal red blood cells (RBC’s).</w:t>
      </w:r>
      <w:r>
        <w:rPr>
          <w:rFonts w:ascii="Arial" w:hAnsi="Arial" w:cs="Arial"/>
          <w:noProof/>
        </w:rPr>
        <w:t>[68]</w:t>
      </w:r>
      <w:r>
        <w:rPr>
          <w:rFonts w:ascii="Arial" w:hAnsi="Arial" w:cs="Arial"/>
        </w:rPr>
        <w:t xml:space="preserve">  At birth, blood oxygen tension is much higher than fetal oxygen tension resulting in decreased stimulus for erythropoiesis.</w:t>
      </w:r>
      <w:r>
        <w:rPr>
          <w:rFonts w:ascii="Arial" w:hAnsi="Arial" w:cs="Arial"/>
          <w:noProof/>
        </w:rPr>
        <w:t>[69]</w:t>
      </w:r>
      <w:r>
        <w:rPr>
          <w:rFonts w:ascii="Arial" w:hAnsi="Arial" w:cs="Arial"/>
        </w:rPr>
        <w:t xml:space="preserve">  Physiological anemia is a normal adaptation to the extrauterine environment.  Other factors that contribute to this physiological anemia are rapid expansion of blood volume (without similar increases in RBC), decreased RBC production and shorter life spans of neonatal RBC’s.  The transition between fetal RBC’s and neonatal RBC’s occurs at 4 weeks of age and adult levels are reached by 16-18 weeks of age.</w:t>
      </w:r>
      <w:r>
        <w:rPr>
          <w:rFonts w:ascii="Arial" w:hAnsi="Arial" w:cs="Arial"/>
          <w:noProof/>
        </w:rPr>
        <w:t>[69]</w:t>
      </w:r>
      <w:r>
        <w:rPr>
          <w:rFonts w:ascii="Arial" w:hAnsi="Arial" w:cs="Arial"/>
        </w:rPr>
        <w:t xml:space="preserve">  Iron concentration in queen’s milk decreases over the lactation period.</w:t>
      </w:r>
      <w:r>
        <w:rPr>
          <w:rFonts w:ascii="Arial" w:hAnsi="Arial" w:cs="Arial"/>
          <w:noProof/>
        </w:rPr>
        <w:t>[70, 71]</w:t>
      </w:r>
      <w:r>
        <w:rPr>
          <w:rFonts w:ascii="Arial" w:hAnsi="Arial" w:cs="Arial"/>
        </w:rPr>
        <w:t xml:space="preserve">  Iron deficiency can be a factor if there is any associated blood loss at this time.  The decrease in mean cell hemoglobin content (MCHC) seen throughout the lactation period is secondary to hemoglobin synthesis lagging behind RBC production.</w:t>
      </w:r>
      <w:r>
        <w:rPr>
          <w:rFonts w:ascii="Arial" w:hAnsi="Arial" w:cs="Arial"/>
          <w:noProof/>
        </w:rPr>
        <w:t>[69]</w:t>
      </w:r>
      <w:r>
        <w:rPr>
          <w:rFonts w:ascii="Arial" w:hAnsi="Arial" w:cs="Arial"/>
        </w:rPr>
        <w:t xml:space="preserve">  White blood cell (WBC) numbers are lowest between birth and 2 </w:t>
      </w:r>
      <w:r w:rsidRPr="00572629">
        <w:rPr>
          <w:rFonts w:ascii="Arial" w:hAnsi="Arial" w:cs="Arial"/>
        </w:rPr>
        <w:t>weeks</w:t>
      </w:r>
      <w:r>
        <w:rPr>
          <w:rFonts w:ascii="Arial" w:hAnsi="Arial" w:cs="Arial"/>
        </w:rPr>
        <w:t>,</w:t>
      </w:r>
      <w:r w:rsidRPr="00572629">
        <w:rPr>
          <w:rFonts w:ascii="Arial" w:hAnsi="Arial" w:cs="Arial"/>
        </w:rPr>
        <w:t xml:space="preserve"> then increase gradually to a high point at 8-9 weeks.</w:t>
      </w:r>
      <w:r>
        <w:rPr>
          <w:rFonts w:ascii="Arial" w:hAnsi="Arial" w:cs="Arial"/>
          <w:noProof/>
        </w:rPr>
        <w:t>[69]</w:t>
      </w:r>
      <w:r w:rsidRPr="00572629">
        <w:rPr>
          <w:rFonts w:ascii="Arial" w:hAnsi="Arial" w:cs="Arial"/>
        </w:rPr>
        <w:t xml:space="preserve">  Table 1.4 lists various hematological values published for 8- and 18-week old kittens</w:t>
      </w:r>
      <w:r>
        <w:rPr>
          <w:rFonts w:ascii="Arial" w:hAnsi="Arial" w:cs="Arial"/>
        </w:rPr>
        <w:t>.</w:t>
      </w:r>
    </w:p>
    <w:p w:rsidR="00330CF1" w:rsidRPr="00572629" w:rsidRDefault="00330CF1" w:rsidP="00D32314">
      <w:pPr>
        <w:rPr>
          <w:rFonts w:ascii="Arial" w:hAnsi="Arial" w:cs="Arial"/>
        </w:rPr>
      </w:pPr>
      <w:r w:rsidRPr="00572629">
        <w:rPr>
          <w:rFonts w:ascii="Arial" w:hAnsi="Arial" w:cs="Arial"/>
        </w:rPr>
        <w:t xml:space="preserve">     Table 1.5 lists serum biochemistry va</w:t>
      </w:r>
      <w:r>
        <w:rPr>
          <w:rFonts w:ascii="Arial" w:hAnsi="Arial" w:cs="Arial"/>
        </w:rPr>
        <w:t>lues published</w:t>
      </w:r>
      <w:r w:rsidRPr="00572629">
        <w:rPr>
          <w:rFonts w:ascii="Arial" w:hAnsi="Arial" w:cs="Arial"/>
        </w:rPr>
        <w:t xml:space="preserve"> for kittens up to 20-weeks of age.</w:t>
      </w:r>
      <w:r>
        <w:rPr>
          <w:rFonts w:ascii="Arial" w:hAnsi="Arial" w:cs="Arial"/>
        </w:rPr>
        <w:t xml:space="preserve"> </w:t>
      </w:r>
      <w:r w:rsidRPr="00572629">
        <w:rPr>
          <w:rFonts w:ascii="Arial" w:hAnsi="Arial" w:cs="Arial"/>
        </w:rPr>
        <w:t xml:space="preserve"> Serum phosphorus and calcium </w:t>
      </w:r>
      <w:r>
        <w:rPr>
          <w:rFonts w:ascii="Arial" w:hAnsi="Arial" w:cs="Arial"/>
        </w:rPr>
        <w:t>concentrations are higher in pediatric animals secondary</w:t>
      </w:r>
      <w:r w:rsidRPr="00572629">
        <w:rPr>
          <w:rFonts w:ascii="Arial" w:hAnsi="Arial" w:cs="Arial"/>
        </w:rPr>
        <w:t xml:space="preserve"> to skeletal bone modeling and growth.  Renal phosphate reabsorption is enhanced by increased levels of growth hormone seen in juveniles.</w:t>
      </w:r>
      <w:r>
        <w:rPr>
          <w:rFonts w:ascii="Arial" w:hAnsi="Arial" w:cs="Arial"/>
          <w:noProof/>
        </w:rPr>
        <w:t>[72]</w:t>
      </w:r>
      <w:r>
        <w:rPr>
          <w:rFonts w:ascii="Arial" w:hAnsi="Arial" w:cs="Arial"/>
        </w:rPr>
        <w:t xml:space="preserve"> </w:t>
      </w:r>
      <w:r w:rsidRPr="00572629">
        <w:rPr>
          <w:rFonts w:ascii="Arial" w:hAnsi="Arial" w:cs="Arial"/>
        </w:rPr>
        <w:t xml:space="preserve"> Increases in bone alkaline phosphatase isoenzyme acti</w:t>
      </w:r>
      <w:r>
        <w:rPr>
          <w:rFonts w:ascii="Arial" w:hAnsi="Arial" w:cs="Arial"/>
        </w:rPr>
        <w:t>vity will also be seen due</w:t>
      </w:r>
      <w:r w:rsidRPr="00572629">
        <w:rPr>
          <w:rFonts w:ascii="Arial" w:hAnsi="Arial" w:cs="Arial"/>
        </w:rPr>
        <w:t xml:space="preserve"> to osteoblast activity in growing bone.</w:t>
      </w:r>
      <w:r>
        <w:rPr>
          <w:rFonts w:ascii="Arial" w:hAnsi="Arial" w:cs="Arial"/>
          <w:noProof/>
        </w:rPr>
        <w:t>[68, 73]</w:t>
      </w:r>
    </w:p>
    <w:p w:rsidR="00330CF1" w:rsidRDefault="00330CF1" w:rsidP="00D32314">
      <w:pPr>
        <w:rPr>
          <w:rFonts w:ascii="Arial" w:hAnsi="Arial" w:cs="Arial"/>
        </w:rPr>
      </w:pPr>
      <w:r w:rsidRPr="00A80C58">
        <w:rPr>
          <w:rFonts w:ascii="Arial" w:hAnsi="Arial" w:cs="Arial"/>
        </w:rPr>
        <w:lastRenderedPageBreak/>
        <w:t xml:space="preserve">     Even though puppies and kittens are born with a full complement of nephrons, glomerular and tubular filtration and enzymatic activity </w:t>
      </w:r>
      <w:r>
        <w:rPr>
          <w:rFonts w:ascii="Arial" w:hAnsi="Arial" w:cs="Arial"/>
        </w:rPr>
        <w:t>are</w:t>
      </w:r>
      <w:r w:rsidRPr="00A80C58">
        <w:rPr>
          <w:rFonts w:ascii="Arial" w:hAnsi="Arial" w:cs="Arial"/>
        </w:rPr>
        <w:t xml:space="preserve"> still </w:t>
      </w:r>
      <w:r>
        <w:rPr>
          <w:rFonts w:ascii="Arial" w:hAnsi="Arial" w:cs="Arial"/>
        </w:rPr>
        <w:t>developing</w:t>
      </w:r>
      <w:r w:rsidRPr="00A80C58">
        <w:rPr>
          <w:rFonts w:ascii="Arial" w:hAnsi="Arial" w:cs="Arial"/>
        </w:rPr>
        <w:t xml:space="preserve"> at birth.  </w:t>
      </w:r>
      <w:r>
        <w:rPr>
          <w:rFonts w:ascii="Arial" w:hAnsi="Arial" w:cs="Arial"/>
        </w:rPr>
        <w:t>G</w:t>
      </w:r>
      <w:r w:rsidRPr="00A80C58">
        <w:rPr>
          <w:rFonts w:ascii="Arial" w:hAnsi="Arial" w:cs="Arial"/>
        </w:rPr>
        <w:t xml:space="preserve">lomerular filtration rate </w:t>
      </w:r>
      <w:r>
        <w:rPr>
          <w:rFonts w:ascii="Arial" w:hAnsi="Arial" w:cs="Arial"/>
        </w:rPr>
        <w:t>(GFR) of human neonates is approximately</w:t>
      </w:r>
      <w:r w:rsidRPr="00A80C58">
        <w:rPr>
          <w:rFonts w:ascii="Arial" w:hAnsi="Arial" w:cs="Arial"/>
        </w:rPr>
        <w:t xml:space="preserve"> one-fourth to one-third of mature GFR levels due to reduced permeability of maturing glomerular epithelium and lower systemic blood pressure.</w:t>
      </w:r>
      <w:r>
        <w:rPr>
          <w:rFonts w:ascii="Arial" w:hAnsi="Arial" w:cs="Arial"/>
          <w:noProof/>
        </w:rPr>
        <w:t>[74]</w:t>
      </w:r>
      <w:r>
        <w:rPr>
          <w:rFonts w:ascii="Arial" w:hAnsi="Arial" w:cs="Arial"/>
        </w:rPr>
        <w:t xml:space="preserve">  </w:t>
      </w:r>
      <w:r w:rsidRPr="00A80C58">
        <w:rPr>
          <w:rFonts w:ascii="Arial" w:hAnsi="Arial" w:cs="Arial"/>
        </w:rPr>
        <w:t>Feline endogenous creatinine clearance values reach adult levels by 19 weeks of age.</w:t>
      </w:r>
      <w:r>
        <w:rPr>
          <w:rFonts w:ascii="Arial" w:hAnsi="Arial" w:cs="Arial"/>
          <w:noProof/>
        </w:rPr>
        <w:t>[75]</w:t>
      </w:r>
      <w:r w:rsidRPr="00A80C58">
        <w:rPr>
          <w:rFonts w:ascii="Arial" w:hAnsi="Arial" w:cs="Arial"/>
        </w:rPr>
        <w:t xml:space="preserve"> </w:t>
      </w:r>
      <w:r>
        <w:rPr>
          <w:rFonts w:ascii="Arial" w:hAnsi="Arial" w:cs="Arial"/>
        </w:rPr>
        <w:t xml:space="preserve"> </w:t>
      </w:r>
      <w:r w:rsidRPr="00A80C58">
        <w:rPr>
          <w:rFonts w:ascii="Arial" w:hAnsi="Arial" w:cs="Arial"/>
        </w:rPr>
        <w:t xml:space="preserve">Canine and </w:t>
      </w:r>
      <w:r>
        <w:rPr>
          <w:rFonts w:ascii="Arial" w:hAnsi="Arial" w:cs="Arial"/>
        </w:rPr>
        <w:t>feline neonates concentrate urine to approximately 1.5X plasma osmolarity compared to 3-4X times plasma osmolarity in adults.</w:t>
      </w:r>
      <w:r>
        <w:rPr>
          <w:rFonts w:ascii="Arial" w:hAnsi="Arial" w:cs="Arial"/>
          <w:noProof/>
        </w:rPr>
        <w:t>[74]</w:t>
      </w:r>
      <w:r>
        <w:rPr>
          <w:rFonts w:ascii="Arial" w:hAnsi="Arial" w:cs="Arial"/>
        </w:rPr>
        <w:t xml:space="preserve">  </w:t>
      </w:r>
      <w:r w:rsidRPr="006D23BE">
        <w:rPr>
          <w:rFonts w:ascii="Arial" w:hAnsi="Arial" w:cs="Arial"/>
        </w:rPr>
        <w:t xml:space="preserve">Rate of maturation of renal concentrating </w:t>
      </w:r>
      <w:r>
        <w:rPr>
          <w:rFonts w:ascii="Arial" w:hAnsi="Arial" w:cs="Arial"/>
        </w:rPr>
        <w:t>function is unknown in dogs and cats, but in human beings full renal maturation does not occur until 1 year of age.</w:t>
      </w:r>
    </w:p>
    <w:p w:rsidR="00330CF1" w:rsidRDefault="00330CF1" w:rsidP="00D32314">
      <w:pPr>
        <w:rPr>
          <w:rFonts w:ascii="Arial" w:hAnsi="Arial" w:cs="Arial"/>
        </w:rPr>
      </w:pPr>
      <w:r>
        <w:rPr>
          <w:rFonts w:ascii="Arial" w:hAnsi="Arial" w:cs="Arial"/>
        </w:rPr>
        <w:t xml:space="preserve">     As with renal function, rate of maturation of hepatic enzyme and metabolic capabilities in puppies and kittens is unknown.  Plasma protein levels increase rapidly</w:t>
      </w:r>
    </w:p>
    <w:p w:rsidR="00330CF1" w:rsidRDefault="00330CF1" w:rsidP="00D32314">
      <w:pPr>
        <w:rPr>
          <w:rFonts w:ascii="Arial" w:hAnsi="Arial" w:cs="Arial"/>
        </w:rPr>
      </w:pPr>
      <w:r>
        <w:rPr>
          <w:rFonts w:ascii="Arial" w:hAnsi="Arial" w:cs="Arial"/>
        </w:rPr>
        <w:t xml:space="preserve">after ingestion of colostrum with absorption of globulins, but return to baseline levels </w:t>
      </w:r>
    </w:p>
    <w:p w:rsidR="00330CF1" w:rsidRDefault="00330CF1" w:rsidP="00D32314">
      <w:pPr>
        <w:rPr>
          <w:rFonts w:ascii="Arial" w:hAnsi="Arial" w:cs="Arial"/>
        </w:rPr>
      </w:pPr>
      <w:r>
        <w:rPr>
          <w:rFonts w:ascii="Arial" w:hAnsi="Arial" w:cs="Arial"/>
        </w:rPr>
        <w:t>within 3-4 days.</w:t>
      </w:r>
      <w:r>
        <w:rPr>
          <w:rFonts w:ascii="Arial" w:hAnsi="Arial" w:cs="Arial"/>
          <w:noProof/>
        </w:rPr>
        <w:t>[72]</w:t>
      </w:r>
      <w:r>
        <w:rPr>
          <w:rFonts w:ascii="Arial" w:hAnsi="Arial" w:cs="Arial"/>
        </w:rPr>
        <w:t xml:space="preserve">  Plasma protein concentration are less than adult until approximately 4-5 months of age.</w:t>
      </w:r>
      <w:r>
        <w:rPr>
          <w:rFonts w:ascii="Arial" w:hAnsi="Arial" w:cs="Arial"/>
          <w:noProof/>
        </w:rPr>
        <w:t>[68]</w:t>
      </w:r>
      <w:r>
        <w:rPr>
          <w:rFonts w:ascii="Arial" w:hAnsi="Arial" w:cs="Arial"/>
        </w:rPr>
        <w:t xml:space="preserve"> </w:t>
      </w:r>
      <w:r>
        <w:rPr>
          <w:rFonts w:ascii="Arial" w:hAnsi="Arial" w:cs="Arial"/>
          <w:color w:val="FF0000"/>
        </w:rPr>
        <w:t xml:space="preserve"> </w:t>
      </w:r>
      <w:r>
        <w:rPr>
          <w:rFonts w:ascii="Arial" w:hAnsi="Arial" w:cs="Arial"/>
        </w:rPr>
        <w:t xml:space="preserve">In general, plasma total protein, albumin, BUN, and creatinine levels are lower in pediatric patients compared to adults due to rapid </w:t>
      </w:r>
    </w:p>
    <w:p w:rsidR="00330CF1" w:rsidRDefault="00330CF1">
      <w:pPr>
        <w:rPr>
          <w:rFonts w:ascii="Arial" w:hAnsi="Arial" w:cs="Arial"/>
        </w:rPr>
      </w:pPr>
      <w:r>
        <w:rPr>
          <w:rFonts w:ascii="Arial" w:hAnsi="Arial" w:cs="Arial"/>
        </w:rPr>
        <w:t>plasma volume expansion, immature hepatic production and reduced muscle mass.</w:t>
      </w:r>
      <w:r>
        <w:rPr>
          <w:rFonts w:ascii="Arial" w:hAnsi="Arial" w:cs="Arial"/>
          <w:noProof/>
        </w:rPr>
        <w:t>[68, 72]</w:t>
      </w:r>
      <w:r>
        <w:rPr>
          <w:rFonts w:ascii="Arial" w:hAnsi="Arial" w:cs="Arial"/>
        </w:rPr>
        <w:t xml:space="preserve"> </w:t>
      </w: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rsidP="00530C2E">
      <w:pPr>
        <w:jc w:val="center"/>
        <w:rPr>
          <w:rFonts w:ascii="Arial" w:hAnsi="Arial" w:cs="Arial"/>
        </w:rPr>
      </w:pPr>
      <w:r w:rsidRPr="00BA6850">
        <w:rPr>
          <w:rFonts w:ascii="Arial" w:hAnsi="Arial" w:cs="Arial"/>
          <w:b/>
        </w:rPr>
        <w:lastRenderedPageBreak/>
        <w:t>Table 1.4</w:t>
      </w:r>
      <w:r>
        <w:rPr>
          <w:rFonts w:ascii="Arial" w:hAnsi="Arial" w:cs="Arial"/>
        </w:rPr>
        <w:t xml:space="preserve"> Comparison of published hematological values</w:t>
      </w:r>
    </w:p>
    <w:p w:rsidR="00330CF1" w:rsidRPr="00F77756" w:rsidRDefault="00330CF1" w:rsidP="00530C2E">
      <w:pPr>
        <w:jc w:val="center"/>
        <w:rPr>
          <w:rFonts w:ascii="Arial" w:hAnsi="Arial" w:cs="Arial"/>
          <w:color w:val="FF0000"/>
        </w:rPr>
      </w:pPr>
      <w:r>
        <w:rPr>
          <w:rFonts w:ascii="Arial" w:hAnsi="Arial" w:cs="Arial"/>
        </w:rPr>
        <w:t xml:space="preserve"> for 8- and 18-week old kittens</w:t>
      </w:r>
    </w:p>
    <w:p w:rsidR="00330CF1" w:rsidRDefault="00330CF1" w:rsidP="00530C2E">
      <w:pPr>
        <w:rPr>
          <w:rFonts w:ascii="Arial" w:hAnsi="Arial" w:cs="Arial"/>
        </w:rPr>
      </w:pP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990"/>
        <w:gridCol w:w="1620"/>
        <w:gridCol w:w="1800"/>
        <w:gridCol w:w="1440"/>
        <w:gridCol w:w="1620"/>
      </w:tblGrid>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530C2E">
            <w:pPr>
              <w:rPr>
                <w:rFonts w:ascii="Arial" w:hAnsi="Arial" w:cs="Arial"/>
              </w:rPr>
            </w:pPr>
            <w:r>
              <w:rPr>
                <w:rFonts w:ascii="Arial" w:hAnsi="Arial" w:cs="Arial"/>
              </w:rPr>
              <w:t>Age of Kittens weeks</w:t>
            </w:r>
          </w:p>
        </w:tc>
        <w:tc>
          <w:tcPr>
            <w:tcW w:w="1620" w:type="dxa"/>
          </w:tcPr>
          <w:p w:rsidR="00330CF1" w:rsidRPr="001518CF" w:rsidRDefault="00330CF1" w:rsidP="00530C2E">
            <w:pPr>
              <w:rPr>
                <w:rFonts w:ascii="Arial" w:hAnsi="Arial" w:cs="Arial"/>
                <w:vertAlign w:val="superscript"/>
              </w:rPr>
            </w:pPr>
            <w:r w:rsidRPr="00306C1C">
              <w:rPr>
                <w:rFonts w:ascii="Arial" w:hAnsi="Arial" w:cs="Arial"/>
              </w:rPr>
              <w:t>Anderson</w:t>
            </w:r>
            <w:r>
              <w:rPr>
                <w:rFonts w:ascii="Arial" w:hAnsi="Arial" w:cs="Arial"/>
              </w:rPr>
              <w:t>*</w:t>
            </w:r>
            <w:r>
              <w:rPr>
                <w:rFonts w:ascii="Arial" w:hAnsi="Arial" w:cs="Arial"/>
                <w:vertAlign w:val="superscript"/>
              </w:rPr>
              <w:t>2</w:t>
            </w:r>
          </w:p>
          <w:p w:rsidR="00330CF1" w:rsidRPr="00306C1C" w:rsidRDefault="00330CF1" w:rsidP="00530C2E">
            <w:pPr>
              <w:rPr>
                <w:rFonts w:ascii="Arial" w:hAnsi="Arial" w:cs="Arial"/>
              </w:rPr>
            </w:pPr>
            <w:r w:rsidRPr="00306C1C">
              <w:rPr>
                <w:rFonts w:ascii="Arial" w:hAnsi="Arial" w:cs="Arial"/>
              </w:rPr>
              <w:t>(1971)</w:t>
            </w:r>
          </w:p>
        </w:tc>
        <w:tc>
          <w:tcPr>
            <w:tcW w:w="1800" w:type="dxa"/>
          </w:tcPr>
          <w:p w:rsidR="00330CF1" w:rsidRPr="001518CF" w:rsidRDefault="00330CF1" w:rsidP="00530C2E">
            <w:pPr>
              <w:rPr>
                <w:rFonts w:ascii="Arial" w:hAnsi="Arial" w:cs="Arial"/>
                <w:vertAlign w:val="superscript"/>
              </w:rPr>
            </w:pPr>
            <w:r w:rsidRPr="00306C1C">
              <w:rPr>
                <w:rFonts w:ascii="Arial" w:hAnsi="Arial" w:cs="Arial"/>
              </w:rPr>
              <w:t>Meyers-Wallen</w:t>
            </w:r>
            <w:r>
              <w:rPr>
                <w:rFonts w:ascii="Arial" w:hAnsi="Arial" w:cs="Arial"/>
              </w:rPr>
              <w:t>**</w:t>
            </w:r>
            <w:r>
              <w:rPr>
                <w:rFonts w:ascii="Arial" w:hAnsi="Arial" w:cs="Arial"/>
                <w:vertAlign w:val="superscript"/>
              </w:rPr>
              <w:t>2</w:t>
            </w:r>
          </w:p>
          <w:p w:rsidR="00330CF1" w:rsidRPr="00306C1C" w:rsidRDefault="00330CF1" w:rsidP="00530C2E">
            <w:pPr>
              <w:rPr>
                <w:rFonts w:ascii="Arial" w:hAnsi="Arial" w:cs="Arial"/>
              </w:rPr>
            </w:pPr>
            <w:r w:rsidRPr="00306C1C">
              <w:rPr>
                <w:rFonts w:ascii="Arial" w:hAnsi="Arial" w:cs="Arial"/>
              </w:rPr>
              <w:t>(1984)</w:t>
            </w:r>
          </w:p>
        </w:tc>
        <w:tc>
          <w:tcPr>
            <w:tcW w:w="1440" w:type="dxa"/>
          </w:tcPr>
          <w:p w:rsidR="00330CF1" w:rsidRPr="001518CF" w:rsidRDefault="00330CF1" w:rsidP="00530C2E">
            <w:pPr>
              <w:rPr>
                <w:rFonts w:ascii="Arial" w:hAnsi="Arial" w:cs="Arial"/>
                <w:vertAlign w:val="superscript"/>
              </w:rPr>
            </w:pPr>
            <w:r w:rsidRPr="00306C1C">
              <w:rPr>
                <w:rFonts w:ascii="Arial" w:hAnsi="Arial" w:cs="Arial"/>
              </w:rPr>
              <w:t>Earle</w:t>
            </w:r>
            <w:r>
              <w:rPr>
                <w:rFonts w:ascii="Arial" w:hAnsi="Arial" w:cs="Arial"/>
              </w:rPr>
              <w:t>*</w:t>
            </w:r>
            <w:r>
              <w:rPr>
                <w:rFonts w:ascii="Arial" w:hAnsi="Arial" w:cs="Arial"/>
                <w:vertAlign w:val="superscript"/>
              </w:rPr>
              <w:t>1</w:t>
            </w:r>
          </w:p>
          <w:p w:rsidR="00330CF1" w:rsidRPr="00306C1C" w:rsidRDefault="00330CF1" w:rsidP="00530C2E">
            <w:pPr>
              <w:rPr>
                <w:rFonts w:ascii="Arial" w:hAnsi="Arial" w:cs="Arial"/>
              </w:rPr>
            </w:pPr>
            <w:r w:rsidRPr="00306C1C">
              <w:rPr>
                <w:rFonts w:ascii="Arial" w:hAnsi="Arial" w:cs="Arial"/>
              </w:rPr>
              <w:t>(1990)</w:t>
            </w:r>
          </w:p>
        </w:tc>
        <w:tc>
          <w:tcPr>
            <w:tcW w:w="1620" w:type="dxa"/>
          </w:tcPr>
          <w:p w:rsidR="00330CF1" w:rsidRPr="001518CF" w:rsidRDefault="00330CF1" w:rsidP="00530C2E">
            <w:pPr>
              <w:rPr>
                <w:rFonts w:ascii="Arial" w:hAnsi="Arial" w:cs="Arial"/>
                <w:vertAlign w:val="superscript"/>
              </w:rPr>
            </w:pPr>
            <w:r>
              <w:rPr>
                <w:rFonts w:ascii="Arial" w:hAnsi="Arial" w:cs="Arial"/>
              </w:rPr>
              <w:t>Jain***</w:t>
            </w:r>
            <w:r>
              <w:rPr>
                <w:rFonts w:ascii="Arial" w:hAnsi="Arial" w:cs="Arial"/>
                <w:vertAlign w:val="superscript"/>
              </w:rPr>
              <w:t>3</w:t>
            </w:r>
          </w:p>
          <w:p w:rsidR="00330CF1" w:rsidRPr="00306C1C" w:rsidRDefault="00330CF1" w:rsidP="00530C2E">
            <w:pPr>
              <w:rPr>
                <w:rFonts w:ascii="Arial" w:hAnsi="Arial" w:cs="Arial"/>
              </w:rPr>
            </w:pPr>
            <w:r>
              <w:rPr>
                <w:rFonts w:ascii="Arial" w:hAnsi="Arial" w:cs="Arial"/>
              </w:rPr>
              <w:t>(1993)</w:t>
            </w:r>
          </w:p>
        </w:tc>
      </w:tr>
      <w:tr w:rsidR="00330CF1" w:rsidRPr="00306C1C" w:rsidTr="00530C2E">
        <w:tc>
          <w:tcPr>
            <w:tcW w:w="1548" w:type="dxa"/>
          </w:tcPr>
          <w:p w:rsidR="00330CF1" w:rsidRPr="00306C1C" w:rsidRDefault="00330CF1" w:rsidP="00530C2E">
            <w:pPr>
              <w:rPr>
                <w:rFonts w:ascii="Arial" w:hAnsi="Arial" w:cs="Arial"/>
              </w:rPr>
            </w:pPr>
            <w:r>
              <w:rPr>
                <w:rFonts w:ascii="Arial" w:hAnsi="Arial" w:cs="Arial"/>
              </w:rPr>
              <w:t>Number kitten-study</w:t>
            </w:r>
          </w:p>
        </w:tc>
        <w:tc>
          <w:tcPr>
            <w:tcW w:w="990" w:type="dxa"/>
          </w:tcPr>
          <w:p w:rsidR="00330CF1" w:rsidRPr="00306C1C" w:rsidRDefault="00330CF1" w:rsidP="00F22295">
            <w:pPr>
              <w:jc w:val="center"/>
              <w:rPr>
                <w:rFonts w:ascii="Arial" w:hAnsi="Arial" w:cs="Arial"/>
              </w:rPr>
            </w:pPr>
            <w:r w:rsidRPr="00306C1C">
              <w:rPr>
                <w:rFonts w:ascii="Arial" w:hAnsi="Arial" w:cs="Arial"/>
              </w:rPr>
              <w:t>8</w:t>
            </w:r>
          </w:p>
        </w:tc>
        <w:tc>
          <w:tcPr>
            <w:tcW w:w="1620" w:type="dxa"/>
          </w:tcPr>
          <w:p w:rsidR="00330CF1" w:rsidRPr="00306C1C" w:rsidRDefault="00330CF1" w:rsidP="00F22295">
            <w:pPr>
              <w:jc w:val="center"/>
              <w:rPr>
                <w:rFonts w:ascii="Arial" w:hAnsi="Arial" w:cs="Arial"/>
              </w:rPr>
            </w:pPr>
            <w:r w:rsidRPr="00306C1C">
              <w:rPr>
                <w:rFonts w:ascii="Arial" w:hAnsi="Arial" w:cs="Arial"/>
              </w:rPr>
              <w:t>17</w:t>
            </w:r>
          </w:p>
        </w:tc>
        <w:tc>
          <w:tcPr>
            <w:tcW w:w="1800" w:type="dxa"/>
          </w:tcPr>
          <w:p w:rsidR="00330CF1" w:rsidRPr="00306C1C" w:rsidRDefault="00330CF1" w:rsidP="00F22295">
            <w:pPr>
              <w:jc w:val="center"/>
              <w:rPr>
                <w:rFonts w:ascii="Arial" w:hAnsi="Arial" w:cs="Arial"/>
              </w:rPr>
            </w:pPr>
            <w:r w:rsidRPr="00306C1C">
              <w:rPr>
                <w:rFonts w:ascii="Arial" w:hAnsi="Arial" w:cs="Arial"/>
              </w:rPr>
              <w:t>16</w:t>
            </w:r>
          </w:p>
        </w:tc>
        <w:tc>
          <w:tcPr>
            <w:tcW w:w="1440" w:type="dxa"/>
          </w:tcPr>
          <w:p w:rsidR="00330CF1" w:rsidRPr="00306C1C" w:rsidRDefault="00330CF1" w:rsidP="00F22295">
            <w:pPr>
              <w:jc w:val="center"/>
              <w:rPr>
                <w:rFonts w:ascii="Arial" w:hAnsi="Arial" w:cs="Arial"/>
              </w:rPr>
            </w:pPr>
            <w:r w:rsidRPr="00306C1C">
              <w:rPr>
                <w:rFonts w:ascii="Arial" w:hAnsi="Arial" w:cs="Arial"/>
              </w:rPr>
              <w:t>340</w:t>
            </w:r>
          </w:p>
        </w:tc>
        <w:tc>
          <w:tcPr>
            <w:tcW w:w="1620" w:type="dxa"/>
          </w:tcPr>
          <w:p w:rsidR="00330CF1" w:rsidRPr="00306C1C" w:rsidRDefault="00330CF1" w:rsidP="00F22295">
            <w:pPr>
              <w:jc w:val="center"/>
              <w:rPr>
                <w:rFonts w:ascii="Arial" w:hAnsi="Arial" w:cs="Arial"/>
              </w:rPr>
            </w:pPr>
            <w:r>
              <w:rPr>
                <w:rFonts w:ascii="Arial" w:hAnsi="Arial" w:cs="Arial"/>
              </w:rPr>
              <w:t>19</w:t>
            </w:r>
          </w:p>
        </w:tc>
      </w:tr>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F22295">
            <w:pPr>
              <w:jc w:val="center"/>
              <w:rPr>
                <w:rFonts w:ascii="Arial" w:hAnsi="Arial" w:cs="Arial"/>
              </w:rPr>
            </w:pPr>
            <w:r w:rsidRPr="00306C1C">
              <w:rPr>
                <w:rFonts w:ascii="Arial" w:hAnsi="Arial" w:cs="Arial"/>
              </w:rPr>
              <w:t>18</w:t>
            </w:r>
          </w:p>
        </w:tc>
        <w:tc>
          <w:tcPr>
            <w:tcW w:w="1620" w:type="dxa"/>
          </w:tcPr>
          <w:p w:rsidR="00330CF1" w:rsidRPr="00306C1C" w:rsidRDefault="00330CF1" w:rsidP="00F22295">
            <w:pPr>
              <w:jc w:val="center"/>
              <w:rPr>
                <w:rFonts w:ascii="Arial" w:hAnsi="Arial" w:cs="Arial"/>
              </w:rPr>
            </w:pPr>
            <w:r>
              <w:rPr>
                <w:rFonts w:ascii="Arial" w:hAnsi="Arial" w:cs="Arial"/>
              </w:rPr>
              <w:t>21</w:t>
            </w:r>
          </w:p>
        </w:tc>
        <w:tc>
          <w:tcPr>
            <w:tcW w:w="1800" w:type="dxa"/>
          </w:tcPr>
          <w:p w:rsidR="00330CF1" w:rsidRPr="00306C1C" w:rsidRDefault="00330CF1" w:rsidP="00F22295">
            <w:pPr>
              <w:jc w:val="center"/>
              <w:rPr>
                <w:rFonts w:ascii="Arial" w:hAnsi="Arial" w:cs="Arial"/>
              </w:rPr>
            </w:pPr>
            <w:r w:rsidRPr="00306C1C">
              <w:rPr>
                <w:rFonts w:ascii="Arial" w:hAnsi="Arial" w:cs="Arial"/>
              </w:rPr>
              <w:t>9</w:t>
            </w:r>
          </w:p>
        </w:tc>
        <w:tc>
          <w:tcPr>
            <w:tcW w:w="1440" w:type="dxa"/>
          </w:tcPr>
          <w:p w:rsidR="00330CF1" w:rsidRPr="00306C1C" w:rsidRDefault="00330CF1" w:rsidP="00F22295">
            <w:pPr>
              <w:jc w:val="center"/>
              <w:rPr>
                <w:rFonts w:ascii="Arial" w:hAnsi="Arial" w:cs="Arial"/>
              </w:rPr>
            </w:pPr>
            <w:r w:rsidRPr="00306C1C">
              <w:rPr>
                <w:rFonts w:ascii="Arial" w:hAnsi="Arial" w:cs="Arial"/>
              </w:rPr>
              <w:t>340</w:t>
            </w:r>
          </w:p>
        </w:tc>
        <w:tc>
          <w:tcPr>
            <w:tcW w:w="1620" w:type="dxa"/>
          </w:tcPr>
          <w:p w:rsidR="00330CF1" w:rsidRPr="00306C1C" w:rsidRDefault="00330CF1" w:rsidP="00F22295">
            <w:pPr>
              <w:jc w:val="center"/>
              <w:rPr>
                <w:rFonts w:ascii="Arial" w:hAnsi="Arial" w:cs="Arial"/>
              </w:rPr>
            </w:pPr>
            <w:r>
              <w:rPr>
                <w:rFonts w:ascii="Arial" w:hAnsi="Arial" w:cs="Arial"/>
              </w:rPr>
              <w:t>21</w:t>
            </w:r>
          </w:p>
        </w:tc>
      </w:tr>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c>
          <w:tcPr>
            <w:tcW w:w="1800" w:type="dxa"/>
          </w:tcPr>
          <w:p w:rsidR="00330CF1" w:rsidRPr="00306C1C" w:rsidRDefault="00330CF1" w:rsidP="00F22295">
            <w:pPr>
              <w:jc w:val="center"/>
              <w:rPr>
                <w:rFonts w:ascii="Arial" w:hAnsi="Arial" w:cs="Arial"/>
              </w:rPr>
            </w:pPr>
          </w:p>
        </w:tc>
        <w:tc>
          <w:tcPr>
            <w:tcW w:w="144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r>
      <w:tr w:rsidR="00330CF1" w:rsidRPr="00306C1C" w:rsidTr="00530C2E">
        <w:tc>
          <w:tcPr>
            <w:tcW w:w="1548" w:type="dxa"/>
          </w:tcPr>
          <w:p w:rsidR="00330CF1" w:rsidRPr="00306C1C" w:rsidRDefault="00330CF1" w:rsidP="00530C2E">
            <w:pPr>
              <w:rPr>
                <w:rFonts w:ascii="Arial" w:hAnsi="Arial" w:cs="Arial"/>
              </w:rPr>
            </w:pPr>
            <w:r>
              <w:rPr>
                <w:rFonts w:ascii="Arial" w:hAnsi="Arial" w:cs="Arial"/>
              </w:rPr>
              <w:t>Hgb</w:t>
            </w:r>
            <w:r w:rsidRPr="00306C1C">
              <w:rPr>
                <w:rFonts w:ascii="Arial" w:hAnsi="Arial" w:cs="Arial"/>
              </w:rPr>
              <w:t xml:space="preserve"> (g/dL)</w:t>
            </w:r>
          </w:p>
        </w:tc>
        <w:tc>
          <w:tcPr>
            <w:tcW w:w="990" w:type="dxa"/>
          </w:tcPr>
          <w:p w:rsidR="00330CF1" w:rsidRPr="00306C1C" w:rsidRDefault="00330CF1" w:rsidP="00F22295">
            <w:pPr>
              <w:jc w:val="center"/>
              <w:rPr>
                <w:rFonts w:ascii="Arial" w:hAnsi="Arial" w:cs="Arial"/>
              </w:rPr>
            </w:pPr>
            <w:r w:rsidRPr="00306C1C">
              <w:rPr>
                <w:rFonts w:ascii="Arial" w:hAnsi="Arial" w:cs="Arial"/>
              </w:rPr>
              <w:t>8</w:t>
            </w:r>
          </w:p>
        </w:tc>
        <w:tc>
          <w:tcPr>
            <w:tcW w:w="1620" w:type="dxa"/>
          </w:tcPr>
          <w:p w:rsidR="00330CF1" w:rsidRPr="00306C1C" w:rsidRDefault="00330CF1" w:rsidP="00F22295">
            <w:pPr>
              <w:jc w:val="center"/>
              <w:rPr>
                <w:rFonts w:ascii="Arial" w:hAnsi="Arial" w:cs="Arial"/>
              </w:rPr>
            </w:pPr>
            <w:r w:rsidRPr="00306C1C">
              <w:rPr>
                <w:rFonts w:ascii="Arial" w:hAnsi="Arial" w:cs="Arial"/>
              </w:rPr>
              <w:t>9.7</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1.8</w:t>
            </w:r>
          </w:p>
        </w:tc>
        <w:tc>
          <w:tcPr>
            <w:tcW w:w="1800" w:type="dxa"/>
          </w:tcPr>
          <w:p w:rsidR="00330CF1" w:rsidRPr="00306C1C" w:rsidRDefault="00330CF1" w:rsidP="00F22295">
            <w:pPr>
              <w:jc w:val="center"/>
              <w:rPr>
                <w:rFonts w:ascii="Arial" w:hAnsi="Arial" w:cs="Arial"/>
              </w:rPr>
            </w:pPr>
            <w:r>
              <w:rPr>
                <w:rFonts w:ascii="Arial" w:hAnsi="Arial" w:cs="Arial"/>
              </w:rPr>
              <w:t xml:space="preserve">9.8 </w:t>
            </w:r>
            <w:r w:rsidRPr="00306C1C">
              <w:rPr>
                <w:rFonts w:ascii="Arial" w:hAnsi="Arial" w:cs="Arial"/>
              </w:rPr>
              <w:t>±</w:t>
            </w:r>
            <w:r>
              <w:rPr>
                <w:rFonts w:ascii="Arial" w:hAnsi="Arial" w:cs="Arial"/>
              </w:rPr>
              <w:t xml:space="preserve"> 0.2</w:t>
            </w:r>
          </w:p>
        </w:tc>
        <w:tc>
          <w:tcPr>
            <w:tcW w:w="1440" w:type="dxa"/>
          </w:tcPr>
          <w:p w:rsidR="00330CF1" w:rsidRPr="00306C1C" w:rsidRDefault="00330CF1" w:rsidP="00F22295">
            <w:pPr>
              <w:jc w:val="center"/>
              <w:rPr>
                <w:rFonts w:ascii="Arial" w:hAnsi="Arial" w:cs="Arial"/>
              </w:rPr>
            </w:pPr>
            <w:r w:rsidRPr="00306C1C">
              <w:rPr>
                <w:rFonts w:ascii="Arial" w:hAnsi="Arial" w:cs="Arial"/>
              </w:rPr>
              <w:t>9.6</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1.5</w:t>
            </w:r>
          </w:p>
        </w:tc>
        <w:tc>
          <w:tcPr>
            <w:tcW w:w="1620" w:type="dxa"/>
          </w:tcPr>
          <w:p w:rsidR="00330CF1" w:rsidRPr="00306C1C" w:rsidRDefault="00330CF1" w:rsidP="00F22295">
            <w:pPr>
              <w:jc w:val="center"/>
              <w:rPr>
                <w:rFonts w:ascii="Arial" w:hAnsi="Arial" w:cs="Arial"/>
              </w:rPr>
            </w:pPr>
            <w:r>
              <w:rPr>
                <w:rFonts w:ascii="Arial" w:hAnsi="Arial" w:cs="Arial"/>
              </w:rPr>
              <w:t>9.4</w:t>
            </w:r>
          </w:p>
        </w:tc>
      </w:tr>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F22295">
            <w:pPr>
              <w:jc w:val="center"/>
              <w:rPr>
                <w:rFonts w:ascii="Arial" w:hAnsi="Arial" w:cs="Arial"/>
              </w:rPr>
            </w:pPr>
            <w:r w:rsidRPr="00306C1C">
              <w:rPr>
                <w:rFonts w:ascii="Arial" w:hAnsi="Arial" w:cs="Arial"/>
              </w:rPr>
              <w:t>18</w:t>
            </w:r>
          </w:p>
        </w:tc>
        <w:tc>
          <w:tcPr>
            <w:tcW w:w="1620" w:type="dxa"/>
          </w:tcPr>
          <w:p w:rsidR="00330CF1" w:rsidRPr="00306C1C" w:rsidRDefault="00330CF1" w:rsidP="00F22295">
            <w:pPr>
              <w:jc w:val="center"/>
              <w:rPr>
                <w:rFonts w:ascii="Arial" w:hAnsi="Arial" w:cs="Arial"/>
              </w:rPr>
            </w:pPr>
            <w:r w:rsidRPr="00306C1C">
              <w:rPr>
                <w:rFonts w:ascii="Arial" w:hAnsi="Arial" w:cs="Arial"/>
              </w:rPr>
              <w:t>10.7</w:t>
            </w:r>
            <w:r>
              <w:rPr>
                <w:rFonts w:ascii="Arial" w:hAnsi="Arial" w:cs="Arial"/>
              </w:rPr>
              <w:t xml:space="preserve"> </w:t>
            </w:r>
            <w:r w:rsidRPr="00306C1C">
              <w:rPr>
                <w:rFonts w:ascii="Arial" w:hAnsi="Arial" w:cs="Arial"/>
              </w:rPr>
              <w:t>±</w:t>
            </w:r>
            <w:r>
              <w:rPr>
                <w:rFonts w:ascii="Arial" w:hAnsi="Arial" w:cs="Arial"/>
              </w:rPr>
              <w:t xml:space="preserve"> 1.2</w:t>
            </w:r>
          </w:p>
        </w:tc>
        <w:tc>
          <w:tcPr>
            <w:tcW w:w="1800" w:type="dxa"/>
          </w:tcPr>
          <w:p w:rsidR="00330CF1" w:rsidRPr="00306C1C" w:rsidRDefault="00330CF1" w:rsidP="00F22295">
            <w:pPr>
              <w:jc w:val="center"/>
              <w:rPr>
                <w:rFonts w:ascii="Arial" w:hAnsi="Arial" w:cs="Arial"/>
              </w:rPr>
            </w:pPr>
            <w:r>
              <w:rPr>
                <w:rFonts w:ascii="Arial" w:hAnsi="Arial" w:cs="Arial"/>
              </w:rPr>
              <w:t>11.0 ± 0.4</w:t>
            </w:r>
          </w:p>
        </w:tc>
        <w:tc>
          <w:tcPr>
            <w:tcW w:w="1440" w:type="dxa"/>
          </w:tcPr>
          <w:p w:rsidR="00330CF1" w:rsidRPr="00306C1C" w:rsidRDefault="00330CF1" w:rsidP="00F22295">
            <w:pPr>
              <w:jc w:val="center"/>
              <w:rPr>
                <w:rFonts w:ascii="Arial" w:hAnsi="Arial" w:cs="Arial"/>
              </w:rPr>
            </w:pPr>
            <w:r w:rsidRPr="00306C1C">
              <w:rPr>
                <w:rFonts w:ascii="Arial" w:hAnsi="Arial" w:cs="Arial"/>
              </w:rPr>
              <w:t>10.9</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1.5</w:t>
            </w:r>
          </w:p>
        </w:tc>
        <w:tc>
          <w:tcPr>
            <w:tcW w:w="1620" w:type="dxa"/>
          </w:tcPr>
          <w:p w:rsidR="00330CF1" w:rsidRPr="00306C1C" w:rsidRDefault="00330CF1" w:rsidP="00F22295">
            <w:pPr>
              <w:jc w:val="center"/>
              <w:rPr>
                <w:rFonts w:ascii="Arial" w:hAnsi="Arial" w:cs="Arial"/>
              </w:rPr>
            </w:pPr>
            <w:r>
              <w:rPr>
                <w:rFonts w:ascii="Arial" w:hAnsi="Arial" w:cs="Arial"/>
              </w:rPr>
              <w:t>10.7</w:t>
            </w:r>
          </w:p>
        </w:tc>
      </w:tr>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c>
          <w:tcPr>
            <w:tcW w:w="1800" w:type="dxa"/>
          </w:tcPr>
          <w:p w:rsidR="00330CF1" w:rsidRPr="00306C1C" w:rsidRDefault="00330CF1" w:rsidP="00F22295">
            <w:pPr>
              <w:jc w:val="center"/>
              <w:rPr>
                <w:rFonts w:ascii="Arial" w:hAnsi="Arial" w:cs="Arial"/>
              </w:rPr>
            </w:pPr>
          </w:p>
        </w:tc>
        <w:tc>
          <w:tcPr>
            <w:tcW w:w="144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r>
      <w:tr w:rsidR="00330CF1" w:rsidRPr="00306C1C" w:rsidTr="00530C2E">
        <w:tc>
          <w:tcPr>
            <w:tcW w:w="1548" w:type="dxa"/>
          </w:tcPr>
          <w:p w:rsidR="00330CF1" w:rsidRPr="00306C1C" w:rsidRDefault="00330CF1" w:rsidP="00530C2E">
            <w:pPr>
              <w:rPr>
                <w:rFonts w:ascii="Arial" w:hAnsi="Arial" w:cs="Arial"/>
              </w:rPr>
            </w:pPr>
            <w:r w:rsidRPr="00306C1C">
              <w:rPr>
                <w:rFonts w:ascii="Arial" w:hAnsi="Arial" w:cs="Arial"/>
              </w:rPr>
              <w:t>PCV (%)</w:t>
            </w:r>
          </w:p>
        </w:tc>
        <w:tc>
          <w:tcPr>
            <w:tcW w:w="990" w:type="dxa"/>
          </w:tcPr>
          <w:p w:rsidR="00330CF1" w:rsidRPr="00306C1C" w:rsidRDefault="00330CF1" w:rsidP="00F22295">
            <w:pPr>
              <w:jc w:val="center"/>
              <w:rPr>
                <w:rFonts w:ascii="Arial" w:hAnsi="Arial" w:cs="Arial"/>
              </w:rPr>
            </w:pPr>
            <w:r w:rsidRPr="00306C1C">
              <w:rPr>
                <w:rFonts w:ascii="Arial" w:hAnsi="Arial" w:cs="Arial"/>
              </w:rPr>
              <w:t>8</w:t>
            </w:r>
          </w:p>
        </w:tc>
        <w:tc>
          <w:tcPr>
            <w:tcW w:w="1620" w:type="dxa"/>
          </w:tcPr>
          <w:p w:rsidR="00330CF1" w:rsidRPr="00306C1C" w:rsidRDefault="00330CF1" w:rsidP="00F22295">
            <w:pPr>
              <w:jc w:val="center"/>
              <w:rPr>
                <w:rFonts w:ascii="Arial" w:hAnsi="Arial" w:cs="Arial"/>
              </w:rPr>
            </w:pPr>
            <w:r w:rsidRPr="00306C1C">
              <w:rPr>
                <w:rFonts w:ascii="Arial" w:hAnsi="Arial" w:cs="Arial"/>
              </w:rPr>
              <w:t>30.0</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4.7</w:t>
            </w:r>
          </w:p>
        </w:tc>
        <w:tc>
          <w:tcPr>
            <w:tcW w:w="1800" w:type="dxa"/>
          </w:tcPr>
          <w:p w:rsidR="00330CF1" w:rsidRPr="00306C1C" w:rsidRDefault="00330CF1" w:rsidP="00F22295">
            <w:pPr>
              <w:jc w:val="center"/>
              <w:rPr>
                <w:rFonts w:ascii="Arial" w:hAnsi="Arial" w:cs="Arial"/>
              </w:rPr>
            </w:pPr>
            <w:r w:rsidRPr="00306C1C">
              <w:rPr>
                <w:rFonts w:ascii="Arial" w:hAnsi="Arial" w:cs="Arial"/>
              </w:rPr>
              <w:t>29.8</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1.3</w:t>
            </w:r>
          </w:p>
        </w:tc>
        <w:tc>
          <w:tcPr>
            <w:tcW w:w="1440" w:type="dxa"/>
          </w:tcPr>
          <w:p w:rsidR="00330CF1" w:rsidRPr="00306C1C" w:rsidRDefault="00330CF1" w:rsidP="00F22295">
            <w:pPr>
              <w:jc w:val="center"/>
              <w:rPr>
                <w:rFonts w:ascii="Arial" w:hAnsi="Arial" w:cs="Arial"/>
              </w:rPr>
            </w:pPr>
            <w:r w:rsidRPr="00306C1C">
              <w:rPr>
                <w:rFonts w:ascii="Arial" w:hAnsi="Arial" w:cs="Arial"/>
              </w:rPr>
              <w:t>31.2</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3.8</w:t>
            </w:r>
          </w:p>
        </w:tc>
        <w:tc>
          <w:tcPr>
            <w:tcW w:w="1620" w:type="dxa"/>
          </w:tcPr>
          <w:p w:rsidR="00330CF1" w:rsidRPr="00306C1C" w:rsidRDefault="00330CF1" w:rsidP="00F22295">
            <w:pPr>
              <w:jc w:val="center"/>
              <w:rPr>
                <w:rFonts w:ascii="Arial" w:hAnsi="Arial" w:cs="Arial"/>
              </w:rPr>
            </w:pPr>
            <w:r>
              <w:rPr>
                <w:rFonts w:ascii="Arial" w:hAnsi="Arial" w:cs="Arial"/>
              </w:rPr>
              <w:t>35.6</w:t>
            </w:r>
          </w:p>
        </w:tc>
      </w:tr>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F22295">
            <w:pPr>
              <w:jc w:val="center"/>
              <w:rPr>
                <w:rFonts w:ascii="Arial" w:hAnsi="Arial" w:cs="Arial"/>
              </w:rPr>
            </w:pPr>
            <w:r w:rsidRPr="00306C1C">
              <w:rPr>
                <w:rFonts w:ascii="Arial" w:hAnsi="Arial" w:cs="Arial"/>
              </w:rPr>
              <w:t>18</w:t>
            </w:r>
          </w:p>
        </w:tc>
        <w:tc>
          <w:tcPr>
            <w:tcW w:w="1620" w:type="dxa"/>
          </w:tcPr>
          <w:p w:rsidR="00330CF1" w:rsidRPr="00306C1C" w:rsidRDefault="00330CF1" w:rsidP="00F22295">
            <w:pPr>
              <w:jc w:val="center"/>
              <w:rPr>
                <w:rFonts w:ascii="Arial" w:hAnsi="Arial" w:cs="Arial"/>
              </w:rPr>
            </w:pPr>
            <w:r>
              <w:rPr>
                <w:rFonts w:ascii="Arial" w:hAnsi="Arial" w:cs="Arial"/>
              </w:rPr>
              <w:t xml:space="preserve">33.4 </w:t>
            </w:r>
            <w:r w:rsidRPr="00306C1C">
              <w:rPr>
                <w:rFonts w:ascii="Arial" w:hAnsi="Arial" w:cs="Arial"/>
              </w:rPr>
              <w:t>±</w:t>
            </w:r>
            <w:r>
              <w:rPr>
                <w:rFonts w:ascii="Arial" w:hAnsi="Arial" w:cs="Arial"/>
              </w:rPr>
              <w:t xml:space="preserve"> </w:t>
            </w:r>
            <w:r w:rsidRPr="00306C1C">
              <w:rPr>
                <w:rFonts w:ascii="Arial" w:hAnsi="Arial" w:cs="Arial"/>
              </w:rPr>
              <w:t>3.3</w:t>
            </w:r>
          </w:p>
        </w:tc>
        <w:tc>
          <w:tcPr>
            <w:tcW w:w="1800" w:type="dxa"/>
          </w:tcPr>
          <w:p w:rsidR="00330CF1" w:rsidRPr="00306C1C" w:rsidRDefault="00330CF1" w:rsidP="00F22295">
            <w:pPr>
              <w:jc w:val="center"/>
              <w:rPr>
                <w:rFonts w:ascii="Arial" w:hAnsi="Arial" w:cs="Arial"/>
              </w:rPr>
            </w:pPr>
            <w:r>
              <w:rPr>
                <w:rFonts w:ascii="Arial" w:hAnsi="Arial" w:cs="Arial"/>
              </w:rPr>
              <w:t>34.9 ± 1.1</w:t>
            </w:r>
          </w:p>
        </w:tc>
        <w:tc>
          <w:tcPr>
            <w:tcW w:w="1440" w:type="dxa"/>
          </w:tcPr>
          <w:p w:rsidR="00330CF1" w:rsidRPr="00306C1C" w:rsidRDefault="00330CF1" w:rsidP="00F22295">
            <w:pPr>
              <w:jc w:val="center"/>
              <w:rPr>
                <w:rFonts w:ascii="Arial" w:hAnsi="Arial" w:cs="Arial"/>
              </w:rPr>
            </w:pPr>
            <w:r w:rsidRPr="00306C1C">
              <w:rPr>
                <w:rFonts w:ascii="Arial" w:hAnsi="Arial" w:cs="Arial"/>
              </w:rPr>
              <w:t>34.6</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3.6</w:t>
            </w:r>
          </w:p>
        </w:tc>
        <w:tc>
          <w:tcPr>
            <w:tcW w:w="1620" w:type="dxa"/>
          </w:tcPr>
          <w:p w:rsidR="00330CF1" w:rsidRPr="00306C1C" w:rsidRDefault="00330CF1" w:rsidP="00F22295">
            <w:pPr>
              <w:jc w:val="center"/>
              <w:rPr>
                <w:rFonts w:ascii="Arial" w:hAnsi="Arial" w:cs="Arial"/>
              </w:rPr>
            </w:pPr>
            <w:r>
              <w:rPr>
                <w:rFonts w:ascii="Arial" w:hAnsi="Arial" w:cs="Arial"/>
              </w:rPr>
              <w:t>35.7</w:t>
            </w:r>
          </w:p>
        </w:tc>
      </w:tr>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c>
          <w:tcPr>
            <w:tcW w:w="1800" w:type="dxa"/>
          </w:tcPr>
          <w:p w:rsidR="00330CF1" w:rsidRPr="00306C1C" w:rsidRDefault="00330CF1" w:rsidP="00F22295">
            <w:pPr>
              <w:jc w:val="center"/>
              <w:rPr>
                <w:rFonts w:ascii="Arial" w:hAnsi="Arial" w:cs="Arial"/>
              </w:rPr>
            </w:pPr>
          </w:p>
        </w:tc>
        <w:tc>
          <w:tcPr>
            <w:tcW w:w="144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r>
      <w:tr w:rsidR="00330CF1" w:rsidRPr="00306C1C" w:rsidTr="00530C2E">
        <w:tc>
          <w:tcPr>
            <w:tcW w:w="1548" w:type="dxa"/>
          </w:tcPr>
          <w:p w:rsidR="00330CF1" w:rsidRPr="00306C1C" w:rsidRDefault="00330CF1" w:rsidP="00530C2E">
            <w:pPr>
              <w:rPr>
                <w:rFonts w:ascii="Arial" w:hAnsi="Arial" w:cs="Arial"/>
              </w:rPr>
            </w:pPr>
            <w:r w:rsidRPr="00306C1C">
              <w:rPr>
                <w:rFonts w:ascii="Arial" w:hAnsi="Arial" w:cs="Arial"/>
              </w:rPr>
              <w:t>RBC</w:t>
            </w:r>
          </w:p>
        </w:tc>
        <w:tc>
          <w:tcPr>
            <w:tcW w:w="990" w:type="dxa"/>
          </w:tcPr>
          <w:p w:rsidR="00330CF1" w:rsidRPr="00306C1C" w:rsidRDefault="00330CF1" w:rsidP="00F22295">
            <w:pPr>
              <w:jc w:val="center"/>
              <w:rPr>
                <w:rFonts w:ascii="Arial" w:hAnsi="Arial" w:cs="Arial"/>
              </w:rPr>
            </w:pPr>
            <w:r w:rsidRPr="00306C1C">
              <w:rPr>
                <w:rFonts w:ascii="Arial" w:hAnsi="Arial" w:cs="Arial"/>
              </w:rPr>
              <w:t>8</w:t>
            </w:r>
          </w:p>
        </w:tc>
        <w:tc>
          <w:tcPr>
            <w:tcW w:w="1620" w:type="dxa"/>
          </w:tcPr>
          <w:p w:rsidR="00330CF1" w:rsidRPr="00306C1C" w:rsidRDefault="00330CF1" w:rsidP="00F22295">
            <w:pPr>
              <w:jc w:val="center"/>
              <w:rPr>
                <w:rFonts w:ascii="Arial" w:hAnsi="Arial" w:cs="Arial"/>
              </w:rPr>
            </w:pPr>
            <w:r w:rsidRPr="00306C1C">
              <w:rPr>
                <w:rFonts w:ascii="Arial" w:hAnsi="Arial" w:cs="Arial"/>
              </w:rPr>
              <w:t>5.9</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1.1</w:t>
            </w:r>
          </w:p>
        </w:tc>
        <w:tc>
          <w:tcPr>
            <w:tcW w:w="1800" w:type="dxa"/>
          </w:tcPr>
          <w:p w:rsidR="00330CF1" w:rsidRPr="00306C1C" w:rsidRDefault="00330CF1" w:rsidP="00F22295">
            <w:pPr>
              <w:jc w:val="center"/>
              <w:rPr>
                <w:rFonts w:ascii="Arial" w:hAnsi="Arial" w:cs="Arial"/>
              </w:rPr>
            </w:pPr>
            <w:r w:rsidRPr="00306C1C">
              <w:rPr>
                <w:rFonts w:ascii="Arial" w:hAnsi="Arial" w:cs="Arial"/>
              </w:rPr>
              <w:t>6.</w:t>
            </w:r>
            <w:r>
              <w:rPr>
                <w:rFonts w:ascii="Arial" w:hAnsi="Arial" w:cs="Arial"/>
              </w:rPr>
              <w:t>95 ± 0.09</w:t>
            </w:r>
          </w:p>
        </w:tc>
        <w:tc>
          <w:tcPr>
            <w:tcW w:w="1440" w:type="dxa"/>
          </w:tcPr>
          <w:p w:rsidR="00330CF1" w:rsidRPr="00306C1C" w:rsidRDefault="00330CF1" w:rsidP="00F22295">
            <w:pPr>
              <w:jc w:val="center"/>
              <w:rPr>
                <w:rFonts w:ascii="Arial" w:hAnsi="Arial" w:cs="Arial"/>
              </w:rPr>
            </w:pPr>
            <w:r w:rsidRPr="00306C1C">
              <w:rPr>
                <w:rFonts w:ascii="Arial" w:hAnsi="Arial" w:cs="Arial"/>
              </w:rPr>
              <w:t>6.4</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0.8</w:t>
            </w:r>
          </w:p>
        </w:tc>
        <w:tc>
          <w:tcPr>
            <w:tcW w:w="1620" w:type="dxa"/>
          </w:tcPr>
          <w:p w:rsidR="00330CF1" w:rsidRPr="00306C1C" w:rsidRDefault="00330CF1" w:rsidP="00F22295">
            <w:pPr>
              <w:jc w:val="center"/>
              <w:rPr>
                <w:rFonts w:ascii="Arial" w:hAnsi="Arial" w:cs="Arial"/>
              </w:rPr>
            </w:pPr>
            <w:r>
              <w:rPr>
                <w:rFonts w:ascii="Arial" w:hAnsi="Arial" w:cs="Arial"/>
              </w:rPr>
              <w:t>7.10</w:t>
            </w:r>
          </w:p>
        </w:tc>
      </w:tr>
      <w:tr w:rsidR="00330CF1" w:rsidRPr="00306C1C" w:rsidTr="00530C2E">
        <w:tc>
          <w:tcPr>
            <w:tcW w:w="1548" w:type="dxa"/>
          </w:tcPr>
          <w:p w:rsidR="00330CF1" w:rsidRPr="00311068" w:rsidRDefault="00330CF1" w:rsidP="00530C2E">
            <w:pPr>
              <w:rPr>
                <w:rFonts w:ascii="Arial" w:hAnsi="Arial" w:cs="Arial"/>
                <w:vertAlign w:val="superscript"/>
              </w:rPr>
            </w:pPr>
            <w:r>
              <w:rPr>
                <w:rFonts w:ascii="Arial" w:hAnsi="Arial" w:cs="Arial"/>
              </w:rPr>
              <w:t>(x 10</w:t>
            </w:r>
            <w:r>
              <w:rPr>
                <w:rFonts w:ascii="Arial" w:hAnsi="Arial" w:cs="Arial"/>
                <w:vertAlign w:val="superscript"/>
              </w:rPr>
              <w:t>3</w:t>
            </w:r>
            <w:r w:rsidRPr="00306C1C">
              <w:rPr>
                <w:rFonts w:ascii="Arial" w:hAnsi="Arial" w:cs="Arial"/>
              </w:rPr>
              <w:t>/mm</w:t>
            </w:r>
            <w:r w:rsidRPr="00306C1C">
              <w:rPr>
                <w:rFonts w:ascii="Arial" w:hAnsi="Arial" w:cs="Arial"/>
                <w:vertAlign w:val="superscript"/>
              </w:rPr>
              <w:t>3</w:t>
            </w:r>
            <w:r w:rsidRPr="00306C1C">
              <w:rPr>
                <w:rFonts w:ascii="Arial" w:hAnsi="Arial" w:cs="Arial"/>
              </w:rPr>
              <w:t>)</w:t>
            </w:r>
          </w:p>
        </w:tc>
        <w:tc>
          <w:tcPr>
            <w:tcW w:w="990" w:type="dxa"/>
          </w:tcPr>
          <w:p w:rsidR="00330CF1" w:rsidRPr="00306C1C" w:rsidRDefault="00330CF1" w:rsidP="00F22295">
            <w:pPr>
              <w:jc w:val="center"/>
              <w:rPr>
                <w:rFonts w:ascii="Arial" w:hAnsi="Arial" w:cs="Arial"/>
              </w:rPr>
            </w:pPr>
            <w:r w:rsidRPr="00306C1C">
              <w:rPr>
                <w:rFonts w:ascii="Arial" w:hAnsi="Arial" w:cs="Arial"/>
              </w:rPr>
              <w:t>18</w:t>
            </w:r>
          </w:p>
        </w:tc>
        <w:tc>
          <w:tcPr>
            <w:tcW w:w="1620" w:type="dxa"/>
          </w:tcPr>
          <w:p w:rsidR="00330CF1" w:rsidRPr="00306C1C" w:rsidRDefault="00330CF1" w:rsidP="00F22295">
            <w:pPr>
              <w:jc w:val="center"/>
              <w:rPr>
                <w:rFonts w:ascii="Arial" w:hAnsi="Arial" w:cs="Arial"/>
              </w:rPr>
            </w:pPr>
            <w:r w:rsidRPr="00306C1C">
              <w:rPr>
                <w:rFonts w:ascii="Arial" w:hAnsi="Arial" w:cs="Arial"/>
              </w:rPr>
              <w:t>7.4</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0.7</w:t>
            </w:r>
          </w:p>
        </w:tc>
        <w:tc>
          <w:tcPr>
            <w:tcW w:w="1800" w:type="dxa"/>
          </w:tcPr>
          <w:p w:rsidR="00330CF1" w:rsidRPr="00306C1C" w:rsidRDefault="00330CF1" w:rsidP="00F22295">
            <w:pPr>
              <w:jc w:val="center"/>
              <w:rPr>
                <w:rFonts w:ascii="Arial" w:hAnsi="Arial" w:cs="Arial"/>
              </w:rPr>
            </w:pPr>
            <w:r>
              <w:rPr>
                <w:rFonts w:ascii="Arial" w:hAnsi="Arial" w:cs="Arial"/>
              </w:rPr>
              <w:t>8.14 ± 0.27</w:t>
            </w:r>
          </w:p>
        </w:tc>
        <w:tc>
          <w:tcPr>
            <w:tcW w:w="1440" w:type="dxa"/>
          </w:tcPr>
          <w:p w:rsidR="00330CF1" w:rsidRPr="00306C1C" w:rsidRDefault="00330CF1" w:rsidP="00F22295">
            <w:pPr>
              <w:jc w:val="center"/>
              <w:rPr>
                <w:rFonts w:ascii="Arial" w:hAnsi="Arial" w:cs="Arial"/>
              </w:rPr>
            </w:pPr>
            <w:r w:rsidRPr="00306C1C">
              <w:rPr>
                <w:rFonts w:ascii="Arial" w:hAnsi="Arial" w:cs="Arial"/>
              </w:rPr>
              <w:t>7.3</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0.8</w:t>
            </w:r>
          </w:p>
        </w:tc>
        <w:tc>
          <w:tcPr>
            <w:tcW w:w="1620" w:type="dxa"/>
          </w:tcPr>
          <w:p w:rsidR="00330CF1" w:rsidRPr="00306C1C" w:rsidRDefault="00330CF1" w:rsidP="00F22295">
            <w:pPr>
              <w:jc w:val="center"/>
              <w:rPr>
                <w:rFonts w:ascii="Arial" w:hAnsi="Arial" w:cs="Arial"/>
              </w:rPr>
            </w:pPr>
            <w:r>
              <w:rPr>
                <w:rFonts w:ascii="Arial" w:hAnsi="Arial" w:cs="Arial"/>
              </w:rPr>
              <w:t>8.77</w:t>
            </w:r>
          </w:p>
        </w:tc>
      </w:tr>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c>
          <w:tcPr>
            <w:tcW w:w="1800" w:type="dxa"/>
          </w:tcPr>
          <w:p w:rsidR="00330CF1" w:rsidRPr="00306C1C" w:rsidRDefault="00330CF1" w:rsidP="00F22295">
            <w:pPr>
              <w:jc w:val="center"/>
              <w:rPr>
                <w:rFonts w:ascii="Arial" w:hAnsi="Arial" w:cs="Arial"/>
              </w:rPr>
            </w:pPr>
          </w:p>
        </w:tc>
        <w:tc>
          <w:tcPr>
            <w:tcW w:w="144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r>
      <w:tr w:rsidR="00330CF1" w:rsidRPr="00306C1C" w:rsidTr="00530C2E">
        <w:tc>
          <w:tcPr>
            <w:tcW w:w="1548" w:type="dxa"/>
          </w:tcPr>
          <w:p w:rsidR="00330CF1" w:rsidRPr="00306C1C" w:rsidRDefault="00330CF1" w:rsidP="00530C2E">
            <w:pPr>
              <w:rPr>
                <w:rFonts w:ascii="Arial" w:hAnsi="Arial" w:cs="Arial"/>
              </w:rPr>
            </w:pPr>
            <w:r w:rsidRPr="00306C1C">
              <w:rPr>
                <w:rFonts w:ascii="Arial" w:hAnsi="Arial" w:cs="Arial"/>
              </w:rPr>
              <w:t>MCV (fl)</w:t>
            </w:r>
          </w:p>
        </w:tc>
        <w:tc>
          <w:tcPr>
            <w:tcW w:w="990" w:type="dxa"/>
          </w:tcPr>
          <w:p w:rsidR="00330CF1" w:rsidRPr="00306C1C" w:rsidRDefault="00330CF1" w:rsidP="00F22295">
            <w:pPr>
              <w:jc w:val="center"/>
              <w:rPr>
                <w:rFonts w:ascii="Arial" w:hAnsi="Arial" w:cs="Arial"/>
              </w:rPr>
            </w:pPr>
            <w:r w:rsidRPr="00306C1C">
              <w:rPr>
                <w:rFonts w:ascii="Arial" w:hAnsi="Arial" w:cs="Arial"/>
              </w:rPr>
              <w:t>8</w:t>
            </w:r>
          </w:p>
        </w:tc>
        <w:tc>
          <w:tcPr>
            <w:tcW w:w="1620" w:type="dxa"/>
          </w:tcPr>
          <w:p w:rsidR="00330CF1" w:rsidRPr="00306C1C" w:rsidRDefault="00330CF1" w:rsidP="00F22295">
            <w:pPr>
              <w:jc w:val="center"/>
              <w:rPr>
                <w:rFonts w:ascii="Arial" w:hAnsi="Arial" w:cs="Arial"/>
              </w:rPr>
            </w:pPr>
            <w:r w:rsidRPr="00306C1C">
              <w:rPr>
                <w:rFonts w:ascii="Arial" w:hAnsi="Arial" w:cs="Arial"/>
              </w:rPr>
              <w:t>53.0</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7.6</w:t>
            </w:r>
          </w:p>
        </w:tc>
        <w:tc>
          <w:tcPr>
            <w:tcW w:w="1800" w:type="dxa"/>
          </w:tcPr>
          <w:p w:rsidR="00330CF1" w:rsidRPr="00306C1C" w:rsidRDefault="00330CF1" w:rsidP="00F22295">
            <w:pPr>
              <w:jc w:val="center"/>
              <w:rPr>
                <w:rFonts w:ascii="Arial" w:hAnsi="Arial" w:cs="Arial"/>
              </w:rPr>
            </w:pPr>
            <w:r w:rsidRPr="00306C1C">
              <w:rPr>
                <w:rFonts w:ascii="Arial" w:hAnsi="Arial" w:cs="Arial"/>
              </w:rPr>
              <w:t>4</w:t>
            </w:r>
            <w:r>
              <w:rPr>
                <w:rFonts w:ascii="Arial" w:hAnsi="Arial" w:cs="Arial"/>
              </w:rPr>
              <w:t>7.8 ± 0.09</w:t>
            </w:r>
          </w:p>
        </w:tc>
        <w:tc>
          <w:tcPr>
            <w:tcW w:w="1440" w:type="dxa"/>
          </w:tcPr>
          <w:p w:rsidR="00330CF1" w:rsidRPr="00306C1C" w:rsidRDefault="00330CF1" w:rsidP="00F22295">
            <w:pPr>
              <w:jc w:val="center"/>
              <w:rPr>
                <w:rFonts w:ascii="Arial" w:hAnsi="Arial" w:cs="Arial"/>
              </w:rPr>
            </w:pPr>
            <w:r w:rsidRPr="00306C1C">
              <w:rPr>
                <w:rFonts w:ascii="Arial" w:hAnsi="Arial" w:cs="Arial"/>
              </w:rPr>
              <w:t>48.8</w:t>
            </w:r>
            <w:r>
              <w:rPr>
                <w:rFonts w:ascii="Arial" w:hAnsi="Arial" w:cs="Arial"/>
              </w:rPr>
              <w:t xml:space="preserve"> ± </w:t>
            </w:r>
            <w:r w:rsidRPr="00306C1C">
              <w:rPr>
                <w:rFonts w:ascii="Arial" w:hAnsi="Arial" w:cs="Arial"/>
              </w:rPr>
              <w:t>5.8</w:t>
            </w:r>
          </w:p>
        </w:tc>
        <w:tc>
          <w:tcPr>
            <w:tcW w:w="1620" w:type="dxa"/>
          </w:tcPr>
          <w:p w:rsidR="00330CF1" w:rsidRPr="00306C1C" w:rsidRDefault="00330CF1" w:rsidP="00F22295">
            <w:pPr>
              <w:jc w:val="center"/>
              <w:rPr>
                <w:rFonts w:ascii="Arial" w:hAnsi="Arial" w:cs="Arial"/>
              </w:rPr>
            </w:pPr>
            <w:r>
              <w:rPr>
                <w:rFonts w:ascii="Arial" w:hAnsi="Arial" w:cs="Arial"/>
              </w:rPr>
              <w:t>50.1</w:t>
            </w:r>
          </w:p>
        </w:tc>
      </w:tr>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F22295">
            <w:pPr>
              <w:jc w:val="center"/>
              <w:rPr>
                <w:rFonts w:ascii="Arial" w:hAnsi="Arial" w:cs="Arial"/>
              </w:rPr>
            </w:pPr>
            <w:r w:rsidRPr="00306C1C">
              <w:rPr>
                <w:rFonts w:ascii="Arial" w:hAnsi="Arial" w:cs="Arial"/>
              </w:rPr>
              <w:t>18</w:t>
            </w:r>
          </w:p>
        </w:tc>
        <w:tc>
          <w:tcPr>
            <w:tcW w:w="1620" w:type="dxa"/>
          </w:tcPr>
          <w:p w:rsidR="00330CF1" w:rsidRPr="00306C1C" w:rsidRDefault="00330CF1" w:rsidP="00F22295">
            <w:pPr>
              <w:jc w:val="center"/>
              <w:rPr>
                <w:rFonts w:ascii="Arial" w:hAnsi="Arial" w:cs="Arial"/>
              </w:rPr>
            </w:pPr>
            <w:r w:rsidRPr="00306C1C">
              <w:rPr>
                <w:rFonts w:ascii="Arial" w:hAnsi="Arial" w:cs="Arial"/>
              </w:rPr>
              <w:t>45.0</w:t>
            </w:r>
            <w:r>
              <w:rPr>
                <w:rFonts w:ascii="Arial" w:hAnsi="Arial" w:cs="Arial"/>
              </w:rPr>
              <w:t xml:space="preserve"> </w:t>
            </w:r>
            <w:r w:rsidRPr="00306C1C">
              <w:rPr>
                <w:rFonts w:ascii="Arial" w:hAnsi="Arial" w:cs="Arial"/>
              </w:rPr>
              <w:t>±</w:t>
            </w:r>
            <w:r>
              <w:rPr>
                <w:rFonts w:ascii="Arial" w:hAnsi="Arial" w:cs="Arial"/>
              </w:rPr>
              <w:t xml:space="preserve"> 5.2</w:t>
            </w:r>
          </w:p>
        </w:tc>
        <w:tc>
          <w:tcPr>
            <w:tcW w:w="1800" w:type="dxa"/>
          </w:tcPr>
          <w:p w:rsidR="00330CF1" w:rsidRPr="00306C1C" w:rsidRDefault="00330CF1" w:rsidP="00F22295">
            <w:pPr>
              <w:jc w:val="center"/>
              <w:rPr>
                <w:rFonts w:ascii="Arial" w:hAnsi="Arial" w:cs="Arial"/>
              </w:rPr>
            </w:pPr>
            <w:r>
              <w:rPr>
                <w:rFonts w:ascii="Arial" w:hAnsi="Arial" w:cs="Arial"/>
              </w:rPr>
              <w:t>43.1 ± 1.5</w:t>
            </w:r>
          </w:p>
        </w:tc>
        <w:tc>
          <w:tcPr>
            <w:tcW w:w="1440" w:type="dxa"/>
          </w:tcPr>
          <w:p w:rsidR="00330CF1" w:rsidRPr="00306C1C" w:rsidRDefault="00330CF1" w:rsidP="00F22295">
            <w:pPr>
              <w:jc w:val="center"/>
              <w:rPr>
                <w:rFonts w:ascii="Arial" w:hAnsi="Arial" w:cs="Arial"/>
              </w:rPr>
            </w:pPr>
            <w:r w:rsidRPr="00306C1C">
              <w:rPr>
                <w:rFonts w:ascii="Arial" w:hAnsi="Arial" w:cs="Arial"/>
              </w:rPr>
              <w:t>48.1</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5.1</w:t>
            </w:r>
          </w:p>
        </w:tc>
        <w:tc>
          <w:tcPr>
            <w:tcW w:w="1620" w:type="dxa"/>
          </w:tcPr>
          <w:p w:rsidR="00330CF1" w:rsidRPr="00306C1C" w:rsidRDefault="00330CF1" w:rsidP="00F22295">
            <w:pPr>
              <w:jc w:val="center"/>
              <w:rPr>
                <w:rFonts w:ascii="Arial" w:hAnsi="Arial" w:cs="Arial"/>
              </w:rPr>
            </w:pPr>
            <w:r>
              <w:rPr>
                <w:rFonts w:ascii="Arial" w:hAnsi="Arial" w:cs="Arial"/>
              </w:rPr>
              <w:t>40.7</w:t>
            </w:r>
          </w:p>
        </w:tc>
      </w:tr>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c>
          <w:tcPr>
            <w:tcW w:w="1800" w:type="dxa"/>
          </w:tcPr>
          <w:p w:rsidR="00330CF1" w:rsidRPr="00306C1C" w:rsidRDefault="00330CF1" w:rsidP="00F22295">
            <w:pPr>
              <w:jc w:val="center"/>
              <w:rPr>
                <w:rFonts w:ascii="Arial" w:hAnsi="Arial" w:cs="Arial"/>
              </w:rPr>
            </w:pPr>
          </w:p>
        </w:tc>
        <w:tc>
          <w:tcPr>
            <w:tcW w:w="144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r>
      <w:tr w:rsidR="00330CF1" w:rsidRPr="00306C1C" w:rsidTr="00530C2E">
        <w:tc>
          <w:tcPr>
            <w:tcW w:w="1548" w:type="dxa"/>
          </w:tcPr>
          <w:p w:rsidR="00330CF1" w:rsidRPr="00306C1C" w:rsidRDefault="00330CF1" w:rsidP="00530C2E">
            <w:pPr>
              <w:rPr>
                <w:rFonts w:ascii="Arial" w:hAnsi="Arial" w:cs="Arial"/>
              </w:rPr>
            </w:pPr>
            <w:r w:rsidRPr="00306C1C">
              <w:rPr>
                <w:rFonts w:ascii="Arial" w:hAnsi="Arial" w:cs="Arial"/>
              </w:rPr>
              <w:t xml:space="preserve">MCHC </w:t>
            </w:r>
          </w:p>
        </w:tc>
        <w:tc>
          <w:tcPr>
            <w:tcW w:w="990" w:type="dxa"/>
          </w:tcPr>
          <w:p w:rsidR="00330CF1" w:rsidRPr="00306C1C" w:rsidRDefault="00330CF1" w:rsidP="00F22295">
            <w:pPr>
              <w:jc w:val="center"/>
              <w:rPr>
                <w:rFonts w:ascii="Arial" w:hAnsi="Arial" w:cs="Arial"/>
              </w:rPr>
            </w:pPr>
            <w:r w:rsidRPr="00306C1C">
              <w:rPr>
                <w:rFonts w:ascii="Arial" w:hAnsi="Arial" w:cs="Arial"/>
              </w:rPr>
              <w:t>8</w:t>
            </w:r>
          </w:p>
        </w:tc>
        <w:tc>
          <w:tcPr>
            <w:tcW w:w="1620" w:type="dxa"/>
          </w:tcPr>
          <w:p w:rsidR="00330CF1" w:rsidRPr="00306C1C" w:rsidRDefault="00330CF1" w:rsidP="00F22295">
            <w:pPr>
              <w:jc w:val="center"/>
              <w:rPr>
                <w:rFonts w:ascii="Arial" w:hAnsi="Arial" w:cs="Arial"/>
              </w:rPr>
            </w:pPr>
            <w:r w:rsidRPr="00306C1C">
              <w:rPr>
                <w:rFonts w:ascii="Arial" w:hAnsi="Arial" w:cs="Arial"/>
              </w:rPr>
              <w:t>32.0</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4.8</w:t>
            </w:r>
          </w:p>
        </w:tc>
        <w:tc>
          <w:tcPr>
            <w:tcW w:w="1800" w:type="dxa"/>
          </w:tcPr>
          <w:p w:rsidR="00330CF1" w:rsidRPr="00306C1C" w:rsidRDefault="00330CF1" w:rsidP="00F22295">
            <w:pPr>
              <w:jc w:val="center"/>
              <w:rPr>
                <w:rFonts w:ascii="Arial" w:hAnsi="Arial" w:cs="Arial"/>
              </w:rPr>
            </w:pPr>
            <w:r>
              <w:rPr>
                <w:rFonts w:ascii="Arial" w:hAnsi="Arial" w:cs="Arial"/>
              </w:rPr>
              <w:t xml:space="preserve">29.5 ± </w:t>
            </w:r>
            <w:r w:rsidRPr="00306C1C">
              <w:rPr>
                <w:rFonts w:ascii="Arial" w:hAnsi="Arial" w:cs="Arial"/>
              </w:rPr>
              <w:t>0.</w:t>
            </w:r>
            <w:r>
              <w:rPr>
                <w:rFonts w:ascii="Arial" w:hAnsi="Arial" w:cs="Arial"/>
              </w:rPr>
              <w:t>4</w:t>
            </w:r>
          </w:p>
        </w:tc>
        <w:tc>
          <w:tcPr>
            <w:tcW w:w="1440" w:type="dxa"/>
          </w:tcPr>
          <w:p w:rsidR="00330CF1" w:rsidRPr="00306C1C" w:rsidRDefault="00330CF1" w:rsidP="00F22295">
            <w:pPr>
              <w:jc w:val="center"/>
              <w:rPr>
                <w:rFonts w:ascii="Arial" w:hAnsi="Arial" w:cs="Arial"/>
              </w:rPr>
            </w:pPr>
            <w:r w:rsidRPr="00306C1C">
              <w:rPr>
                <w:rFonts w:ascii="Arial" w:hAnsi="Arial" w:cs="Arial"/>
              </w:rPr>
              <w:t>30.8</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4.2</w:t>
            </w:r>
          </w:p>
        </w:tc>
        <w:tc>
          <w:tcPr>
            <w:tcW w:w="1620" w:type="dxa"/>
          </w:tcPr>
          <w:p w:rsidR="00330CF1" w:rsidRPr="00306C1C" w:rsidRDefault="00330CF1" w:rsidP="00F22295">
            <w:pPr>
              <w:jc w:val="center"/>
              <w:rPr>
                <w:rFonts w:ascii="Arial" w:hAnsi="Arial" w:cs="Arial"/>
              </w:rPr>
            </w:pPr>
            <w:r>
              <w:rPr>
                <w:rFonts w:ascii="Arial" w:hAnsi="Arial" w:cs="Arial"/>
              </w:rPr>
              <w:t>26.4</w:t>
            </w:r>
          </w:p>
        </w:tc>
      </w:tr>
      <w:tr w:rsidR="00330CF1" w:rsidRPr="00306C1C" w:rsidTr="00530C2E">
        <w:tc>
          <w:tcPr>
            <w:tcW w:w="1548" w:type="dxa"/>
          </w:tcPr>
          <w:p w:rsidR="00330CF1" w:rsidRPr="00306C1C" w:rsidRDefault="00330CF1" w:rsidP="00530C2E">
            <w:pPr>
              <w:rPr>
                <w:rFonts w:ascii="Arial" w:hAnsi="Arial" w:cs="Arial"/>
              </w:rPr>
            </w:pPr>
            <w:r>
              <w:rPr>
                <w:rFonts w:ascii="Arial" w:hAnsi="Arial" w:cs="Arial"/>
              </w:rPr>
              <w:t>(g/dL)</w:t>
            </w:r>
          </w:p>
        </w:tc>
        <w:tc>
          <w:tcPr>
            <w:tcW w:w="990" w:type="dxa"/>
          </w:tcPr>
          <w:p w:rsidR="00330CF1" w:rsidRPr="00306C1C" w:rsidRDefault="00330CF1" w:rsidP="00F22295">
            <w:pPr>
              <w:jc w:val="center"/>
              <w:rPr>
                <w:rFonts w:ascii="Arial" w:hAnsi="Arial" w:cs="Arial"/>
              </w:rPr>
            </w:pPr>
            <w:r w:rsidRPr="00306C1C">
              <w:rPr>
                <w:rFonts w:ascii="Arial" w:hAnsi="Arial" w:cs="Arial"/>
              </w:rPr>
              <w:t>18</w:t>
            </w:r>
          </w:p>
        </w:tc>
        <w:tc>
          <w:tcPr>
            <w:tcW w:w="1620" w:type="dxa"/>
          </w:tcPr>
          <w:p w:rsidR="00330CF1" w:rsidRPr="00306C1C" w:rsidRDefault="00330CF1" w:rsidP="00F22295">
            <w:pPr>
              <w:jc w:val="center"/>
              <w:rPr>
                <w:rFonts w:ascii="Arial" w:hAnsi="Arial" w:cs="Arial"/>
              </w:rPr>
            </w:pPr>
            <w:r w:rsidRPr="00306C1C">
              <w:rPr>
                <w:rFonts w:ascii="Arial" w:hAnsi="Arial" w:cs="Arial"/>
              </w:rPr>
              <w:t>32.0</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2.0</w:t>
            </w:r>
          </w:p>
        </w:tc>
        <w:tc>
          <w:tcPr>
            <w:tcW w:w="1800" w:type="dxa"/>
          </w:tcPr>
          <w:p w:rsidR="00330CF1" w:rsidRPr="00306C1C" w:rsidRDefault="00330CF1" w:rsidP="00F22295">
            <w:pPr>
              <w:jc w:val="center"/>
              <w:rPr>
                <w:rFonts w:ascii="Arial" w:hAnsi="Arial" w:cs="Arial"/>
              </w:rPr>
            </w:pPr>
            <w:r w:rsidRPr="00306C1C">
              <w:rPr>
                <w:rFonts w:ascii="Arial" w:hAnsi="Arial" w:cs="Arial"/>
              </w:rPr>
              <w:t>31.6</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0.8</w:t>
            </w:r>
          </w:p>
        </w:tc>
        <w:tc>
          <w:tcPr>
            <w:tcW w:w="1440" w:type="dxa"/>
          </w:tcPr>
          <w:p w:rsidR="00330CF1" w:rsidRPr="00306C1C" w:rsidRDefault="00330CF1" w:rsidP="00F22295">
            <w:pPr>
              <w:jc w:val="center"/>
              <w:rPr>
                <w:rFonts w:ascii="Arial" w:hAnsi="Arial" w:cs="Arial"/>
              </w:rPr>
            </w:pPr>
            <w:r w:rsidRPr="00306C1C">
              <w:rPr>
                <w:rFonts w:ascii="Arial" w:hAnsi="Arial" w:cs="Arial"/>
              </w:rPr>
              <w:t>31.4</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3.2</w:t>
            </w:r>
          </w:p>
        </w:tc>
        <w:tc>
          <w:tcPr>
            <w:tcW w:w="1620" w:type="dxa"/>
          </w:tcPr>
          <w:p w:rsidR="00330CF1" w:rsidRPr="00306C1C" w:rsidRDefault="00330CF1" w:rsidP="00F22295">
            <w:pPr>
              <w:jc w:val="center"/>
              <w:rPr>
                <w:rFonts w:ascii="Arial" w:hAnsi="Arial" w:cs="Arial"/>
              </w:rPr>
            </w:pPr>
            <w:r>
              <w:rPr>
                <w:rFonts w:ascii="Arial" w:hAnsi="Arial" w:cs="Arial"/>
              </w:rPr>
              <w:t>29.9</w:t>
            </w:r>
          </w:p>
        </w:tc>
      </w:tr>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c>
          <w:tcPr>
            <w:tcW w:w="1800" w:type="dxa"/>
          </w:tcPr>
          <w:p w:rsidR="00330CF1" w:rsidRPr="00306C1C" w:rsidRDefault="00330CF1" w:rsidP="00F22295">
            <w:pPr>
              <w:jc w:val="center"/>
              <w:rPr>
                <w:rFonts w:ascii="Arial" w:hAnsi="Arial" w:cs="Arial"/>
              </w:rPr>
            </w:pPr>
          </w:p>
        </w:tc>
        <w:tc>
          <w:tcPr>
            <w:tcW w:w="144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r>
      <w:tr w:rsidR="00330CF1" w:rsidRPr="00306C1C" w:rsidTr="00530C2E">
        <w:tc>
          <w:tcPr>
            <w:tcW w:w="1548" w:type="dxa"/>
          </w:tcPr>
          <w:p w:rsidR="00330CF1" w:rsidRPr="00306C1C" w:rsidRDefault="00330CF1" w:rsidP="00530C2E">
            <w:pPr>
              <w:rPr>
                <w:rFonts w:ascii="Arial" w:hAnsi="Arial" w:cs="Arial"/>
              </w:rPr>
            </w:pPr>
            <w:r w:rsidRPr="00306C1C">
              <w:rPr>
                <w:rFonts w:ascii="Arial" w:hAnsi="Arial" w:cs="Arial"/>
              </w:rPr>
              <w:t>Total WBC</w:t>
            </w:r>
          </w:p>
        </w:tc>
        <w:tc>
          <w:tcPr>
            <w:tcW w:w="990" w:type="dxa"/>
          </w:tcPr>
          <w:p w:rsidR="00330CF1" w:rsidRPr="00306C1C" w:rsidRDefault="00330CF1" w:rsidP="00F22295">
            <w:pPr>
              <w:jc w:val="center"/>
              <w:rPr>
                <w:rFonts w:ascii="Arial" w:hAnsi="Arial" w:cs="Arial"/>
              </w:rPr>
            </w:pPr>
            <w:r w:rsidRPr="00306C1C">
              <w:rPr>
                <w:rFonts w:ascii="Arial" w:hAnsi="Arial" w:cs="Arial"/>
              </w:rPr>
              <w:t>8</w:t>
            </w:r>
          </w:p>
        </w:tc>
        <w:tc>
          <w:tcPr>
            <w:tcW w:w="1620" w:type="dxa"/>
          </w:tcPr>
          <w:p w:rsidR="00330CF1" w:rsidRPr="00306C1C" w:rsidRDefault="00330CF1" w:rsidP="00F22295">
            <w:pPr>
              <w:jc w:val="center"/>
              <w:rPr>
                <w:rFonts w:ascii="Arial" w:hAnsi="Arial" w:cs="Arial"/>
              </w:rPr>
            </w:pPr>
            <w:r w:rsidRPr="00306C1C">
              <w:rPr>
                <w:rFonts w:ascii="Arial" w:hAnsi="Arial" w:cs="Arial"/>
              </w:rPr>
              <w:t>12.4</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4.3</w:t>
            </w:r>
          </w:p>
        </w:tc>
        <w:tc>
          <w:tcPr>
            <w:tcW w:w="1800" w:type="dxa"/>
          </w:tcPr>
          <w:p w:rsidR="00330CF1" w:rsidRPr="00306C1C" w:rsidRDefault="00330CF1" w:rsidP="00F22295">
            <w:pPr>
              <w:jc w:val="center"/>
              <w:rPr>
                <w:rFonts w:ascii="Arial" w:hAnsi="Arial" w:cs="Arial"/>
              </w:rPr>
            </w:pPr>
            <w:r>
              <w:rPr>
                <w:rFonts w:ascii="Arial" w:hAnsi="Arial" w:cs="Arial"/>
              </w:rPr>
              <w:t xml:space="preserve">23.68 </w:t>
            </w:r>
            <w:r w:rsidRPr="00306C1C">
              <w:rPr>
                <w:rFonts w:ascii="Arial" w:hAnsi="Arial" w:cs="Arial"/>
              </w:rPr>
              <w:t>±</w:t>
            </w:r>
            <w:r>
              <w:rPr>
                <w:rFonts w:ascii="Arial" w:hAnsi="Arial" w:cs="Arial"/>
              </w:rPr>
              <w:t xml:space="preserve"> 1.89**</w:t>
            </w:r>
          </w:p>
        </w:tc>
        <w:tc>
          <w:tcPr>
            <w:tcW w:w="1440" w:type="dxa"/>
          </w:tcPr>
          <w:p w:rsidR="00330CF1" w:rsidRPr="00306C1C" w:rsidRDefault="00330CF1" w:rsidP="00F22295">
            <w:pPr>
              <w:jc w:val="center"/>
              <w:rPr>
                <w:rFonts w:ascii="Arial" w:hAnsi="Arial" w:cs="Arial"/>
              </w:rPr>
            </w:pPr>
            <w:r w:rsidRPr="00306C1C">
              <w:rPr>
                <w:rFonts w:ascii="Arial" w:hAnsi="Arial" w:cs="Arial"/>
              </w:rPr>
              <w:t>11.8</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5.2</w:t>
            </w:r>
          </w:p>
        </w:tc>
        <w:tc>
          <w:tcPr>
            <w:tcW w:w="1620" w:type="dxa"/>
          </w:tcPr>
          <w:p w:rsidR="00330CF1" w:rsidRPr="00306C1C" w:rsidRDefault="00330CF1" w:rsidP="00F22295">
            <w:pPr>
              <w:jc w:val="center"/>
              <w:rPr>
                <w:rFonts w:ascii="Arial" w:hAnsi="Arial" w:cs="Arial"/>
              </w:rPr>
            </w:pPr>
            <w:r>
              <w:rPr>
                <w:rFonts w:ascii="Arial" w:hAnsi="Arial" w:cs="Arial"/>
              </w:rPr>
              <w:t>8.42</w:t>
            </w:r>
          </w:p>
        </w:tc>
      </w:tr>
      <w:tr w:rsidR="00330CF1" w:rsidRPr="00306C1C" w:rsidTr="00530C2E">
        <w:tc>
          <w:tcPr>
            <w:tcW w:w="1548" w:type="dxa"/>
          </w:tcPr>
          <w:p w:rsidR="00330CF1" w:rsidRPr="00306C1C" w:rsidRDefault="00330CF1" w:rsidP="00530C2E">
            <w:pPr>
              <w:rPr>
                <w:rFonts w:ascii="Arial" w:hAnsi="Arial" w:cs="Arial"/>
              </w:rPr>
            </w:pPr>
            <w:r>
              <w:rPr>
                <w:rFonts w:ascii="Arial" w:hAnsi="Arial" w:cs="Arial"/>
              </w:rPr>
              <w:t>(x 10</w:t>
            </w:r>
            <w:r>
              <w:rPr>
                <w:rFonts w:ascii="Arial" w:hAnsi="Arial" w:cs="Arial"/>
                <w:vertAlign w:val="superscript"/>
              </w:rPr>
              <w:t>3</w:t>
            </w:r>
            <w:r w:rsidRPr="00306C1C">
              <w:rPr>
                <w:rFonts w:ascii="Arial" w:hAnsi="Arial" w:cs="Arial"/>
              </w:rPr>
              <w:t>/mm</w:t>
            </w:r>
            <w:r w:rsidRPr="00306C1C">
              <w:rPr>
                <w:rFonts w:ascii="Arial" w:hAnsi="Arial" w:cs="Arial"/>
                <w:vertAlign w:val="superscript"/>
              </w:rPr>
              <w:t>3</w:t>
            </w:r>
            <w:r w:rsidRPr="00306C1C">
              <w:rPr>
                <w:rFonts w:ascii="Arial" w:hAnsi="Arial" w:cs="Arial"/>
              </w:rPr>
              <w:t>)</w:t>
            </w:r>
          </w:p>
        </w:tc>
        <w:tc>
          <w:tcPr>
            <w:tcW w:w="990" w:type="dxa"/>
          </w:tcPr>
          <w:p w:rsidR="00330CF1" w:rsidRPr="00306C1C" w:rsidRDefault="00330CF1" w:rsidP="00F22295">
            <w:pPr>
              <w:jc w:val="center"/>
              <w:rPr>
                <w:rFonts w:ascii="Arial" w:hAnsi="Arial" w:cs="Arial"/>
              </w:rPr>
            </w:pPr>
            <w:r w:rsidRPr="00306C1C">
              <w:rPr>
                <w:rFonts w:ascii="Arial" w:hAnsi="Arial" w:cs="Arial"/>
              </w:rPr>
              <w:t>18</w:t>
            </w:r>
          </w:p>
        </w:tc>
        <w:tc>
          <w:tcPr>
            <w:tcW w:w="1620" w:type="dxa"/>
          </w:tcPr>
          <w:p w:rsidR="00330CF1" w:rsidRPr="00306C1C" w:rsidRDefault="00330CF1" w:rsidP="00F22295">
            <w:pPr>
              <w:jc w:val="center"/>
              <w:rPr>
                <w:rFonts w:ascii="Arial" w:hAnsi="Arial" w:cs="Arial"/>
              </w:rPr>
            </w:pPr>
            <w:r w:rsidRPr="00306C1C">
              <w:rPr>
                <w:rFonts w:ascii="Arial" w:hAnsi="Arial" w:cs="Arial"/>
              </w:rPr>
              <w:t>15.9</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6.0</w:t>
            </w:r>
          </w:p>
        </w:tc>
        <w:tc>
          <w:tcPr>
            <w:tcW w:w="1800" w:type="dxa"/>
          </w:tcPr>
          <w:p w:rsidR="00330CF1" w:rsidRPr="00306C1C" w:rsidRDefault="00330CF1" w:rsidP="00F22295">
            <w:pPr>
              <w:jc w:val="center"/>
              <w:rPr>
                <w:rFonts w:ascii="Arial" w:hAnsi="Arial" w:cs="Arial"/>
              </w:rPr>
            </w:pPr>
            <w:r w:rsidRPr="00306C1C">
              <w:rPr>
                <w:rFonts w:ascii="Arial" w:hAnsi="Arial" w:cs="Arial"/>
              </w:rPr>
              <w:t>19.70</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1.12**</w:t>
            </w:r>
          </w:p>
        </w:tc>
        <w:tc>
          <w:tcPr>
            <w:tcW w:w="1440" w:type="dxa"/>
          </w:tcPr>
          <w:p w:rsidR="00330CF1" w:rsidRPr="00306C1C" w:rsidRDefault="00330CF1" w:rsidP="00F22295">
            <w:pPr>
              <w:jc w:val="center"/>
              <w:rPr>
                <w:rFonts w:ascii="Arial" w:hAnsi="Arial" w:cs="Arial"/>
              </w:rPr>
            </w:pPr>
            <w:r w:rsidRPr="00306C1C">
              <w:rPr>
                <w:rFonts w:ascii="Arial" w:hAnsi="Arial" w:cs="Arial"/>
              </w:rPr>
              <w:t>11.9</w:t>
            </w:r>
            <w:r>
              <w:rPr>
                <w:rFonts w:ascii="Arial" w:hAnsi="Arial" w:cs="Arial"/>
              </w:rPr>
              <w:t xml:space="preserve"> </w:t>
            </w:r>
            <w:r w:rsidRPr="00306C1C">
              <w:rPr>
                <w:rFonts w:ascii="Arial" w:hAnsi="Arial" w:cs="Arial"/>
              </w:rPr>
              <w:t>±</w:t>
            </w:r>
            <w:r>
              <w:rPr>
                <w:rFonts w:ascii="Arial" w:hAnsi="Arial" w:cs="Arial"/>
              </w:rPr>
              <w:t xml:space="preserve"> </w:t>
            </w:r>
            <w:r w:rsidRPr="00306C1C">
              <w:rPr>
                <w:rFonts w:ascii="Arial" w:hAnsi="Arial" w:cs="Arial"/>
              </w:rPr>
              <w:t>7.1</w:t>
            </w:r>
          </w:p>
        </w:tc>
        <w:tc>
          <w:tcPr>
            <w:tcW w:w="1620" w:type="dxa"/>
          </w:tcPr>
          <w:p w:rsidR="00330CF1" w:rsidRPr="00306C1C" w:rsidRDefault="00330CF1" w:rsidP="00F22295">
            <w:pPr>
              <w:jc w:val="center"/>
              <w:rPr>
                <w:rFonts w:ascii="Arial" w:hAnsi="Arial" w:cs="Arial"/>
              </w:rPr>
            </w:pPr>
            <w:r>
              <w:rPr>
                <w:rFonts w:ascii="Arial" w:hAnsi="Arial" w:cs="Arial"/>
              </w:rPr>
              <w:t>9.36</w:t>
            </w:r>
          </w:p>
        </w:tc>
      </w:tr>
      <w:tr w:rsidR="00330CF1" w:rsidRPr="00306C1C" w:rsidTr="00530C2E">
        <w:tc>
          <w:tcPr>
            <w:tcW w:w="1548" w:type="dxa"/>
          </w:tcPr>
          <w:p w:rsidR="00330CF1" w:rsidRPr="00306C1C" w:rsidRDefault="00330CF1" w:rsidP="00530C2E">
            <w:pPr>
              <w:rPr>
                <w:rFonts w:ascii="Arial" w:hAnsi="Arial" w:cs="Arial"/>
              </w:rPr>
            </w:pPr>
          </w:p>
        </w:tc>
        <w:tc>
          <w:tcPr>
            <w:tcW w:w="99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c>
          <w:tcPr>
            <w:tcW w:w="1800" w:type="dxa"/>
          </w:tcPr>
          <w:p w:rsidR="00330CF1" w:rsidRPr="00306C1C" w:rsidRDefault="00330CF1" w:rsidP="00F22295">
            <w:pPr>
              <w:jc w:val="center"/>
              <w:rPr>
                <w:rFonts w:ascii="Arial" w:hAnsi="Arial" w:cs="Arial"/>
              </w:rPr>
            </w:pPr>
          </w:p>
        </w:tc>
        <w:tc>
          <w:tcPr>
            <w:tcW w:w="1440" w:type="dxa"/>
          </w:tcPr>
          <w:p w:rsidR="00330CF1" w:rsidRPr="00306C1C" w:rsidRDefault="00330CF1" w:rsidP="00F22295">
            <w:pPr>
              <w:jc w:val="center"/>
              <w:rPr>
                <w:rFonts w:ascii="Arial" w:hAnsi="Arial" w:cs="Arial"/>
              </w:rPr>
            </w:pPr>
          </w:p>
        </w:tc>
        <w:tc>
          <w:tcPr>
            <w:tcW w:w="1620" w:type="dxa"/>
          </w:tcPr>
          <w:p w:rsidR="00330CF1" w:rsidRPr="00306C1C" w:rsidRDefault="00330CF1" w:rsidP="00F22295">
            <w:pPr>
              <w:jc w:val="center"/>
              <w:rPr>
                <w:rFonts w:ascii="Arial" w:hAnsi="Arial" w:cs="Arial"/>
              </w:rPr>
            </w:pPr>
          </w:p>
        </w:tc>
      </w:tr>
      <w:tr w:rsidR="00330CF1" w:rsidRPr="00306C1C" w:rsidTr="00530C2E">
        <w:tc>
          <w:tcPr>
            <w:tcW w:w="1548" w:type="dxa"/>
          </w:tcPr>
          <w:p w:rsidR="00330CF1" w:rsidRPr="00306C1C" w:rsidRDefault="00330CF1" w:rsidP="00530C2E">
            <w:pPr>
              <w:rPr>
                <w:rFonts w:ascii="Arial" w:hAnsi="Arial" w:cs="Arial"/>
              </w:rPr>
            </w:pPr>
            <w:r w:rsidRPr="00306C1C">
              <w:rPr>
                <w:rFonts w:ascii="Arial" w:hAnsi="Arial" w:cs="Arial"/>
              </w:rPr>
              <w:t>Neutrophils</w:t>
            </w:r>
          </w:p>
        </w:tc>
        <w:tc>
          <w:tcPr>
            <w:tcW w:w="990" w:type="dxa"/>
          </w:tcPr>
          <w:p w:rsidR="00330CF1" w:rsidRPr="00306C1C" w:rsidRDefault="00330CF1" w:rsidP="00F22295">
            <w:pPr>
              <w:jc w:val="center"/>
              <w:rPr>
                <w:rFonts w:ascii="Arial" w:hAnsi="Arial" w:cs="Arial"/>
              </w:rPr>
            </w:pPr>
            <w:r w:rsidRPr="00306C1C">
              <w:rPr>
                <w:rFonts w:ascii="Arial" w:hAnsi="Arial" w:cs="Arial"/>
              </w:rPr>
              <w:t>8</w:t>
            </w:r>
          </w:p>
        </w:tc>
        <w:tc>
          <w:tcPr>
            <w:tcW w:w="1620" w:type="dxa"/>
          </w:tcPr>
          <w:p w:rsidR="00330CF1" w:rsidRPr="00306C1C" w:rsidRDefault="00330CF1" w:rsidP="00F22295">
            <w:pPr>
              <w:jc w:val="center"/>
              <w:rPr>
                <w:rFonts w:ascii="Arial" w:hAnsi="Arial" w:cs="Arial"/>
              </w:rPr>
            </w:pPr>
            <w:r>
              <w:rPr>
                <w:rFonts w:ascii="Arial" w:hAnsi="Arial" w:cs="Arial"/>
              </w:rPr>
              <w:t>6.94 ± 0.68</w:t>
            </w:r>
          </w:p>
        </w:tc>
        <w:tc>
          <w:tcPr>
            <w:tcW w:w="1800" w:type="dxa"/>
          </w:tcPr>
          <w:p w:rsidR="00330CF1" w:rsidRPr="00306C1C" w:rsidRDefault="00330CF1" w:rsidP="00F22295">
            <w:pPr>
              <w:jc w:val="center"/>
              <w:rPr>
                <w:rFonts w:ascii="Arial" w:hAnsi="Arial" w:cs="Arial"/>
              </w:rPr>
            </w:pPr>
            <w:r>
              <w:rPr>
                <w:rFonts w:ascii="Arial" w:hAnsi="Arial" w:cs="Arial"/>
              </w:rPr>
              <w:t>11.00 ± 1.41</w:t>
            </w:r>
          </w:p>
        </w:tc>
        <w:tc>
          <w:tcPr>
            <w:tcW w:w="1440" w:type="dxa"/>
          </w:tcPr>
          <w:p w:rsidR="00330CF1" w:rsidRPr="00306C1C" w:rsidRDefault="00330CF1" w:rsidP="00F22295">
            <w:pPr>
              <w:jc w:val="center"/>
              <w:rPr>
                <w:rFonts w:ascii="Arial" w:hAnsi="Arial" w:cs="Arial"/>
              </w:rPr>
            </w:pPr>
            <w:r>
              <w:rPr>
                <w:rFonts w:ascii="Arial" w:hAnsi="Arial" w:cs="Arial"/>
              </w:rPr>
              <w:t>No Data</w:t>
            </w:r>
          </w:p>
        </w:tc>
        <w:tc>
          <w:tcPr>
            <w:tcW w:w="1620" w:type="dxa"/>
          </w:tcPr>
          <w:p w:rsidR="00330CF1" w:rsidRPr="00306C1C" w:rsidRDefault="00330CF1" w:rsidP="00F22295">
            <w:pPr>
              <w:jc w:val="center"/>
              <w:rPr>
                <w:rFonts w:ascii="Arial" w:hAnsi="Arial" w:cs="Arial"/>
              </w:rPr>
            </w:pPr>
            <w:r>
              <w:rPr>
                <w:rFonts w:ascii="Arial" w:hAnsi="Arial" w:cs="Arial"/>
              </w:rPr>
              <w:t>No Data</w:t>
            </w:r>
          </w:p>
        </w:tc>
      </w:tr>
      <w:tr w:rsidR="00330CF1" w:rsidRPr="00306C1C" w:rsidTr="00530C2E">
        <w:tc>
          <w:tcPr>
            <w:tcW w:w="1548" w:type="dxa"/>
          </w:tcPr>
          <w:p w:rsidR="00330CF1" w:rsidRPr="00306C1C" w:rsidRDefault="00330CF1" w:rsidP="00530C2E">
            <w:pPr>
              <w:rPr>
                <w:rFonts w:ascii="Arial" w:hAnsi="Arial" w:cs="Arial"/>
              </w:rPr>
            </w:pPr>
            <w:r>
              <w:rPr>
                <w:rFonts w:ascii="Arial" w:hAnsi="Arial" w:cs="Arial"/>
              </w:rPr>
              <w:t>(x 10</w:t>
            </w:r>
            <w:r>
              <w:rPr>
                <w:rFonts w:ascii="Arial" w:hAnsi="Arial" w:cs="Arial"/>
                <w:vertAlign w:val="superscript"/>
              </w:rPr>
              <w:t>3</w:t>
            </w:r>
            <w:r w:rsidRPr="00306C1C">
              <w:rPr>
                <w:rFonts w:ascii="Arial" w:hAnsi="Arial" w:cs="Arial"/>
              </w:rPr>
              <w:t>/mm</w:t>
            </w:r>
            <w:r w:rsidRPr="00306C1C">
              <w:rPr>
                <w:rFonts w:ascii="Arial" w:hAnsi="Arial" w:cs="Arial"/>
                <w:vertAlign w:val="superscript"/>
              </w:rPr>
              <w:t>3</w:t>
            </w:r>
            <w:r w:rsidRPr="00306C1C">
              <w:rPr>
                <w:rFonts w:ascii="Arial" w:hAnsi="Arial" w:cs="Arial"/>
              </w:rPr>
              <w:t>)</w:t>
            </w:r>
          </w:p>
        </w:tc>
        <w:tc>
          <w:tcPr>
            <w:tcW w:w="990" w:type="dxa"/>
          </w:tcPr>
          <w:p w:rsidR="00330CF1" w:rsidRPr="00306C1C" w:rsidRDefault="00330CF1" w:rsidP="00F22295">
            <w:pPr>
              <w:jc w:val="center"/>
              <w:rPr>
                <w:rFonts w:ascii="Arial" w:hAnsi="Arial" w:cs="Arial"/>
              </w:rPr>
            </w:pPr>
            <w:r>
              <w:rPr>
                <w:rFonts w:ascii="Arial" w:hAnsi="Arial" w:cs="Arial"/>
              </w:rPr>
              <w:t>18</w:t>
            </w:r>
          </w:p>
        </w:tc>
        <w:tc>
          <w:tcPr>
            <w:tcW w:w="1620" w:type="dxa"/>
          </w:tcPr>
          <w:p w:rsidR="00330CF1" w:rsidRPr="00306C1C" w:rsidRDefault="00330CF1" w:rsidP="00F22295">
            <w:pPr>
              <w:jc w:val="center"/>
              <w:rPr>
                <w:rFonts w:ascii="Arial" w:hAnsi="Arial" w:cs="Arial"/>
              </w:rPr>
            </w:pPr>
            <w:r>
              <w:rPr>
                <w:rFonts w:ascii="Arial" w:hAnsi="Arial" w:cs="Arial"/>
              </w:rPr>
              <w:t>9.54 ± 0.48</w:t>
            </w:r>
          </w:p>
        </w:tc>
        <w:tc>
          <w:tcPr>
            <w:tcW w:w="1800" w:type="dxa"/>
          </w:tcPr>
          <w:p w:rsidR="00330CF1" w:rsidRPr="00306C1C" w:rsidRDefault="00330CF1" w:rsidP="00F22295">
            <w:pPr>
              <w:jc w:val="center"/>
              <w:rPr>
                <w:rFonts w:ascii="Arial" w:hAnsi="Arial" w:cs="Arial"/>
              </w:rPr>
            </w:pPr>
            <w:r>
              <w:rPr>
                <w:rFonts w:ascii="Arial" w:hAnsi="Arial" w:cs="Arial"/>
              </w:rPr>
              <w:t>9.74 ± 0.92</w:t>
            </w:r>
          </w:p>
        </w:tc>
        <w:tc>
          <w:tcPr>
            <w:tcW w:w="1440" w:type="dxa"/>
          </w:tcPr>
          <w:p w:rsidR="00330CF1" w:rsidRDefault="00330CF1" w:rsidP="00F22295">
            <w:pPr>
              <w:jc w:val="center"/>
              <w:rPr>
                <w:rFonts w:ascii="Arial" w:hAnsi="Arial" w:cs="Arial"/>
              </w:rPr>
            </w:pPr>
            <w:r>
              <w:rPr>
                <w:rFonts w:ascii="Arial" w:hAnsi="Arial" w:cs="Arial"/>
              </w:rPr>
              <w:t>No Data</w:t>
            </w:r>
          </w:p>
        </w:tc>
        <w:tc>
          <w:tcPr>
            <w:tcW w:w="1620" w:type="dxa"/>
          </w:tcPr>
          <w:p w:rsidR="00330CF1" w:rsidRDefault="00330CF1" w:rsidP="00F22295">
            <w:pPr>
              <w:jc w:val="center"/>
              <w:rPr>
                <w:rFonts w:ascii="Arial" w:hAnsi="Arial" w:cs="Arial"/>
              </w:rPr>
            </w:pPr>
            <w:r>
              <w:rPr>
                <w:rFonts w:ascii="Arial" w:hAnsi="Arial" w:cs="Arial"/>
              </w:rPr>
              <w:t>No Data</w:t>
            </w:r>
          </w:p>
        </w:tc>
      </w:tr>
    </w:tbl>
    <w:p w:rsidR="00330CF1" w:rsidRDefault="00330CF1" w:rsidP="00530C2E">
      <w:pPr>
        <w:rPr>
          <w:rFonts w:ascii="Arial" w:hAnsi="Arial" w:cs="Arial"/>
          <w:sz w:val="22"/>
          <w:szCs w:val="22"/>
        </w:rPr>
      </w:pPr>
    </w:p>
    <w:p w:rsidR="00330CF1" w:rsidRPr="000D141B" w:rsidRDefault="00330CF1" w:rsidP="00530C2E">
      <w:pPr>
        <w:rPr>
          <w:rFonts w:ascii="Arial" w:hAnsi="Arial" w:cs="Arial"/>
        </w:rPr>
      </w:pPr>
      <w:r w:rsidRPr="000D141B">
        <w:rPr>
          <w:rFonts w:ascii="Arial" w:hAnsi="Arial" w:cs="Arial"/>
        </w:rPr>
        <w:t xml:space="preserve">NOTE: *Data expressed as mean ± one standard deviation, **Data expressed as mean ± one standard error of the mean, ***Data expressed only as mean. </w:t>
      </w:r>
    </w:p>
    <w:p w:rsidR="00330CF1" w:rsidRPr="000D141B" w:rsidRDefault="00330CF1" w:rsidP="00530C2E">
      <w:pPr>
        <w:autoSpaceDE w:val="0"/>
        <w:autoSpaceDN w:val="0"/>
        <w:adjustRightInd w:val="0"/>
        <w:ind w:left="720" w:hanging="720"/>
        <w:rPr>
          <w:rFonts w:ascii="Arial" w:hAnsi="Arial" w:cs="Arial"/>
        </w:rPr>
      </w:pPr>
      <w:r w:rsidRPr="000D141B">
        <w:rPr>
          <w:rFonts w:ascii="Arial" w:hAnsi="Arial" w:cs="Arial"/>
          <w:b/>
          <w:i/>
        </w:rPr>
        <w:t>Sources</w:t>
      </w:r>
      <w:r w:rsidRPr="000D141B">
        <w:rPr>
          <w:rFonts w:ascii="Arial" w:hAnsi="Arial" w:cs="Arial"/>
        </w:rPr>
        <w:t xml:space="preserve">: Adapted from: 1. Earle, KE, et al., Haematology of the weanling, juvenile and adult cat. </w:t>
      </w:r>
      <w:r w:rsidRPr="000D141B">
        <w:rPr>
          <w:rFonts w:ascii="Arial" w:hAnsi="Arial" w:cs="Arial"/>
          <w:i/>
        </w:rPr>
        <w:t xml:space="preserve">J Small Anim Pract, </w:t>
      </w:r>
      <w:r w:rsidRPr="000D141B">
        <w:rPr>
          <w:rFonts w:ascii="Arial" w:hAnsi="Arial" w:cs="Arial"/>
        </w:rPr>
        <w:t xml:space="preserve">1990. 31(5): p. 225-228. 2. Anderson, L, et al., Hematological values in normal cats from four weeks to one year of age.  </w:t>
      </w:r>
      <w:r w:rsidRPr="000D141B">
        <w:rPr>
          <w:rFonts w:ascii="Arial" w:hAnsi="Arial" w:cs="Arial"/>
          <w:i/>
        </w:rPr>
        <w:t>Res Vet Sci</w:t>
      </w:r>
      <w:r w:rsidRPr="000D141B">
        <w:rPr>
          <w:rFonts w:ascii="Arial" w:hAnsi="Arial" w:cs="Arial"/>
        </w:rPr>
        <w:t xml:space="preserve">, 1971. </w:t>
      </w:r>
      <w:r w:rsidRPr="000D141B">
        <w:rPr>
          <w:rFonts w:ascii="Arial" w:hAnsi="Arial" w:cs="Arial"/>
          <w:b/>
          <w:bCs/>
        </w:rPr>
        <w:t>12</w:t>
      </w:r>
      <w:r w:rsidRPr="000D141B">
        <w:rPr>
          <w:rFonts w:ascii="Arial" w:hAnsi="Arial" w:cs="Arial"/>
        </w:rPr>
        <w:t xml:space="preserve">(6): p. 579-583.. 3. </w:t>
      </w:r>
      <w:r w:rsidRPr="00F74600">
        <w:rPr>
          <w:rFonts w:ascii="Arial" w:hAnsi="Arial" w:cs="Arial"/>
        </w:rPr>
        <w:t xml:space="preserve">Jain, N.C., </w:t>
      </w:r>
      <w:r w:rsidRPr="00F74600">
        <w:rPr>
          <w:rFonts w:ascii="Arial" w:hAnsi="Arial" w:cs="Arial"/>
          <w:i/>
          <w:iCs/>
        </w:rPr>
        <w:t>The Cat: Normal Hematology with Comments on Response to Disease</w:t>
      </w:r>
      <w:r w:rsidRPr="00F74600">
        <w:rPr>
          <w:rFonts w:ascii="Arial" w:hAnsi="Arial" w:cs="Arial"/>
        </w:rPr>
        <w:t xml:space="preserve">, in </w:t>
      </w:r>
      <w:r w:rsidRPr="00F74600">
        <w:rPr>
          <w:rFonts w:ascii="Arial" w:hAnsi="Arial" w:cs="Arial"/>
          <w:iCs/>
          <w:u w:val="single"/>
        </w:rPr>
        <w:t>Schalm's Veterinary</w:t>
      </w:r>
      <w:r w:rsidRPr="00F74600">
        <w:rPr>
          <w:rFonts w:ascii="Arial" w:hAnsi="Arial" w:cs="Arial"/>
          <w:i/>
          <w:iCs/>
        </w:rPr>
        <w:t xml:space="preserve"> </w:t>
      </w:r>
      <w:r w:rsidRPr="00F74600">
        <w:rPr>
          <w:rFonts w:ascii="Arial" w:hAnsi="Arial" w:cs="Arial"/>
          <w:iCs/>
          <w:u w:val="single"/>
        </w:rPr>
        <w:t xml:space="preserve">Hematology, </w:t>
      </w:r>
      <w:r w:rsidRPr="00F74600">
        <w:rPr>
          <w:rFonts w:ascii="Arial" w:hAnsi="Arial" w:cs="Arial"/>
        </w:rPr>
        <w:t>N.C. Jain, Editor 1986. p 128.</w:t>
      </w:r>
    </w:p>
    <w:p w:rsidR="00330CF1" w:rsidRPr="000D141B" w:rsidRDefault="00330CF1" w:rsidP="00530C2E">
      <w:pPr>
        <w:rPr>
          <w:rFonts w:ascii="Arial" w:hAnsi="Arial" w:cs="Arial"/>
        </w:rPr>
      </w:pPr>
    </w:p>
    <w:p w:rsidR="00330CF1" w:rsidRDefault="00330CF1" w:rsidP="00530C2E">
      <w:pPr>
        <w:rPr>
          <w:rFonts w:ascii="Arial" w:hAnsi="Arial" w:cs="Arial"/>
          <w:sz w:val="22"/>
          <w:szCs w:val="22"/>
        </w:rPr>
      </w:pPr>
    </w:p>
    <w:p w:rsidR="00330CF1" w:rsidRDefault="00330CF1" w:rsidP="00530C2E">
      <w:pPr>
        <w:rPr>
          <w:rFonts w:ascii="Arial" w:hAnsi="Arial" w:cs="Arial"/>
          <w:sz w:val="22"/>
          <w:szCs w:val="22"/>
        </w:rPr>
      </w:pPr>
    </w:p>
    <w:p w:rsidR="00330CF1" w:rsidRDefault="00330CF1" w:rsidP="00530C2E">
      <w:pPr>
        <w:rPr>
          <w:rFonts w:ascii="Arial" w:hAnsi="Arial" w:cs="Arial"/>
          <w:sz w:val="22"/>
          <w:szCs w:val="22"/>
        </w:rPr>
      </w:pPr>
    </w:p>
    <w:p w:rsidR="00330CF1" w:rsidRDefault="00330CF1" w:rsidP="00530C2E">
      <w:pPr>
        <w:rPr>
          <w:rFonts w:ascii="Arial" w:hAnsi="Arial" w:cs="Arial"/>
          <w:sz w:val="22"/>
          <w:szCs w:val="22"/>
        </w:rPr>
      </w:pPr>
    </w:p>
    <w:p w:rsidR="00330CF1" w:rsidRDefault="00330CF1" w:rsidP="00530C2E">
      <w:pPr>
        <w:rPr>
          <w:rFonts w:ascii="Arial" w:hAnsi="Arial" w:cs="Arial"/>
          <w:sz w:val="22"/>
          <w:szCs w:val="22"/>
        </w:rPr>
      </w:pPr>
    </w:p>
    <w:p w:rsidR="00330CF1" w:rsidRDefault="00330CF1" w:rsidP="00530C2E">
      <w:pPr>
        <w:rPr>
          <w:rFonts w:ascii="Arial" w:hAnsi="Arial" w:cs="Arial"/>
          <w:sz w:val="22"/>
          <w:szCs w:val="22"/>
        </w:rPr>
      </w:pPr>
    </w:p>
    <w:p w:rsidR="00330CF1" w:rsidRDefault="00330CF1" w:rsidP="00E36871">
      <w:pPr>
        <w:jc w:val="center"/>
        <w:rPr>
          <w:rFonts w:ascii="Arial" w:hAnsi="Arial" w:cs="Arial"/>
        </w:rPr>
      </w:pPr>
      <w:r w:rsidRPr="00BA6850">
        <w:rPr>
          <w:rFonts w:ascii="Arial" w:hAnsi="Arial" w:cs="Arial"/>
          <w:b/>
        </w:rPr>
        <w:t>Table 1.5</w:t>
      </w:r>
      <w:r>
        <w:rPr>
          <w:rFonts w:ascii="Arial" w:hAnsi="Arial" w:cs="Arial"/>
        </w:rPr>
        <w:t xml:space="preserve"> Comparison of serum biochemistry values in published literature</w:t>
      </w:r>
    </w:p>
    <w:p w:rsidR="00330CF1" w:rsidRDefault="00330CF1" w:rsidP="00E36871">
      <w:pPr>
        <w:jc w:val="center"/>
        <w:rPr>
          <w:rFonts w:ascii="Arial" w:hAnsi="Arial" w:cs="Arial"/>
        </w:rPr>
      </w:pPr>
      <w:r>
        <w:rPr>
          <w:rFonts w:ascii="Arial" w:hAnsi="Arial" w:cs="Arial"/>
        </w:rPr>
        <w:t xml:space="preserve"> for 7- to 20-week old kittens</w:t>
      </w:r>
    </w:p>
    <w:p w:rsidR="00330CF1" w:rsidRDefault="00330CF1" w:rsidP="00590609">
      <w:pPr>
        <w:jc w:val="center"/>
        <w:rPr>
          <w:rFonts w:ascii="Arial" w:hAnsi="Arial" w:cs="Arial"/>
        </w:rPr>
      </w:pPr>
    </w:p>
    <w:tbl>
      <w:tblPr>
        <w:tblW w:w="873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2070"/>
        <w:gridCol w:w="2520"/>
        <w:gridCol w:w="2250"/>
      </w:tblGrid>
      <w:tr w:rsidR="00330CF1" w:rsidRPr="007800DA" w:rsidTr="00960AB6">
        <w:tc>
          <w:tcPr>
            <w:tcW w:w="1890" w:type="dxa"/>
          </w:tcPr>
          <w:p w:rsidR="00330CF1" w:rsidRPr="007800DA" w:rsidRDefault="00330CF1" w:rsidP="006331DA">
            <w:pPr>
              <w:rPr>
                <w:rFonts w:ascii="Arial" w:hAnsi="Arial" w:cs="Arial"/>
              </w:rPr>
            </w:pPr>
          </w:p>
        </w:tc>
        <w:tc>
          <w:tcPr>
            <w:tcW w:w="2070" w:type="dxa"/>
          </w:tcPr>
          <w:p w:rsidR="00330CF1" w:rsidRPr="007800DA" w:rsidRDefault="00330CF1" w:rsidP="00A80C58">
            <w:pPr>
              <w:jc w:val="center"/>
              <w:rPr>
                <w:rFonts w:ascii="Arial" w:hAnsi="Arial" w:cs="Arial"/>
              </w:rPr>
            </w:pPr>
            <w:r w:rsidRPr="007800DA">
              <w:rPr>
                <w:rFonts w:ascii="Arial" w:hAnsi="Arial" w:cs="Arial"/>
              </w:rPr>
              <w:t>Age of Kittens</w:t>
            </w:r>
          </w:p>
          <w:p w:rsidR="00330CF1" w:rsidRPr="007800DA" w:rsidRDefault="00330CF1" w:rsidP="00A80C58">
            <w:pPr>
              <w:jc w:val="center"/>
              <w:rPr>
                <w:rFonts w:ascii="Arial" w:hAnsi="Arial" w:cs="Arial"/>
              </w:rPr>
            </w:pPr>
            <w:r w:rsidRPr="007800DA">
              <w:rPr>
                <w:rFonts w:ascii="Arial" w:hAnsi="Arial" w:cs="Arial"/>
              </w:rPr>
              <w:t>(weeks)</w:t>
            </w:r>
          </w:p>
        </w:tc>
        <w:tc>
          <w:tcPr>
            <w:tcW w:w="2520" w:type="dxa"/>
          </w:tcPr>
          <w:p w:rsidR="00330CF1" w:rsidRPr="007800DA" w:rsidRDefault="00330CF1" w:rsidP="00A80C58">
            <w:pPr>
              <w:jc w:val="center"/>
              <w:rPr>
                <w:rFonts w:ascii="Arial" w:hAnsi="Arial" w:cs="Arial"/>
              </w:rPr>
            </w:pPr>
            <w:r w:rsidRPr="007800DA">
              <w:rPr>
                <w:rFonts w:ascii="Arial" w:hAnsi="Arial" w:cs="Arial"/>
              </w:rPr>
              <w:t>Chandler</w:t>
            </w:r>
            <w:r>
              <w:rPr>
                <w:rFonts w:ascii="Arial" w:hAnsi="Arial" w:cs="Arial"/>
              </w:rPr>
              <w:t>*</w:t>
            </w:r>
          </w:p>
          <w:p w:rsidR="00330CF1" w:rsidRPr="007800DA" w:rsidRDefault="00330CF1" w:rsidP="00A80C58">
            <w:pPr>
              <w:jc w:val="center"/>
              <w:rPr>
                <w:rFonts w:ascii="Arial" w:hAnsi="Arial" w:cs="Arial"/>
              </w:rPr>
            </w:pPr>
            <w:r w:rsidRPr="007800DA">
              <w:rPr>
                <w:rFonts w:ascii="Arial" w:hAnsi="Arial" w:cs="Arial"/>
              </w:rPr>
              <w:t>(1992)</w:t>
            </w:r>
          </w:p>
        </w:tc>
        <w:tc>
          <w:tcPr>
            <w:tcW w:w="2250" w:type="dxa"/>
          </w:tcPr>
          <w:p w:rsidR="00330CF1" w:rsidRPr="007800DA" w:rsidRDefault="00330CF1" w:rsidP="00A80C58">
            <w:pPr>
              <w:jc w:val="center"/>
              <w:rPr>
                <w:rFonts w:ascii="Arial" w:hAnsi="Arial" w:cs="Arial"/>
              </w:rPr>
            </w:pPr>
            <w:r w:rsidRPr="007800DA">
              <w:rPr>
                <w:rFonts w:ascii="Arial" w:hAnsi="Arial" w:cs="Arial"/>
              </w:rPr>
              <w:t>Levy</w:t>
            </w:r>
            <w:r>
              <w:rPr>
                <w:rFonts w:ascii="Arial" w:hAnsi="Arial" w:cs="Arial"/>
              </w:rPr>
              <w:t>**</w:t>
            </w:r>
          </w:p>
          <w:p w:rsidR="00330CF1" w:rsidRPr="007800DA" w:rsidRDefault="00330CF1" w:rsidP="00A80C58">
            <w:pPr>
              <w:jc w:val="center"/>
              <w:rPr>
                <w:rFonts w:ascii="Arial" w:hAnsi="Arial" w:cs="Arial"/>
              </w:rPr>
            </w:pPr>
            <w:r w:rsidRPr="007800DA">
              <w:rPr>
                <w:rFonts w:ascii="Arial" w:hAnsi="Arial" w:cs="Arial"/>
              </w:rPr>
              <w:t>(2006)</w:t>
            </w: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BUN</w:t>
            </w:r>
          </w:p>
        </w:tc>
        <w:tc>
          <w:tcPr>
            <w:tcW w:w="2070" w:type="dxa"/>
          </w:tcPr>
          <w:p w:rsidR="00330CF1" w:rsidRPr="007800DA" w:rsidRDefault="00330CF1" w:rsidP="00F22295">
            <w:pPr>
              <w:jc w:val="center"/>
              <w:rPr>
                <w:rFonts w:ascii="Arial" w:hAnsi="Arial" w:cs="Arial"/>
              </w:rPr>
            </w:pPr>
            <w:r w:rsidRPr="007800DA">
              <w:rPr>
                <w:rFonts w:ascii="Arial" w:hAnsi="Arial" w:cs="Arial"/>
              </w:rPr>
              <w:t>7-12</w:t>
            </w:r>
          </w:p>
        </w:tc>
        <w:tc>
          <w:tcPr>
            <w:tcW w:w="2520" w:type="dxa"/>
          </w:tcPr>
          <w:p w:rsidR="00330CF1" w:rsidRPr="007800DA" w:rsidRDefault="00330CF1" w:rsidP="00F22295">
            <w:pPr>
              <w:jc w:val="center"/>
              <w:rPr>
                <w:rFonts w:ascii="Arial" w:hAnsi="Arial" w:cs="Arial"/>
              </w:rPr>
            </w:pPr>
            <w:r w:rsidRPr="007800DA">
              <w:rPr>
                <w:rFonts w:ascii="Arial" w:hAnsi="Arial" w:cs="Arial"/>
              </w:rPr>
              <w:t>31 (25-38)</w:t>
            </w:r>
          </w:p>
        </w:tc>
        <w:tc>
          <w:tcPr>
            <w:tcW w:w="2250" w:type="dxa"/>
          </w:tcPr>
          <w:p w:rsidR="00330CF1" w:rsidRPr="007800DA" w:rsidRDefault="00330CF1" w:rsidP="00F22295">
            <w:pPr>
              <w:jc w:val="center"/>
              <w:rPr>
                <w:rFonts w:ascii="Arial" w:hAnsi="Arial" w:cs="Arial"/>
              </w:rPr>
            </w:pPr>
            <w:r w:rsidRPr="007800DA">
              <w:rPr>
                <w:rFonts w:ascii="Arial" w:hAnsi="Arial" w:cs="Arial"/>
              </w:rPr>
              <w:t>16-33</w:t>
            </w: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(mg/dL)</w:t>
            </w:r>
          </w:p>
        </w:tc>
        <w:tc>
          <w:tcPr>
            <w:tcW w:w="2070" w:type="dxa"/>
          </w:tcPr>
          <w:p w:rsidR="00330CF1" w:rsidRPr="007800DA" w:rsidRDefault="00330CF1" w:rsidP="00F22295">
            <w:pPr>
              <w:jc w:val="center"/>
              <w:rPr>
                <w:rFonts w:ascii="Arial" w:hAnsi="Arial" w:cs="Arial"/>
              </w:rPr>
            </w:pPr>
            <w:r w:rsidRPr="007800DA">
              <w:rPr>
                <w:rFonts w:ascii="Arial" w:hAnsi="Arial" w:cs="Arial"/>
              </w:rPr>
              <w:t>12-20</w:t>
            </w:r>
          </w:p>
        </w:tc>
        <w:tc>
          <w:tcPr>
            <w:tcW w:w="2520" w:type="dxa"/>
          </w:tcPr>
          <w:p w:rsidR="00330CF1" w:rsidRPr="007800DA" w:rsidRDefault="00330CF1" w:rsidP="00F22295">
            <w:pPr>
              <w:jc w:val="center"/>
              <w:rPr>
                <w:rFonts w:ascii="Arial" w:hAnsi="Arial" w:cs="Arial"/>
              </w:rPr>
            </w:pPr>
            <w:r w:rsidRPr="007800DA">
              <w:rPr>
                <w:rFonts w:ascii="Arial" w:hAnsi="Arial" w:cs="Arial"/>
              </w:rPr>
              <w:t>26 (19-34)</w:t>
            </w: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p>
        </w:tc>
        <w:tc>
          <w:tcPr>
            <w:tcW w:w="2070" w:type="dxa"/>
          </w:tcPr>
          <w:p w:rsidR="00330CF1" w:rsidRPr="007800DA" w:rsidRDefault="00330CF1" w:rsidP="00F22295">
            <w:pPr>
              <w:jc w:val="center"/>
              <w:rPr>
                <w:rFonts w:ascii="Arial" w:hAnsi="Arial" w:cs="Arial"/>
              </w:rPr>
            </w:pPr>
          </w:p>
        </w:tc>
        <w:tc>
          <w:tcPr>
            <w:tcW w:w="2520" w:type="dxa"/>
          </w:tcPr>
          <w:p w:rsidR="00330CF1" w:rsidRPr="007800DA" w:rsidRDefault="00330CF1" w:rsidP="00F22295">
            <w:pPr>
              <w:jc w:val="center"/>
              <w:rPr>
                <w:rFonts w:ascii="Arial" w:hAnsi="Arial" w:cs="Arial"/>
              </w:rPr>
            </w:pP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Creatinine</w:t>
            </w:r>
          </w:p>
        </w:tc>
        <w:tc>
          <w:tcPr>
            <w:tcW w:w="2070" w:type="dxa"/>
          </w:tcPr>
          <w:p w:rsidR="00330CF1" w:rsidRPr="007800DA" w:rsidRDefault="00330CF1" w:rsidP="00F22295">
            <w:pPr>
              <w:jc w:val="center"/>
              <w:rPr>
                <w:rFonts w:ascii="Arial" w:hAnsi="Arial" w:cs="Arial"/>
              </w:rPr>
            </w:pPr>
            <w:r w:rsidRPr="007800DA">
              <w:rPr>
                <w:rFonts w:ascii="Arial" w:hAnsi="Arial" w:cs="Arial"/>
              </w:rPr>
              <w:t>7-12</w:t>
            </w:r>
          </w:p>
        </w:tc>
        <w:tc>
          <w:tcPr>
            <w:tcW w:w="2520" w:type="dxa"/>
          </w:tcPr>
          <w:p w:rsidR="00330CF1" w:rsidRPr="007800DA" w:rsidRDefault="00330CF1" w:rsidP="00F22295">
            <w:pPr>
              <w:jc w:val="center"/>
              <w:rPr>
                <w:rFonts w:ascii="Arial" w:hAnsi="Arial" w:cs="Arial"/>
              </w:rPr>
            </w:pPr>
            <w:r w:rsidRPr="007800DA">
              <w:rPr>
                <w:rFonts w:ascii="Arial" w:hAnsi="Arial" w:cs="Arial"/>
              </w:rPr>
              <w:t>0.6 (0.4-1.0)</w:t>
            </w:r>
          </w:p>
        </w:tc>
        <w:tc>
          <w:tcPr>
            <w:tcW w:w="2250" w:type="dxa"/>
          </w:tcPr>
          <w:p w:rsidR="00330CF1" w:rsidRPr="007800DA" w:rsidRDefault="00330CF1" w:rsidP="00F22295">
            <w:pPr>
              <w:jc w:val="center"/>
              <w:rPr>
                <w:rFonts w:ascii="Arial" w:hAnsi="Arial" w:cs="Arial"/>
              </w:rPr>
            </w:pPr>
            <w:r w:rsidRPr="007800DA">
              <w:rPr>
                <w:rFonts w:ascii="Arial" w:hAnsi="Arial" w:cs="Arial"/>
              </w:rPr>
              <w:t>0.6-1.2</w:t>
            </w: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(mg/dL)</w:t>
            </w:r>
          </w:p>
        </w:tc>
        <w:tc>
          <w:tcPr>
            <w:tcW w:w="2070" w:type="dxa"/>
          </w:tcPr>
          <w:p w:rsidR="00330CF1" w:rsidRPr="007800DA" w:rsidRDefault="00330CF1" w:rsidP="00F22295">
            <w:pPr>
              <w:jc w:val="center"/>
              <w:rPr>
                <w:rFonts w:ascii="Arial" w:hAnsi="Arial" w:cs="Arial"/>
              </w:rPr>
            </w:pPr>
            <w:r w:rsidRPr="007800DA">
              <w:rPr>
                <w:rFonts w:ascii="Arial" w:hAnsi="Arial" w:cs="Arial"/>
              </w:rPr>
              <w:t>12-20</w:t>
            </w:r>
          </w:p>
        </w:tc>
        <w:tc>
          <w:tcPr>
            <w:tcW w:w="2520" w:type="dxa"/>
          </w:tcPr>
          <w:p w:rsidR="00330CF1" w:rsidRPr="007800DA" w:rsidRDefault="00330CF1" w:rsidP="00F22295">
            <w:pPr>
              <w:jc w:val="center"/>
              <w:rPr>
                <w:rFonts w:ascii="Arial" w:hAnsi="Arial" w:cs="Arial"/>
              </w:rPr>
            </w:pPr>
            <w:r w:rsidRPr="007800DA">
              <w:rPr>
                <w:rFonts w:ascii="Arial" w:hAnsi="Arial" w:cs="Arial"/>
              </w:rPr>
              <w:t>0.7 (0.4-0.9)</w:t>
            </w: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p>
        </w:tc>
        <w:tc>
          <w:tcPr>
            <w:tcW w:w="2070" w:type="dxa"/>
          </w:tcPr>
          <w:p w:rsidR="00330CF1" w:rsidRPr="007800DA" w:rsidRDefault="00330CF1" w:rsidP="00F22295">
            <w:pPr>
              <w:jc w:val="center"/>
              <w:rPr>
                <w:rFonts w:ascii="Arial" w:hAnsi="Arial" w:cs="Arial"/>
              </w:rPr>
            </w:pPr>
          </w:p>
        </w:tc>
        <w:tc>
          <w:tcPr>
            <w:tcW w:w="2520" w:type="dxa"/>
          </w:tcPr>
          <w:p w:rsidR="00330CF1" w:rsidRPr="007800DA" w:rsidRDefault="00330CF1" w:rsidP="00F22295">
            <w:pPr>
              <w:jc w:val="center"/>
              <w:rPr>
                <w:rFonts w:ascii="Arial" w:hAnsi="Arial" w:cs="Arial"/>
              </w:rPr>
            </w:pP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Total Protein</w:t>
            </w:r>
          </w:p>
        </w:tc>
        <w:tc>
          <w:tcPr>
            <w:tcW w:w="2070" w:type="dxa"/>
          </w:tcPr>
          <w:p w:rsidR="00330CF1" w:rsidRPr="007800DA" w:rsidRDefault="00330CF1" w:rsidP="00F22295">
            <w:pPr>
              <w:jc w:val="center"/>
              <w:rPr>
                <w:rFonts w:ascii="Arial" w:hAnsi="Arial" w:cs="Arial"/>
              </w:rPr>
            </w:pPr>
            <w:r w:rsidRPr="007800DA">
              <w:rPr>
                <w:rFonts w:ascii="Arial" w:hAnsi="Arial" w:cs="Arial"/>
              </w:rPr>
              <w:t>7-12</w:t>
            </w:r>
          </w:p>
        </w:tc>
        <w:tc>
          <w:tcPr>
            <w:tcW w:w="2520" w:type="dxa"/>
          </w:tcPr>
          <w:p w:rsidR="00330CF1" w:rsidRPr="007800DA" w:rsidRDefault="00330CF1" w:rsidP="00F22295">
            <w:pPr>
              <w:jc w:val="center"/>
              <w:rPr>
                <w:rFonts w:ascii="Arial" w:hAnsi="Arial" w:cs="Arial"/>
              </w:rPr>
            </w:pPr>
            <w:r w:rsidRPr="007800DA">
              <w:rPr>
                <w:rFonts w:ascii="Arial" w:hAnsi="Arial" w:cs="Arial"/>
              </w:rPr>
              <w:t>5.4 (5.1-5.7)</w:t>
            </w:r>
          </w:p>
        </w:tc>
        <w:tc>
          <w:tcPr>
            <w:tcW w:w="2250" w:type="dxa"/>
          </w:tcPr>
          <w:p w:rsidR="00330CF1" w:rsidRPr="007800DA" w:rsidRDefault="00330CF1" w:rsidP="00F22295">
            <w:pPr>
              <w:jc w:val="center"/>
              <w:rPr>
                <w:rFonts w:ascii="Arial" w:hAnsi="Arial" w:cs="Arial"/>
              </w:rPr>
            </w:pPr>
            <w:r w:rsidRPr="007800DA">
              <w:rPr>
                <w:rFonts w:ascii="Arial" w:hAnsi="Arial" w:cs="Arial"/>
              </w:rPr>
              <w:t>4.8-6.5</w:t>
            </w: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(g/dL)</w:t>
            </w:r>
          </w:p>
        </w:tc>
        <w:tc>
          <w:tcPr>
            <w:tcW w:w="2070" w:type="dxa"/>
          </w:tcPr>
          <w:p w:rsidR="00330CF1" w:rsidRPr="007800DA" w:rsidRDefault="00330CF1" w:rsidP="00F22295">
            <w:pPr>
              <w:jc w:val="center"/>
              <w:rPr>
                <w:rFonts w:ascii="Arial" w:hAnsi="Arial" w:cs="Arial"/>
              </w:rPr>
            </w:pPr>
            <w:r w:rsidRPr="007800DA">
              <w:rPr>
                <w:rFonts w:ascii="Arial" w:hAnsi="Arial" w:cs="Arial"/>
              </w:rPr>
              <w:t>12-20</w:t>
            </w:r>
          </w:p>
        </w:tc>
        <w:tc>
          <w:tcPr>
            <w:tcW w:w="2520" w:type="dxa"/>
          </w:tcPr>
          <w:p w:rsidR="00330CF1" w:rsidRPr="007800DA" w:rsidRDefault="00330CF1" w:rsidP="00F22295">
            <w:pPr>
              <w:jc w:val="center"/>
              <w:rPr>
                <w:rFonts w:ascii="Arial" w:hAnsi="Arial" w:cs="Arial"/>
              </w:rPr>
            </w:pPr>
            <w:r w:rsidRPr="007800DA">
              <w:rPr>
                <w:rFonts w:ascii="Arial" w:hAnsi="Arial" w:cs="Arial"/>
              </w:rPr>
              <w:t>6.0 (5.4-6.8)</w:t>
            </w: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p>
        </w:tc>
        <w:tc>
          <w:tcPr>
            <w:tcW w:w="2070" w:type="dxa"/>
          </w:tcPr>
          <w:p w:rsidR="00330CF1" w:rsidRPr="007800DA" w:rsidRDefault="00330CF1" w:rsidP="00F22295">
            <w:pPr>
              <w:jc w:val="center"/>
              <w:rPr>
                <w:rFonts w:ascii="Arial" w:hAnsi="Arial" w:cs="Arial"/>
              </w:rPr>
            </w:pPr>
          </w:p>
        </w:tc>
        <w:tc>
          <w:tcPr>
            <w:tcW w:w="2520" w:type="dxa"/>
          </w:tcPr>
          <w:p w:rsidR="00330CF1" w:rsidRPr="007800DA" w:rsidRDefault="00330CF1" w:rsidP="00F22295">
            <w:pPr>
              <w:jc w:val="center"/>
              <w:rPr>
                <w:rFonts w:ascii="Arial" w:hAnsi="Arial" w:cs="Arial"/>
              </w:rPr>
            </w:pP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Albumin</w:t>
            </w:r>
          </w:p>
        </w:tc>
        <w:tc>
          <w:tcPr>
            <w:tcW w:w="2070" w:type="dxa"/>
          </w:tcPr>
          <w:p w:rsidR="00330CF1" w:rsidRPr="007800DA" w:rsidRDefault="00330CF1" w:rsidP="00F22295">
            <w:pPr>
              <w:jc w:val="center"/>
              <w:rPr>
                <w:rFonts w:ascii="Arial" w:hAnsi="Arial" w:cs="Arial"/>
              </w:rPr>
            </w:pPr>
            <w:r w:rsidRPr="007800DA">
              <w:rPr>
                <w:rFonts w:ascii="Arial" w:hAnsi="Arial" w:cs="Arial"/>
              </w:rPr>
              <w:t>7-12</w:t>
            </w:r>
          </w:p>
        </w:tc>
        <w:tc>
          <w:tcPr>
            <w:tcW w:w="2520" w:type="dxa"/>
          </w:tcPr>
          <w:p w:rsidR="00330CF1" w:rsidRPr="007800DA" w:rsidRDefault="00330CF1" w:rsidP="00F22295">
            <w:pPr>
              <w:jc w:val="center"/>
              <w:rPr>
                <w:rFonts w:ascii="Arial" w:hAnsi="Arial" w:cs="Arial"/>
              </w:rPr>
            </w:pPr>
            <w:r>
              <w:rPr>
                <w:rFonts w:ascii="Arial" w:hAnsi="Arial" w:cs="Arial"/>
              </w:rPr>
              <w:t>Values not available</w:t>
            </w:r>
          </w:p>
        </w:tc>
        <w:tc>
          <w:tcPr>
            <w:tcW w:w="2250" w:type="dxa"/>
          </w:tcPr>
          <w:p w:rsidR="00330CF1" w:rsidRPr="007800DA" w:rsidRDefault="00330CF1" w:rsidP="00F22295">
            <w:pPr>
              <w:jc w:val="center"/>
              <w:rPr>
                <w:rFonts w:ascii="Arial" w:hAnsi="Arial" w:cs="Arial"/>
              </w:rPr>
            </w:pPr>
            <w:r w:rsidRPr="007800DA">
              <w:rPr>
                <w:rFonts w:ascii="Arial" w:hAnsi="Arial" w:cs="Arial"/>
              </w:rPr>
              <w:t>2.4-3.0</w:t>
            </w: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(g/dL)</w:t>
            </w:r>
          </w:p>
        </w:tc>
        <w:tc>
          <w:tcPr>
            <w:tcW w:w="2070" w:type="dxa"/>
          </w:tcPr>
          <w:p w:rsidR="00330CF1" w:rsidRPr="007800DA" w:rsidRDefault="00330CF1" w:rsidP="00F22295">
            <w:pPr>
              <w:jc w:val="center"/>
              <w:rPr>
                <w:rFonts w:ascii="Arial" w:hAnsi="Arial" w:cs="Arial"/>
              </w:rPr>
            </w:pPr>
            <w:r w:rsidRPr="007800DA">
              <w:rPr>
                <w:rFonts w:ascii="Arial" w:hAnsi="Arial" w:cs="Arial"/>
              </w:rPr>
              <w:t>12-10</w:t>
            </w:r>
          </w:p>
        </w:tc>
        <w:tc>
          <w:tcPr>
            <w:tcW w:w="2520" w:type="dxa"/>
          </w:tcPr>
          <w:p w:rsidR="00330CF1" w:rsidRPr="007800DA" w:rsidRDefault="00330CF1" w:rsidP="00F22295">
            <w:pPr>
              <w:jc w:val="center"/>
              <w:rPr>
                <w:rFonts w:ascii="Arial" w:hAnsi="Arial" w:cs="Arial"/>
              </w:rPr>
            </w:pPr>
            <w:r w:rsidRPr="007800DA">
              <w:rPr>
                <w:rFonts w:ascii="Arial" w:hAnsi="Arial" w:cs="Arial"/>
              </w:rPr>
              <w:t>3.1 (2.5-3.6)</w:t>
            </w: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p>
        </w:tc>
        <w:tc>
          <w:tcPr>
            <w:tcW w:w="2070" w:type="dxa"/>
          </w:tcPr>
          <w:p w:rsidR="00330CF1" w:rsidRPr="007800DA" w:rsidRDefault="00330CF1" w:rsidP="00F22295">
            <w:pPr>
              <w:jc w:val="center"/>
              <w:rPr>
                <w:rFonts w:ascii="Arial" w:hAnsi="Arial" w:cs="Arial"/>
              </w:rPr>
            </w:pPr>
          </w:p>
        </w:tc>
        <w:tc>
          <w:tcPr>
            <w:tcW w:w="2520" w:type="dxa"/>
          </w:tcPr>
          <w:p w:rsidR="00330CF1" w:rsidRPr="007800DA" w:rsidRDefault="00330CF1" w:rsidP="00F22295">
            <w:pPr>
              <w:jc w:val="center"/>
              <w:rPr>
                <w:rFonts w:ascii="Arial" w:hAnsi="Arial" w:cs="Arial"/>
              </w:rPr>
            </w:pP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ALP</w:t>
            </w:r>
          </w:p>
        </w:tc>
        <w:tc>
          <w:tcPr>
            <w:tcW w:w="2070" w:type="dxa"/>
          </w:tcPr>
          <w:p w:rsidR="00330CF1" w:rsidRPr="007800DA" w:rsidRDefault="00330CF1" w:rsidP="00F22295">
            <w:pPr>
              <w:jc w:val="center"/>
              <w:rPr>
                <w:rFonts w:ascii="Arial" w:hAnsi="Arial" w:cs="Arial"/>
              </w:rPr>
            </w:pPr>
            <w:r w:rsidRPr="007800DA">
              <w:rPr>
                <w:rFonts w:ascii="Arial" w:hAnsi="Arial" w:cs="Arial"/>
              </w:rPr>
              <w:t>7-12</w:t>
            </w:r>
          </w:p>
        </w:tc>
        <w:tc>
          <w:tcPr>
            <w:tcW w:w="2520" w:type="dxa"/>
          </w:tcPr>
          <w:p w:rsidR="00330CF1" w:rsidRPr="007800DA" w:rsidRDefault="00330CF1" w:rsidP="00F22295">
            <w:pPr>
              <w:jc w:val="center"/>
              <w:rPr>
                <w:rFonts w:ascii="Arial" w:hAnsi="Arial" w:cs="Arial"/>
              </w:rPr>
            </w:pPr>
            <w:r>
              <w:rPr>
                <w:rFonts w:ascii="Arial" w:hAnsi="Arial" w:cs="Arial"/>
              </w:rPr>
              <w:t>Values not available</w:t>
            </w:r>
          </w:p>
        </w:tc>
        <w:tc>
          <w:tcPr>
            <w:tcW w:w="2250" w:type="dxa"/>
          </w:tcPr>
          <w:p w:rsidR="00330CF1" w:rsidRPr="007800DA" w:rsidRDefault="00330CF1" w:rsidP="00F22295">
            <w:pPr>
              <w:jc w:val="center"/>
              <w:rPr>
                <w:rFonts w:ascii="Arial" w:hAnsi="Arial" w:cs="Arial"/>
              </w:rPr>
            </w:pPr>
            <w:r w:rsidRPr="007800DA">
              <w:rPr>
                <w:rFonts w:ascii="Arial" w:hAnsi="Arial" w:cs="Arial"/>
              </w:rPr>
              <w:t>60-161</w:t>
            </w: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(IU/L)</w:t>
            </w:r>
          </w:p>
        </w:tc>
        <w:tc>
          <w:tcPr>
            <w:tcW w:w="2070" w:type="dxa"/>
          </w:tcPr>
          <w:p w:rsidR="00330CF1" w:rsidRPr="007800DA" w:rsidRDefault="00330CF1" w:rsidP="00F22295">
            <w:pPr>
              <w:jc w:val="center"/>
              <w:rPr>
                <w:rFonts w:ascii="Arial" w:hAnsi="Arial" w:cs="Arial"/>
              </w:rPr>
            </w:pPr>
            <w:r w:rsidRPr="007800DA">
              <w:rPr>
                <w:rFonts w:ascii="Arial" w:hAnsi="Arial" w:cs="Arial"/>
              </w:rPr>
              <w:t>12-20</w:t>
            </w:r>
          </w:p>
        </w:tc>
        <w:tc>
          <w:tcPr>
            <w:tcW w:w="2520" w:type="dxa"/>
          </w:tcPr>
          <w:p w:rsidR="00330CF1" w:rsidRPr="007800DA" w:rsidRDefault="00330CF1" w:rsidP="00F22295">
            <w:pPr>
              <w:jc w:val="center"/>
              <w:rPr>
                <w:rFonts w:ascii="Arial" w:hAnsi="Arial" w:cs="Arial"/>
              </w:rPr>
            </w:pPr>
            <w:r w:rsidRPr="007800DA">
              <w:rPr>
                <w:rFonts w:ascii="Arial" w:hAnsi="Arial" w:cs="Arial"/>
              </w:rPr>
              <w:t>71 (39-124)</w:t>
            </w: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p>
        </w:tc>
        <w:tc>
          <w:tcPr>
            <w:tcW w:w="2070" w:type="dxa"/>
          </w:tcPr>
          <w:p w:rsidR="00330CF1" w:rsidRPr="007800DA" w:rsidRDefault="00330CF1" w:rsidP="00F22295">
            <w:pPr>
              <w:jc w:val="center"/>
              <w:rPr>
                <w:rFonts w:ascii="Arial" w:hAnsi="Arial" w:cs="Arial"/>
              </w:rPr>
            </w:pPr>
          </w:p>
        </w:tc>
        <w:tc>
          <w:tcPr>
            <w:tcW w:w="2520" w:type="dxa"/>
          </w:tcPr>
          <w:p w:rsidR="00330CF1" w:rsidRPr="007800DA" w:rsidRDefault="00330CF1" w:rsidP="00F22295">
            <w:pPr>
              <w:jc w:val="center"/>
              <w:rPr>
                <w:rFonts w:ascii="Arial" w:hAnsi="Arial" w:cs="Arial"/>
              </w:rPr>
            </w:pP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Calcium</w:t>
            </w:r>
          </w:p>
        </w:tc>
        <w:tc>
          <w:tcPr>
            <w:tcW w:w="2070" w:type="dxa"/>
          </w:tcPr>
          <w:p w:rsidR="00330CF1" w:rsidRPr="007800DA" w:rsidRDefault="00330CF1" w:rsidP="00F22295">
            <w:pPr>
              <w:jc w:val="center"/>
              <w:rPr>
                <w:rFonts w:ascii="Arial" w:hAnsi="Arial" w:cs="Arial"/>
              </w:rPr>
            </w:pPr>
            <w:r w:rsidRPr="007800DA">
              <w:rPr>
                <w:rFonts w:ascii="Arial" w:hAnsi="Arial" w:cs="Arial"/>
              </w:rPr>
              <w:t>7-12</w:t>
            </w:r>
          </w:p>
        </w:tc>
        <w:tc>
          <w:tcPr>
            <w:tcW w:w="2520" w:type="dxa"/>
          </w:tcPr>
          <w:p w:rsidR="00330CF1" w:rsidRPr="007800DA" w:rsidRDefault="00330CF1" w:rsidP="00F22295">
            <w:pPr>
              <w:jc w:val="center"/>
              <w:rPr>
                <w:rFonts w:ascii="Arial" w:hAnsi="Arial" w:cs="Arial"/>
              </w:rPr>
            </w:pPr>
            <w:r w:rsidRPr="007800DA">
              <w:rPr>
                <w:rFonts w:ascii="Arial" w:hAnsi="Arial" w:cs="Arial"/>
              </w:rPr>
              <w:t>9.9 (8.8-11.2)</w:t>
            </w:r>
          </w:p>
        </w:tc>
        <w:tc>
          <w:tcPr>
            <w:tcW w:w="2250" w:type="dxa"/>
          </w:tcPr>
          <w:p w:rsidR="00330CF1" w:rsidRPr="007800DA" w:rsidRDefault="00330CF1" w:rsidP="00F22295">
            <w:pPr>
              <w:jc w:val="center"/>
              <w:rPr>
                <w:rFonts w:ascii="Arial" w:hAnsi="Arial" w:cs="Arial"/>
              </w:rPr>
            </w:pPr>
            <w:r w:rsidRPr="007800DA">
              <w:rPr>
                <w:rFonts w:ascii="Arial" w:hAnsi="Arial" w:cs="Arial"/>
              </w:rPr>
              <w:t>9.8-11.7</w:t>
            </w: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(mg/dL)</w:t>
            </w:r>
          </w:p>
        </w:tc>
        <w:tc>
          <w:tcPr>
            <w:tcW w:w="2070" w:type="dxa"/>
          </w:tcPr>
          <w:p w:rsidR="00330CF1" w:rsidRPr="007800DA" w:rsidRDefault="00330CF1" w:rsidP="00F22295">
            <w:pPr>
              <w:jc w:val="center"/>
              <w:rPr>
                <w:rFonts w:ascii="Arial" w:hAnsi="Arial" w:cs="Arial"/>
              </w:rPr>
            </w:pPr>
            <w:r w:rsidRPr="007800DA">
              <w:rPr>
                <w:rFonts w:ascii="Arial" w:hAnsi="Arial" w:cs="Arial"/>
              </w:rPr>
              <w:t>12-20</w:t>
            </w:r>
          </w:p>
        </w:tc>
        <w:tc>
          <w:tcPr>
            <w:tcW w:w="2520" w:type="dxa"/>
          </w:tcPr>
          <w:p w:rsidR="00330CF1" w:rsidRPr="007800DA" w:rsidRDefault="00330CF1" w:rsidP="00F22295">
            <w:pPr>
              <w:jc w:val="center"/>
              <w:rPr>
                <w:rFonts w:ascii="Arial" w:hAnsi="Arial" w:cs="Arial"/>
              </w:rPr>
            </w:pPr>
            <w:r w:rsidRPr="007800DA">
              <w:rPr>
                <w:rFonts w:ascii="Arial" w:hAnsi="Arial" w:cs="Arial"/>
              </w:rPr>
              <w:t>9.9 (8.9-10.9)</w:t>
            </w: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p>
        </w:tc>
        <w:tc>
          <w:tcPr>
            <w:tcW w:w="2070" w:type="dxa"/>
          </w:tcPr>
          <w:p w:rsidR="00330CF1" w:rsidRPr="007800DA" w:rsidRDefault="00330CF1" w:rsidP="00F22295">
            <w:pPr>
              <w:jc w:val="center"/>
              <w:rPr>
                <w:rFonts w:ascii="Arial" w:hAnsi="Arial" w:cs="Arial"/>
              </w:rPr>
            </w:pPr>
          </w:p>
        </w:tc>
        <w:tc>
          <w:tcPr>
            <w:tcW w:w="2520" w:type="dxa"/>
          </w:tcPr>
          <w:p w:rsidR="00330CF1" w:rsidRPr="007800DA" w:rsidRDefault="00330CF1" w:rsidP="00F22295">
            <w:pPr>
              <w:jc w:val="center"/>
              <w:rPr>
                <w:rFonts w:ascii="Arial" w:hAnsi="Arial" w:cs="Arial"/>
              </w:rPr>
            </w:pPr>
          </w:p>
        </w:tc>
        <w:tc>
          <w:tcPr>
            <w:tcW w:w="2250" w:type="dxa"/>
          </w:tcPr>
          <w:p w:rsidR="00330CF1" w:rsidRPr="007800DA" w:rsidRDefault="00330CF1" w:rsidP="00F22295">
            <w:pPr>
              <w:jc w:val="center"/>
              <w:rPr>
                <w:rFonts w:ascii="Arial" w:hAnsi="Arial" w:cs="Arial"/>
              </w:rPr>
            </w:pP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Phosphorus</w:t>
            </w:r>
          </w:p>
        </w:tc>
        <w:tc>
          <w:tcPr>
            <w:tcW w:w="2070" w:type="dxa"/>
          </w:tcPr>
          <w:p w:rsidR="00330CF1" w:rsidRPr="007800DA" w:rsidRDefault="00330CF1" w:rsidP="00F22295">
            <w:pPr>
              <w:jc w:val="center"/>
              <w:rPr>
                <w:rFonts w:ascii="Arial" w:hAnsi="Arial" w:cs="Arial"/>
              </w:rPr>
            </w:pPr>
            <w:r w:rsidRPr="007800DA">
              <w:rPr>
                <w:rFonts w:ascii="Arial" w:hAnsi="Arial" w:cs="Arial"/>
              </w:rPr>
              <w:t>7-12</w:t>
            </w:r>
          </w:p>
        </w:tc>
        <w:tc>
          <w:tcPr>
            <w:tcW w:w="2520" w:type="dxa"/>
          </w:tcPr>
          <w:p w:rsidR="00330CF1" w:rsidRPr="007800DA" w:rsidRDefault="00330CF1" w:rsidP="00F22295">
            <w:pPr>
              <w:jc w:val="center"/>
              <w:rPr>
                <w:rFonts w:ascii="Arial" w:hAnsi="Arial" w:cs="Arial"/>
              </w:rPr>
            </w:pPr>
            <w:r w:rsidRPr="007800DA">
              <w:rPr>
                <w:rFonts w:ascii="Arial" w:hAnsi="Arial" w:cs="Arial"/>
              </w:rPr>
              <w:t>8.6 (7.7-9.5)</w:t>
            </w:r>
          </w:p>
        </w:tc>
        <w:tc>
          <w:tcPr>
            <w:tcW w:w="2250" w:type="dxa"/>
          </w:tcPr>
          <w:p w:rsidR="00330CF1" w:rsidRPr="007800DA" w:rsidRDefault="00330CF1" w:rsidP="00F22295">
            <w:pPr>
              <w:jc w:val="center"/>
              <w:rPr>
                <w:rFonts w:ascii="Arial" w:hAnsi="Arial" w:cs="Arial"/>
              </w:rPr>
            </w:pPr>
            <w:r w:rsidRPr="007800DA">
              <w:rPr>
                <w:rFonts w:ascii="Arial" w:hAnsi="Arial" w:cs="Arial"/>
              </w:rPr>
              <w:t>7.6-11.7</w:t>
            </w:r>
          </w:p>
        </w:tc>
      </w:tr>
      <w:tr w:rsidR="00330CF1" w:rsidRPr="007800DA" w:rsidTr="00960AB6">
        <w:tc>
          <w:tcPr>
            <w:tcW w:w="1890" w:type="dxa"/>
          </w:tcPr>
          <w:p w:rsidR="00330CF1" w:rsidRPr="007800DA" w:rsidRDefault="00330CF1" w:rsidP="006331DA">
            <w:pPr>
              <w:rPr>
                <w:rFonts w:ascii="Arial" w:hAnsi="Arial" w:cs="Arial"/>
              </w:rPr>
            </w:pPr>
            <w:r w:rsidRPr="007800DA">
              <w:rPr>
                <w:rFonts w:ascii="Arial" w:hAnsi="Arial" w:cs="Arial"/>
              </w:rPr>
              <w:t>(mg/dL)</w:t>
            </w:r>
          </w:p>
        </w:tc>
        <w:tc>
          <w:tcPr>
            <w:tcW w:w="2070" w:type="dxa"/>
          </w:tcPr>
          <w:p w:rsidR="00330CF1" w:rsidRPr="007800DA" w:rsidRDefault="00330CF1" w:rsidP="00F22295">
            <w:pPr>
              <w:jc w:val="center"/>
              <w:rPr>
                <w:rFonts w:ascii="Arial" w:hAnsi="Arial" w:cs="Arial"/>
              </w:rPr>
            </w:pPr>
            <w:r w:rsidRPr="007800DA">
              <w:rPr>
                <w:rFonts w:ascii="Arial" w:hAnsi="Arial" w:cs="Arial"/>
              </w:rPr>
              <w:t>12-20</w:t>
            </w:r>
          </w:p>
        </w:tc>
        <w:tc>
          <w:tcPr>
            <w:tcW w:w="2520" w:type="dxa"/>
          </w:tcPr>
          <w:p w:rsidR="00330CF1" w:rsidRPr="007800DA" w:rsidRDefault="00330CF1" w:rsidP="00F22295">
            <w:pPr>
              <w:jc w:val="center"/>
              <w:rPr>
                <w:rFonts w:ascii="Arial" w:hAnsi="Arial" w:cs="Arial"/>
              </w:rPr>
            </w:pPr>
            <w:r w:rsidRPr="007800DA">
              <w:rPr>
                <w:rFonts w:ascii="Arial" w:hAnsi="Arial" w:cs="Arial"/>
              </w:rPr>
              <w:t>8.2 (6.9-10.9)</w:t>
            </w:r>
          </w:p>
        </w:tc>
        <w:tc>
          <w:tcPr>
            <w:tcW w:w="2250" w:type="dxa"/>
          </w:tcPr>
          <w:p w:rsidR="00330CF1" w:rsidRPr="007800DA" w:rsidRDefault="00330CF1" w:rsidP="00F22295">
            <w:pPr>
              <w:jc w:val="center"/>
              <w:rPr>
                <w:rFonts w:ascii="Arial" w:hAnsi="Arial" w:cs="Arial"/>
              </w:rPr>
            </w:pPr>
          </w:p>
        </w:tc>
      </w:tr>
    </w:tbl>
    <w:p w:rsidR="00330CF1" w:rsidRDefault="00330CF1" w:rsidP="006331DA">
      <w:pPr>
        <w:rPr>
          <w:rFonts w:ascii="Arial" w:hAnsi="Arial" w:cs="Arial"/>
          <w:sz w:val="22"/>
          <w:szCs w:val="22"/>
        </w:rPr>
      </w:pPr>
    </w:p>
    <w:p w:rsidR="00330CF1" w:rsidRPr="000D141B" w:rsidRDefault="00330CF1" w:rsidP="006331DA">
      <w:pPr>
        <w:rPr>
          <w:rFonts w:ascii="Arial" w:hAnsi="Arial" w:cs="Arial"/>
          <w:szCs w:val="22"/>
        </w:rPr>
      </w:pPr>
      <w:r w:rsidRPr="000D141B">
        <w:rPr>
          <w:rFonts w:ascii="Arial" w:hAnsi="Arial" w:cs="Arial"/>
          <w:szCs w:val="22"/>
        </w:rPr>
        <w:t>NOTE: *Values expressed as mean and range, **Values expressed as range.</w:t>
      </w:r>
    </w:p>
    <w:p w:rsidR="00330CF1" w:rsidRPr="000D141B" w:rsidRDefault="00330CF1" w:rsidP="00A56DD0">
      <w:pPr>
        <w:rPr>
          <w:szCs w:val="22"/>
        </w:rPr>
      </w:pPr>
      <w:r w:rsidRPr="000D141B">
        <w:rPr>
          <w:rFonts w:ascii="Arial" w:hAnsi="Arial" w:cs="Arial"/>
          <w:b/>
          <w:i/>
          <w:szCs w:val="22"/>
        </w:rPr>
        <w:t>Sources</w:t>
      </w:r>
      <w:r w:rsidRPr="000D141B">
        <w:rPr>
          <w:rFonts w:ascii="Arial" w:hAnsi="Arial" w:cs="Arial"/>
          <w:szCs w:val="22"/>
        </w:rPr>
        <w:t xml:space="preserve">: Adapted from 1. Chandler ML. Pediatric normal blood values. In Kirk RW and Bonagura JD (eds.): </w:t>
      </w:r>
      <w:r w:rsidRPr="000D141B">
        <w:rPr>
          <w:rFonts w:ascii="Arial" w:hAnsi="Arial" w:cs="Arial"/>
          <w:szCs w:val="22"/>
          <w:u w:val="single"/>
        </w:rPr>
        <w:t>Current Veterinary Therapy XI Small Animal Practice</w:t>
      </w:r>
      <w:r w:rsidRPr="000D141B">
        <w:rPr>
          <w:rFonts w:ascii="Arial" w:hAnsi="Arial" w:cs="Arial"/>
          <w:szCs w:val="22"/>
        </w:rPr>
        <w:t xml:space="preserve">. Philadelphia: W.B. Saunders, 1992, pp. 981-984.  2. Levy, JK, et al., Effect of age on reference internals of serum biochemical values in kittens. </w:t>
      </w:r>
      <w:r w:rsidRPr="000D141B">
        <w:rPr>
          <w:rFonts w:ascii="Arial" w:hAnsi="Arial" w:cs="Arial"/>
          <w:i/>
          <w:szCs w:val="22"/>
        </w:rPr>
        <w:t>J Am Vet Med Assoc</w:t>
      </w:r>
      <w:r w:rsidRPr="000D141B">
        <w:rPr>
          <w:rFonts w:ascii="Arial" w:hAnsi="Arial" w:cs="Arial"/>
          <w:szCs w:val="22"/>
        </w:rPr>
        <w:t xml:space="preserve"> 2006. 228(7): p. 1033-1037.</w:t>
      </w:r>
    </w:p>
    <w:p w:rsidR="00330CF1" w:rsidRPr="003F3A8F" w:rsidRDefault="00330CF1" w:rsidP="003F3A8F">
      <w:bookmarkStart w:id="12" w:name="_Toc305485839"/>
    </w:p>
    <w:p w:rsidR="00330CF1" w:rsidRPr="00333F08" w:rsidRDefault="00330CF1">
      <w:pPr>
        <w:pStyle w:val="Heading2"/>
      </w:pPr>
      <w:r w:rsidRPr="00333F08">
        <w:t>Normal Immune System Development and Response</w:t>
      </w:r>
      <w:bookmarkEnd w:id="12"/>
    </w:p>
    <w:p w:rsidR="00330CF1" w:rsidRDefault="00330CF1" w:rsidP="00A86C4D">
      <w:pPr>
        <w:rPr>
          <w:b/>
        </w:rPr>
      </w:pPr>
    </w:p>
    <w:p w:rsidR="00330CF1" w:rsidRDefault="00330CF1" w:rsidP="000578A6">
      <w:pPr>
        <w:pStyle w:val="Heading3"/>
      </w:pPr>
      <w:bookmarkStart w:id="13" w:name="_Toc305485840"/>
      <w:r>
        <w:t>Early immune response</w:t>
      </w:r>
      <w:bookmarkEnd w:id="13"/>
      <w:r>
        <w:t>s</w:t>
      </w:r>
    </w:p>
    <w:p w:rsidR="00330CF1" w:rsidRDefault="00330CF1" w:rsidP="00A86C4D">
      <w:pPr>
        <w:rPr>
          <w:rFonts w:ascii="Arial" w:hAnsi="Arial" w:cs="Arial"/>
        </w:rPr>
      </w:pPr>
    </w:p>
    <w:p w:rsidR="00330CF1" w:rsidRDefault="00330CF1" w:rsidP="00A70F9F">
      <w:pPr>
        <w:rPr>
          <w:rFonts w:ascii="Arial" w:hAnsi="Arial" w:cs="Arial"/>
        </w:rPr>
      </w:pPr>
      <w:r>
        <w:rPr>
          <w:rFonts w:ascii="Arial" w:hAnsi="Arial" w:cs="Arial"/>
        </w:rPr>
        <w:t xml:space="preserve">     The maintenance of pregnancy is dependent on changes within the maternal immune response.  These changes are associated with a bias toward T helper-2 (Th2) cell antibody production and away from T cell helper-1 (Th1) cell-mediated immunity.</w:t>
      </w:r>
      <w:r>
        <w:rPr>
          <w:rFonts w:ascii="Arial" w:hAnsi="Arial" w:cs="Arial"/>
          <w:noProof/>
        </w:rPr>
        <w:t>[76, 77]</w:t>
      </w:r>
      <w:r>
        <w:rPr>
          <w:rFonts w:ascii="Arial" w:hAnsi="Arial" w:cs="Arial"/>
        </w:rPr>
        <w:t xml:space="preserve">  P</w:t>
      </w:r>
      <w:r w:rsidRPr="000F5CA1">
        <w:rPr>
          <w:rFonts w:ascii="Arial" w:hAnsi="Arial" w:cs="Arial"/>
        </w:rPr>
        <w:t>lacental secretions</w:t>
      </w:r>
      <w:r>
        <w:rPr>
          <w:rFonts w:ascii="Arial" w:hAnsi="Arial" w:cs="Arial"/>
        </w:rPr>
        <w:t xml:space="preserve"> </w:t>
      </w:r>
      <w:r w:rsidRPr="000F5CA1">
        <w:rPr>
          <w:rFonts w:ascii="Arial" w:hAnsi="Arial" w:cs="Arial"/>
        </w:rPr>
        <w:t xml:space="preserve">including transforming growth factor-β, </w:t>
      </w:r>
      <w:r w:rsidRPr="000F5CA1">
        <w:rPr>
          <w:rFonts w:ascii="Arial" w:hAnsi="Arial" w:cs="Arial"/>
        </w:rPr>
        <w:lastRenderedPageBreak/>
        <w:t xml:space="preserve">progesterone, and </w:t>
      </w:r>
      <w:r w:rsidRPr="00D53A81">
        <w:rPr>
          <w:rFonts w:ascii="Arial" w:hAnsi="Arial" w:cs="Arial"/>
        </w:rPr>
        <w:t>prostaglandin E2</w:t>
      </w:r>
      <w:r>
        <w:rPr>
          <w:rFonts w:ascii="Arial" w:hAnsi="Arial" w:cs="Arial"/>
        </w:rPr>
        <w:t>,</w:t>
      </w:r>
      <w:r w:rsidRPr="00D53A81">
        <w:rPr>
          <w:rFonts w:ascii="Arial" w:hAnsi="Arial" w:cs="Arial"/>
        </w:rPr>
        <w:t xml:space="preserve"> (PGE2) are produced</w:t>
      </w:r>
      <w:r>
        <w:rPr>
          <w:rFonts w:ascii="Arial" w:hAnsi="Arial" w:cs="Arial"/>
        </w:rPr>
        <w:t>,</w:t>
      </w:r>
      <w:r w:rsidRPr="00D53A81">
        <w:rPr>
          <w:rFonts w:ascii="Arial" w:hAnsi="Arial" w:cs="Arial"/>
        </w:rPr>
        <w:t xml:space="preserve"> which inhibit function of potentially abortive Th1 cells and amplify </w:t>
      </w:r>
      <w:r>
        <w:rPr>
          <w:rFonts w:ascii="Arial" w:hAnsi="Arial" w:cs="Arial"/>
        </w:rPr>
        <w:t xml:space="preserve">the </w:t>
      </w:r>
      <w:r w:rsidRPr="00D53A81">
        <w:rPr>
          <w:rFonts w:ascii="Arial" w:hAnsi="Arial" w:cs="Arial"/>
        </w:rPr>
        <w:t>presence and function of Th2 cells.</w:t>
      </w:r>
      <w:r>
        <w:rPr>
          <w:rFonts w:ascii="Arial" w:hAnsi="Arial" w:cs="Arial"/>
          <w:noProof/>
        </w:rPr>
        <w:t>[78]</w:t>
      </w:r>
      <w:r w:rsidRPr="00D53A81">
        <w:rPr>
          <w:rFonts w:ascii="Arial" w:hAnsi="Arial" w:cs="Arial"/>
        </w:rPr>
        <w:t xml:space="preserve">  Helper T cells act to increase the activity of other immune cells by producing signaling molecules called cytokines.</w:t>
      </w:r>
      <w:r>
        <w:rPr>
          <w:rFonts w:ascii="Arial" w:hAnsi="Arial" w:cs="Arial"/>
        </w:rPr>
        <w:t xml:space="preserve"> </w:t>
      </w:r>
      <w:r w:rsidRPr="00D53A81">
        <w:rPr>
          <w:rFonts w:ascii="Arial" w:hAnsi="Arial" w:cs="Arial"/>
        </w:rPr>
        <w:t xml:space="preserve"> Proinflammatory Th1 cytokines, including tumor necrosis factor-α (TNF-α) and interleukin-1 (IL-1), are</w:t>
      </w:r>
      <w:r>
        <w:rPr>
          <w:rFonts w:ascii="Arial" w:hAnsi="Arial" w:cs="Arial"/>
        </w:rPr>
        <w:t xml:space="preserve"> associated with premature labor and spontaneous abortion.</w:t>
      </w:r>
      <w:r>
        <w:rPr>
          <w:rFonts w:ascii="Arial" w:hAnsi="Arial" w:cs="Arial"/>
          <w:noProof/>
        </w:rPr>
        <w:t>[76]</w:t>
      </w:r>
      <w:r>
        <w:rPr>
          <w:rFonts w:ascii="Arial" w:hAnsi="Arial" w:cs="Arial"/>
        </w:rPr>
        <w:t xml:space="preserve">  Th2 responses are primarily involved in humoral immunity and antibody production.  Th2 cytokines including IL-6 and IL-10, increase the resistance of the early fetus to apoptosis.</w:t>
      </w:r>
      <w:r>
        <w:rPr>
          <w:rFonts w:ascii="Arial" w:hAnsi="Arial" w:cs="Arial"/>
          <w:noProof/>
        </w:rPr>
        <w:t>[79]</w:t>
      </w:r>
      <w:r>
        <w:rPr>
          <w:rFonts w:ascii="Arial" w:hAnsi="Arial" w:cs="Arial"/>
        </w:rPr>
        <w:t xml:space="preserve"> </w:t>
      </w:r>
    </w:p>
    <w:p w:rsidR="00330CF1" w:rsidRDefault="00330CF1" w:rsidP="00A70F9F">
      <w:pPr>
        <w:rPr>
          <w:rFonts w:ascii="Arial" w:hAnsi="Arial" w:cs="Arial"/>
        </w:rPr>
      </w:pPr>
      <w:r>
        <w:rPr>
          <w:rFonts w:ascii="Arial" w:hAnsi="Arial" w:cs="Arial"/>
        </w:rPr>
        <w:t xml:space="preserve">     At birth, neonate’s shift from the sterile </w:t>
      </w:r>
      <w:r w:rsidRPr="00A80C58">
        <w:rPr>
          <w:rFonts w:ascii="Arial" w:hAnsi="Arial" w:cs="Arial"/>
          <w:i/>
        </w:rPr>
        <w:t>in utero</w:t>
      </w:r>
      <w:r>
        <w:rPr>
          <w:rFonts w:ascii="Arial" w:hAnsi="Arial" w:cs="Arial"/>
        </w:rPr>
        <w:t xml:space="preserve"> environment to exposure to environmental microbes and antigens.  Despite this abrupt transition, ongoing age-dependent maturation of the neonate’s immune system is occuring.  Lymphocytes appear in fetal kitten circulation at day 25 of gestation.</w:t>
      </w:r>
      <w:r>
        <w:rPr>
          <w:rFonts w:ascii="Arial" w:hAnsi="Arial" w:cs="Arial"/>
          <w:noProof/>
        </w:rPr>
        <w:t>[80]</w:t>
      </w:r>
      <w:r>
        <w:rPr>
          <w:rFonts w:ascii="Arial" w:hAnsi="Arial" w:cs="Arial"/>
        </w:rPr>
        <w:t xml:space="preserve">  Cats and dogs have an endotheliochorial placenta which is generally impervious to immunoglobulin transfer, although small quantities of monomeric IgG may be transferred to the fetus.  In dogs, 5-10% of maternally derived IgG may be transferred via the placenta.</w:t>
      </w:r>
      <w:r>
        <w:rPr>
          <w:rFonts w:ascii="Arial" w:hAnsi="Arial" w:cs="Arial"/>
          <w:noProof/>
        </w:rPr>
        <w:t>[80]</w:t>
      </w:r>
      <w:r>
        <w:rPr>
          <w:rFonts w:ascii="Arial" w:hAnsi="Arial" w:cs="Arial"/>
        </w:rPr>
        <w:t xml:space="preserve">  Kittens have no detectable IgG or IgA at birth indicating minimal to no placental transfer.</w:t>
      </w:r>
      <w:r>
        <w:rPr>
          <w:rFonts w:ascii="Arial" w:hAnsi="Arial" w:cs="Arial"/>
          <w:noProof/>
        </w:rPr>
        <w:t>[80, 81]</w:t>
      </w:r>
      <w:r>
        <w:rPr>
          <w:rFonts w:ascii="Arial" w:hAnsi="Arial" w:cs="Arial"/>
        </w:rPr>
        <w:t xml:space="preserve">  Kittens are able to synthesize IgM shortly before or around the time of birth.</w:t>
      </w:r>
      <w:r>
        <w:rPr>
          <w:rFonts w:ascii="Arial" w:hAnsi="Arial" w:cs="Arial"/>
          <w:noProof/>
        </w:rPr>
        <w:t>[81]</w:t>
      </w:r>
      <w:r>
        <w:rPr>
          <w:rFonts w:ascii="Arial" w:hAnsi="Arial" w:cs="Arial"/>
        </w:rPr>
        <w:t xml:space="preserve">  Due to minimal endogenous immunoglobulin production and placental transfer, </w:t>
      </w:r>
      <w:r w:rsidRPr="000F5CA1">
        <w:rPr>
          <w:rFonts w:ascii="Arial" w:hAnsi="Arial" w:cs="Arial"/>
        </w:rPr>
        <w:t xml:space="preserve">kittens have an essential requirement for </w:t>
      </w:r>
      <w:r>
        <w:rPr>
          <w:rFonts w:ascii="Arial" w:hAnsi="Arial" w:cs="Arial"/>
        </w:rPr>
        <w:t>ingestion of colostrum at birth.</w:t>
      </w:r>
      <w:r>
        <w:rPr>
          <w:rFonts w:ascii="Arial" w:hAnsi="Arial" w:cs="Arial"/>
          <w:noProof/>
        </w:rPr>
        <w:t>[81]</w:t>
      </w:r>
    </w:p>
    <w:p w:rsidR="00330CF1" w:rsidRDefault="00330CF1" w:rsidP="00443E94">
      <w:pPr>
        <w:rPr>
          <w:rFonts w:ascii="Arial" w:hAnsi="Arial" w:cs="Arial"/>
        </w:rPr>
      </w:pPr>
      <w:r>
        <w:rPr>
          <w:rFonts w:ascii="Arial" w:hAnsi="Arial" w:cs="Arial"/>
        </w:rPr>
        <w:t xml:space="preserve">     Passive transfer and concentrations of immunoglobulins in neonates are determined by the quality of the colostrum, the volume ingested and time of ingestion.  Intact absorption of immunoglobulins in kittens does not occur </w:t>
      </w:r>
      <w:r w:rsidRPr="006D23BE">
        <w:rPr>
          <w:rFonts w:ascii="Arial" w:hAnsi="Arial" w:cs="Arial"/>
        </w:rPr>
        <w:t>16 hours after birth</w:t>
      </w:r>
      <w:r>
        <w:rPr>
          <w:rFonts w:ascii="Arial" w:hAnsi="Arial" w:cs="Arial"/>
        </w:rPr>
        <w:t>.</w:t>
      </w:r>
      <w:r>
        <w:rPr>
          <w:rFonts w:ascii="Arial" w:hAnsi="Arial" w:cs="Arial"/>
          <w:noProof/>
        </w:rPr>
        <w:t>[81]</w:t>
      </w:r>
      <w:r>
        <w:rPr>
          <w:rFonts w:ascii="Arial" w:hAnsi="Arial" w:cs="Arial"/>
        </w:rPr>
        <w:t xml:space="preserve"> Absorption occurs prior to this due to low concentrations of intestinal proteolytic enzymes, and transient expression of an intestinal immunoglobulin receptor for IgG allowing uptake into the blood and lymph.</w:t>
      </w:r>
      <w:r>
        <w:rPr>
          <w:rFonts w:ascii="Arial" w:hAnsi="Arial" w:cs="Arial"/>
          <w:noProof/>
        </w:rPr>
        <w:t>[80, 82]</w:t>
      </w:r>
      <w:r>
        <w:rPr>
          <w:rFonts w:ascii="Arial" w:hAnsi="Arial" w:cs="Arial"/>
        </w:rPr>
        <w:t xml:space="preserve">  Queens, like other mammals, have both a colostral and milk phase of lactation distinguished by differing concentrations of IgG and IgA.</w:t>
      </w:r>
      <w:r>
        <w:rPr>
          <w:rFonts w:ascii="Arial" w:hAnsi="Arial" w:cs="Arial"/>
          <w:noProof/>
        </w:rPr>
        <w:t>[82]</w:t>
      </w:r>
      <w:r>
        <w:rPr>
          <w:rFonts w:ascii="Arial" w:hAnsi="Arial" w:cs="Arial"/>
        </w:rPr>
        <w:t xml:space="preserve">  The predominant immunoglobulin in both feline colostrum and milk is IgG.</w:t>
      </w:r>
      <w:r>
        <w:rPr>
          <w:rFonts w:ascii="Arial" w:hAnsi="Arial" w:cs="Arial"/>
          <w:noProof/>
        </w:rPr>
        <w:t>[82]</w:t>
      </w:r>
      <w:r>
        <w:rPr>
          <w:rFonts w:ascii="Arial" w:hAnsi="Arial" w:cs="Arial"/>
        </w:rPr>
        <w:t xml:space="preserve">  Within the first week, there is a five-fold decrease in IgG concentration and a 10-fold decrease in IgA.  While IgG levels continue to steadily decline throughout lactation, IgA concentrations remain at a constant low level.</w:t>
      </w:r>
      <w:r>
        <w:rPr>
          <w:rFonts w:ascii="Arial" w:hAnsi="Arial" w:cs="Arial"/>
          <w:noProof/>
        </w:rPr>
        <w:t>[82]</w:t>
      </w:r>
      <w:r>
        <w:rPr>
          <w:rFonts w:ascii="Arial" w:hAnsi="Arial" w:cs="Arial"/>
        </w:rPr>
        <w:t xml:space="preserve">  In contrast, canine milk contains significantly more IgA than IgG.</w:t>
      </w:r>
      <w:r>
        <w:rPr>
          <w:rFonts w:ascii="Arial" w:hAnsi="Arial" w:cs="Arial"/>
          <w:noProof/>
        </w:rPr>
        <w:t>[82]</w:t>
      </w:r>
      <w:r>
        <w:rPr>
          <w:rFonts w:ascii="Arial" w:hAnsi="Arial" w:cs="Arial"/>
        </w:rPr>
        <w:t xml:space="preserve">  Polymeric IgM is not thought to be absorbed well through the GI tract due to its large size.</w:t>
      </w:r>
      <w:r>
        <w:rPr>
          <w:rFonts w:ascii="Arial" w:hAnsi="Arial" w:cs="Arial"/>
          <w:noProof/>
        </w:rPr>
        <w:t>[81]</w:t>
      </w:r>
      <w:r>
        <w:rPr>
          <w:rFonts w:ascii="Arial" w:hAnsi="Arial" w:cs="Arial"/>
        </w:rPr>
        <w:t xml:space="preserve">  As kittens are able to synthesize endogenous IgM around birth, the lack of colostral transfer would be advantageous.  Maternally absorbed IgM would interfere with development of the neonate’s endogenous production.  IgG and IgA from maternal colostrum reach peak levels in kittens on day 2.  Maternally derived IgG declines to a nadir at 5 weeks of age due to proteolytic catabolism.</w:t>
      </w:r>
      <w:r>
        <w:rPr>
          <w:rFonts w:ascii="Arial" w:hAnsi="Arial" w:cs="Arial"/>
          <w:noProof/>
        </w:rPr>
        <w:t>[82]</w:t>
      </w:r>
      <w:r>
        <w:rPr>
          <w:rFonts w:ascii="Arial" w:hAnsi="Arial" w:cs="Arial"/>
        </w:rPr>
        <w:t xml:space="preserve">  The half life of maternally derived IgG is 4.4 days in kittens compared to </w:t>
      </w:r>
      <w:r w:rsidRPr="00AA33C8">
        <w:rPr>
          <w:rFonts w:ascii="Arial" w:hAnsi="Arial" w:cs="Arial"/>
        </w:rPr>
        <w:t>10 days</w:t>
      </w:r>
      <w:r>
        <w:rPr>
          <w:rFonts w:ascii="Arial" w:hAnsi="Arial" w:cs="Arial"/>
        </w:rPr>
        <w:t xml:space="preserve"> in puppies.  The half life of maternal IgA is 1.9 days in kittens compared to 4-5 days in puppies.</w:t>
      </w:r>
      <w:r>
        <w:rPr>
          <w:rFonts w:ascii="Arial" w:hAnsi="Arial" w:cs="Arial"/>
          <w:noProof/>
        </w:rPr>
        <w:t>[81]</w:t>
      </w:r>
      <w:r>
        <w:rPr>
          <w:rFonts w:ascii="Arial" w:hAnsi="Arial" w:cs="Arial"/>
        </w:rPr>
        <w:t xml:space="preserve">  Endogenous production of IgG and IgA in kittens begins at approximately 4-5 weeks of age.</w:t>
      </w:r>
      <w:r>
        <w:rPr>
          <w:rFonts w:ascii="Arial" w:hAnsi="Arial" w:cs="Arial"/>
          <w:noProof/>
        </w:rPr>
        <w:t>[81]</w:t>
      </w:r>
      <w:r>
        <w:rPr>
          <w:rFonts w:ascii="Arial" w:hAnsi="Arial" w:cs="Arial"/>
        </w:rPr>
        <w:t xml:space="preserve">  Significant increases in B-cells are noted in kittens particularly in the first 6 weeks, secondary to antigen exposure.</w:t>
      </w:r>
      <w:r>
        <w:rPr>
          <w:rFonts w:ascii="Arial" w:hAnsi="Arial" w:cs="Arial"/>
          <w:noProof/>
        </w:rPr>
        <w:t>[83]</w:t>
      </w:r>
    </w:p>
    <w:p w:rsidR="00330CF1" w:rsidRDefault="00330CF1" w:rsidP="00FB20AB">
      <w:pPr>
        <w:rPr>
          <w:rFonts w:ascii="Arial" w:hAnsi="Arial" w:cs="Arial"/>
        </w:rPr>
      </w:pPr>
      <w:r>
        <w:rPr>
          <w:rFonts w:ascii="Arial" w:hAnsi="Arial" w:cs="Arial"/>
        </w:rPr>
        <w:t xml:space="preserve">     Two studies have analyzed changes in lymphocyte subsets in kittens as they mature.  The first study by Sellon examined changes from late gestation to 8 weeks of age, and a second study by Bortnick looked at lymphocyte subsets in a small group of kittens (n=6) from birth through 13-weeks of age.</w:t>
      </w:r>
      <w:r>
        <w:rPr>
          <w:rFonts w:ascii="Arial" w:hAnsi="Arial" w:cs="Arial"/>
          <w:noProof/>
        </w:rPr>
        <w:t>[83, 84]</w:t>
      </w:r>
      <w:r>
        <w:rPr>
          <w:rFonts w:ascii="Arial" w:hAnsi="Arial" w:cs="Arial"/>
        </w:rPr>
        <w:t xml:space="preserve">  Table 1.6 lists the phenotype </w:t>
      </w:r>
      <w:r>
        <w:rPr>
          <w:rFonts w:ascii="Arial" w:hAnsi="Arial" w:cs="Arial"/>
        </w:rPr>
        <w:lastRenderedPageBreak/>
        <w:t>and concentration of lymphocytes in kitten peripheral blood up to 13-weeks of age.  Both studies found significant increases in pan-T cells, B cells and decreases in null cells throughout the period studied.</w:t>
      </w:r>
      <w:r>
        <w:rPr>
          <w:rFonts w:ascii="Arial" w:hAnsi="Arial" w:cs="Arial"/>
          <w:noProof/>
        </w:rPr>
        <w:t>[83, 84]</w:t>
      </w:r>
      <w:r>
        <w:rPr>
          <w:rFonts w:ascii="Arial" w:hAnsi="Arial" w:cs="Arial"/>
        </w:rPr>
        <w:t xml:space="preserve">  In these studies, kittens were born with higher CD4/CD8 ratios (4.4) than adults (1.8, range 1.2 to 2.6)</w:t>
      </w:r>
      <w:r>
        <w:rPr>
          <w:rFonts w:ascii="Arial" w:hAnsi="Arial" w:cs="Arial"/>
          <w:noProof/>
        </w:rPr>
        <w:t>[83]</w:t>
      </w:r>
      <w:r>
        <w:rPr>
          <w:rFonts w:ascii="Arial" w:hAnsi="Arial" w:cs="Arial"/>
        </w:rPr>
        <w:t xml:space="preserve">  The CD4/CD8 ratio began to decline after birth </w:t>
      </w:r>
      <w:r>
        <w:rPr>
          <w:rFonts w:ascii="Arial" w:hAnsi="Arial" w:cs="Arial"/>
          <w:noProof/>
        </w:rPr>
        <w:t>[83, 85]</w:t>
      </w:r>
      <w:r>
        <w:rPr>
          <w:rFonts w:ascii="Arial" w:hAnsi="Arial" w:cs="Arial"/>
        </w:rPr>
        <w:t>,  primarily due to a shift in thymopoiesis toward production of mature CD8 lymphocytes.</w:t>
      </w:r>
      <w:r>
        <w:rPr>
          <w:rFonts w:ascii="Arial" w:hAnsi="Arial" w:cs="Arial"/>
          <w:noProof/>
        </w:rPr>
        <w:t>[83]</w:t>
      </w:r>
      <w:r>
        <w:rPr>
          <w:rFonts w:ascii="Arial" w:hAnsi="Arial" w:cs="Arial"/>
        </w:rPr>
        <w:t xml:space="preserve">  In peripheral blood, CD8 cells increased 3.9X over 13 weeks compared with increases of 2.4X in CD4 cells.  The thymus to body ratio was highest between the 3-6 week period with decreases seen between the 6-13 week period.  Even though the thymus to body ratio began to decline after 6 weeks, the overall percentage of pan-T cells continued to increase throughout the 13 week study period indicating the thymus capable of maintaining a stable population of mature thymocytes despite reduction in thymus size.</w:t>
      </w:r>
      <w:r>
        <w:rPr>
          <w:rFonts w:ascii="Arial" w:hAnsi="Arial" w:cs="Arial"/>
          <w:noProof/>
        </w:rPr>
        <w:t>[83]</w:t>
      </w:r>
      <w:r>
        <w:rPr>
          <w:rFonts w:ascii="Arial" w:hAnsi="Arial" w:cs="Arial"/>
        </w:rPr>
        <w:t xml:space="preserve">  Differences in CD4/CD8 ratios between 13 week old kittens (2.9) and mature one-year old cats (1.9) further suggest maturation beyond the 13 week period.  To the author’s knowledge, no studies have evaluated circulating lymphocyte subsets in cats between 13 weeks and 1 year to establish at what point full maturation has occurred.  A study looking at mucosal lymphocytes in juvenile (6 month old) and adult cats found significantly reduced numbers of both intraepithelial and lamina propria lymphocytes in juveniles compared to adults.</w:t>
      </w:r>
      <w:r>
        <w:rPr>
          <w:rFonts w:ascii="Arial" w:hAnsi="Arial" w:cs="Arial"/>
          <w:noProof/>
        </w:rPr>
        <w:t>[86]</w:t>
      </w:r>
      <w:r>
        <w:rPr>
          <w:rFonts w:ascii="Arial" w:hAnsi="Arial" w:cs="Arial"/>
        </w:rPr>
        <w:t xml:space="preserve">  Overall, large ranges in lymphocytes and immunoglobulin levels can be seen due to differences in environmental antigen exposure.</w:t>
      </w:r>
    </w:p>
    <w:p w:rsidR="00330CF1" w:rsidRDefault="00330CF1" w:rsidP="007E57EF">
      <w:pPr>
        <w:rPr>
          <w:rFonts w:ascii="Arial" w:hAnsi="Arial" w:cs="Arial"/>
        </w:rPr>
      </w:pPr>
      <w:r>
        <w:rPr>
          <w:rFonts w:ascii="Arial" w:hAnsi="Arial" w:cs="Arial"/>
        </w:rPr>
        <w:t xml:space="preserve">     Lymphocytes cannot respond to foreign antigens without assistance from the innate immune system.  The innate immune system eliminates or reduces the number and virulence of microorganisms and instructs and coordinates the adaptive immune system.</w:t>
      </w:r>
      <w:r>
        <w:rPr>
          <w:rFonts w:ascii="Arial" w:hAnsi="Arial" w:cs="Arial"/>
          <w:noProof/>
        </w:rPr>
        <w:t>[87]</w:t>
      </w:r>
      <w:r>
        <w:rPr>
          <w:rFonts w:ascii="Arial" w:hAnsi="Arial" w:cs="Arial"/>
        </w:rPr>
        <w:t xml:space="preserve">  Important innate immune system molecules include toll-like receptors (TLR), cationic membrane-activated antimicrobial proteins and peptides (APP’s), complement and chemokines.</w:t>
      </w:r>
      <w:r>
        <w:rPr>
          <w:rFonts w:ascii="Arial" w:hAnsi="Arial" w:cs="Arial"/>
          <w:noProof/>
        </w:rPr>
        <w:t>[87]</w:t>
      </w:r>
    </w:p>
    <w:p w:rsidR="00330CF1" w:rsidRDefault="00330CF1" w:rsidP="007E57EF">
      <w:pPr>
        <w:tabs>
          <w:tab w:val="left" w:pos="1001"/>
        </w:tabs>
        <w:rPr>
          <w:rFonts w:ascii="Arial" w:hAnsi="Arial" w:cs="Arial"/>
        </w:rPr>
      </w:pPr>
      <w:r w:rsidRPr="001D0ADA">
        <w:rPr>
          <w:rFonts w:ascii="Arial" w:hAnsi="Arial" w:cs="Arial"/>
        </w:rPr>
        <w:t xml:space="preserve">     Neutrophils are key players in</w:t>
      </w:r>
      <w:r>
        <w:rPr>
          <w:rFonts w:ascii="Arial" w:hAnsi="Arial" w:cs="Arial"/>
        </w:rPr>
        <w:t xml:space="preserve"> innate immune function. </w:t>
      </w:r>
      <w:r w:rsidRPr="001D0ADA">
        <w:rPr>
          <w:rFonts w:ascii="Arial" w:hAnsi="Arial" w:cs="Arial"/>
        </w:rPr>
        <w:t xml:space="preserve"> Neutrophils are recruited into the site of infection to phagocytize pathogens and eliminate infection</w:t>
      </w:r>
      <w:r>
        <w:rPr>
          <w:rFonts w:ascii="Arial" w:hAnsi="Arial" w:cs="Arial"/>
        </w:rPr>
        <w:t>.  The phagocytic process is</w:t>
      </w:r>
      <w:r w:rsidRPr="001D0ADA">
        <w:rPr>
          <w:rFonts w:ascii="Arial" w:hAnsi="Arial" w:cs="Arial"/>
        </w:rPr>
        <w:t xml:space="preserve"> separated into 4 stages; 1- chemotaxis or migration of phagocytes</w:t>
      </w:r>
      <w:r>
        <w:rPr>
          <w:rFonts w:ascii="Arial" w:hAnsi="Arial" w:cs="Arial"/>
        </w:rPr>
        <w:t xml:space="preserve"> to site of inflammation, 2- cell surface attachment of phagocytes to bacteria, 3- ingestion or phagocytosis, and 4- intracellular killing by oxygen-dependent and/or oxygen-</w:t>
      </w:r>
    </w:p>
    <w:p w:rsidR="00330CF1" w:rsidRDefault="00330CF1" w:rsidP="007E57EF">
      <w:pPr>
        <w:tabs>
          <w:tab w:val="left" w:pos="1001"/>
        </w:tabs>
        <w:rPr>
          <w:rFonts w:ascii="Arial" w:hAnsi="Arial" w:cs="Arial"/>
        </w:rPr>
      </w:pPr>
    </w:p>
    <w:p w:rsidR="00330CF1" w:rsidRDefault="00330CF1" w:rsidP="00A56DD0">
      <w:pPr>
        <w:jc w:val="center"/>
        <w:rPr>
          <w:rFonts w:ascii="Arial" w:hAnsi="Arial" w:cs="Arial"/>
        </w:rPr>
      </w:pPr>
      <w:r w:rsidRPr="00F175EE">
        <w:rPr>
          <w:rFonts w:ascii="Arial" w:hAnsi="Arial" w:cs="Arial"/>
          <w:b/>
        </w:rPr>
        <w:t>Table 1.6</w:t>
      </w:r>
      <w:r>
        <w:rPr>
          <w:rFonts w:ascii="Arial" w:hAnsi="Arial" w:cs="Arial"/>
        </w:rPr>
        <w:t xml:space="preserve"> Kitten whole blood lymphocyte phenotypes and </w:t>
      </w:r>
    </w:p>
    <w:p w:rsidR="00330CF1" w:rsidRDefault="00330CF1" w:rsidP="00A56DD0">
      <w:pPr>
        <w:jc w:val="center"/>
        <w:rPr>
          <w:rFonts w:ascii="Arial" w:hAnsi="Arial" w:cs="Arial"/>
        </w:rPr>
      </w:pPr>
      <w:r>
        <w:rPr>
          <w:rFonts w:ascii="Arial" w:hAnsi="Arial" w:cs="Arial"/>
        </w:rPr>
        <w:t>concentration in kittens up to 13-weeks of age</w:t>
      </w:r>
    </w:p>
    <w:p w:rsidR="00330CF1" w:rsidRPr="008302FA" w:rsidRDefault="00330CF1" w:rsidP="00A56DD0">
      <w:pPr>
        <w:jc w:val="center"/>
        <w:rPr>
          <w:rFonts w:ascii="Arial" w:hAnsi="Arial" w:cs="Arial"/>
          <w:color w:val="FF0000"/>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530"/>
        <w:gridCol w:w="1530"/>
        <w:gridCol w:w="1620"/>
        <w:gridCol w:w="1620"/>
      </w:tblGrid>
      <w:tr w:rsidR="00330CF1" w:rsidRPr="00BE2E2C" w:rsidTr="00CA0258">
        <w:trPr>
          <w:trHeight w:val="503"/>
        </w:trPr>
        <w:tc>
          <w:tcPr>
            <w:tcW w:w="2628" w:type="dxa"/>
          </w:tcPr>
          <w:p w:rsidR="00330CF1" w:rsidRPr="00BE2E2C" w:rsidRDefault="00330CF1" w:rsidP="00443E94">
            <w:pPr>
              <w:rPr>
                <w:rFonts w:ascii="Arial" w:hAnsi="Arial" w:cs="Arial"/>
              </w:rPr>
            </w:pPr>
          </w:p>
        </w:tc>
        <w:tc>
          <w:tcPr>
            <w:tcW w:w="1530" w:type="dxa"/>
          </w:tcPr>
          <w:p w:rsidR="00330CF1" w:rsidRPr="00BE2E2C" w:rsidRDefault="00330CF1" w:rsidP="00FB20AB">
            <w:pPr>
              <w:jc w:val="center"/>
              <w:rPr>
                <w:rFonts w:ascii="Arial" w:hAnsi="Arial" w:cs="Arial"/>
              </w:rPr>
            </w:pPr>
            <w:r w:rsidRPr="00BE2E2C">
              <w:rPr>
                <w:rFonts w:ascii="Arial" w:hAnsi="Arial" w:cs="Arial"/>
              </w:rPr>
              <w:t>Day 1</w:t>
            </w:r>
          </w:p>
        </w:tc>
        <w:tc>
          <w:tcPr>
            <w:tcW w:w="1530" w:type="dxa"/>
          </w:tcPr>
          <w:p w:rsidR="00330CF1" w:rsidRPr="00BE2E2C" w:rsidRDefault="00330CF1" w:rsidP="00FB20AB">
            <w:pPr>
              <w:jc w:val="center"/>
              <w:rPr>
                <w:rFonts w:ascii="Arial" w:hAnsi="Arial" w:cs="Arial"/>
              </w:rPr>
            </w:pPr>
            <w:r w:rsidRPr="00BE2E2C">
              <w:rPr>
                <w:rFonts w:ascii="Arial" w:hAnsi="Arial" w:cs="Arial"/>
              </w:rPr>
              <w:t>Day 23 (week 3-4)</w:t>
            </w:r>
          </w:p>
        </w:tc>
        <w:tc>
          <w:tcPr>
            <w:tcW w:w="1620" w:type="dxa"/>
          </w:tcPr>
          <w:p w:rsidR="00330CF1" w:rsidRPr="00BE2E2C" w:rsidRDefault="00330CF1" w:rsidP="00FB20AB">
            <w:pPr>
              <w:jc w:val="center"/>
              <w:rPr>
                <w:rFonts w:ascii="Arial" w:hAnsi="Arial" w:cs="Arial"/>
              </w:rPr>
            </w:pPr>
            <w:r w:rsidRPr="00BE2E2C">
              <w:rPr>
                <w:rFonts w:ascii="Arial" w:hAnsi="Arial" w:cs="Arial"/>
              </w:rPr>
              <w:t>Day 46 (week 6-8)</w:t>
            </w:r>
          </w:p>
        </w:tc>
        <w:tc>
          <w:tcPr>
            <w:tcW w:w="1620" w:type="dxa"/>
          </w:tcPr>
          <w:p w:rsidR="00330CF1" w:rsidRPr="00BE2E2C" w:rsidRDefault="00330CF1" w:rsidP="00FB20AB">
            <w:pPr>
              <w:jc w:val="center"/>
              <w:rPr>
                <w:rFonts w:ascii="Arial" w:hAnsi="Arial" w:cs="Arial"/>
              </w:rPr>
            </w:pPr>
            <w:r w:rsidRPr="00BE2E2C">
              <w:rPr>
                <w:rFonts w:ascii="Arial" w:hAnsi="Arial" w:cs="Arial"/>
              </w:rPr>
              <w:t>Day 90 (week 13)</w:t>
            </w:r>
          </w:p>
        </w:tc>
      </w:tr>
      <w:tr w:rsidR="00330CF1" w:rsidRPr="00BE2E2C" w:rsidTr="00CA0258">
        <w:tc>
          <w:tcPr>
            <w:tcW w:w="2628" w:type="dxa"/>
          </w:tcPr>
          <w:p w:rsidR="00330CF1" w:rsidRPr="00F175EE" w:rsidRDefault="00330CF1" w:rsidP="00443E94">
            <w:pPr>
              <w:rPr>
                <w:rFonts w:ascii="Arial" w:hAnsi="Arial" w:cs="Arial"/>
              </w:rPr>
            </w:pPr>
            <w:r w:rsidRPr="00F175EE">
              <w:rPr>
                <w:rFonts w:ascii="Arial" w:hAnsi="Arial" w:cs="Arial"/>
              </w:rPr>
              <w:t>Total lymphocytes</w:t>
            </w:r>
          </w:p>
        </w:tc>
        <w:tc>
          <w:tcPr>
            <w:tcW w:w="1530" w:type="dxa"/>
          </w:tcPr>
          <w:p w:rsidR="00330CF1" w:rsidRPr="00BE2E2C" w:rsidRDefault="00330CF1" w:rsidP="00BE2E2C">
            <w:pPr>
              <w:jc w:val="center"/>
              <w:rPr>
                <w:rFonts w:ascii="Arial" w:hAnsi="Arial" w:cs="Arial"/>
              </w:rPr>
            </w:pPr>
            <w:r w:rsidRPr="00BE2E2C">
              <w:rPr>
                <w:rFonts w:ascii="Arial" w:hAnsi="Arial" w:cs="Arial"/>
              </w:rPr>
              <w:t>2,683</w:t>
            </w:r>
          </w:p>
        </w:tc>
        <w:tc>
          <w:tcPr>
            <w:tcW w:w="1530" w:type="dxa"/>
          </w:tcPr>
          <w:p w:rsidR="00330CF1" w:rsidRPr="00BE2E2C" w:rsidRDefault="00330CF1" w:rsidP="00BE2E2C">
            <w:pPr>
              <w:jc w:val="center"/>
              <w:rPr>
                <w:rFonts w:ascii="Arial" w:hAnsi="Arial" w:cs="Arial"/>
              </w:rPr>
            </w:pPr>
            <w:r w:rsidRPr="00BE2E2C">
              <w:rPr>
                <w:rFonts w:ascii="Arial" w:hAnsi="Arial" w:cs="Arial"/>
              </w:rPr>
              <w:t>3,953</w:t>
            </w:r>
          </w:p>
        </w:tc>
        <w:tc>
          <w:tcPr>
            <w:tcW w:w="1620" w:type="dxa"/>
          </w:tcPr>
          <w:p w:rsidR="00330CF1" w:rsidRPr="00BE2E2C" w:rsidRDefault="00330CF1" w:rsidP="00BE2E2C">
            <w:pPr>
              <w:jc w:val="center"/>
              <w:rPr>
                <w:rFonts w:ascii="Arial" w:hAnsi="Arial" w:cs="Arial"/>
              </w:rPr>
            </w:pPr>
            <w:r w:rsidRPr="00BE2E2C">
              <w:rPr>
                <w:rFonts w:ascii="Arial" w:hAnsi="Arial" w:cs="Arial"/>
              </w:rPr>
              <w:t>5,558</w:t>
            </w:r>
          </w:p>
        </w:tc>
        <w:tc>
          <w:tcPr>
            <w:tcW w:w="1620" w:type="dxa"/>
          </w:tcPr>
          <w:p w:rsidR="00330CF1" w:rsidRPr="00BE2E2C" w:rsidRDefault="00330CF1" w:rsidP="00BE2E2C">
            <w:pPr>
              <w:jc w:val="center"/>
              <w:rPr>
                <w:rFonts w:ascii="Arial" w:hAnsi="Arial" w:cs="Arial"/>
              </w:rPr>
            </w:pPr>
            <w:r w:rsidRPr="00BE2E2C">
              <w:rPr>
                <w:rFonts w:ascii="Arial" w:hAnsi="Arial" w:cs="Arial"/>
              </w:rPr>
              <w:t>4,639</w:t>
            </w:r>
          </w:p>
        </w:tc>
      </w:tr>
      <w:tr w:rsidR="00330CF1" w:rsidRPr="00BE2E2C" w:rsidTr="00CA0258">
        <w:tc>
          <w:tcPr>
            <w:tcW w:w="2628" w:type="dxa"/>
          </w:tcPr>
          <w:p w:rsidR="00330CF1" w:rsidRPr="00F175EE" w:rsidRDefault="00330CF1" w:rsidP="00BE2E2C">
            <w:pPr>
              <w:jc w:val="center"/>
              <w:rPr>
                <w:rFonts w:ascii="Arial" w:hAnsi="Arial" w:cs="Arial"/>
              </w:rPr>
            </w:pPr>
            <w:r w:rsidRPr="00F175EE">
              <w:rPr>
                <w:rFonts w:ascii="Arial" w:hAnsi="Arial" w:cs="Arial"/>
              </w:rPr>
              <w:t>Pan-T cells</w:t>
            </w:r>
          </w:p>
        </w:tc>
        <w:tc>
          <w:tcPr>
            <w:tcW w:w="1530" w:type="dxa"/>
          </w:tcPr>
          <w:p w:rsidR="00330CF1" w:rsidRPr="00BE2E2C" w:rsidRDefault="00330CF1" w:rsidP="00BE2E2C">
            <w:pPr>
              <w:jc w:val="center"/>
              <w:rPr>
                <w:rFonts w:ascii="Arial" w:hAnsi="Arial" w:cs="Arial"/>
              </w:rPr>
            </w:pPr>
            <w:r w:rsidRPr="00BE2E2C">
              <w:rPr>
                <w:rFonts w:ascii="Arial" w:hAnsi="Arial" w:cs="Arial"/>
              </w:rPr>
              <w:t>990</w:t>
            </w:r>
          </w:p>
        </w:tc>
        <w:tc>
          <w:tcPr>
            <w:tcW w:w="1530" w:type="dxa"/>
          </w:tcPr>
          <w:p w:rsidR="00330CF1" w:rsidRPr="00BE2E2C" w:rsidRDefault="00330CF1" w:rsidP="00BE2E2C">
            <w:pPr>
              <w:jc w:val="center"/>
              <w:rPr>
                <w:rFonts w:ascii="Arial" w:hAnsi="Arial" w:cs="Arial"/>
              </w:rPr>
            </w:pPr>
            <w:r w:rsidRPr="00BE2E2C">
              <w:rPr>
                <w:rFonts w:ascii="Arial" w:hAnsi="Arial" w:cs="Arial"/>
              </w:rPr>
              <w:t>899</w:t>
            </w:r>
          </w:p>
        </w:tc>
        <w:tc>
          <w:tcPr>
            <w:tcW w:w="1620" w:type="dxa"/>
          </w:tcPr>
          <w:p w:rsidR="00330CF1" w:rsidRPr="00BE2E2C" w:rsidRDefault="00330CF1" w:rsidP="00BE2E2C">
            <w:pPr>
              <w:jc w:val="center"/>
              <w:rPr>
                <w:rFonts w:ascii="Arial" w:hAnsi="Arial" w:cs="Arial"/>
              </w:rPr>
            </w:pPr>
            <w:r w:rsidRPr="00BE2E2C">
              <w:rPr>
                <w:rFonts w:ascii="Arial" w:hAnsi="Arial" w:cs="Arial"/>
              </w:rPr>
              <w:t>1,084</w:t>
            </w:r>
          </w:p>
        </w:tc>
        <w:tc>
          <w:tcPr>
            <w:tcW w:w="1620" w:type="dxa"/>
          </w:tcPr>
          <w:p w:rsidR="00330CF1" w:rsidRPr="00BE2E2C" w:rsidRDefault="00330CF1" w:rsidP="00BE2E2C">
            <w:pPr>
              <w:jc w:val="center"/>
              <w:rPr>
                <w:rFonts w:ascii="Arial" w:hAnsi="Arial" w:cs="Arial"/>
              </w:rPr>
            </w:pPr>
            <w:r w:rsidRPr="00BE2E2C">
              <w:rPr>
                <w:rFonts w:ascii="Arial" w:hAnsi="Arial" w:cs="Arial"/>
              </w:rPr>
              <w:t>2,216</w:t>
            </w:r>
          </w:p>
        </w:tc>
      </w:tr>
      <w:tr w:rsidR="00330CF1" w:rsidRPr="00BE2E2C" w:rsidTr="00CA0258">
        <w:tc>
          <w:tcPr>
            <w:tcW w:w="2628" w:type="dxa"/>
          </w:tcPr>
          <w:p w:rsidR="00330CF1" w:rsidRPr="00F175EE" w:rsidRDefault="00330CF1" w:rsidP="00BE2E2C">
            <w:pPr>
              <w:jc w:val="center"/>
              <w:rPr>
                <w:rFonts w:ascii="Arial" w:hAnsi="Arial" w:cs="Arial"/>
              </w:rPr>
            </w:pPr>
            <w:r w:rsidRPr="00F175EE">
              <w:rPr>
                <w:rFonts w:ascii="Arial" w:hAnsi="Arial" w:cs="Arial"/>
              </w:rPr>
              <w:t xml:space="preserve"> CD4 T-cells</w:t>
            </w:r>
          </w:p>
        </w:tc>
        <w:tc>
          <w:tcPr>
            <w:tcW w:w="1530" w:type="dxa"/>
          </w:tcPr>
          <w:p w:rsidR="00330CF1" w:rsidRPr="00BE2E2C" w:rsidRDefault="00330CF1" w:rsidP="00BE2E2C">
            <w:pPr>
              <w:jc w:val="center"/>
              <w:rPr>
                <w:rFonts w:ascii="Arial" w:hAnsi="Arial" w:cs="Arial"/>
              </w:rPr>
            </w:pPr>
            <w:r w:rsidRPr="00BE2E2C">
              <w:rPr>
                <w:rFonts w:ascii="Arial" w:hAnsi="Arial" w:cs="Arial"/>
              </w:rPr>
              <w:t>621</w:t>
            </w:r>
          </w:p>
        </w:tc>
        <w:tc>
          <w:tcPr>
            <w:tcW w:w="1530" w:type="dxa"/>
          </w:tcPr>
          <w:p w:rsidR="00330CF1" w:rsidRPr="00BE2E2C" w:rsidRDefault="00330CF1" w:rsidP="00BE2E2C">
            <w:pPr>
              <w:jc w:val="center"/>
              <w:rPr>
                <w:rFonts w:ascii="Arial" w:hAnsi="Arial" w:cs="Arial"/>
              </w:rPr>
            </w:pPr>
            <w:r w:rsidRPr="00BE2E2C">
              <w:rPr>
                <w:rFonts w:ascii="Arial" w:hAnsi="Arial" w:cs="Arial"/>
              </w:rPr>
              <w:t>616</w:t>
            </w:r>
          </w:p>
        </w:tc>
        <w:tc>
          <w:tcPr>
            <w:tcW w:w="1620" w:type="dxa"/>
          </w:tcPr>
          <w:p w:rsidR="00330CF1" w:rsidRPr="00BE2E2C" w:rsidRDefault="00330CF1" w:rsidP="00BE2E2C">
            <w:pPr>
              <w:jc w:val="center"/>
              <w:rPr>
                <w:rFonts w:ascii="Arial" w:hAnsi="Arial" w:cs="Arial"/>
              </w:rPr>
            </w:pPr>
            <w:r w:rsidRPr="00BE2E2C">
              <w:rPr>
                <w:rFonts w:ascii="Arial" w:hAnsi="Arial" w:cs="Arial"/>
              </w:rPr>
              <w:t>766</w:t>
            </w:r>
          </w:p>
        </w:tc>
        <w:tc>
          <w:tcPr>
            <w:tcW w:w="1620" w:type="dxa"/>
          </w:tcPr>
          <w:p w:rsidR="00330CF1" w:rsidRPr="00BE2E2C" w:rsidRDefault="00330CF1" w:rsidP="00BE2E2C">
            <w:pPr>
              <w:jc w:val="center"/>
              <w:rPr>
                <w:rFonts w:ascii="Arial" w:hAnsi="Arial" w:cs="Arial"/>
              </w:rPr>
            </w:pPr>
            <w:r w:rsidRPr="00BE2E2C">
              <w:rPr>
                <w:rFonts w:ascii="Arial" w:hAnsi="Arial" w:cs="Arial"/>
              </w:rPr>
              <w:t>1504</w:t>
            </w:r>
          </w:p>
        </w:tc>
      </w:tr>
      <w:tr w:rsidR="00330CF1" w:rsidRPr="00BE2E2C" w:rsidTr="00CA0258">
        <w:tc>
          <w:tcPr>
            <w:tcW w:w="2628" w:type="dxa"/>
          </w:tcPr>
          <w:p w:rsidR="00330CF1" w:rsidRPr="00F175EE" w:rsidRDefault="00330CF1" w:rsidP="00BE2E2C">
            <w:pPr>
              <w:jc w:val="center"/>
              <w:rPr>
                <w:rFonts w:ascii="Arial" w:hAnsi="Arial" w:cs="Arial"/>
              </w:rPr>
            </w:pPr>
            <w:r w:rsidRPr="00F175EE">
              <w:rPr>
                <w:rFonts w:ascii="Arial" w:hAnsi="Arial" w:cs="Arial"/>
              </w:rPr>
              <w:t>CD8 T-cells</w:t>
            </w:r>
          </w:p>
        </w:tc>
        <w:tc>
          <w:tcPr>
            <w:tcW w:w="1530" w:type="dxa"/>
          </w:tcPr>
          <w:p w:rsidR="00330CF1" w:rsidRPr="00BE2E2C" w:rsidRDefault="00330CF1" w:rsidP="00BE2E2C">
            <w:pPr>
              <w:jc w:val="center"/>
              <w:rPr>
                <w:rFonts w:ascii="Arial" w:hAnsi="Arial" w:cs="Arial"/>
              </w:rPr>
            </w:pPr>
            <w:r w:rsidRPr="00BE2E2C">
              <w:rPr>
                <w:rFonts w:ascii="Arial" w:hAnsi="Arial" w:cs="Arial"/>
              </w:rPr>
              <w:t>143</w:t>
            </w:r>
          </w:p>
        </w:tc>
        <w:tc>
          <w:tcPr>
            <w:tcW w:w="1530" w:type="dxa"/>
          </w:tcPr>
          <w:p w:rsidR="00330CF1" w:rsidRPr="00BE2E2C" w:rsidRDefault="00330CF1" w:rsidP="00BE2E2C">
            <w:pPr>
              <w:jc w:val="center"/>
              <w:rPr>
                <w:rFonts w:ascii="Arial" w:hAnsi="Arial" w:cs="Arial"/>
              </w:rPr>
            </w:pPr>
            <w:r w:rsidRPr="00BE2E2C">
              <w:rPr>
                <w:rFonts w:ascii="Arial" w:hAnsi="Arial" w:cs="Arial"/>
              </w:rPr>
              <w:t>188</w:t>
            </w:r>
          </w:p>
        </w:tc>
        <w:tc>
          <w:tcPr>
            <w:tcW w:w="1620" w:type="dxa"/>
          </w:tcPr>
          <w:p w:rsidR="00330CF1" w:rsidRPr="00BE2E2C" w:rsidRDefault="00330CF1" w:rsidP="00BE2E2C">
            <w:pPr>
              <w:jc w:val="center"/>
              <w:rPr>
                <w:rFonts w:ascii="Arial" w:hAnsi="Arial" w:cs="Arial"/>
              </w:rPr>
            </w:pPr>
            <w:r w:rsidRPr="00BE2E2C">
              <w:rPr>
                <w:rFonts w:ascii="Arial" w:hAnsi="Arial" w:cs="Arial"/>
              </w:rPr>
              <w:t>355</w:t>
            </w:r>
          </w:p>
        </w:tc>
        <w:tc>
          <w:tcPr>
            <w:tcW w:w="1620" w:type="dxa"/>
          </w:tcPr>
          <w:p w:rsidR="00330CF1" w:rsidRPr="00BE2E2C" w:rsidRDefault="00330CF1" w:rsidP="00BE2E2C">
            <w:pPr>
              <w:jc w:val="center"/>
              <w:rPr>
                <w:rFonts w:ascii="Arial" w:hAnsi="Arial" w:cs="Arial"/>
              </w:rPr>
            </w:pPr>
            <w:r w:rsidRPr="00BE2E2C">
              <w:rPr>
                <w:rFonts w:ascii="Arial" w:hAnsi="Arial" w:cs="Arial"/>
              </w:rPr>
              <w:t>561</w:t>
            </w:r>
          </w:p>
        </w:tc>
      </w:tr>
      <w:tr w:rsidR="00330CF1" w:rsidRPr="00BE2E2C" w:rsidTr="00CA0258">
        <w:tc>
          <w:tcPr>
            <w:tcW w:w="2628" w:type="dxa"/>
          </w:tcPr>
          <w:p w:rsidR="00330CF1" w:rsidRPr="00F175EE" w:rsidRDefault="00330CF1" w:rsidP="00BE2E2C">
            <w:pPr>
              <w:tabs>
                <w:tab w:val="left" w:pos="1311"/>
              </w:tabs>
              <w:jc w:val="center"/>
              <w:rPr>
                <w:rFonts w:ascii="Arial" w:hAnsi="Arial" w:cs="Arial"/>
              </w:rPr>
            </w:pPr>
            <w:r w:rsidRPr="00F175EE">
              <w:rPr>
                <w:rFonts w:ascii="Arial" w:hAnsi="Arial" w:cs="Arial"/>
              </w:rPr>
              <w:t xml:space="preserve"> B-cells</w:t>
            </w:r>
          </w:p>
        </w:tc>
        <w:tc>
          <w:tcPr>
            <w:tcW w:w="1530" w:type="dxa"/>
          </w:tcPr>
          <w:p w:rsidR="00330CF1" w:rsidRPr="00BE2E2C" w:rsidRDefault="00330CF1" w:rsidP="00BE2E2C">
            <w:pPr>
              <w:jc w:val="center"/>
              <w:rPr>
                <w:rFonts w:ascii="Arial" w:hAnsi="Arial" w:cs="Arial"/>
              </w:rPr>
            </w:pPr>
            <w:r w:rsidRPr="00BE2E2C">
              <w:rPr>
                <w:rFonts w:ascii="Arial" w:hAnsi="Arial" w:cs="Arial"/>
              </w:rPr>
              <w:t>1,042</w:t>
            </w:r>
          </w:p>
        </w:tc>
        <w:tc>
          <w:tcPr>
            <w:tcW w:w="1530" w:type="dxa"/>
          </w:tcPr>
          <w:p w:rsidR="00330CF1" w:rsidRPr="00BE2E2C" w:rsidRDefault="00330CF1" w:rsidP="00BE2E2C">
            <w:pPr>
              <w:jc w:val="center"/>
              <w:rPr>
                <w:rFonts w:ascii="Arial" w:hAnsi="Arial" w:cs="Arial"/>
              </w:rPr>
            </w:pPr>
            <w:r w:rsidRPr="00BE2E2C">
              <w:rPr>
                <w:rFonts w:ascii="Arial" w:hAnsi="Arial" w:cs="Arial"/>
              </w:rPr>
              <w:t>2,292</w:t>
            </w:r>
          </w:p>
        </w:tc>
        <w:tc>
          <w:tcPr>
            <w:tcW w:w="1620" w:type="dxa"/>
          </w:tcPr>
          <w:p w:rsidR="00330CF1" w:rsidRPr="00BE2E2C" w:rsidRDefault="00330CF1" w:rsidP="00BE2E2C">
            <w:pPr>
              <w:jc w:val="center"/>
              <w:rPr>
                <w:rFonts w:ascii="Arial" w:hAnsi="Arial" w:cs="Arial"/>
              </w:rPr>
            </w:pPr>
            <w:r w:rsidRPr="00BE2E2C">
              <w:rPr>
                <w:rFonts w:ascii="Arial" w:hAnsi="Arial" w:cs="Arial"/>
              </w:rPr>
              <w:t>3,544</w:t>
            </w:r>
          </w:p>
        </w:tc>
        <w:tc>
          <w:tcPr>
            <w:tcW w:w="1620" w:type="dxa"/>
          </w:tcPr>
          <w:p w:rsidR="00330CF1" w:rsidRPr="00BE2E2C" w:rsidRDefault="00330CF1" w:rsidP="00BE2E2C">
            <w:pPr>
              <w:jc w:val="center"/>
              <w:rPr>
                <w:rFonts w:ascii="Arial" w:hAnsi="Arial" w:cs="Arial"/>
              </w:rPr>
            </w:pPr>
            <w:r w:rsidRPr="00BE2E2C">
              <w:rPr>
                <w:rFonts w:ascii="Arial" w:hAnsi="Arial" w:cs="Arial"/>
              </w:rPr>
              <w:t>1,859</w:t>
            </w:r>
          </w:p>
        </w:tc>
      </w:tr>
      <w:tr w:rsidR="00330CF1" w:rsidRPr="00BE2E2C" w:rsidTr="00CA0258">
        <w:tc>
          <w:tcPr>
            <w:tcW w:w="2628" w:type="dxa"/>
          </w:tcPr>
          <w:p w:rsidR="00330CF1" w:rsidRPr="00F175EE" w:rsidRDefault="00330CF1" w:rsidP="00BE2E2C">
            <w:pPr>
              <w:tabs>
                <w:tab w:val="left" w:pos="1311"/>
              </w:tabs>
              <w:jc w:val="center"/>
              <w:rPr>
                <w:rFonts w:ascii="Arial" w:hAnsi="Arial" w:cs="Arial"/>
              </w:rPr>
            </w:pPr>
            <w:r w:rsidRPr="00F175EE">
              <w:rPr>
                <w:rFonts w:ascii="Arial" w:hAnsi="Arial" w:cs="Arial"/>
              </w:rPr>
              <w:t>Null cells</w:t>
            </w:r>
          </w:p>
        </w:tc>
        <w:tc>
          <w:tcPr>
            <w:tcW w:w="1530" w:type="dxa"/>
          </w:tcPr>
          <w:p w:rsidR="00330CF1" w:rsidRPr="00BE2E2C" w:rsidRDefault="00330CF1" w:rsidP="00BE2E2C">
            <w:pPr>
              <w:jc w:val="center"/>
              <w:rPr>
                <w:rFonts w:ascii="Arial" w:hAnsi="Arial" w:cs="Arial"/>
              </w:rPr>
            </w:pPr>
            <w:r w:rsidRPr="00BE2E2C">
              <w:rPr>
                <w:rFonts w:ascii="Arial" w:hAnsi="Arial" w:cs="Arial"/>
              </w:rPr>
              <w:t>1408</w:t>
            </w:r>
          </w:p>
        </w:tc>
        <w:tc>
          <w:tcPr>
            <w:tcW w:w="1530" w:type="dxa"/>
          </w:tcPr>
          <w:p w:rsidR="00330CF1" w:rsidRPr="00BE2E2C" w:rsidRDefault="00330CF1" w:rsidP="00BE2E2C">
            <w:pPr>
              <w:jc w:val="center"/>
              <w:rPr>
                <w:rFonts w:ascii="Arial" w:hAnsi="Arial" w:cs="Arial"/>
              </w:rPr>
            </w:pPr>
            <w:r w:rsidRPr="00BE2E2C">
              <w:rPr>
                <w:rFonts w:ascii="Arial" w:hAnsi="Arial" w:cs="Arial"/>
              </w:rPr>
              <w:t>448</w:t>
            </w:r>
          </w:p>
        </w:tc>
        <w:tc>
          <w:tcPr>
            <w:tcW w:w="1620" w:type="dxa"/>
          </w:tcPr>
          <w:p w:rsidR="00330CF1" w:rsidRPr="00BE2E2C" w:rsidRDefault="00330CF1" w:rsidP="00BE2E2C">
            <w:pPr>
              <w:jc w:val="center"/>
              <w:rPr>
                <w:rFonts w:ascii="Arial" w:hAnsi="Arial" w:cs="Arial"/>
              </w:rPr>
            </w:pPr>
            <w:r w:rsidRPr="00BE2E2C">
              <w:rPr>
                <w:rFonts w:ascii="Arial" w:hAnsi="Arial" w:cs="Arial"/>
              </w:rPr>
              <w:t>893</w:t>
            </w:r>
          </w:p>
        </w:tc>
        <w:tc>
          <w:tcPr>
            <w:tcW w:w="1620" w:type="dxa"/>
          </w:tcPr>
          <w:p w:rsidR="00330CF1" w:rsidRPr="00BE2E2C" w:rsidRDefault="00330CF1" w:rsidP="00BE2E2C">
            <w:pPr>
              <w:jc w:val="center"/>
              <w:rPr>
                <w:rFonts w:ascii="Arial" w:hAnsi="Arial" w:cs="Arial"/>
              </w:rPr>
            </w:pPr>
            <w:r w:rsidRPr="00BE2E2C">
              <w:rPr>
                <w:rFonts w:ascii="Arial" w:hAnsi="Arial" w:cs="Arial"/>
              </w:rPr>
              <w:t>498</w:t>
            </w:r>
          </w:p>
        </w:tc>
      </w:tr>
      <w:tr w:rsidR="00330CF1" w:rsidRPr="00BE2E2C" w:rsidTr="00CA0258">
        <w:tc>
          <w:tcPr>
            <w:tcW w:w="2628" w:type="dxa"/>
          </w:tcPr>
          <w:p w:rsidR="00330CF1" w:rsidRPr="00F175EE" w:rsidRDefault="00330CF1" w:rsidP="00BE2E2C">
            <w:pPr>
              <w:jc w:val="center"/>
              <w:rPr>
                <w:rFonts w:ascii="Arial" w:hAnsi="Arial" w:cs="Arial"/>
              </w:rPr>
            </w:pPr>
            <w:r w:rsidRPr="00F175EE">
              <w:rPr>
                <w:rFonts w:ascii="Arial" w:hAnsi="Arial" w:cs="Arial"/>
              </w:rPr>
              <w:t>CD4/CD8 ratio</w:t>
            </w:r>
          </w:p>
        </w:tc>
        <w:tc>
          <w:tcPr>
            <w:tcW w:w="1530" w:type="dxa"/>
          </w:tcPr>
          <w:p w:rsidR="00330CF1" w:rsidRPr="00BE2E2C" w:rsidRDefault="00330CF1" w:rsidP="00BE2E2C">
            <w:pPr>
              <w:jc w:val="center"/>
              <w:rPr>
                <w:rFonts w:ascii="Arial" w:hAnsi="Arial" w:cs="Arial"/>
              </w:rPr>
            </w:pPr>
            <w:r w:rsidRPr="00BE2E2C">
              <w:rPr>
                <w:rFonts w:ascii="Arial" w:hAnsi="Arial" w:cs="Arial"/>
              </w:rPr>
              <w:t>4.4</w:t>
            </w:r>
          </w:p>
        </w:tc>
        <w:tc>
          <w:tcPr>
            <w:tcW w:w="1530" w:type="dxa"/>
          </w:tcPr>
          <w:p w:rsidR="00330CF1" w:rsidRPr="00BE2E2C" w:rsidRDefault="00330CF1" w:rsidP="00BE2E2C">
            <w:pPr>
              <w:jc w:val="center"/>
              <w:rPr>
                <w:rFonts w:ascii="Arial" w:hAnsi="Arial" w:cs="Arial"/>
              </w:rPr>
            </w:pPr>
            <w:r w:rsidRPr="00BE2E2C">
              <w:rPr>
                <w:rFonts w:ascii="Arial" w:hAnsi="Arial" w:cs="Arial"/>
              </w:rPr>
              <w:t>3.3</w:t>
            </w:r>
          </w:p>
        </w:tc>
        <w:tc>
          <w:tcPr>
            <w:tcW w:w="1620" w:type="dxa"/>
          </w:tcPr>
          <w:p w:rsidR="00330CF1" w:rsidRPr="00BE2E2C" w:rsidRDefault="00330CF1" w:rsidP="00BE2E2C">
            <w:pPr>
              <w:jc w:val="center"/>
              <w:rPr>
                <w:rFonts w:ascii="Arial" w:hAnsi="Arial" w:cs="Arial"/>
              </w:rPr>
            </w:pPr>
            <w:r w:rsidRPr="00BE2E2C">
              <w:rPr>
                <w:rFonts w:ascii="Arial" w:hAnsi="Arial" w:cs="Arial"/>
              </w:rPr>
              <w:t>2.2</w:t>
            </w:r>
          </w:p>
        </w:tc>
        <w:tc>
          <w:tcPr>
            <w:tcW w:w="1620" w:type="dxa"/>
          </w:tcPr>
          <w:p w:rsidR="00330CF1" w:rsidRPr="00BE2E2C" w:rsidRDefault="00330CF1" w:rsidP="00BE2E2C">
            <w:pPr>
              <w:jc w:val="center"/>
              <w:rPr>
                <w:rFonts w:ascii="Arial" w:hAnsi="Arial" w:cs="Arial"/>
              </w:rPr>
            </w:pPr>
            <w:r w:rsidRPr="00BE2E2C">
              <w:rPr>
                <w:rFonts w:ascii="Arial" w:hAnsi="Arial" w:cs="Arial"/>
              </w:rPr>
              <w:t>2.9</w:t>
            </w:r>
          </w:p>
        </w:tc>
      </w:tr>
    </w:tbl>
    <w:p w:rsidR="00330CF1" w:rsidRDefault="00330CF1" w:rsidP="00443E94">
      <w:pPr>
        <w:rPr>
          <w:rFonts w:ascii="Arial" w:hAnsi="Arial" w:cs="Arial"/>
        </w:rPr>
      </w:pPr>
      <w:r w:rsidRPr="0066754C">
        <w:rPr>
          <w:rFonts w:ascii="Arial" w:hAnsi="Arial" w:cs="Arial"/>
          <w:b/>
          <w:i/>
        </w:rPr>
        <w:t>Source</w:t>
      </w:r>
      <w:r>
        <w:rPr>
          <w:rFonts w:ascii="Arial" w:hAnsi="Arial" w:cs="Arial"/>
          <w:b/>
        </w:rPr>
        <w:t xml:space="preserve">: </w:t>
      </w:r>
      <w:r>
        <w:rPr>
          <w:rFonts w:ascii="Arial" w:hAnsi="Arial" w:cs="Arial"/>
        </w:rPr>
        <w:t xml:space="preserve">Data from Bortnick, 1999. </w:t>
      </w:r>
    </w:p>
    <w:p w:rsidR="00330CF1" w:rsidRDefault="00330CF1" w:rsidP="00443E94">
      <w:pPr>
        <w:rPr>
          <w:rFonts w:ascii="Arial" w:hAnsi="Arial" w:cs="Arial"/>
        </w:rPr>
      </w:pPr>
      <w:r>
        <w:rPr>
          <w:rFonts w:ascii="Arial" w:hAnsi="Arial" w:cs="Arial"/>
        </w:rPr>
        <w:lastRenderedPageBreak/>
        <w:t>independent pathways.  In human beings, neutrophil function is immature and suboptimal at birth.</w:t>
      </w:r>
      <w:r>
        <w:rPr>
          <w:rFonts w:ascii="Arial" w:hAnsi="Arial" w:cs="Arial"/>
          <w:noProof/>
        </w:rPr>
        <w:t>[88]</w:t>
      </w:r>
      <w:r>
        <w:rPr>
          <w:rFonts w:ascii="Arial" w:hAnsi="Arial" w:cs="Arial"/>
        </w:rPr>
        <w:t xml:space="preserve">  </w:t>
      </w:r>
      <w:r w:rsidRPr="001D0ADA">
        <w:rPr>
          <w:rFonts w:ascii="Arial" w:hAnsi="Arial" w:cs="Arial"/>
        </w:rPr>
        <w:t>Newborn human neutrophils have impaired adhesion and tissue migration abilities due to a decreased surface expression of L-selectin and β 2-integrin.</w:t>
      </w:r>
      <w:r>
        <w:rPr>
          <w:rFonts w:ascii="Arial" w:hAnsi="Arial" w:cs="Arial"/>
          <w:noProof/>
        </w:rPr>
        <w:t>[89]</w:t>
      </w:r>
      <w:r w:rsidRPr="001D0ADA">
        <w:rPr>
          <w:rFonts w:ascii="Arial" w:hAnsi="Arial" w:cs="Arial"/>
        </w:rPr>
        <w:t xml:space="preserve">  </w:t>
      </w:r>
      <w:r>
        <w:rPr>
          <w:rFonts w:ascii="Arial" w:hAnsi="Arial" w:cs="Arial"/>
        </w:rPr>
        <w:t>Human infant neutrophils have l</w:t>
      </w:r>
      <w:r w:rsidRPr="001D0ADA">
        <w:rPr>
          <w:rFonts w:ascii="Arial" w:hAnsi="Arial" w:cs="Arial"/>
        </w:rPr>
        <w:t>ower levels of lysozyme</w:t>
      </w:r>
      <w:r>
        <w:rPr>
          <w:rFonts w:ascii="Arial" w:hAnsi="Arial" w:cs="Arial"/>
        </w:rPr>
        <w:t xml:space="preserve"> and lactoferrin compared to adult neutrophils.</w:t>
      </w:r>
      <w:r>
        <w:rPr>
          <w:rFonts w:ascii="Arial" w:hAnsi="Arial" w:cs="Arial"/>
          <w:noProof/>
        </w:rPr>
        <w:t>[90]</w:t>
      </w:r>
      <w:r>
        <w:rPr>
          <w:rFonts w:ascii="Arial" w:hAnsi="Arial" w:cs="Arial"/>
        </w:rPr>
        <w:t xml:space="preserve">  Additional studies have determined that human newborn neutrophils are deficient in bactericidal permeability-increasing protein (BPI), a main effector against gram-negative bacteria.</w:t>
      </w:r>
      <w:r>
        <w:rPr>
          <w:rFonts w:ascii="Arial" w:hAnsi="Arial" w:cs="Arial"/>
          <w:noProof/>
        </w:rPr>
        <w:t>[91]</w:t>
      </w:r>
      <w:r>
        <w:rPr>
          <w:rFonts w:ascii="Arial" w:hAnsi="Arial" w:cs="Arial"/>
        </w:rPr>
        <w:t xml:space="preserve">  Complement activity is also impaired in human newborns.</w:t>
      </w:r>
      <w:r>
        <w:rPr>
          <w:rFonts w:ascii="Arial" w:hAnsi="Arial" w:cs="Arial"/>
          <w:noProof/>
        </w:rPr>
        <w:t>[92]</w:t>
      </w:r>
      <w:r>
        <w:rPr>
          <w:rFonts w:ascii="Arial" w:hAnsi="Arial" w:cs="Arial"/>
        </w:rPr>
        <w:t xml:space="preserve">  Human newborn neutrophil bactericidal activity is approximately one-third of adult levels.</w:t>
      </w:r>
      <w:r>
        <w:rPr>
          <w:rFonts w:ascii="Arial" w:hAnsi="Arial" w:cs="Arial"/>
          <w:noProof/>
        </w:rPr>
        <w:t>[92]</w:t>
      </w:r>
      <w:r>
        <w:rPr>
          <w:rFonts w:ascii="Arial" w:hAnsi="Arial" w:cs="Arial"/>
        </w:rPr>
        <w:t xml:space="preserve">  In humans, adult serum added to newborn neutrophils improved the bactericidal activity of newborn neutrophils by 93%.  Conversely, neonatal serum blunted adult bactericidal activity by 86%.</w:t>
      </w:r>
      <w:r>
        <w:rPr>
          <w:rFonts w:ascii="Arial" w:hAnsi="Arial" w:cs="Arial"/>
          <w:noProof/>
        </w:rPr>
        <w:t>[92]</w:t>
      </w:r>
      <w:r>
        <w:rPr>
          <w:rFonts w:ascii="Arial" w:hAnsi="Arial" w:cs="Arial"/>
        </w:rPr>
        <w:t xml:space="preserve">  Deficiencies in neutrophil phagocytosis have been identified in foals </w:t>
      </w:r>
      <w:r>
        <w:rPr>
          <w:rFonts w:ascii="Arial" w:hAnsi="Arial" w:cs="Arial"/>
          <w:noProof/>
        </w:rPr>
        <w:t>[93]</w:t>
      </w:r>
      <w:r>
        <w:rPr>
          <w:rFonts w:ascii="Arial" w:hAnsi="Arial" w:cs="Arial"/>
        </w:rPr>
        <w:t xml:space="preserve"> and calves </w:t>
      </w:r>
      <w:r>
        <w:rPr>
          <w:rFonts w:ascii="Arial" w:hAnsi="Arial" w:cs="Arial"/>
          <w:noProof/>
        </w:rPr>
        <w:t>[94]</w:t>
      </w:r>
      <w:r>
        <w:rPr>
          <w:rFonts w:ascii="Arial" w:hAnsi="Arial" w:cs="Arial"/>
        </w:rPr>
        <w:t>.</w:t>
      </w:r>
    </w:p>
    <w:p w:rsidR="00330CF1" w:rsidRDefault="00330CF1" w:rsidP="00443E94">
      <w:pPr>
        <w:rPr>
          <w:rFonts w:ascii="Arial" w:hAnsi="Arial" w:cs="Arial"/>
        </w:rPr>
      </w:pPr>
      <w:r>
        <w:rPr>
          <w:rFonts w:ascii="Arial" w:hAnsi="Arial" w:cs="Arial"/>
        </w:rPr>
        <w:t xml:space="preserve">     Studies looking at neutrophil function in kittens compared to adult cats have yielded similar results.  In a study by Hanel, kitten neutrophils were incubated with </w:t>
      </w:r>
      <w:r>
        <w:rPr>
          <w:rFonts w:ascii="Arial" w:hAnsi="Arial" w:cs="Arial"/>
          <w:i/>
        </w:rPr>
        <w:t>Staphylococcus aureus</w:t>
      </w:r>
      <w:r>
        <w:rPr>
          <w:rFonts w:ascii="Arial" w:hAnsi="Arial" w:cs="Arial"/>
        </w:rPr>
        <w:t xml:space="preserve"> and tested for phagocytosis and oxidative burst.</w:t>
      </w:r>
      <w:r>
        <w:rPr>
          <w:rFonts w:ascii="Arial" w:hAnsi="Arial" w:cs="Arial"/>
          <w:noProof/>
        </w:rPr>
        <w:t>[95]</w:t>
      </w:r>
      <w:r>
        <w:rPr>
          <w:rFonts w:ascii="Arial" w:hAnsi="Arial" w:cs="Arial"/>
        </w:rPr>
        <w:t xml:space="preserve">  Both neutrophil phagocytosis and oxidative burst were significantly decreased from birth until 4 weeks of age compared to adult levels.  Mean average for adult bacterial phagocytosis was 78% compared to 44% in 2 day old kittens.  Mean average for oxidative burst in adults was 55% compared to 21% in 2 day old kittens.  Adult-levels were achieved by 6-8 weeks of age.</w:t>
      </w:r>
      <w:r>
        <w:rPr>
          <w:rFonts w:ascii="Arial" w:hAnsi="Arial" w:cs="Arial"/>
          <w:noProof/>
        </w:rPr>
        <w:t>[95]</w:t>
      </w:r>
      <w:r>
        <w:rPr>
          <w:rFonts w:ascii="Arial" w:hAnsi="Arial" w:cs="Arial"/>
        </w:rPr>
        <w:t xml:space="preserve">  </w:t>
      </w:r>
    </w:p>
    <w:p w:rsidR="00330CF1" w:rsidRDefault="00330CF1" w:rsidP="00A70F9F">
      <w:pPr>
        <w:rPr>
          <w:rFonts w:ascii="Arial" w:hAnsi="Arial" w:cs="Arial"/>
        </w:rPr>
      </w:pPr>
      <w:r>
        <w:rPr>
          <w:rFonts w:ascii="Arial" w:hAnsi="Arial" w:cs="Arial"/>
        </w:rPr>
        <w:t xml:space="preserve">     The efficiency of phagocytosis is enhanced by opsonins such as antibodies and complement proteins.  In the Hanel study, no differences were found in phagocytosis and oxidative burst between kittens given colostrum or those that were colostrum-deprived.</w:t>
      </w:r>
      <w:r>
        <w:rPr>
          <w:rFonts w:ascii="Arial" w:hAnsi="Arial" w:cs="Arial"/>
          <w:noProof/>
        </w:rPr>
        <w:t>[95]</w:t>
      </w:r>
      <w:r>
        <w:rPr>
          <w:rFonts w:ascii="Arial" w:hAnsi="Arial" w:cs="Arial"/>
        </w:rPr>
        <w:t xml:space="preserve">  Heat inactivation though significantly decreased the opsonizing activity in both treatment groups suggesting that opsonization for kittens was highly dependent on complement or other heat-labile</w:t>
      </w:r>
      <w:r w:rsidRPr="00D01789">
        <w:rPr>
          <w:rFonts w:ascii="Arial" w:hAnsi="Arial" w:cs="Arial"/>
        </w:rPr>
        <w:t>.</w:t>
      </w:r>
      <w:r w:rsidRPr="00D01789">
        <w:rPr>
          <w:rFonts w:ascii="Arial" w:hAnsi="Arial" w:cs="Arial"/>
          <w:noProof/>
        </w:rPr>
        <w:t>[95]</w:t>
      </w:r>
    </w:p>
    <w:p w:rsidR="00330CF1" w:rsidRDefault="00330CF1" w:rsidP="000578A6">
      <w:pPr>
        <w:pStyle w:val="Heading3"/>
      </w:pPr>
      <w:bookmarkStart w:id="14" w:name="_Toc305485841"/>
      <w:r>
        <w:t>Mucosal i</w:t>
      </w:r>
      <w:r w:rsidRPr="000D20B3">
        <w:t>mmunity</w:t>
      </w:r>
      <w:r>
        <w:t xml:space="preserve"> </w:t>
      </w:r>
      <w:bookmarkEnd w:id="14"/>
    </w:p>
    <w:p w:rsidR="00330CF1" w:rsidRPr="003C5D98" w:rsidRDefault="00330CF1" w:rsidP="00A70F9F">
      <w:pPr>
        <w:rPr>
          <w:rFonts w:ascii="Arial" w:hAnsi="Arial" w:cs="Arial"/>
        </w:rPr>
      </w:pPr>
    </w:p>
    <w:p w:rsidR="00330CF1" w:rsidRDefault="00330CF1" w:rsidP="003C5D98">
      <w:pPr>
        <w:autoSpaceDE w:val="0"/>
        <w:autoSpaceDN w:val="0"/>
        <w:adjustRightInd w:val="0"/>
      </w:pPr>
      <w:r>
        <w:rPr>
          <w:rFonts w:ascii="Arial" w:hAnsi="Arial" w:cs="Arial"/>
        </w:rPr>
        <w:t xml:space="preserve">     Gut-associated lymphoid tissue (GALT) is a system of diffuse and localized lymphoid tissue found in the gastrointestinal tract.  The mucosal immune system can be divided into two compartments,1- organized lymphoid structures such as Peyer’s patches, lymphoid follicles and mesenteric lymph nodes and 2- diffuse lymphocytes and innate immune cells in tissues specialized for other functions i.e. lamina propria or the epithelial layer.</w:t>
      </w:r>
      <w:r>
        <w:rPr>
          <w:rFonts w:ascii="Arial" w:hAnsi="Arial" w:cs="Arial"/>
          <w:noProof/>
        </w:rPr>
        <w:t>[87]</w:t>
      </w:r>
      <w:r>
        <w:rPr>
          <w:rFonts w:ascii="Arial" w:hAnsi="Arial" w:cs="Arial"/>
        </w:rPr>
        <w:t xml:space="preserve">  The mucosa itself consists of a single layer of intestinal epithelium and the lamina propria, a thin layer of connective tissue supporting the epithelium. </w:t>
      </w:r>
    </w:p>
    <w:p w:rsidR="00330CF1" w:rsidRDefault="00330CF1" w:rsidP="003C5D98">
      <w:pPr>
        <w:autoSpaceDE w:val="0"/>
        <w:autoSpaceDN w:val="0"/>
        <w:adjustRightInd w:val="0"/>
        <w:rPr>
          <w:rFonts w:ascii="Arial" w:hAnsi="Arial" w:cs="Arial"/>
        </w:rPr>
      </w:pPr>
      <w:r>
        <w:rPr>
          <w:rFonts w:ascii="Arial" w:hAnsi="Arial" w:cs="Arial"/>
        </w:rPr>
        <w:t xml:space="preserve">     For most pathogens, the first site of entry into the host’s body are at mucosal surfaces.  For these reasons, GALT has developed numerous protective mechanisms to prevent barrier invasions and infection.  These mechanisms include physical barriers and chemical molecules such as mucus, complement and antimicrobial peptides.</w:t>
      </w:r>
      <w:r>
        <w:rPr>
          <w:rFonts w:ascii="Arial" w:hAnsi="Arial" w:cs="Arial"/>
          <w:noProof/>
        </w:rPr>
        <w:t>[96]</w:t>
      </w:r>
    </w:p>
    <w:p w:rsidR="00330CF1" w:rsidRDefault="00330CF1" w:rsidP="00221D8B">
      <w:pPr>
        <w:autoSpaceDE w:val="0"/>
        <w:autoSpaceDN w:val="0"/>
        <w:adjustRightInd w:val="0"/>
        <w:rPr>
          <w:rFonts w:ascii="Arial" w:hAnsi="Arial" w:cs="Arial"/>
        </w:rPr>
      </w:pPr>
      <w:r>
        <w:rPr>
          <w:rFonts w:ascii="Arial" w:hAnsi="Arial" w:cs="Arial"/>
        </w:rPr>
        <w:t xml:space="preserve">     The first line of defense against foreign antigens is the epithelial surface layer. This is a single layer of columnar epithelium with tight junctions (a ring of protein which seals the apical epithelium) between the cells to exclude pathogens, peptides and macromolecules.  The apical membrane is covered with microvilli which is in turn covered in a thick layer of membrane-anchored glycoproteins called the glycocalyx.</w:t>
      </w:r>
      <w:r>
        <w:rPr>
          <w:rFonts w:ascii="Arial" w:hAnsi="Arial" w:cs="Arial"/>
          <w:noProof/>
        </w:rPr>
        <w:t>[96]</w:t>
      </w:r>
      <w:r>
        <w:rPr>
          <w:rFonts w:ascii="Arial" w:hAnsi="Arial" w:cs="Arial"/>
        </w:rPr>
        <w:t xml:space="preserve">  </w:t>
      </w:r>
      <w:r>
        <w:rPr>
          <w:rFonts w:ascii="Arial" w:hAnsi="Arial" w:cs="Arial"/>
        </w:rPr>
        <w:lastRenderedPageBreak/>
        <w:t>Digested nutrients can pass through the glycocalyx but it is relatively impermeable to macromolecules and bacteria.</w:t>
      </w:r>
      <w:r>
        <w:rPr>
          <w:rFonts w:ascii="Arial" w:hAnsi="Arial" w:cs="Arial"/>
          <w:noProof/>
        </w:rPr>
        <w:t>[96]</w:t>
      </w:r>
      <w:r>
        <w:rPr>
          <w:rFonts w:ascii="Arial" w:hAnsi="Arial" w:cs="Arial"/>
        </w:rPr>
        <w:t xml:space="preserve">  The glycocalyx’s negative charge repels negatively charged phospholipids on the outer layer of bacterial cell membranes.</w:t>
      </w:r>
      <w:r>
        <w:rPr>
          <w:rFonts w:ascii="Arial" w:hAnsi="Arial" w:cs="Arial"/>
          <w:noProof/>
        </w:rPr>
        <w:t>[87, 96]</w:t>
      </w:r>
      <w:r>
        <w:rPr>
          <w:rFonts w:ascii="Arial" w:hAnsi="Arial" w:cs="Arial"/>
        </w:rPr>
        <w:t xml:space="preserve">  A further mechanism to minimize invasion of underlying tissues is the rapid surface epithelium cell turnover.  Gastrointestinal epithelial cells turnover approximately every 3 days.</w:t>
      </w:r>
      <w:r>
        <w:rPr>
          <w:rFonts w:ascii="Arial" w:hAnsi="Arial" w:cs="Arial"/>
          <w:noProof/>
        </w:rPr>
        <w:t>[87]</w:t>
      </w:r>
      <w:r>
        <w:rPr>
          <w:rFonts w:ascii="Arial" w:hAnsi="Arial" w:cs="Arial"/>
        </w:rPr>
        <w:t xml:space="preserve"> </w:t>
      </w:r>
    </w:p>
    <w:p w:rsidR="00330CF1" w:rsidRDefault="00330CF1" w:rsidP="003C5D98">
      <w:pPr>
        <w:autoSpaceDE w:val="0"/>
        <w:autoSpaceDN w:val="0"/>
        <w:adjustRightInd w:val="0"/>
        <w:rPr>
          <w:rFonts w:ascii="Arial" w:hAnsi="Arial" w:cs="Arial"/>
        </w:rPr>
      </w:pPr>
      <w:r>
        <w:rPr>
          <w:rFonts w:ascii="Arial" w:hAnsi="Arial" w:cs="Arial"/>
        </w:rPr>
        <w:t xml:space="preserve">     Within the columnar epithelium are mucus secreting Paneth cells and goblet cells. Mucus forms a protective lining covering the glycocalyx of the microvilli, protecting underlying cells against harmful digestive enzymes, and acts to trap pathogens through carbohydrate binding sites.  Mucus also contains numerous antibacterial molecules including lysozyme, lactoferrin and anti-microbial peptides.</w:t>
      </w:r>
      <w:r>
        <w:rPr>
          <w:rFonts w:ascii="Arial" w:hAnsi="Arial" w:cs="Arial"/>
          <w:noProof/>
        </w:rPr>
        <w:t>[87]</w:t>
      </w:r>
      <w:r>
        <w:rPr>
          <w:rFonts w:ascii="Arial" w:hAnsi="Arial" w:cs="Arial"/>
        </w:rPr>
        <w:t xml:space="preserve"> Antimicrobial proteins (APP) are cationic granule-associated peptides with a high affinity for anionic phospholipids in microbial membranes resulting in cell lysis.</w:t>
      </w:r>
      <w:r>
        <w:rPr>
          <w:rFonts w:ascii="Arial" w:hAnsi="Arial" w:cs="Arial"/>
          <w:noProof/>
        </w:rPr>
        <w:t>[97]</w:t>
      </w:r>
      <w:r>
        <w:rPr>
          <w:rFonts w:ascii="Arial" w:hAnsi="Arial" w:cs="Arial"/>
        </w:rPr>
        <w:t xml:space="preserve">  APP’s are </w:t>
      </w:r>
      <w:r w:rsidRPr="003B4516">
        <w:rPr>
          <w:rFonts w:ascii="Arial" w:hAnsi="Arial" w:cs="Arial"/>
        </w:rPr>
        <w:t>secreted from polymorphonuclear cells (PMN), epithelial cells and reproductive glands.  Lysozyme, secreted by Paneth cells and PMN’s,</w:t>
      </w:r>
      <w:r>
        <w:rPr>
          <w:rFonts w:ascii="Arial" w:hAnsi="Arial" w:cs="Arial"/>
        </w:rPr>
        <w:t xml:space="preserve"> break</w:t>
      </w:r>
      <w:r w:rsidRPr="003B4516">
        <w:rPr>
          <w:rFonts w:ascii="Arial" w:hAnsi="Arial" w:cs="Arial"/>
        </w:rPr>
        <w:t xml:space="preserve"> down bacterial cell walls by cleaving β-1,4 linkages between acetylmuramic acid and acetylglucosamine.</w:t>
      </w:r>
      <w:r>
        <w:rPr>
          <w:rFonts w:ascii="Arial" w:hAnsi="Arial" w:cs="Arial"/>
          <w:noProof/>
        </w:rPr>
        <w:t>[97]</w:t>
      </w:r>
      <w:r>
        <w:rPr>
          <w:rFonts w:ascii="Arial" w:hAnsi="Arial" w:cs="Arial"/>
        </w:rPr>
        <w:t xml:space="preserve">  Lactoferrin, a glycoprotein that is found in saliva, bile, pancreatic fluid and PMN’s, kills or inhibits pathogen growth by binding to the lipid A portion of lipopolysaccharide (LPS), resulting in separation of LPS from Gram-negative bacteria.</w:t>
      </w:r>
      <w:r>
        <w:rPr>
          <w:rFonts w:ascii="Arial" w:hAnsi="Arial" w:cs="Arial"/>
          <w:noProof/>
        </w:rPr>
        <w:t>[87]</w:t>
      </w:r>
      <w:r>
        <w:rPr>
          <w:rFonts w:ascii="Arial" w:hAnsi="Arial" w:cs="Arial"/>
        </w:rPr>
        <w:t xml:space="preserve">  Lactoferrin also has antimicrobial activity via binding iron, a critical nutrient for bacterial growth.</w:t>
      </w:r>
      <w:r>
        <w:rPr>
          <w:rFonts w:ascii="Arial" w:hAnsi="Arial" w:cs="Arial"/>
          <w:noProof/>
        </w:rPr>
        <w:t>[97]</w:t>
      </w:r>
      <w:r>
        <w:rPr>
          <w:rFonts w:ascii="Arial" w:hAnsi="Arial" w:cs="Arial"/>
        </w:rPr>
        <w:t xml:space="preserve">  Defensins are an additional group of broadly microbicidal, cationic proteins secreted by Paneth cells and PMN’s.</w:t>
      </w:r>
    </w:p>
    <w:p w:rsidR="00330CF1" w:rsidRDefault="00330CF1" w:rsidP="003C5D98">
      <w:pPr>
        <w:autoSpaceDE w:val="0"/>
        <w:autoSpaceDN w:val="0"/>
        <w:adjustRightInd w:val="0"/>
        <w:rPr>
          <w:rFonts w:ascii="Arial" w:hAnsi="Arial" w:cs="Arial"/>
        </w:rPr>
      </w:pPr>
      <w:r>
        <w:rPr>
          <w:rFonts w:ascii="Arial" w:hAnsi="Arial" w:cs="Arial"/>
        </w:rPr>
        <w:t xml:space="preserve">     Interspersed among the epithelial, goblet and Paneth cells, are M-cells.  M-cells lack microvilli and a glycocalyx.  These are replaced by microfolds at the luminal surface.  M-cells use transepithelial vesicular transport to carry sampled antigens from the lumen to the underlying lymphoid cells i.e. macrophages, dendritic cells and lymphocytes.  The majority of lymphocytes within lamina propria are IgA positive plasma cells and memory T-cells.</w:t>
      </w:r>
      <w:r>
        <w:rPr>
          <w:rFonts w:ascii="Arial" w:hAnsi="Arial" w:cs="Arial"/>
          <w:noProof/>
        </w:rPr>
        <w:t>[87]</w:t>
      </w:r>
      <w:r>
        <w:rPr>
          <w:rFonts w:ascii="Arial" w:hAnsi="Arial" w:cs="Arial"/>
        </w:rPr>
        <w:t xml:space="preserve">  In cats, 40-80% of the plasma cells in the lamina propria are IgA-producing cells.</w:t>
      </w:r>
      <w:r>
        <w:rPr>
          <w:rFonts w:ascii="Arial" w:hAnsi="Arial" w:cs="Arial"/>
          <w:noProof/>
        </w:rPr>
        <w:t>[98]</w:t>
      </w:r>
      <w:r>
        <w:rPr>
          <w:rFonts w:ascii="Arial" w:hAnsi="Arial" w:cs="Arial"/>
        </w:rPr>
        <w:t xml:space="preserve">  IgA is a weak pro-inflammatory immunoglobulin due to minimally binding complement.</w:t>
      </w:r>
      <w:r>
        <w:rPr>
          <w:rFonts w:ascii="Arial" w:hAnsi="Arial" w:cs="Arial"/>
          <w:noProof/>
        </w:rPr>
        <w:t>[98]</w:t>
      </w:r>
      <w:r>
        <w:rPr>
          <w:rFonts w:ascii="Arial" w:hAnsi="Arial" w:cs="Arial"/>
        </w:rPr>
        <w:t xml:space="preserve">  Peyer’s patches are the major sites of development for IgA positive B-cells.  Following stimulation, B cells undergo isotype switching to IgA and then differentiate into IgA secreting plasma cells.  This is </w:t>
      </w:r>
      <w:r w:rsidRPr="009B19CF">
        <w:rPr>
          <w:rFonts w:ascii="Arial" w:hAnsi="Arial" w:cs="Arial"/>
        </w:rPr>
        <w:t xml:space="preserve">done </w:t>
      </w:r>
      <w:r>
        <w:rPr>
          <w:rFonts w:ascii="Arial" w:hAnsi="Arial" w:cs="Arial"/>
        </w:rPr>
        <w:t xml:space="preserve">through co-stimulatory molecules from both CD4 T-cells and </w:t>
      </w:r>
      <w:r w:rsidRPr="001D0ADA">
        <w:rPr>
          <w:rFonts w:ascii="Arial" w:hAnsi="Arial" w:cs="Arial"/>
        </w:rPr>
        <w:t>dendritic cells.  The cytokines IL-4, IL-5, IL-6, and IL-10 along with transforming growth factor-β (TFG-β) bias toward a Th2 immune response and are important in the differentiation of IgA-committed B cells to plasma cells.  TGF-β promotes</w:t>
      </w:r>
      <w:r>
        <w:rPr>
          <w:rFonts w:ascii="Arial" w:hAnsi="Arial" w:cs="Arial"/>
        </w:rPr>
        <w:t xml:space="preserve"> heavy-chain switching to IgA.</w:t>
      </w:r>
      <w:r>
        <w:rPr>
          <w:rFonts w:ascii="Arial" w:hAnsi="Arial" w:cs="Arial"/>
          <w:noProof/>
        </w:rPr>
        <w:t>[96]</w:t>
      </w:r>
      <w:r>
        <w:rPr>
          <w:rFonts w:ascii="Arial" w:hAnsi="Arial" w:cs="Arial"/>
        </w:rPr>
        <w:t xml:space="preserve">  IL-4 and IL-5 promote activation of IgA-committed B cells and differentiation into plasma cells, and IL-6 promotes secretion of IgA antibody.</w:t>
      </w:r>
      <w:r>
        <w:rPr>
          <w:rFonts w:ascii="Arial" w:hAnsi="Arial" w:cs="Arial"/>
          <w:noProof/>
        </w:rPr>
        <w:t>[96]</w:t>
      </w:r>
      <w:r>
        <w:rPr>
          <w:rFonts w:ascii="Arial" w:hAnsi="Arial" w:cs="Arial"/>
        </w:rPr>
        <w:t xml:space="preserve">  IgM and IgG can be found in mucosal secretions, but IgA is the predominant immunoglobulin in mucosal secretions.</w:t>
      </w:r>
      <w:r>
        <w:rPr>
          <w:rFonts w:ascii="Arial" w:hAnsi="Arial" w:cs="Arial"/>
          <w:noProof/>
        </w:rPr>
        <w:t>[87]</w:t>
      </w:r>
      <w:r>
        <w:rPr>
          <w:rFonts w:ascii="Arial" w:hAnsi="Arial" w:cs="Arial"/>
        </w:rPr>
        <w:t xml:space="preserve">  Although produced in large quantities at mucosal surfaces, significantly less IgA circulates in the vascular system.</w:t>
      </w:r>
      <w:r>
        <w:rPr>
          <w:rFonts w:ascii="Arial" w:hAnsi="Arial" w:cs="Arial"/>
          <w:noProof/>
        </w:rPr>
        <w:t>[96]</w:t>
      </w:r>
      <w:r>
        <w:rPr>
          <w:rFonts w:ascii="Arial" w:hAnsi="Arial" w:cs="Arial"/>
        </w:rPr>
        <w:t xml:space="preserve">  Systemic IgA circulates as a monomer, whereas mucosal IgA is secreted as a dimer.</w:t>
      </w:r>
      <w:r>
        <w:rPr>
          <w:rFonts w:ascii="Arial" w:hAnsi="Arial" w:cs="Arial"/>
          <w:noProof/>
        </w:rPr>
        <w:t>[96]</w:t>
      </w:r>
      <w:r>
        <w:rPr>
          <w:rFonts w:ascii="Arial" w:hAnsi="Arial" w:cs="Arial"/>
        </w:rPr>
        <w:t xml:space="preserve">  Secretory IgA is formed by binding of monomeric IgA to the polymeric immunoglobulin receptor (pIgR) on the basolateral surface of enterocytes.  This results in the transport of IgA to the apical surface.  At the apical surface, a portion of the pIgR is enzymatically cleaved and remains bound to IgA as the secretory component.</w:t>
      </w:r>
      <w:r>
        <w:rPr>
          <w:rFonts w:ascii="Arial" w:hAnsi="Arial" w:cs="Arial"/>
          <w:noProof/>
        </w:rPr>
        <w:t>[87]</w:t>
      </w:r>
      <w:r>
        <w:rPr>
          <w:rFonts w:ascii="Arial" w:hAnsi="Arial" w:cs="Arial"/>
        </w:rPr>
        <w:t xml:space="preserve">  One function of luminal secretory IgA is to coat </w:t>
      </w:r>
      <w:r>
        <w:rPr>
          <w:rFonts w:ascii="Arial" w:hAnsi="Arial" w:cs="Arial"/>
        </w:rPr>
        <w:lastRenderedPageBreak/>
        <w:t>mucosal pathogens and block epithelial entry.  The secretory component of IgA is negatively charged which repels it from the negatively charged mucosal membrane.  If an antigen transverses the epithelial layer and forms an IgA immune complex within the lamina propria, it can be transported back into the lumen via the pIgR.  Thus, secretory IgA has a twofold barrier function, both in guarding the epithelium from entry and excreting IgA bound antigens back into the lumen.</w:t>
      </w:r>
      <w:r>
        <w:rPr>
          <w:rFonts w:ascii="Arial" w:hAnsi="Arial" w:cs="Arial"/>
          <w:noProof/>
        </w:rPr>
        <w:t>[96]</w:t>
      </w:r>
      <w:r>
        <w:rPr>
          <w:rFonts w:ascii="Arial" w:hAnsi="Arial" w:cs="Arial"/>
        </w:rPr>
        <w:t xml:space="preserve">  Although IgA is the predominant mucosal immunoglobulin in cats, cats were found to have a distinct minor population of mucosal intraepithelial cells resembling IgM plasma cells.</w:t>
      </w:r>
      <w:r>
        <w:rPr>
          <w:rFonts w:ascii="Arial" w:hAnsi="Arial" w:cs="Arial"/>
          <w:noProof/>
        </w:rPr>
        <w:t>[99]</w:t>
      </w:r>
      <w:r>
        <w:rPr>
          <w:rFonts w:ascii="Arial" w:hAnsi="Arial" w:cs="Arial"/>
        </w:rPr>
        <w:t xml:space="preserve">  IgM positive plasma cells in the intra-epithelial compartment have not been found in other species and the biological significance of this is unknown.</w:t>
      </w:r>
    </w:p>
    <w:p w:rsidR="00330CF1" w:rsidRDefault="00330CF1" w:rsidP="003C5D98">
      <w:pPr>
        <w:autoSpaceDE w:val="0"/>
        <w:autoSpaceDN w:val="0"/>
        <w:adjustRightInd w:val="0"/>
        <w:rPr>
          <w:rFonts w:ascii="Arial" w:hAnsi="Arial" w:cs="Arial"/>
        </w:rPr>
      </w:pPr>
      <w:r>
        <w:rPr>
          <w:rFonts w:ascii="Arial" w:hAnsi="Arial" w:cs="Arial"/>
        </w:rPr>
        <w:t xml:space="preserve">     If a pathogen penetrates the barriers at the epithelial-mucosal layer, local humoral and cellular responses are generated.  These are similar to a systemic immune response and include processing and presentation of antigens to T-cells by antigen-presenting cells, maturation of T-cells into effector cells and B cells into immunoglobulin secreting plasma cells.  Macrophages, dendritic cells and B cells are the primary antigen-presenting cells in GALT.</w:t>
      </w:r>
      <w:r>
        <w:rPr>
          <w:rFonts w:ascii="Arial" w:hAnsi="Arial" w:cs="Arial"/>
          <w:noProof/>
        </w:rPr>
        <w:t>[100]</w:t>
      </w:r>
      <w:r>
        <w:rPr>
          <w:rFonts w:ascii="Arial" w:hAnsi="Arial" w:cs="Arial"/>
        </w:rPr>
        <w:t xml:space="preserve">  They take up antigen, process it and present the processed peptides complexed to major histocompatibility complex (MHC) class II receptors.</w:t>
      </w:r>
      <w:r>
        <w:rPr>
          <w:rFonts w:ascii="Arial" w:hAnsi="Arial" w:cs="Arial"/>
          <w:noProof/>
        </w:rPr>
        <w:t>[100]</w:t>
      </w:r>
      <w:r>
        <w:rPr>
          <w:rFonts w:ascii="Arial" w:hAnsi="Arial" w:cs="Arial"/>
        </w:rPr>
        <w:t xml:space="preserve">  Antigen-presenting cells are primarily within the lamina propria with some found under the dome of Peyer’s patches and local draining lymph nodes.  Lamina propria macrophages are weak activators of T-cells.  Dendritic cells (DC), found throughout the lamina propria and beneath the epithelial basement membrane, take up and present antigens and are potent stimulators of T-cells.  They also are important regulators of Th1 or Th2 response </w:t>
      </w:r>
      <w:r>
        <w:rPr>
          <w:rFonts w:ascii="Arial" w:hAnsi="Arial" w:cs="Arial"/>
          <w:noProof/>
        </w:rPr>
        <w:t>[101]</w:t>
      </w:r>
      <w:r>
        <w:rPr>
          <w:rFonts w:ascii="Arial" w:hAnsi="Arial" w:cs="Arial"/>
        </w:rPr>
        <w:t xml:space="preserve"> and their primary role is activation of T-cells in response to antigens.</w:t>
      </w:r>
    </w:p>
    <w:p w:rsidR="00330CF1" w:rsidRDefault="00330CF1" w:rsidP="003C5D98">
      <w:pPr>
        <w:autoSpaceDE w:val="0"/>
        <w:autoSpaceDN w:val="0"/>
        <w:adjustRightInd w:val="0"/>
        <w:rPr>
          <w:rFonts w:ascii="Arial" w:hAnsi="Arial" w:cs="Arial"/>
        </w:rPr>
      </w:pPr>
      <w:r>
        <w:rPr>
          <w:rFonts w:ascii="Arial" w:hAnsi="Arial" w:cs="Arial"/>
        </w:rPr>
        <w:t xml:space="preserve">     Intestinal T-cells include intra-epithelial T-cells (IEL) and lamina propria T-cells.</w:t>
      </w:r>
      <w:r>
        <w:rPr>
          <w:rFonts w:ascii="Arial" w:hAnsi="Arial" w:cs="Arial"/>
          <w:noProof/>
        </w:rPr>
        <w:t>[87]</w:t>
      </w:r>
      <w:r>
        <w:rPr>
          <w:rFonts w:ascii="Arial" w:hAnsi="Arial" w:cs="Arial"/>
        </w:rPr>
        <w:t xml:space="preserve">  Most lamina propria T cells are derived from the thymus.  After leaving the thymus, naïve T cells enter the mucosal follicles such as Peyer’s patches where they encounter antigen.  Following stimulation, the lamina propria T-cells leave the mucosal follicles, reenter the circulation and hone back to the lamina propria or other mucosal tissue through receptors expressed on endothelial cells.</w:t>
      </w:r>
      <w:r>
        <w:rPr>
          <w:rFonts w:ascii="Arial" w:hAnsi="Arial" w:cs="Arial"/>
          <w:noProof/>
        </w:rPr>
        <w:t>[87]</w:t>
      </w:r>
      <w:r>
        <w:rPr>
          <w:rFonts w:ascii="Arial" w:hAnsi="Arial" w:cs="Arial"/>
        </w:rPr>
        <w:t xml:space="preserve">  In human beings, T cells comprise from 40-90% of the lymphocytes in the lamina propria.</w:t>
      </w:r>
      <w:r>
        <w:rPr>
          <w:rFonts w:ascii="Arial" w:hAnsi="Arial" w:cs="Arial"/>
          <w:noProof/>
        </w:rPr>
        <w:t>[87]</w:t>
      </w:r>
      <w:r>
        <w:rPr>
          <w:rFonts w:ascii="Arial" w:hAnsi="Arial" w:cs="Arial"/>
        </w:rPr>
        <w:t xml:space="preserve">  Of these lamina propria T-cells, 65-85% are CD4 phenotype.</w:t>
      </w:r>
      <w:r>
        <w:rPr>
          <w:rFonts w:ascii="Arial" w:hAnsi="Arial" w:cs="Arial"/>
          <w:noProof/>
        </w:rPr>
        <w:t>[87]</w:t>
      </w:r>
      <w:r>
        <w:rPr>
          <w:rFonts w:ascii="Arial" w:hAnsi="Arial" w:cs="Arial"/>
        </w:rPr>
        <w:t xml:space="preserve">  In contrast, cats have increased numbers of CD8 and reduced numbers of CD4 cells within the lamina propria.  Lamina propria feline CD4/CD8 ratios are 1.0 </w:t>
      </w:r>
      <w:r>
        <w:rPr>
          <w:rFonts w:ascii="Arial" w:hAnsi="Arial" w:cs="Arial"/>
          <w:noProof/>
        </w:rPr>
        <w:t>[86]</w:t>
      </w:r>
      <w:r>
        <w:rPr>
          <w:rFonts w:ascii="Arial" w:hAnsi="Arial" w:cs="Arial"/>
        </w:rPr>
        <w:t xml:space="preserve"> compared to 3.3 in humans </w:t>
      </w:r>
      <w:r>
        <w:rPr>
          <w:rFonts w:ascii="Arial" w:hAnsi="Arial" w:cs="Arial"/>
          <w:noProof/>
        </w:rPr>
        <w:t>[102]</w:t>
      </w:r>
      <w:r>
        <w:rPr>
          <w:rFonts w:ascii="Arial" w:hAnsi="Arial" w:cs="Arial"/>
        </w:rPr>
        <w:t>.</w:t>
      </w:r>
    </w:p>
    <w:p w:rsidR="00330CF1" w:rsidRPr="00F22295" w:rsidRDefault="00330CF1" w:rsidP="001D0ADA">
      <w:pPr>
        <w:rPr>
          <w:rFonts w:ascii="Arial" w:hAnsi="Arial" w:cs="Arial"/>
        </w:rPr>
      </w:pPr>
      <w:r>
        <w:t xml:space="preserve">     </w:t>
      </w:r>
      <w:r w:rsidRPr="001D0ADA">
        <w:rPr>
          <w:rFonts w:ascii="Arial" w:hAnsi="Arial" w:cs="Arial"/>
        </w:rPr>
        <w:t xml:space="preserve">IEL’s are unique in that a substantial portion of these </w:t>
      </w:r>
      <w:r>
        <w:rPr>
          <w:rFonts w:ascii="Arial" w:hAnsi="Arial" w:cs="Arial"/>
        </w:rPr>
        <w:t>T-cells are believed to undergo</w:t>
      </w:r>
      <w:r w:rsidRPr="001D0ADA">
        <w:rPr>
          <w:rFonts w:ascii="Arial" w:hAnsi="Arial" w:cs="Arial"/>
        </w:rPr>
        <w:t xml:space="preserve"> maturation within the intestine rather than the thymus.</w:t>
      </w:r>
      <w:r>
        <w:rPr>
          <w:rFonts w:ascii="Arial" w:hAnsi="Arial" w:cs="Arial"/>
          <w:noProof/>
        </w:rPr>
        <w:t>[103]</w:t>
      </w:r>
      <w:r w:rsidRPr="001D0ADA">
        <w:rPr>
          <w:rFonts w:ascii="Arial" w:hAnsi="Arial" w:cs="Arial"/>
        </w:rPr>
        <w:t xml:space="preserve"> </w:t>
      </w:r>
      <w:r>
        <w:rPr>
          <w:rFonts w:ascii="Arial" w:hAnsi="Arial" w:cs="Arial"/>
        </w:rPr>
        <w:t xml:space="preserve"> </w:t>
      </w:r>
      <w:r w:rsidRPr="001D0ADA">
        <w:rPr>
          <w:rFonts w:ascii="Arial" w:hAnsi="Arial" w:cs="Arial"/>
        </w:rPr>
        <w:t xml:space="preserve">Thymus developed T-cells express CD4 or CD8αβ markers (cluster of differentiation) compared to </w:t>
      </w:r>
      <w:r>
        <w:rPr>
          <w:rFonts w:ascii="Arial" w:hAnsi="Arial" w:cs="Arial"/>
        </w:rPr>
        <w:t xml:space="preserve">intestinal derived </w:t>
      </w:r>
      <w:r w:rsidRPr="001D0ADA">
        <w:rPr>
          <w:rFonts w:ascii="Arial" w:hAnsi="Arial" w:cs="Arial"/>
        </w:rPr>
        <w:t>T-cells w</w:t>
      </w:r>
      <w:r>
        <w:rPr>
          <w:rFonts w:ascii="Arial" w:hAnsi="Arial" w:cs="Arial"/>
        </w:rPr>
        <w:t>hich mature and</w:t>
      </w:r>
      <w:r w:rsidRPr="001D0ADA">
        <w:rPr>
          <w:rFonts w:ascii="Arial" w:hAnsi="Arial" w:cs="Arial"/>
        </w:rPr>
        <w:t xml:space="preserve"> express CD8αα.</w:t>
      </w:r>
      <w:r>
        <w:rPr>
          <w:rFonts w:ascii="Arial" w:hAnsi="Arial" w:cs="Arial"/>
          <w:noProof/>
        </w:rPr>
        <w:t>[103]</w:t>
      </w:r>
      <w:r w:rsidRPr="001D0ADA">
        <w:rPr>
          <w:rFonts w:ascii="Arial" w:hAnsi="Arial" w:cs="Arial"/>
        </w:rPr>
        <w:t xml:space="preserve">  </w:t>
      </w:r>
      <w:r>
        <w:rPr>
          <w:rFonts w:ascii="Arial" w:hAnsi="Arial" w:cs="Arial"/>
        </w:rPr>
        <w:t>There is</w:t>
      </w:r>
      <w:r w:rsidRPr="001D0ADA">
        <w:rPr>
          <w:rFonts w:ascii="Arial" w:hAnsi="Arial" w:cs="Arial"/>
        </w:rPr>
        <w:t xml:space="preserve"> </w:t>
      </w:r>
      <w:r>
        <w:rPr>
          <w:rFonts w:ascii="Arial" w:hAnsi="Arial" w:cs="Arial"/>
        </w:rPr>
        <w:t>considerable species variation</w:t>
      </w:r>
      <w:r w:rsidRPr="00F22295">
        <w:rPr>
          <w:rFonts w:ascii="Arial" w:hAnsi="Arial" w:cs="Arial"/>
        </w:rPr>
        <w:t xml:space="preserve"> in the numbers of small intestinal IEL and percentage of intestinal vs. thymus matured</w:t>
      </w:r>
      <w:r>
        <w:rPr>
          <w:rFonts w:ascii="Arial" w:hAnsi="Arial" w:cs="Arial"/>
        </w:rPr>
        <w:t xml:space="preserve"> intraepithelial lymphocytes. </w:t>
      </w:r>
      <w:r w:rsidRPr="00F22295">
        <w:rPr>
          <w:rFonts w:ascii="Arial" w:hAnsi="Arial" w:cs="Arial"/>
        </w:rPr>
        <w:t xml:space="preserve"> Total numbers </w:t>
      </w:r>
      <w:r>
        <w:rPr>
          <w:rFonts w:ascii="Arial" w:hAnsi="Arial" w:cs="Arial"/>
        </w:rPr>
        <w:t xml:space="preserve">of intraintestinal lymphocytes </w:t>
      </w:r>
      <w:r w:rsidRPr="00F22295">
        <w:rPr>
          <w:rFonts w:ascii="Arial" w:hAnsi="Arial" w:cs="Arial"/>
        </w:rPr>
        <w:t xml:space="preserve">range from 10% of epithelial cells in humans </w:t>
      </w:r>
      <w:r>
        <w:rPr>
          <w:rFonts w:ascii="Arial" w:hAnsi="Arial" w:cs="Arial"/>
          <w:noProof/>
        </w:rPr>
        <w:t>[87]</w:t>
      </w:r>
      <w:r w:rsidRPr="00F22295">
        <w:rPr>
          <w:rFonts w:ascii="Arial" w:hAnsi="Arial" w:cs="Arial"/>
        </w:rPr>
        <w:t>, 10-20% of epithelial cells in dogs, and  50-80% of epithelial cells in cats.</w:t>
      </w:r>
      <w:r>
        <w:rPr>
          <w:rFonts w:ascii="Arial" w:hAnsi="Arial" w:cs="Arial"/>
          <w:noProof/>
        </w:rPr>
        <w:t>[98]</w:t>
      </w:r>
      <w:r w:rsidRPr="00F22295">
        <w:rPr>
          <w:rFonts w:ascii="Arial" w:hAnsi="Arial" w:cs="Arial"/>
        </w:rPr>
        <w:t xml:space="preserve">  Human IEL’s are predominantly (80-90%) CD8αβ+ cytotoxic T-cells.  Feline IEL are primarily intestinal matured </w:t>
      </w:r>
      <w:r>
        <w:rPr>
          <w:rFonts w:ascii="Arial" w:hAnsi="Arial" w:cs="Arial"/>
        </w:rPr>
        <w:t>CD8</w:t>
      </w:r>
      <w:r w:rsidRPr="00F22295">
        <w:rPr>
          <w:rFonts w:ascii="Arial" w:hAnsi="Arial" w:cs="Arial"/>
        </w:rPr>
        <w:t>αα.</w:t>
      </w:r>
      <w:r>
        <w:rPr>
          <w:rFonts w:ascii="Arial" w:hAnsi="Arial" w:cs="Arial"/>
          <w:noProof/>
        </w:rPr>
        <w:t>[86]</w:t>
      </w:r>
      <w:r w:rsidRPr="00F22295">
        <w:rPr>
          <w:rFonts w:ascii="Arial" w:hAnsi="Arial" w:cs="Arial"/>
        </w:rPr>
        <w:t xml:space="preserve">  It has been suggested that these intestinal-derived T-cells respond to bacterial antigen in the absence of antigen presentation</w:t>
      </w:r>
      <w:r>
        <w:rPr>
          <w:rFonts w:ascii="Arial" w:hAnsi="Arial" w:cs="Arial"/>
        </w:rPr>
        <w:t xml:space="preserve"> </w:t>
      </w:r>
      <w:r>
        <w:rPr>
          <w:rFonts w:ascii="Arial" w:hAnsi="Arial" w:cs="Arial"/>
          <w:noProof/>
        </w:rPr>
        <w:t>[104]</w:t>
      </w:r>
      <w:r w:rsidRPr="00F22295">
        <w:rPr>
          <w:rFonts w:ascii="Arial" w:hAnsi="Arial" w:cs="Arial"/>
        </w:rPr>
        <w:t>, or play a role in removal of stressed cells.</w:t>
      </w:r>
      <w:r>
        <w:rPr>
          <w:rFonts w:ascii="Arial" w:hAnsi="Arial" w:cs="Arial"/>
          <w:noProof/>
        </w:rPr>
        <w:t>[105]</w:t>
      </w:r>
    </w:p>
    <w:p w:rsidR="00330CF1" w:rsidRPr="00F22295" w:rsidRDefault="00330CF1" w:rsidP="003C5D98">
      <w:pPr>
        <w:autoSpaceDE w:val="0"/>
        <w:autoSpaceDN w:val="0"/>
        <w:adjustRightInd w:val="0"/>
        <w:rPr>
          <w:rFonts w:ascii="Arial" w:hAnsi="Arial" w:cs="Arial"/>
        </w:rPr>
      </w:pPr>
      <w:r w:rsidRPr="00F22295">
        <w:rPr>
          <w:rFonts w:ascii="Arial" w:hAnsi="Arial" w:cs="Arial"/>
        </w:rPr>
        <w:lastRenderedPageBreak/>
        <w:t xml:space="preserve">.  </w:t>
      </w:r>
    </w:p>
    <w:p w:rsidR="00330CF1" w:rsidRDefault="00330CF1" w:rsidP="000578A6">
      <w:pPr>
        <w:pStyle w:val="Heading3"/>
      </w:pPr>
      <w:bookmarkStart w:id="15" w:name="_Toc305485842"/>
      <w:r>
        <w:t>Gastrointestinal microbiota development and functions</w:t>
      </w:r>
      <w:bookmarkEnd w:id="15"/>
    </w:p>
    <w:p w:rsidR="00330CF1" w:rsidRDefault="00330CF1" w:rsidP="003C5D98">
      <w:pPr>
        <w:autoSpaceDE w:val="0"/>
        <w:autoSpaceDN w:val="0"/>
        <w:adjustRightInd w:val="0"/>
        <w:rPr>
          <w:rFonts w:ascii="Arial" w:hAnsi="Arial" w:cs="Arial"/>
        </w:rPr>
      </w:pPr>
    </w:p>
    <w:p w:rsidR="00330CF1" w:rsidRDefault="00330CF1" w:rsidP="003C5D98">
      <w:pPr>
        <w:autoSpaceDE w:val="0"/>
        <w:autoSpaceDN w:val="0"/>
        <w:adjustRightInd w:val="0"/>
        <w:rPr>
          <w:rFonts w:ascii="Arial" w:hAnsi="Arial" w:cs="Arial"/>
          <w:i/>
        </w:rPr>
      </w:pPr>
      <w:r>
        <w:rPr>
          <w:rFonts w:ascii="Arial" w:hAnsi="Arial" w:cs="Arial"/>
        </w:rPr>
        <w:t xml:space="preserve">     The mammalian fetal intestine is sterile with the first exposure to microorganisms occurring during passage through the birth canal.  The newborn gut is initially colonized by facultative anaerobic bacteria such as </w:t>
      </w:r>
      <w:r w:rsidRPr="008E4FE8">
        <w:rPr>
          <w:rFonts w:ascii="Arial" w:hAnsi="Arial" w:cs="Arial"/>
          <w:i/>
        </w:rPr>
        <w:t>Enterobacteriaceae</w:t>
      </w:r>
      <w:r>
        <w:rPr>
          <w:rFonts w:ascii="Arial" w:hAnsi="Arial" w:cs="Arial"/>
        </w:rPr>
        <w:t xml:space="preserve"> and </w:t>
      </w:r>
      <w:r>
        <w:rPr>
          <w:rFonts w:ascii="Arial" w:hAnsi="Arial" w:cs="Arial"/>
          <w:i/>
        </w:rPr>
        <w:t>S</w:t>
      </w:r>
      <w:r w:rsidRPr="00C70561">
        <w:rPr>
          <w:rFonts w:ascii="Arial" w:hAnsi="Arial" w:cs="Arial"/>
          <w:i/>
        </w:rPr>
        <w:t>treptococcus</w:t>
      </w:r>
      <w:r>
        <w:rPr>
          <w:rFonts w:ascii="Arial" w:hAnsi="Arial" w:cs="Arial"/>
          <w:i/>
        </w:rPr>
        <w:t xml:space="preserve"> </w:t>
      </w:r>
      <w:r>
        <w:rPr>
          <w:rFonts w:ascii="Arial" w:hAnsi="Arial" w:cs="Arial"/>
        </w:rPr>
        <w:t>spp</w:t>
      </w:r>
      <w:r w:rsidRPr="00C70561">
        <w:rPr>
          <w:rFonts w:ascii="Arial" w:hAnsi="Arial" w:cs="Arial"/>
          <w:i/>
        </w:rPr>
        <w:t>.</w:t>
      </w:r>
      <w:r>
        <w:rPr>
          <w:rFonts w:ascii="Arial" w:hAnsi="Arial" w:cs="Arial"/>
          <w:noProof/>
        </w:rPr>
        <w:t>[106]</w:t>
      </w:r>
      <w:r>
        <w:rPr>
          <w:rFonts w:ascii="Arial" w:hAnsi="Arial" w:cs="Arial"/>
        </w:rPr>
        <w:t xml:space="preserve">  These initial bacteria consume oxygen and produce metabolites preparing the intestine for the establishment of a stricter anaerobic environment.  Early bacterial colonies are dynamic and originate primarily from environmental exposure, particularly microorganisms associated with the mother.  In human beings, a broad range of environmental factors including mode of delivery, type of feeding, use of antibiotics, hospitalization, and hygienic practices aimed at reducing pathogenic bacteria influence microbial succession and colonization of the gut.</w:t>
      </w:r>
      <w:r>
        <w:rPr>
          <w:rFonts w:ascii="Arial" w:hAnsi="Arial" w:cs="Arial"/>
          <w:noProof/>
        </w:rPr>
        <w:t>[107]</w:t>
      </w:r>
      <w:r>
        <w:rPr>
          <w:rFonts w:ascii="Arial" w:hAnsi="Arial" w:cs="Arial"/>
        </w:rPr>
        <w:t xml:space="preserve">  Studies demonstrate that strict hygiene conditions to reduce bacterial exposure have altered the gut microflora colonization patterns in infants with skin-derived staphylococci being the first colonizers instead of fecal </w:t>
      </w:r>
      <w:r w:rsidRPr="00BA61A0">
        <w:rPr>
          <w:rFonts w:ascii="Arial" w:hAnsi="Arial" w:cs="Arial"/>
        </w:rPr>
        <w:t>Enterobacteriaceae.</w:t>
      </w:r>
      <w:r>
        <w:rPr>
          <w:rFonts w:ascii="Arial" w:hAnsi="Arial" w:cs="Arial"/>
          <w:noProof/>
        </w:rPr>
        <w:t>[106]</w:t>
      </w:r>
      <w:r w:rsidRPr="008B51EF">
        <w:rPr>
          <w:rFonts w:ascii="Arial" w:hAnsi="Arial" w:cs="Arial"/>
        </w:rPr>
        <w:t xml:space="preserve"> </w:t>
      </w:r>
    </w:p>
    <w:p w:rsidR="00330CF1" w:rsidRPr="008F3F73" w:rsidRDefault="00330CF1" w:rsidP="003C5D98">
      <w:pPr>
        <w:autoSpaceDE w:val="0"/>
        <w:autoSpaceDN w:val="0"/>
        <w:adjustRightInd w:val="0"/>
        <w:rPr>
          <w:rFonts w:ascii="Arial" w:hAnsi="Arial" w:cs="Arial"/>
        </w:rPr>
      </w:pPr>
      <w:r>
        <w:rPr>
          <w:rFonts w:ascii="Arial" w:hAnsi="Arial" w:cs="Arial"/>
          <w:i/>
        </w:rPr>
        <w:t xml:space="preserve">     </w:t>
      </w:r>
      <w:r>
        <w:rPr>
          <w:rFonts w:ascii="Arial" w:hAnsi="Arial" w:cs="Arial"/>
        </w:rPr>
        <w:t>The second major stage in gut community colonization occurs at weaning with the introduction to solid food.  At this stage the gut microbiota becomes more diversified and enriched in bacteria common to the adult microbiota.</w:t>
      </w:r>
      <w:r>
        <w:rPr>
          <w:rFonts w:ascii="Arial" w:hAnsi="Arial" w:cs="Arial"/>
          <w:noProof/>
        </w:rPr>
        <w:t>[106]</w:t>
      </w:r>
      <w:r>
        <w:rPr>
          <w:rFonts w:ascii="Arial" w:hAnsi="Arial" w:cs="Arial"/>
        </w:rPr>
        <w:t xml:space="preserve">  It is unknown at what age microbial stabilization occurs in domestic animals but in human beings this occurs at approximately 2 years of age.</w:t>
      </w:r>
      <w:r>
        <w:rPr>
          <w:rFonts w:ascii="Arial" w:hAnsi="Arial" w:cs="Arial"/>
          <w:noProof/>
        </w:rPr>
        <w:t>[108]</w:t>
      </w:r>
    </w:p>
    <w:p w:rsidR="00330CF1" w:rsidRDefault="00330CF1" w:rsidP="003C5D98">
      <w:pPr>
        <w:autoSpaceDE w:val="0"/>
        <w:autoSpaceDN w:val="0"/>
        <w:adjustRightInd w:val="0"/>
        <w:rPr>
          <w:rFonts w:ascii="Arial" w:hAnsi="Arial" w:cs="Arial"/>
        </w:rPr>
      </w:pPr>
      <w:r>
        <w:rPr>
          <w:rFonts w:ascii="Arial" w:hAnsi="Arial" w:cs="Arial"/>
        </w:rPr>
        <w:t xml:space="preserve">     In analyzing diversity among mammalian gut microbes using 16S rRNA gene sequences, 17 of the more than 50 bacterial phyla were found.</w:t>
      </w:r>
      <w:r>
        <w:rPr>
          <w:rFonts w:ascii="Arial" w:hAnsi="Arial" w:cs="Arial"/>
          <w:noProof/>
        </w:rPr>
        <w:t>[109]</w:t>
      </w:r>
      <w:r>
        <w:rPr>
          <w:rFonts w:ascii="Arial" w:hAnsi="Arial" w:cs="Arial"/>
        </w:rPr>
        <w:t xml:space="preserve">  The majority of bacterial sequences belonged to the </w:t>
      </w:r>
      <w:r w:rsidRPr="003D70FF">
        <w:rPr>
          <w:rFonts w:ascii="Arial" w:hAnsi="Arial" w:cs="Arial"/>
          <w:i/>
        </w:rPr>
        <w:t>Firmicutes</w:t>
      </w:r>
      <w:r>
        <w:rPr>
          <w:rFonts w:ascii="Arial" w:hAnsi="Arial" w:cs="Arial"/>
        </w:rPr>
        <w:t xml:space="preserve"> (65.7%) and </w:t>
      </w:r>
      <w:r w:rsidRPr="003D70FF">
        <w:rPr>
          <w:rFonts w:ascii="Arial" w:hAnsi="Arial" w:cs="Arial"/>
          <w:i/>
        </w:rPr>
        <w:t>Bacteroides</w:t>
      </w:r>
      <w:r>
        <w:rPr>
          <w:rFonts w:ascii="Arial" w:hAnsi="Arial" w:cs="Arial"/>
        </w:rPr>
        <w:t xml:space="preserve"> (16.3%) phylum.  Other phyla represented included </w:t>
      </w:r>
      <w:r w:rsidRPr="003D70FF">
        <w:rPr>
          <w:rFonts w:ascii="Arial" w:hAnsi="Arial" w:cs="Arial"/>
          <w:i/>
        </w:rPr>
        <w:t>Proteobacteria</w:t>
      </w:r>
      <w:r>
        <w:rPr>
          <w:rFonts w:ascii="Arial" w:hAnsi="Arial" w:cs="Arial"/>
        </w:rPr>
        <w:t xml:space="preserve"> (8.8%), </w:t>
      </w:r>
      <w:r w:rsidRPr="003D70FF">
        <w:rPr>
          <w:rFonts w:ascii="Arial" w:hAnsi="Arial" w:cs="Arial"/>
          <w:i/>
        </w:rPr>
        <w:t>Actinobacteria</w:t>
      </w:r>
      <w:r>
        <w:rPr>
          <w:rFonts w:ascii="Arial" w:hAnsi="Arial" w:cs="Arial"/>
        </w:rPr>
        <w:t xml:space="preserve"> (4.7%), </w:t>
      </w:r>
      <w:r w:rsidRPr="003D70FF">
        <w:rPr>
          <w:rFonts w:ascii="Arial" w:hAnsi="Arial" w:cs="Arial"/>
          <w:i/>
        </w:rPr>
        <w:t>Verrucomicrobia</w:t>
      </w:r>
      <w:r>
        <w:rPr>
          <w:rFonts w:ascii="Arial" w:hAnsi="Arial" w:cs="Arial"/>
        </w:rPr>
        <w:t xml:space="preserve"> (2.2%), </w:t>
      </w:r>
      <w:r w:rsidRPr="003D70FF">
        <w:rPr>
          <w:rFonts w:ascii="Arial" w:hAnsi="Arial" w:cs="Arial"/>
          <w:i/>
        </w:rPr>
        <w:t>Fusobacteria</w:t>
      </w:r>
      <w:r>
        <w:rPr>
          <w:rFonts w:ascii="Arial" w:hAnsi="Arial" w:cs="Arial"/>
        </w:rPr>
        <w:t xml:space="preserve"> (0.67%), </w:t>
      </w:r>
      <w:r w:rsidRPr="003D70FF">
        <w:rPr>
          <w:rFonts w:ascii="Arial" w:hAnsi="Arial" w:cs="Arial"/>
          <w:i/>
        </w:rPr>
        <w:t>Spirochaetes</w:t>
      </w:r>
      <w:r>
        <w:rPr>
          <w:rFonts w:ascii="Arial" w:hAnsi="Arial" w:cs="Arial"/>
        </w:rPr>
        <w:t xml:space="preserve"> (0.46%) and </w:t>
      </w:r>
      <w:r w:rsidRPr="003D70FF">
        <w:rPr>
          <w:rFonts w:ascii="Arial" w:hAnsi="Arial" w:cs="Arial"/>
          <w:i/>
        </w:rPr>
        <w:t>Cyanobacteria</w:t>
      </w:r>
      <w:r>
        <w:rPr>
          <w:rFonts w:ascii="Arial" w:hAnsi="Arial" w:cs="Arial"/>
        </w:rPr>
        <w:t xml:space="preserve"> (.20%).  Although the mammalian gut microbiota is dominated by only a few phyla, the genera and species diversity is large with human beings estimated to have between 800-1000 different bacterial species.</w:t>
      </w:r>
      <w:r>
        <w:rPr>
          <w:rFonts w:ascii="Arial" w:hAnsi="Arial" w:cs="Arial"/>
          <w:noProof/>
        </w:rPr>
        <w:t>[110]</w:t>
      </w:r>
      <w:r>
        <w:rPr>
          <w:rFonts w:ascii="Arial" w:hAnsi="Arial" w:cs="Arial"/>
        </w:rPr>
        <w:t xml:space="preserve">  There is greater similarity in bacterial community structure within species than between species.</w:t>
      </w:r>
      <w:r>
        <w:rPr>
          <w:rFonts w:ascii="Arial" w:hAnsi="Arial" w:cs="Arial"/>
          <w:noProof/>
        </w:rPr>
        <w:t>[110]</w:t>
      </w:r>
      <w:r>
        <w:rPr>
          <w:rFonts w:ascii="Arial" w:hAnsi="Arial" w:cs="Arial"/>
        </w:rPr>
        <w:t xml:space="preserve">  Differences between species reflect differences in gut anatomy and diet type i.e. carnivore, herbivore, or omnivore.  Herbivores contain the most diversity (17 phyla), carnivores contain the least (6 phyla) and omnivores are intermediate (12 phyla).</w:t>
      </w:r>
      <w:r>
        <w:rPr>
          <w:rFonts w:ascii="Arial" w:hAnsi="Arial" w:cs="Arial"/>
          <w:noProof/>
        </w:rPr>
        <w:t>[111]</w:t>
      </w:r>
      <w:r>
        <w:rPr>
          <w:rFonts w:ascii="Arial" w:hAnsi="Arial" w:cs="Arial"/>
        </w:rPr>
        <w:t xml:space="preserve">  For herbivores, adaptation to a plant based diet requires more microbial diversity to be able to access the cellulose and resistant starches in their diet.  An adaption for herbivores is the lengthening of the gut resulting in longer retention times along with enlargement of the foregut or hindgut.  Carnivores have the shortest intestinal length to body length ratio and consequently the fastest transit times.</w:t>
      </w:r>
      <w:r>
        <w:rPr>
          <w:rFonts w:ascii="Arial" w:hAnsi="Arial" w:cs="Arial"/>
          <w:noProof/>
        </w:rPr>
        <w:t>[111]</w:t>
      </w:r>
      <w:r>
        <w:rPr>
          <w:rFonts w:ascii="Arial" w:hAnsi="Arial" w:cs="Arial"/>
        </w:rPr>
        <w:t xml:space="preserve">  Even herbivorous carnivores such as pandas are more closely clustered with other carnivores indicating the importance of phylogeny.</w:t>
      </w:r>
      <w:r>
        <w:rPr>
          <w:rFonts w:ascii="Arial" w:hAnsi="Arial" w:cs="Arial"/>
          <w:noProof/>
        </w:rPr>
        <w:t>[109]</w:t>
      </w:r>
      <w:r>
        <w:rPr>
          <w:rFonts w:ascii="Arial" w:hAnsi="Arial" w:cs="Arial"/>
        </w:rPr>
        <w:t xml:space="preserve">  Both red and giant pandas rapidly transit their food and use plant cell contents rather than plant cell walls for their nutrition.</w:t>
      </w:r>
      <w:r>
        <w:rPr>
          <w:rFonts w:ascii="Arial" w:hAnsi="Arial" w:cs="Arial"/>
          <w:noProof/>
        </w:rPr>
        <w:t>[112]</w:t>
      </w:r>
    </w:p>
    <w:p w:rsidR="00330CF1" w:rsidRDefault="00330CF1" w:rsidP="003C5D98">
      <w:pPr>
        <w:autoSpaceDE w:val="0"/>
        <w:autoSpaceDN w:val="0"/>
        <w:adjustRightInd w:val="0"/>
        <w:rPr>
          <w:rFonts w:ascii="Arial" w:hAnsi="Arial" w:cs="Arial"/>
        </w:rPr>
      </w:pPr>
      <w:r>
        <w:rPr>
          <w:rFonts w:ascii="Arial" w:hAnsi="Arial" w:cs="Arial"/>
        </w:rPr>
        <w:t xml:space="preserve">     It is estimated that culturable bacteria represent between 10-50% of the </w:t>
      </w:r>
      <w:r w:rsidRPr="00213988">
        <w:rPr>
          <w:rFonts w:ascii="Arial" w:hAnsi="Arial" w:cs="Arial"/>
        </w:rPr>
        <w:t>human gut microflora illustrating the disadva</w:t>
      </w:r>
      <w:r>
        <w:rPr>
          <w:rFonts w:ascii="Arial" w:hAnsi="Arial" w:cs="Arial"/>
        </w:rPr>
        <w:t>ntages of using this approach.</w:t>
      </w:r>
      <w:r>
        <w:rPr>
          <w:rFonts w:ascii="Arial" w:hAnsi="Arial" w:cs="Arial"/>
          <w:noProof/>
        </w:rPr>
        <w:t>[113]</w:t>
      </w:r>
      <w:r>
        <w:rPr>
          <w:rFonts w:ascii="Arial" w:hAnsi="Arial" w:cs="Arial"/>
        </w:rPr>
        <w:t xml:space="preserve">  Molecular techniques using the 16S rRNA gene sequences offer better techniques for examining </w:t>
      </w:r>
      <w:r>
        <w:rPr>
          <w:rFonts w:ascii="Arial" w:hAnsi="Arial" w:cs="Arial"/>
        </w:rPr>
        <w:lastRenderedPageBreak/>
        <w:t xml:space="preserve">gut diversity.  But this approach is also limited at present by the limited DNA libraries of previously uncultivable species.  In studies using conventional culture techniques of duodenal juice in cats, the most common anaerobes isolated were </w:t>
      </w:r>
      <w:r>
        <w:rPr>
          <w:rFonts w:ascii="Arial" w:hAnsi="Arial" w:cs="Arial"/>
          <w:i/>
        </w:rPr>
        <w:t xml:space="preserve">Bacteroides </w:t>
      </w:r>
      <w:r>
        <w:rPr>
          <w:rFonts w:ascii="Arial" w:hAnsi="Arial" w:cs="Arial"/>
        </w:rPr>
        <w:t>spp.</w:t>
      </w:r>
      <w:r>
        <w:rPr>
          <w:rFonts w:ascii="Arial" w:hAnsi="Arial" w:cs="Arial"/>
          <w:i/>
        </w:rPr>
        <w:t xml:space="preserve">, Eubacteria </w:t>
      </w:r>
      <w:r>
        <w:rPr>
          <w:rFonts w:ascii="Arial" w:hAnsi="Arial" w:cs="Arial"/>
        </w:rPr>
        <w:t xml:space="preserve">spp., and </w:t>
      </w:r>
      <w:r>
        <w:rPr>
          <w:rFonts w:ascii="Arial" w:hAnsi="Arial" w:cs="Arial"/>
          <w:i/>
        </w:rPr>
        <w:t xml:space="preserve">Fusobacteria </w:t>
      </w:r>
      <w:r>
        <w:rPr>
          <w:rFonts w:ascii="Arial" w:hAnsi="Arial" w:cs="Arial"/>
        </w:rPr>
        <w:t>spp.</w:t>
      </w:r>
      <w:r>
        <w:rPr>
          <w:rFonts w:ascii="Arial" w:hAnsi="Arial" w:cs="Arial"/>
          <w:noProof/>
        </w:rPr>
        <w:t>[114]</w:t>
      </w:r>
      <w:r>
        <w:rPr>
          <w:rFonts w:ascii="Arial" w:hAnsi="Arial" w:cs="Arial"/>
        </w:rPr>
        <w:t xml:space="preserve">  </w:t>
      </w:r>
      <w:r>
        <w:rPr>
          <w:rFonts w:ascii="Arial" w:hAnsi="Arial" w:cs="Arial"/>
          <w:i/>
        </w:rPr>
        <w:t xml:space="preserve">Pasturella </w:t>
      </w:r>
      <w:r>
        <w:rPr>
          <w:rFonts w:ascii="Arial" w:hAnsi="Arial" w:cs="Arial"/>
        </w:rPr>
        <w:t>spp. was the most common aerobic bacterium.</w:t>
      </w:r>
      <w:r>
        <w:rPr>
          <w:rFonts w:ascii="Arial" w:hAnsi="Arial" w:cs="Arial"/>
          <w:noProof/>
        </w:rPr>
        <w:t>[114]</w:t>
      </w:r>
      <w:r>
        <w:rPr>
          <w:rFonts w:ascii="Arial" w:hAnsi="Arial" w:cs="Arial"/>
        </w:rPr>
        <w:t xml:space="preserve">  Assessment of gut diversity using 16S rRNA gene analysis in the feces of healthy conventionally raised domestic cats found 5 phyla represented.</w:t>
      </w:r>
      <w:r>
        <w:rPr>
          <w:rFonts w:ascii="Arial" w:hAnsi="Arial" w:cs="Arial"/>
          <w:noProof/>
        </w:rPr>
        <w:t>[115]</w:t>
      </w:r>
      <w:r>
        <w:rPr>
          <w:rFonts w:ascii="Arial" w:hAnsi="Arial" w:cs="Arial"/>
        </w:rPr>
        <w:t xml:space="preserve">  These included </w:t>
      </w:r>
      <w:r w:rsidRPr="003D70FF">
        <w:rPr>
          <w:rFonts w:ascii="Arial" w:hAnsi="Arial" w:cs="Arial"/>
          <w:i/>
        </w:rPr>
        <w:t>Firmicutes</w:t>
      </w:r>
      <w:r>
        <w:rPr>
          <w:rFonts w:ascii="Arial" w:hAnsi="Arial" w:cs="Arial"/>
        </w:rPr>
        <w:t xml:space="preserve">, </w:t>
      </w:r>
      <w:r w:rsidRPr="003D70FF">
        <w:rPr>
          <w:rFonts w:ascii="Arial" w:hAnsi="Arial" w:cs="Arial"/>
          <w:i/>
        </w:rPr>
        <w:t>Proteobacteria</w:t>
      </w:r>
      <w:r>
        <w:rPr>
          <w:rFonts w:ascii="Arial" w:hAnsi="Arial" w:cs="Arial"/>
        </w:rPr>
        <w:t xml:space="preserve">, </w:t>
      </w:r>
      <w:r w:rsidRPr="003D70FF">
        <w:rPr>
          <w:rFonts w:ascii="Arial" w:hAnsi="Arial" w:cs="Arial"/>
          <w:i/>
        </w:rPr>
        <w:t>Bacteroidetes</w:t>
      </w:r>
      <w:r>
        <w:rPr>
          <w:rFonts w:ascii="Arial" w:hAnsi="Arial" w:cs="Arial"/>
        </w:rPr>
        <w:t xml:space="preserve">, </w:t>
      </w:r>
      <w:r w:rsidRPr="003D70FF">
        <w:rPr>
          <w:rFonts w:ascii="Arial" w:hAnsi="Arial" w:cs="Arial"/>
          <w:i/>
        </w:rPr>
        <w:t>Actinobacteria</w:t>
      </w:r>
      <w:r>
        <w:rPr>
          <w:rFonts w:ascii="Arial" w:hAnsi="Arial" w:cs="Arial"/>
        </w:rPr>
        <w:t xml:space="preserve">, and </w:t>
      </w:r>
      <w:r w:rsidRPr="003D70FF">
        <w:rPr>
          <w:rFonts w:ascii="Arial" w:hAnsi="Arial" w:cs="Arial"/>
          <w:i/>
        </w:rPr>
        <w:t>Fusobacteria</w:t>
      </w:r>
      <w:r>
        <w:rPr>
          <w:rFonts w:ascii="Arial" w:hAnsi="Arial" w:cs="Arial"/>
        </w:rPr>
        <w:t xml:space="preserve">.  Similar to other mammals, the predominant taxa belonged to </w:t>
      </w:r>
      <w:r w:rsidRPr="003D70FF">
        <w:rPr>
          <w:rFonts w:ascii="Arial" w:hAnsi="Arial" w:cs="Arial"/>
          <w:i/>
        </w:rPr>
        <w:t>Firmicutes</w:t>
      </w:r>
      <w:r>
        <w:rPr>
          <w:rFonts w:ascii="Arial" w:hAnsi="Arial" w:cs="Arial"/>
        </w:rPr>
        <w:t xml:space="preserve">, mainly the class </w:t>
      </w:r>
      <w:r w:rsidRPr="003D70FF">
        <w:rPr>
          <w:rFonts w:ascii="Arial" w:hAnsi="Arial" w:cs="Arial"/>
          <w:i/>
        </w:rPr>
        <w:t>Clostridiales</w:t>
      </w:r>
      <w:r>
        <w:rPr>
          <w:rFonts w:ascii="Arial" w:hAnsi="Arial" w:cs="Arial"/>
        </w:rPr>
        <w:t>.</w:t>
      </w:r>
      <w:r>
        <w:rPr>
          <w:rFonts w:ascii="Arial" w:hAnsi="Arial" w:cs="Arial"/>
          <w:noProof/>
        </w:rPr>
        <w:t>[115]</w:t>
      </w:r>
      <w:r>
        <w:rPr>
          <w:rFonts w:ascii="Arial" w:hAnsi="Arial" w:cs="Arial"/>
        </w:rPr>
        <w:t xml:space="preserve">  Analysis of an SPF cat revealed reduced bacterial diversity with 98% belonging to the phylum </w:t>
      </w:r>
      <w:r w:rsidRPr="003D70FF">
        <w:rPr>
          <w:rFonts w:ascii="Arial" w:hAnsi="Arial" w:cs="Arial"/>
          <w:i/>
        </w:rPr>
        <w:t>Firmicutes</w:t>
      </w:r>
      <w:r w:rsidRPr="00BA61A0">
        <w:rPr>
          <w:rFonts w:ascii="Arial" w:hAnsi="Arial" w:cs="Arial"/>
        </w:rPr>
        <w:t xml:space="preserve"> </w:t>
      </w:r>
      <w:r>
        <w:rPr>
          <w:rFonts w:ascii="Arial" w:hAnsi="Arial" w:cs="Arial"/>
        </w:rPr>
        <w:t xml:space="preserve">and the class </w:t>
      </w:r>
      <w:r w:rsidRPr="003D70FF">
        <w:rPr>
          <w:rFonts w:ascii="Arial" w:hAnsi="Arial" w:cs="Arial"/>
          <w:i/>
        </w:rPr>
        <w:t>Clostridiales</w:t>
      </w:r>
      <w:r>
        <w:rPr>
          <w:rFonts w:ascii="Arial" w:hAnsi="Arial" w:cs="Arial"/>
          <w:i/>
        </w:rPr>
        <w:t>.</w:t>
      </w:r>
      <w:r>
        <w:rPr>
          <w:rFonts w:ascii="Arial" w:hAnsi="Arial" w:cs="Arial"/>
          <w:noProof/>
        </w:rPr>
        <w:t>[115]</w:t>
      </w:r>
      <w:r>
        <w:rPr>
          <w:rFonts w:ascii="Arial" w:hAnsi="Arial" w:cs="Arial"/>
        </w:rPr>
        <w:t xml:space="preserve">  The abundance of the different phyla vary between studies.</w:t>
      </w:r>
      <w:r>
        <w:rPr>
          <w:rFonts w:ascii="Arial" w:hAnsi="Arial" w:cs="Arial"/>
          <w:noProof/>
        </w:rPr>
        <w:t>[115, 116]</w:t>
      </w:r>
      <w:r>
        <w:rPr>
          <w:rFonts w:ascii="Arial" w:hAnsi="Arial" w:cs="Arial"/>
        </w:rPr>
        <w:t xml:space="preserve">  These differences are thought to be due to differences in DNA extraction methods and universal PCR primers used.   </w:t>
      </w:r>
    </w:p>
    <w:p w:rsidR="00330CF1" w:rsidRDefault="00330CF1" w:rsidP="003C5D98">
      <w:pPr>
        <w:autoSpaceDE w:val="0"/>
        <w:autoSpaceDN w:val="0"/>
        <w:adjustRightInd w:val="0"/>
        <w:rPr>
          <w:rFonts w:ascii="Arial" w:hAnsi="Arial" w:cs="Arial"/>
        </w:rPr>
      </w:pPr>
      <w:r>
        <w:rPr>
          <w:rFonts w:ascii="Arial" w:hAnsi="Arial" w:cs="Arial"/>
        </w:rPr>
        <w:t xml:space="preserve">     The GI microbiota is an ecosystem consisting of different niches and diversified local communities.  Species associated with the mucosa are different from those within the lumen or in the feces.</w:t>
      </w:r>
      <w:r>
        <w:rPr>
          <w:rFonts w:ascii="Arial" w:hAnsi="Arial" w:cs="Arial"/>
          <w:noProof/>
        </w:rPr>
        <w:t>[117]</w:t>
      </w:r>
      <w:r>
        <w:rPr>
          <w:rFonts w:ascii="Arial" w:hAnsi="Arial" w:cs="Arial"/>
        </w:rPr>
        <w:t xml:space="preserve">  Bacterial numbers are lowest in the stomach due to gastric acidity and increase sequentially through the small intestine with the largest numbers found in the large intestine.</w:t>
      </w:r>
      <w:r>
        <w:rPr>
          <w:rFonts w:ascii="Arial" w:hAnsi="Arial" w:cs="Arial"/>
          <w:noProof/>
        </w:rPr>
        <w:t>[110]</w:t>
      </w:r>
      <w:r>
        <w:rPr>
          <w:rFonts w:ascii="Arial" w:hAnsi="Arial" w:cs="Arial"/>
        </w:rPr>
        <w:t xml:space="preserve">  The small intestine has a large surface area due to the presence of villi and microvilli.  It is in the small intestine that most of digestion and absorption occurs.  Food is blended with bile, bicarbonate and digestive enzymes.  In dogs and humans, duodenal bacterial counts average 10</w:t>
      </w:r>
      <w:r>
        <w:rPr>
          <w:rFonts w:ascii="Arial" w:hAnsi="Arial" w:cs="Arial"/>
          <w:vertAlign w:val="superscript"/>
        </w:rPr>
        <w:t xml:space="preserve">4 </w:t>
      </w:r>
      <w:r>
        <w:rPr>
          <w:rFonts w:ascii="Arial" w:hAnsi="Arial" w:cs="Arial"/>
        </w:rPr>
        <w:t>CFU/mL.</w:t>
      </w:r>
      <w:r>
        <w:rPr>
          <w:rFonts w:ascii="Arial" w:hAnsi="Arial" w:cs="Arial"/>
          <w:noProof/>
        </w:rPr>
        <w:t>[110, 118]</w:t>
      </w:r>
      <w:r>
        <w:rPr>
          <w:rFonts w:ascii="Arial" w:hAnsi="Arial" w:cs="Arial"/>
        </w:rPr>
        <w:t xml:space="preserve">  Initial studies of duodenal lumen contents in clinically healthy domestic cats fed commercial canned diets found total bacterial counts of 10</w:t>
      </w:r>
      <w:r>
        <w:rPr>
          <w:rFonts w:ascii="Arial" w:hAnsi="Arial" w:cs="Arial"/>
          <w:vertAlign w:val="superscript"/>
        </w:rPr>
        <w:t xml:space="preserve">5 </w:t>
      </w:r>
      <w:r>
        <w:rPr>
          <w:rFonts w:ascii="Arial" w:hAnsi="Arial" w:cs="Arial"/>
        </w:rPr>
        <w:t>– 10</w:t>
      </w:r>
      <w:r>
        <w:rPr>
          <w:rFonts w:ascii="Arial" w:hAnsi="Arial" w:cs="Arial"/>
          <w:vertAlign w:val="superscript"/>
        </w:rPr>
        <w:t>8</w:t>
      </w:r>
      <w:r>
        <w:rPr>
          <w:rFonts w:ascii="Arial" w:hAnsi="Arial" w:cs="Arial"/>
        </w:rPr>
        <w:t xml:space="preserve"> CFU/mL.</w:t>
      </w:r>
      <w:r>
        <w:rPr>
          <w:rFonts w:ascii="Arial" w:hAnsi="Arial" w:cs="Arial"/>
          <w:noProof/>
        </w:rPr>
        <w:t>[114]</w:t>
      </w:r>
      <w:r>
        <w:rPr>
          <w:rFonts w:ascii="Arial" w:hAnsi="Arial" w:cs="Arial"/>
        </w:rPr>
        <w:t xml:space="preserve">  This study established that clinically healthy cats have an anaerobic flora in the proximal intestine that would be considered small intestinal overgrowth in dogs.  Subsequent studies found higher than expected levels of small intestinal volatile fatty acids attributable to higher bacterial numbers.</w:t>
      </w:r>
      <w:r>
        <w:rPr>
          <w:rFonts w:ascii="Arial" w:hAnsi="Arial" w:cs="Arial"/>
          <w:noProof/>
        </w:rPr>
        <w:t>[119]</w:t>
      </w:r>
      <w:r>
        <w:rPr>
          <w:rFonts w:ascii="Arial" w:hAnsi="Arial" w:cs="Arial"/>
        </w:rPr>
        <w:t xml:space="preserve">  Levels of volatile fatty acids in the other sections of the gastrointestinal tract were similar to other monogastric species.  High levels of bacteria in the duodenum could be beneficial and/or detrimental.  Detrimental effects would include competition for essential nutrients and bacterial metabolism of intraluminal constituents such as bile acids.  Beneficial effects would include competitive exclusion of potentially pathogenic bacteria and production of nutrients such as short chain fatty acids and vitamins.</w:t>
      </w:r>
    </w:p>
    <w:p w:rsidR="00330CF1" w:rsidRDefault="00330CF1" w:rsidP="003C5D98">
      <w:pPr>
        <w:autoSpaceDE w:val="0"/>
        <w:autoSpaceDN w:val="0"/>
        <w:adjustRightInd w:val="0"/>
        <w:rPr>
          <w:rFonts w:ascii="Arial" w:hAnsi="Arial" w:cs="Arial"/>
        </w:rPr>
      </w:pPr>
      <w:r>
        <w:rPr>
          <w:rFonts w:ascii="Arial" w:hAnsi="Arial" w:cs="Arial"/>
        </w:rPr>
        <w:t xml:space="preserve">     The large intestine is the most heavily colonized area of the GI tract with bacterial numbers reported of 10</w:t>
      </w:r>
      <w:r>
        <w:rPr>
          <w:rFonts w:ascii="Arial" w:hAnsi="Arial" w:cs="Arial"/>
          <w:vertAlign w:val="superscript"/>
        </w:rPr>
        <w:t>11</w:t>
      </w:r>
      <w:r>
        <w:rPr>
          <w:rFonts w:ascii="Arial" w:hAnsi="Arial" w:cs="Arial"/>
        </w:rPr>
        <w:t xml:space="preserve"> – 10</w:t>
      </w:r>
      <w:r>
        <w:rPr>
          <w:rFonts w:ascii="Arial" w:hAnsi="Arial" w:cs="Arial"/>
          <w:vertAlign w:val="superscript"/>
        </w:rPr>
        <w:t xml:space="preserve">12 </w:t>
      </w:r>
      <w:r>
        <w:rPr>
          <w:rFonts w:ascii="Arial" w:hAnsi="Arial" w:cs="Arial"/>
        </w:rPr>
        <w:t>CFU/mL in humans.</w:t>
      </w:r>
      <w:r>
        <w:rPr>
          <w:rFonts w:ascii="Arial" w:hAnsi="Arial" w:cs="Arial"/>
          <w:noProof/>
        </w:rPr>
        <w:t>[110]</w:t>
      </w:r>
      <w:r>
        <w:rPr>
          <w:rFonts w:ascii="Arial" w:hAnsi="Arial" w:cs="Arial"/>
        </w:rPr>
        <w:t xml:space="preserve">  Dietary components that are not digested and absorbed in the proximal intestine support the microbiota in the colon with nutrients and energy.  Colonic microbiota ferment carbohydrates into carbon dioxide (CO</w:t>
      </w:r>
      <w:r>
        <w:rPr>
          <w:rFonts w:ascii="Arial" w:hAnsi="Arial" w:cs="Arial"/>
          <w:vertAlign w:val="subscript"/>
        </w:rPr>
        <w:t>2</w:t>
      </w:r>
      <w:r>
        <w:rPr>
          <w:rFonts w:ascii="Arial" w:hAnsi="Arial" w:cs="Arial"/>
        </w:rPr>
        <w:t>), hydrogen gas (H</w:t>
      </w:r>
      <w:r>
        <w:rPr>
          <w:rFonts w:ascii="Arial" w:hAnsi="Arial" w:cs="Arial"/>
          <w:vertAlign w:val="subscript"/>
        </w:rPr>
        <w:t>2</w:t>
      </w:r>
      <w:r>
        <w:rPr>
          <w:rFonts w:ascii="Arial" w:hAnsi="Arial" w:cs="Arial"/>
        </w:rPr>
        <w:t>) and short chain fatty acids (SCFA) including acetate, butyrate and propionate.</w:t>
      </w:r>
      <w:r>
        <w:rPr>
          <w:rFonts w:ascii="Arial" w:hAnsi="Arial" w:cs="Arial"/>
          <w:noProof/>
        </w:rPr>
        <w:t>[120]</w:t>
      </w:r>
      <w:r>
        <w:rPr>
          <w:rFonts w:ascii="Arial" w:hAnsi="Arial" w:cs="Arial"/>
        </w:rPr>
        <w:t xml:space="preserve">  In humans, the amount of energy derived from microbial SCFA production accounts for 6-9% of their metabolizable energy requirement.</w:t>
      </w:r>
      <w:r>
        <w:rPr>
          <w:rFonts w:ascii="Arial" w:hAnsi="Arial" w:cs="Arial"/>
          <w:noProof/>
        </w:rPr>
        <w:t>[110]</w:t>
      </w:r>
      <w:r>
        <w:rPr>
          <w:rFonts w:ascii="Arial" w:hAnsi="Arial" w:cs="Arial"/>
        </w:rPr>
        <w:t xml:space="preserve">  Acetate, propionate, and butyrate are the most abundant SCFA produced in cats with ratios of 70:20:10 in the stomach, 80:10:10 in the small intestine, and 60:25:15 in the colon.</w:t>
      </w:r>
      <w:r>
        <w:rPr>
          <w:rFonts w:ascii="Arial" w:hAnsi="Arial" w:cs="Arial"/>
          <w:noProof/>
        </w:rPr>
        <w:t>[119]</w:t>
      </w:r>
      <w:r>
        <w:rPr>
          <w:rFonts w:ascii="Arial" w:hAnsi="Arial" w:cs="Arial"/>
        </w:rPr>
        <w:t xml:space="preserve">  It is believed that these SCFA provide minimal energy to cats due to their shorter intestinal length but may provide other benefits such as stimulating intestinal blood flow </w:t>
      </w:r>
      <w:r>
        <w:rPr>
          <w:rFonts w:ascii="Arial" w:hAnsi="Arial" w:cs="Arial"/>
          <w:noProof/>
        </w:rPr>
        <w:t>[121]</w:t>
      </w:r>
      <w:r>
        <w:rPr>
          <w:rFonts w:ascii="Arial" w:hAnsi="Arial" w:cs="Arial"/>
        </w:rPr>
        <w:t xml:space="preserve">, and promoting water, sodium and chloride absorption </w:t>
      </w:r>
      <w:r>
        <w:rPr>
          <w:rFonts w:ascii="Arial" w:hAnsi="Arial" w:cs="Arial"/>
          <w:noProof/>
        </w:rPr>
        <w:t>[122]</w:t>
      </w:r>
      <w:r>
        <w:rPr>
          <w:rFonts w:ascii="Arial" w:hAnsi="Arial" w:cs="Arial"/>
        </w:rPr>
        <w:t xml:space="preserve">. Short </w:t>
      </w:r>
      <w:r>
        <w:rPr>
          <w:rFonts w:ascii="Arial" w:hAnsi="Arial" w:cs="Arial"/>
        </w:rPr>
        <w:lastRenderedPageBreak/>
        <w:t>chain fatty acids are the predominant anions in the colon and their absorption is coupled with water, sodium and chloride movement.</w:t>
      </w:r>
    </w:p>
    <w:p w:rsidR="00330CF1" w:rsidRDefault="00330CF1" w:rsidP="003C5D98">
      <w:pPr>
        <w:autoSpaceDE w:val="0"/>
        <w:autoSpaceDN w:val="0"/>
        <w:adjustRightInd w:val="0"/>
        <w:rPr>
          <w:rFonts w:ascii="Arial" w:hAnsi="Arial" w:cs="Arial"/>
        </w:rPr>
      </w:pPr>
      <w:r>
        <w:rPr>
          <w:rFonts w:ascii="Arial" w:hAnsi="Arial" w:cs="Arial"/>
        </w:rPr>
        <w:t xml:space="preserve">     Figure 1.1 </w:t>
      </w:r>
      <w:r w:rsidRPr="00082925">
        <w:rPr>
          <w:rFonts w:ascii="Arial" w:hAnsi="Arial" w:cs="Arial"/>
        </w:rPr>
        <w:t>diagrams</w:t>
      </w:r>
      <w:r>
        <w:rPr>
          <w:rFonts w:ascii="Arial" w:hAnsi="Arial" w:cs="Arial"/>
        </w:rPr>
        <w:t xml:space="preserve"> the main products of microbial protein fermentation including SCFA, branched-chain fatty acids (BCFA), ammonia, amines, phenols, indoles and sulfides. </w:t>
      </w:r>
      <w:r>
        <w:rPr>
          <w:rFonts w:ascii="Arial" w:hAnsi="Arial" w:cs="Arial"/>
          <w:noProof/>
        </w:rPr>
        <w:t>[123]</w:t>
      </w:r>
      <w:r>
        <w:rPr>
          <w:rFonts w:ascii="Arial" w:hAnsi="Arial" w:cs="Arial"/>
        </w:rPr>
        <w:t xml:space="preserve">  Ammonia, amines, phenols, indoles and sulfides are known to be putrefactants and potentially systemic toxins.</w:t>
      </w:r>
      <w:r>
        <w:rPr>
          <w:rFonts w:ascii="Arial" w:hAnsi="Arial" w:cs="Arial"/>
          <w:noProof/>
        </w:rPr>
        <w:t>[120]</w:t>
      </w:r>
      <w:r>
        <w:rPr>
          <w:rFonts w:ascii="Arial" w:hAnsi="Arial" w:cs="Arial"/>
        </w:rPr>
        <w:t xml:space="preserve">  Important proteolytic species identified in the human bowel include the genera </w:t>
      </w:r>
      <w:r>
        <w:rPr>
          <w:rFonts w:ascii="Arial" w:hAnsi="Arial" w:cs="Arial"/>
          <w:i/>
        </w:rPr>
        <w:t xml:space="preserve">Bacteroides </w:t>
      </w:r>
      <w:r>
        <w:rPr>
          <w:rFonts w:ascii="Arial" w:hAnsi="Arial" w:cs="Arial"/>
        </w:rPr>
        <w:t xml:space="preserve">spp., </w:t>
      </w:r>
      <w:r>
        <w:rPr>
          <w:rFonts w:ascii="Arial" w:hAnsi="Arial" w:cs="Arial"/>
          <w:i/>
        </w:rPr>
        <w:t xml:space="preserve">Propionibacterium </w:t>
      </w:r>
      <w:r>
        <w:rPr>
          <w:rFonts w:ascii="Arial" w:hAnsi="Arial" w:cs="Arial"/>
        </w:rPr>
        <w:t>spp.</w:t>
      </w:r>
      <w:r>
        <w:rPr>
          <w:rFonts w:ascii="Arial" w:hAnsi="Arial" w:cs="Arial"/>
          <w:i/>
        </w:rPr>
        <w:t xml:space="preserve">, Clostridium </w:t>
      </w:r>
      <w:r>
        <w:rPr>
          <w:rFonts w:ascii="Arial" w:hAnsi="Arial" w:cs="Arial"/>
        </w:rPr>
        <w:t>spp.</w:t>
      </w:r>
      <w:r>
        <w:rPr>
          <w:rFonts w:ascii="Arial" w:hAnsi="Arial" w:cs="Arial"/>
          <w:i/>
        </w:rPr>
        <w:t xml:space="preserve">, Fusobacterium </w:t>
      </w:r>
      <w:r>
        <w:rPr>
          <w:rFonts w:ascii="Arial" w:hAnsi="Arial" w:cs="Arial"/>
        </w:rPr>
        <w:t>spp.</w:t>
      </w:r>
      <w:r>
        <w:rPr>
          <w:rFonts w:ascii="Arial" w:hAnsi="Arial" w:cs="Arial"/>
          <w:i/>
        </w:rPr>
        <w:t xml:space="preserve">, Streptococcus </w:t>
      </w:r>
      <w:r>
        <w:rPr>
          <w:rFonts w:ascii="Arial" w:hAnsi="Arial" w:cs="Arial"/>
        </w:rPr>
        <w:t xml:space="preserve">spp., and </w:t>
      </w:r>
      <w:r>
        <w:rPr>
          <w:rFonts w:ascii="Arial" w:hAnsi="Arial" w:cs="Arial"/>
          <w:i/>
        </w:rPr>
        <w:t>Lactobacillus</w:t>
      </w:r>
      <w:r>
        <w:rPr>
          <w:rFonts w:ascii="Arial" w:hAnsi="Arial" w:cs="Arial"/>
        </w:rPr>
        <w:t xml:space="preserve"> spp</w:t>
      </w:r>
      <w:r>
        <w:rPr>
          <w:rFonts w:ascii="Arial" w:hAnsi="Arial" w:cs="Arial"/>
          <w:i/>
        </w:rPr>
        <w:t>.</w:t>
      </w:r>
      <w:r>
        <w:rPr>
          <w:rFonts w:ascii="Arial" w:hAnsi="Arial" w:cs="Arial"/>
          <w:noProof/>
        </w:rPr>
        <w:t>[120]</w:t>
      </w:r>
      <w:r>
        <w:rPr>
          <w:rFonts w:ascii="Arial" w:hAnsi="Arial" w:cs="Arial"/>
        </w:rPr>
        <w:t xml:space="preserve">  Dietary protein quality influences colonic microbiota by affecting the amount of protein that reaches the colon.  Lower quality protein that is poorly digested provides more protein for the colonic microbes and will increase the number of proteolytic bacteria.</w:t>
      </w:r>
    </w:p>
    <w:p w:rsidR="00330CF1" w:rsidRDefault="00330CF1" w:rsidP="003C5D98">
      <w:pPr>
        <w:autoSpaceDE w:val="0"/>
        <w:autoSpaceDN w:val="0"/>
        <w:adjustRightInd w:val="0"/>
        <w:rPr>
          <w:rFonts w:ascii="Arial" w:hAnsi="Arial" w:cs="Arial"/>
        </w:rPr>
      </w:pPr>
      <w:r>
        <w:rPr>
          <w:rFonts w:ascii="Arial" w:hAnsi="Arial" w:cs="Arial"/>
        </w:rPr>
        <w:t xml:space="preserve">     Both dietary constituents and the processing of dietary constituents have been shown to affect intestinal microbiota numbers and composition.</w:t>
      </w:r>
      <w:r>
        <w:rPr>
          <w:rFonts w:ascii="Arial" w:hAnsi="Arial" w:cs="Arial"/>
          <w:noProof/>
        </w:rPr>
        <w:t>[124, 125]</w:t>
      </w:r>
      <w:r>
        <w:rPr>
          <w:rFonts w:ascii="Arial" w:hAnsi="Arial" w:cs="Arial"/>
        </w:rPr>
        <w:t xml:space="preserve">  By comparing hydrogen</w:t>
      </w:r>
      <w:r>
        <w:rPr>
          <w:rFonts w:ascii="Arial" w:hAnsi="Arial" w:cs="Arial"/>
          <w:vertAlign w:val="subscript"/>
        </w:rPr>
        <w:t xml:space="preserve"> </w:t>
      </w:r>
      <w:r>
        <w:rPr>
          <w:rFonts w:ascii="Arial" w:hAnsi="Arial" w:cs="Arial"/>
        </w:rPr>
        <w:t>gas production, Backus found that commercial canned diets induced a substantially greater hydrogen breath</w:t>
      </w:r>
      <w:r>
        <w:rPr>
          <w:rFonts w:ascii="Arial" w:hAnsi="Arial" w:cs="Arial"/>
          <w:vertAlign w:val="subscript"/>
        </w:rPr>
        <w:t xml:space="preserve"> </w:t>
      </w:r>
      <w:r>
        <w:rPr>
          <w:rFonts w:ascii="Arial" w:hAnsi="Arial" w:cs="Arial"/>
        </w:rPr>
        <w:t>production caused by increased fermentative metabolism.</w:t>
      </w:r>
      <w:r>
        <w:rPr>
          <w:rFonts w:ascii="Arial" w:hAnsi="Arial" w:cs="Arial"/>
          <w:noProof/>
        </w:rPr>
        <w:t>[124]</w:t>
      </w:r>
      <w:r>
        <w:rPr>
          <w:rFonts w:ascii="Arial" w:hAnsi="Arial" w:cs="Arial"/>
        </w:rPr>
        <w:t xml:space="preserve">  The next highest level of hydrogen production was found in cats consuming canned uncooked diets, followed by extruded diets, and lastly purified diets.</w:t>
      </w:r>
      <w:r>
        <w:rPr>
          <w:rFonts w:ascii="Arial" w:hAnsi="Arial" w:cs="Arial"/>
          <w:noProof/>
        </w:rPr>
        <w:t>[124]</w:t>
      </w:r>
      <w:r>
        <w:rPr>
          <w:rFonts w:ascii="Arial" w:hAnsi="Arial" w:cs="Arial"/>
        </w:rPr>
        <w:t xml:space="preserve">  Hydrogen production was not found to be different between cats consuming the canned uncooked diet or the same diet irradiated.  Thus, any bacteria ingested in the canned </w:t>
      </w:r>
      <w:r w:rsidRPr="00DD3714">
        <w:rPr>
          <w:rFonts w:ascii="Arial" w:hAnsi="Arial" w:cs="Arial"/>
        </w:rPr>
        <w:t xml:space="preserve">uncooked </w:t>
      </w:r>
      <w:r>
        <w:rPr>
          <w:rFonts w:ascii="Arial" w:hAnsi="Arial" w:cs="Arial"/>
        </w:rPr>
        <w:t>diet were not substantially utilized for bacterial fermentation.   A proposed explanation for the increased fermentation associated with the cooked canned in comparison to other diets was that these diets contained higher levels of protein available for fermentation.  But the increased hydrogen production from cooked canned compared to uncooked canned diet demonstrates changes in microflora secondary to effects of processing.</w:t>
      </w:r>
    </w:p>
    <w:p w:rsidR="00330CF1" w:rsidRDefault="00330CF1" w:rsidP="006650AE">
      <w:pPr>
        <w:rPr>
          <w:rFonts w:ascii="Arial" w:hAnsi="Arial" w:cs="Arial"/>
        </w:rPr>
      </w:pPr>
    </w:p>
    <w:p w:rsidR="00330CF1" w:rsidRPr="006650AE" w:rsidRDefault="00330CF1" w:rsidP="006650AE">
      <w:pPr>
        <w:jc w:val="center"/>
        <w:rPr>
          <w:rFonts w:ascii="Arial" w:hAnsi="Arial" w:cs="Arial"/>
        </w:rPr>
      </w:pPr>
      <w:r>
        <w:rPr>
          <w:noProof/>
        </w:rPr>
        <w:lastRenderedPageBreak/>
        <w:drawing>
          <wp:inline distT="0" distB="0" distL="0" distR="0" wp14:anchorId="135E1188" wp14:editId="1AD34987">
            <wp:extent cx="5106256" cy="6022486"/>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06625" cy="6022921"/>
                    </a:xfrm>
                    <a:prstGeom prst="rect">
                      <a:avLst/>
                    </a:prstGeom>
                  </pic:spPr>
                </pic:pic>
              </a:graphicData>
            </a:graphic>
          </wp:inline>
        </w:drawing>
      </w:r>
    </w:p>
    <w:p w:rsidR="00330CF1" w:rsidRDefault="00330CF1" w:rsidP="00D32314">
      <w:pPr>
        <w:autoSpaceDE w:val="0"/>
        <w:autoSpaceDN w:val="0"/>
        <w:adjustRightInd w:val="0"/>
        <w:jc w:val="center"/>
        <w:rPr>
          <w:rFonts w:ascii="Arial" w:hAnsi="Arial" w:cs="Arial"/>
          <w:b/>
        </w:rPr>
      </w:pPr>
    </w:p>
    <w:p w:rsidR="00330CF1" w:rsidRDefault="00330CF1" w:rsidP="00D32314">
      <w:pPr>
        <w:autoSpaceDE w:val="0"/>
        <w:autoSpaceDN w:val="0"/>
        <w:adjustRightInd w:val="0"/>
        <w:jc w:val="center"/>
        <w:rPr>
          <w:rFonts w:ascii="Arial" w:hAnsi="Arial" w:cs="Arial"/>
          <w:b/>
        </w:rPr>
      </w:pPr>
    </w:p>
    <w:p w:rsidR="00330CF1" w:rsidRDefault="00330CF1" w:rsidP="00D32314">
      <w:pPr>
        <w:autoSpaceDE w:val="0"/>
        <w:autoSpaceDN w:val="0"/>
        <w:adjustRightInd w:val="0"/>
        <w:jc w:val="center"/>
        <w:rPr>
          <w:rFonts w:ascii="Arial" w:hAnsi="Arial" w:cs="Arial"/>
          <w:b/>
        </w:rPr>
      </w:pPr>
    </w:p>
    <w:p w:rsidR="00330CF1" w:rsidRDefault="00330CF1" w:rsidP="006650AE">
      <w:pPr>
        <w:autoSpaceDE w:val="0"/>
        <w:autoSpaceDN w:val="0"/>
        <w:adjustRightInd w:val="0"/>
        <w:rPr>
          <w:rFonts w:ascii="Arial" w:hAnsi="Arial" w:cs="Arial"/>
          <w:b/>
        </w:rPr>
      </w:pPr>
    </w:p>
    <w:p w:rsidR="00330CF1" w:rsidRDefault="00330CF1" w:rsidP="000D141B">
      <w:pPr>
        <w:autoSpaceDE w:val="0"/>
        <w:autoSpaceDN w:val="0"/>
        <w:adjustRightInd w:val="0"/>
        <w:rPr>
          <w:rFonts w:ascii="Arial" w:hAnsi="Arial" w:cs="Arial"/>
        </w:rPr>
      </w:pPr>
      <w:r>
        <w:rPr>
          <w:rFonts w:ascii="Arial" w:hAnsi="Arial" w:cs="Arial"/>
          <w:b/>
        </w:rPr>
        <w:t xml:space="preserve">Figure 1.1 </w:t>
      </w:r>
      <w:r>
        <w:rPr>
          <w:rFonts w:ascii="Arial" w:hAnsi="Arial" w:cs="Arial"/>
        </w:rPr>
        <w:t>Colonic m</w:t>
      </w:r>
      <w:r w:rsidRPr="00261260">
        <w:rPr>
          <w:rFonts w:ascii="Arial" w:hAnsi="Arial" w:cs="Arial"/>
        </w:rPr>
        <w:t>icrobial protein metabolism</w:t>
      </w:r>
    </w:p>
    <w:p w:rsidR="00330CF1" w:rsidRDefault="00330CF1" w:rsidP="000D141B">
      <w:pPr>
        <w:autoSpaceDE w:val="0"/>
        <w:autoSpaceDN w:val="0"/>
        <w:adjustRightInd w:val="0"/>
        <w:rPr>
          <w:rFonts w:ascii="Arial" w:hAnsi="Arial" w:cs="Arial"/>
        </w:rPr>
      </w:pPr>
      <w:r w:rsidRPr="000E7CCC">
        <w:rPr>
          <w:rFonts w:ascii="Arial" w:hAnsi="Arial" w:cs="Arial"/>
          <w:b/>
          <w:i/>
        </w:rPr>
        <w:t>Source</w:t>
      </w:r>
      <w:r>
        <w:rPr>
          <w:rFonts w:ascii="Arial" w:hAnsi="Arial" w:cs="Arial"/>
        </w:rPr>
        <w:t xml:space="preserve">:  Reprinted by permission Hughes, R., et al, </w:t>
      </w:r>
      <w:r>
        <w:rPr>
          <w:rFonts w:ascii="Arial" w:hAnsi="Arial" w:cs="Arial"/>
          <w:i/>
        </w:rPr>
        <w:t xml:space="preserve">Protein Degradation in the Large Intestine: Relevance to Colorectal Cancer.  </w:t>
      </w:r>
      <w:r>
        <w:rPr>
          <w:rFonts w:ascii="Arial" w:hAnsi="Arial" w:cs="Arial"/>
        </w:rPr>
        <w:t xml:space="preserve">Curr Issues Intest Microbiol 2000; </w:t>
      </w:r>
      <w:r>
        <w:rPr>
          <w:rFonts w:ascii="Arial" w:hAnsi="Arial" w:cs="Arial"/>
          <w:b/>
        </w:rPr>
        <w:t>1</w:t>
      </w:r>
      <w:r>
        <w:rPr>
          <w:rFonts w:ascii="Arial" w:hAnsi="Arial" w:cs="Arial"/>
        </w:rPr>
        <w:t>(2);</w:t>
      </w:r>
    </w:p>
    <w:p w:rsidR="00330CF1" w:rsidRDefault="00330CF1" w:rsidP="000D141B">
      <w:pPr>
        <w:autoSpaceDE w:val="0"/>
        <w:autoSpaceDN w:val="0"/>
        <w:adjustRightInd w:val="0"/>
        <w:rPr>
          <w:rFonts w:ascii="Arial" w:hAnsi="Arial" w:cs="Arial"/>
        </w:rPr>
      </w:pPr>
      <w:r>
        <w:rPr>
          <w:rFonts w:ascii="Arial" w:hAnsi="Arial" w:cs="Arial"/>
        </w:rPr>
        <w:t xml:space="preserve"> p. 52. </w:t>
      </w:r>
    </w:p>
    <w:p w:rsidR="00330CF1" w:rsidRDefault="00330CF1" w:rsidP="00EE58BC">
      <w:pPr>
        <w:autoSpaceDE w:val="0"/>
        <w:autoSpaceDN w:val="0"/>
        <w:adjustRightInd w:val="0"/>
        <w:jc w:val="center"/>
        <w:rPr>
          <w:rFonts w:ascii="Arial" w:hAnsi="Arial" w:cs="Arial"/>
        </w:rPr>
      </w:pPr>
    </w:p>
    <w:p w:rsidR="00330CF1" w:rsidRDefault="00330CF1" w:rsidP="00D32314">
      <w:pPr>
        <w:rPr>
          <w:rFonts w:ascii="Arial" w:hAnsi="Arial" w:cs="Arial"/>
        </w:rPr>
      </w:pPr>
    </w:p>
    <w:p w:rsidR="00330CF1" w:rsidRPr="00F53274" w:rsidRDefault="00330CF1" w:rsidP="00D32314">
      <w:pPr>
        <w:rPr>
          <w:rFonts w:ascii="Arial" w:hAnsi="Arial" w:cs="Arial"/>
        </w:rPr>
      </w:pPr>
    </w:p>
    <w:p w:rsidR="00330CF1" w:rsidRPr="001D0ADA" w:rsidRDefault="00330CF1" w:rsidP="003C5D98">
      <w:pPr>
        <w:autoSpaceDE w:val="0"/>
        <w:autoSpaceDN w:val="0"/>
        <w:adjustRightInd w:val="0"/>
        <w:rPr>
          <w:rFonts w:ascii="Arial" w:hAnsi="Arial" w:cs="Arial"/>
        </w:rPr>
      </w:pPr>
      <w:r>
        <w:rPr>
          <w:rFonts w:ascii="Arial" w:hAnsi="Arial" w:cs="Arial"/>
        </w:rPr>
        <w:lastRenderedPageBreak/>
        <w:t xml:space="preserve">     Quantity of dietary protein will also affect gastrointestinal flora.  Substantial changes were noted in the gastrointestinal flora of adult cats given either moderate protein (MP-30% dry matter) compared to a high protein (HP-50% dry matter) diets.</w:t>
      </w:r>
      <w:r>
        <w:rPr>
          <w:rFonts w:ascii="Arial" w:hAnsi="Arial" w:cs="Arial"/>
          <w:noProof/>
        </w:rPr>
        <w:t>[125]</w:t>
      </w:r>
      <w:r>
        <w:rPr>
          <w:rFonts w:ascii="Arial" w:hAnsi="Arial" w:cs="Arial"/>
        </w:rPr>
        <w:t xml:space="preserve">  Quantitative polymerase chain reaction was used to measure </w:t>
      </w:r>
      <w:r>
        <w:rPr>
          <w:rFonts w:ascii="Arial" w:hAnsi="Arial" w:cs="Arial"/>
          <w:i/>
        </w:rPr>
        <w:t xml:space="preserve">E.coli, Bifidobacterium </w:t>
      </w:r>
      <w:r>
        <w:rPr>
          <w:rFonts w:ascii="Arial" w:hAnsi="Arial" w:cs="Arial"/>
        </w:rPr>
        <w:t>spp.</w:t>
      </w:r>
      <w:r>
        <w:rPr>
          <w:rFonts w:ascii="Arial" w:hAnsi="Arial" w:cs="Arial"/>
          <w:i/>
        </w:rPr>
        <w:t xml:space="preserve">, Clostridium perfringens, </w:t>
      </w:r>
      <w:r>
        <w:rPr>
          <w:rFonts w:ascii="Arial" w:hAnsi="Arial" w:cs="Arial"/>
        </w:rPr>
        <w:t xml:space="preserve">and </w:t>
      </w:r>
      <w:r>
        <w:rPr>
          <w:rFonts w:ascii="Arial" w:hAnsi="Arial" w:cs="Arial"/>
          <w:i/>
        </w:rPr>
        <w:t>Lactobacillus</w:t>
      </w:r>
      <w:r>
        <w:rPr>
          <w:rFonts w:ascii="Arial" w:hAnsi="Arial" w:cs="Arial"/>
        </w:rPr>
        <w:t xml:space="preserve"> spp.</w:t>
      </w:r>
      <w:r>
        <w:rPr>
          <w:rFonts w:ascii="Arial" w:hAnsi="Arial" w:cs="Arial"/>
          <w:i/>
        </w:rPr>
        <w:t xml:space="preserve"> </w:t>
      </w:r>
      <w:r>
        <w:rPr>
          <w:rFonts w:ascii="Arial" w:hAnsi="Arial" w:cs="Arial"/>
        </w:rPr>
        <w:t xml:space="preserve">populations in feline fecal samples.  </w:t>
      </w:r>
      <w:r>
        <w:rPr>
          <w:rFonts w:ascii="Arial" w:hAnsi="Arial" w:cs="Arial"/>
          <w:i/>
        </w:rPr>
        <w:t xml:space="preserve">Bifidobacterium </w:t>
      </w:r>
      <w:r>
        <w:rPr>
          <w:rFonts w:ascii="Arial" w:hAnsi="Arial" w:cs="Arial"/>
        </w:rPr>
        <w:t xml:space="preserve">was found to be significantly greater in the moderate protein compared to high protein diets and </w:t>
      </w:r>
      <w:r>
        <w:rPr>
          <w:rFonts w:ascii="Arial" w:hAnsi="Arial" w:cs="Arial"/>
          <w:i/>
        </w:rPr>
        <w:t>Clostridium perfringens</w:t>
      </w:r>
      <w:r>
        <w:rPr>
          <w:rFonts w:ascii="Arial" w:hAnsi="Arial" w:cs="Arial"/>
        </w:rPr>
        <w:t xml:space="preserve"> was found to be significantly higher in high protein vs. moderate protein diets</w:t>
      </w:r>
      <w:r w:rsidRPr="001D0ADA">
        <w:rPr>
          <w:rFonts w:ascii="Arial" w:hAnsi="Arial" w:cs="Arial"/>
        </w:rPr>
        <w:t>.</w:t>
      </w:r>
      <w:r>
        <w:rPr>
          <w:rFonts w:ascii="Arial" w:hAnsi="Arial" w:cs="Arial"/>
        </w:rPr>
        <w:t xml:space="preserve"> </w:t>
      </w:r>
      <w:r w:rsidRPr="001D0ADA">
        <w:rPr>
          <w:rFonts w:ascii="Arial" w:hAnsi="Arial" w:cs="Arial"/>
        </w:rPr>
        <w:t xml:space="preserve"> Microbial species that decreased in the high protein diet feeders included anaerobic carbohydrate fermenters </w:t>
      </w:r>
      <w:r w:rsidRPr="003D70FF">
        <w:rPr>
          <w:rFonts w:ascii="Arial" w:hAnsi="Arial" w:cs="Arial"/>
          <w:i/>
        </w:rPr>
        <w:t>Anaerobiospirillium</w:t>
      </w:r>
      <w:r w:rsidRPr="001D0ADA">
        <w:rPr>
          <w:rFonts w:ascii="Arial" w:hAnsi="Arial" w:cs="Arial"/>
        </w:rPr>
        <w:t xml:space="preserve"> spp. and </w:t>
      </w:r>
      <w:r w:rsidRPr="003D70FF">
        <w:rPr>
          <w:rFonts w:ascii="Arial" w:hAnsi="Arial" w:cs="Arial"/>
          <w:i/>
        </w:rPr>
        <w:t>Succinivibrio dextrinosolvens</w:t>
      </w:r>
      <w:r w:rsidRPr="001D0ADA">
        <w:rPr>
          <w:rFonts w:ascii="Arial" w:hAnsi="Arial" w:cs="Arial"/>
        </w:rPr>
        <w:t>.</w:t>
      </w:r>
      <w:r>
        <w:rPr>
          <w:rFonts w:ascii="Arial" w:hAnsi="Arial" w:cs="Arial"/>
          <w:noProof/>
        </w:rPr>
        <w:t>[125]</w:t>
      </w:r>
      <w:r w:rsidRPr="001D0ADA">
        <w:rPr>
          <w:rFonts w:ascii="Arial" w:hAnsi="Arial" w:cs="Arial"/>
        </w:rPr>
        <w:t xml:space="preserve"> </w:t>
      </w:r>
      <w:r>
        <w:rPr>
          <w:rFonts w:ascii="Arial" w:hAnsi="Arial" w:cs="Arial"/>
        </w:rPr>
        <w:t xml:space="preserve"> </w:t>
      </w:r>
      <w:r w:rsidRPr="001D0ADA">
        <w:rPr>
          <w:rFonts w:ascii="Arial" w:hAnsi="Arial" w:cs="Arial"/>
        </w:rPr>
        <w:t>In the HP group</w:t>
      </w:r>
      <w:r>
        <w:rPr>
          <w:rFonts w:ascii="Arial" w:hAnsi="Arial" w:cs="Arial"/>
        </w:rPr>
        <w:t>,</w:t>
      </w:r>
      <w:r w:rsidRPr="001D0ADA">
        <w:rPr>
          <w:rFonts w:ascii="Arial" w:hAnsi="Arial" w:cs="Arial"/>
        </w:rPr>
        <w:t xml:space="preserve"> there were marked increases in members of α-proteobacteria, δ-pro</w:t>
      </w:r>
      <w:r>
        <w:rPr>
          <w:rFonts w:ascii="Arial" w:hAnsi="Arial" w:cs="Arial"/>
        </w:rPr>
        <w:t>teobacteria, and clostridia and</w:t>
      </w:r>
      <w:r w:rsidRPr="001D0ADA">
        <w:rPr>
          <w:rFonts w:ascii="Arial" w:hAnsi="Arial" w:cs="Arial"/>
        </w:rPr>
        <w:t xml:space="preserve"> disappearance of γ-proteobacteria.</w:t>
      </w:r>
      <w:r>
        <w:rPr>
          <w:rFonts w:ascii="Arial" w:hAnsi="Arial" w:cs="Arial"/>
          <w:noProof/>
        </w:rPr>
        <w:t>[125]</w:t>
      </w:r>
      <w:r w:rsidRPr="001D0ADA">
        <w:rPr>
          <w:rFonts w:ascii="Arial" w:hAnsi="Arial" w:cs="Arial"/>
        </w:rPr>
        <w:t xml:space="preserve">  Marked differences were also found in 8 – 16 week old kittens fed HP vs. MP diets.  Kittens fed the high protein diets had significantly decreased Bifidobacteria spp., Lactobacillus spp., and </w:t>
      </w:r>
      <w:r w:rsidRPr="003D70FF">
        <w:rPr>
          <w:rFonts w:ascii="Arial" w:hAnsi="Arial" w:cs="Arial"/>
          <w:i/>
        </w:rPr>
        <w:t>E.coli</w:t>
      </w:r>
      <w:r w:rsidRPr="001D0ADA">
        <w:rPr>
          <w:rFonts w:ascii="Arial" w:hAnsi="Arial" w:cs="Arial"/>
        </w:rPr>
        <w:t xml:space="preserve"> counts compared to MP fed kittens.</w:t>
      </w:r>
      <w:r>
        <w:rPr>
          <w:rFonts w:ascii="Arial" w:hAnsi="Arial" w:cs="Arial"/>
          <w:noProof/>
        </w:rPr>
        <w:t>[126]</w:t>
      </w:r>
      <w:r w:rsidRPr="001D0ADA">
        <w:rPr>
          <w:rFonts w:ascii="Arial" w:hAnsi="Arial" w:cs="Arial"/>
        </w:rPr>
        <w:t xml:space="preserve">  There were no differences in </w:t>
      </w:r>
      <w:r w:rsidRPr="003D70FF">
        <w:rPr>
          <w:rFonts w:ascii="Arial" w:hAnsi="Arial" w:cs="Arial"/>
          <w:i/>
        </w:rPr>
        <w:t>Clostridia</w:t>
      </w:r>
      <w:r>
        <w:rPr>
          <w:rFonts w:ascii="Arial" w:hAnsi="Arial" w:cs="Arial"/>
          <w:i/>
        </w:rPr>
        <w:t xml:space="preserve"> spp.</w:t>
      </w:r>
      <w:r w:rsidRPr="001D0ADA">
        <w:rPr>
          <w:rFonts w:ascii="Arial" w:hAnsi="Arial" w:cs="Arial"/>
        </w:rPr>
        <w:t xml:space="preserve"> numbers between kittens fed either high or moderate protein diets.</w:t>
      </w:r>
      <w:r>
        <w:rPr>
          <w:rFonts w:ascii="Arial" w:hAnsi="Arial" w:cs="Arial"/>
          <w:noProof/>
        </w:rPr>
        <w:t>[126]</w:t>
      </w:r>
    </w:p>
    <w:p w:rsidR="00330CF1" w:rsidRDefault="00330CF1" w:rsidP="003C5D98">
      <w:pPr>
        <w:autoSpaceDE w:val="0"/>
        <w:autoSpaceDN w:val="0"/>
        <w:adjustRightInd w:val="0"/>
        <w:rPr>
          <w:rFonts w:ascii="Arial" w:hAnsi="Arial" w:cs="Arial"/>
        </w:rPr>
      </w:pPr>
      <w:r>
        <w:rPr>
          <w:rFonts w:ascii="Arial" w:hAnsi="Arial" w:cs="Arial"/>
        </w:rPr>
        <w:t xml:space="preserve">     Most interactions between mammals and microorganism do not result in disease.  In exchange for being provided a nutrient-rich protected environment, microorganisms provide nutrients unable to be accessed by host enzyme systems.  Microorganisms play important roles in nutrient digestion and synthesis, energy metabolism, epithelial and immune system development and homeostasis, and GI motility.</w:t>
      </w:r>
      <w:r>
        <w:rPr>
          <w:rFonts w:ascii="Arial" w:hAnsi="Arial" w:cs="Arial"/>
          <w:noProof/>
        </w:rPr>
        <w:t>[110, 111]</w:t>
      </w:r>
      <w:r>
        <w:rPr>
          <w:rFonts w:ascii="Arial" w:hAnsi="Arial" w:cs="Arial"/>
        </w:rPr>
        <w:t xml:space="preserve">  Due to the diversity of biochemical reactions, the gut microbiota has been described as a metabolically active organ.</w:t>
      </w:r>
      <w:r>
        <w:rPr>
          <w:rFonts w:ascii="Arial" w:hAnsi="Arial" w:cs="Arial"/>
          <w:noProof/>
        </w:rPr>
        <w:t>[121]</w:t>
      </w:r>
      <w:r>
        <w:rPr>
          <w:rFonts w:ascii="Arial" w:hAnsi="Arial" w:cs="Arial"/>
        </w:rPr>
        <w:t xml:space="preserve">  Most of the studies done on metabolic function of the microbiota have been carried out on germ-free (GF) mice.  While the presence of intestinal microbes is not essential for life, numerous modulations can be seen in both GF mice’s metabolism and immune system development.  Germ-free mice require 30% more energy in their diet indicating that the microbiota play a role in extracting maximum energy from the diet.</w:t>
      </w:r>
      <w:r>
        <w:rPr>
          <w:rFonts w:ascii="Arial" w:hAnsi="Arial" w:cs="Arial"/>
          <w:noProof/>
        </w:rPr>
        <w:t>[127]</w:t>
      </w:r>
      <w:r>
        <w:rPr>
          <w:rFonts w:ascii="Arial" w:hAnsi="Arial" w:cs="Arial"/>
        </w:rPr>
        <w:t xml:space="preserve">  These effects can be classified into two complementary systems.  First, microbial metabolism converts many dietary substances into nutrients that can be absorbed and utilized.  Second, microbes can alter gene expression and resultant metabolic machinery resulting in changes in uptake and utilization.</w:t>
      </w:r>
    </w:p>
    <w:p w:rsidR="00330CF1" w:rsidRDefault="00330CF1" w:rsidP="003C5D98">
      <w:pPr>
        <w:autoSpaceDE w:val="0"/>
        <w:autoSpaceDN w:val="0"/>
        <w:adjustRightInd w:val="0"/>
        <w:rPr>
          <w:rFonts w:ascii="Arial" w:hAnsi="Arial" w:cs="Arial"/>
        </w:rPr>
      </w:pPr>
      <w:r>
        <w:rPr>
          <w:rFonts w:ascii="Arial" w:hAnsi="Arial" w:cs="Arial"/>
        </w:rPr>
        <w:t xml:space="preserve">     Intestinal bacteria synthesize enzymes that host cells lack for the digestion of various plant polysaccharides.  These undigested polysaccharides such as plant cell wall components along with host-derived glycans (mucins), can be fermented by bacteria and produce short chain fatty acids that can be utilized by the host for energy and maintenance of epithelium integrity.</w:t>
      </w:r>
      <w:r>
        <w:rPr>
          <w:rFonts w:ascii="Arial" w:hAnsi="Arial" w:cs="Arial"/>
          <w:noProof/>
        </w:rPr>
        <w:t>[121]</w:t>
      </w:r>
      <w:r>
        <w:rPr>
          <w:rFonts w:ascii="Arial" w:hAnsi="Arial" w:cs="Arial"/>
        </w:rPr>
        <w:t xml:space="preserve">  Short chain fatty acids are absorbed in the colon by passive diffusion.  Acetate, propionate and butyrate are taken up by different organs and have different metabolic fates.  Butyrate is metabolized primarily by colonic epithelium where it serves as a primary energy source.</w:t>
      </w:r>
      <w:r>
        <w:rPr>
          <w:rFonts w:ascii="Arial" w:hAnsi="Arial" w:cs="Arial"/>
          <w:noProof/>
        </w:rPr>
        <w:t>[121]</w:t>
      </w:r>
      <w:r>
        <w:rPr>
          <w:rFonts w:ascii="Arial" w:hAnsi="Arial" w:cs="Arial"/>
        </w:rPr>
        <w:t xml:space="preserve">  Propionate is transported to the liver via the portal system and acetate is taken up primarily by peripheral tissues such as skeletal and cardiac muscle and utilized for lipogenesis.</w:t>
      </w:r>
      <w:r>
        <w:rPr>
          <w:rFonts w:ascii="Arial" w:hAnsi="Arial" w:cs="Arial"/>
          <w:noProof/>
        </w:rPr>
        <w:t>[121]</w:t>
      </w:r>
    </w:p>
    <w:p w:rsidR="00330CF1" w:rsidRDefault="00330CF1" w:rsidP="003C5D98">
      <w:pPr>
        <w:autoSpaceDE w:val="0"/>
        <w:autoSpaceDN w:val="0"/>
        <w:adjustRightInd w:val="0"/>
        <w:rPr>
          <w:rFonts w:ascii="Arial" w:hAnsi="Arial" w:cs="Arial"/>
        </w:rPr>
      </w:pPr>
      <w:r>
        <w:rPr>
          <w:rFonts w:ascii="Arial" w:hAnsi="Arial" w:cs="Arial"/>
        </w:rPr>
        <w:t xml:space="preserve">     The microbiome can also contribute to amino acid, and vitamin homeostasis.  Amino acid homeostasis is seen primarily in ruminal foregut fermenters where ruminal bacteria can synthesize the complete complement of amino acids from ammonia or urea.  In monogastric mammals, this contribution is probably minimal.  Studies have shown that </w:t>
      </w:r>
      <w:r>
        <w:rPr>
          <w:rFonts w:ascii="Arial" w:hAnsi="Arial" w:cs="Arial"/>
        </w:rPr>
        <w:lastRenderedPageBreak/>
        <w:t>1-20% of circulating plasma lysine and threonine in adult humans are derived from intestinal microbiota.</w:t>
      </w:r>
      <w:r>
        <w:rPr>
          <w:rFonts w:ascii="Arial" w:hAnsi="Arial" w:cs="Arial"/>
          <w:noProof/>
        </w:rPr>
        <w:t>[128]</w:t>
      </w:r>
      <w:r>
        <w:rPr>
          <w:rFonts w:ascii="Arial" w:hAnsi="Arial" w:cs="Arial"/>
        </w:rPr>
        <w:t xml:space="preserve">  Germ-free mice require Vitamin K in their diet, while conventional mice do not indicating microbial synthesis of this vitamin.</w:t>
      </w:r>
      <w:r>
        <w:rPr>
          <w:rFonts w:ascii="Arial" w:hAnsi="Arial" w:cs="Arial"/>
          <w:noProof/>
        </w:rPr>
        <w:t>[127]</w:t>
      </w:r>
      <w:r>
        <w:rPr>
          <w:rFonts w:ascii="Arial" w:hAnsi="Arial" w:cs="Arial"/>
        </w:rPr>
        <w:t xml:space="preserve">  Germ-free mice also have additional requirements for certain B vitamins including cobalamin, folic acid, biotin and pantothenate.  However, the presence of appreciable quantities of these B vitamins in the feces suggests that these are unavailable in non-coprophagic mammals.</w:t>
      </w:r>
    </w:p>
    <w:p w:rsidR="00330CF1" w:rsidRDefault="00330CF1" w:rsidP="003C5D98">
      <w:pPr>
        <w:autoSpaceDE w:val="0"/>
        <w:autoSpaceDN w:val="0"/>
        <w:adjustRightInd w:val="0"/>
        <w:rPr>
          <w:rFonts w:ascii="Arial" w:hAnsi="Arial" w:cs="Arial"/>
        </w:rPr>
      </w:pPr>
      <w:r>
        <w:rPr>
          <w:rFonts w:ascii="Arial" w:hAnsi="Arial" w:cs="Arial"/>
        </w:rPr>
        <w:t xml:space="preserve">     The microbiota can also influence host metabolism through changes in host gene-expression.  Colonization in GF mice leads to increased ileal levels of the Na+/glucose cotransporter (L-FABP) mRNA.</w:t>
      </w:r>
      <w:r>
        <w:rPr>
          <w:rFonts w:ascii="Arial" w:hAnsi="Arial" w:cs="Arial"/>
          <w:noProof/>
        </w:rPr>
        <w:t>[129]</w:t>
      </w:r>
      <w:r>
        <w:rPr>
          <w:rFonts w:ascii="Arial" w:hAnsi="Arial" w:cs="Arial"/>
        </w:rPr>
        <w:t xml:space="preserve">  There are numerous changes seen in gene expression for lipid metabolism in colonized vs germ-free mice.  These include increases in expression of pancreatic lipase-related protein 2 (PLRP-2), colipase, liver fatty acid-binding protein (FABP) and apolipoprotein A-IV.</w:t>
      </w:r>
      <w:r>
        <w:rPr>
          <w:rFonts w:ascii="Arial" w:hAnsi="Arial" w:cs="Arial"/>
          <w:noProof/>
        </w:rPr>
        <w:t>[129]</w:t>
      </w:r>
      <w:r>
        <w:rPr>
          <w:rFonts w:ascii="Arial" w:hAnsi="Arial" w:cs="Arial"/>
        </w:rPr>
        <w:t xml:space="preserve">  Pancreatic lipase-related protein 2 </w:t>
      </w:r>
      <w:r w:rsidRPr="00FA6ADC">
        <w:rPr>
          <w:rFonts w:ascii="Arial" w:hAnsi="Arial" w:cs="Arial"/>
        </w:rPr>
        <w:t>hydrolyzes phospholipids and galactolipids, two fats that are not substrates for pancreatic triglyceride lipase</w:t>
      </w:r>
      <w:r>
        <w:rPr>
          <w:rFonts w:ascii="Arial" w:hAnsi="Arial" w:cs="Arial"/>
          <w:sz w:val="18"/>
          <w:szCs w:val="18"/>
        </w:rPr>
        <w:t xml:space="preserve">.  </w:t>
      </w:r>
      <w:r>
        <w:rPr>
          <w:rFonts w:ascii="Arial" w:hAnsi="Arial" w:cs="Arial"/>
        </w:rPr>
        <w:t>FABP is an important regulator of fatty acid uptake and intracellular transport while apolipoprotein A-IV transports chylomicrons within the systemic circulation.  Colipase is required for optimal activity of pancreatic lipase.  Colipase has also been found to be produced in ileal crypt epithelium where microbial colonization increased its expression 10-fold.  Colipase expression in crypt epithelium and it’s regulation by intestinal microbes provides an additional method for lipid processing in the intestine.  Fasting-induced adipocyte factor (Fiaf) is suppressed in the epithelium with microbial colonization.</w:t>
      </w:r>
      <w:r>
        <w:rPr>
          <w:rFonts w:ascii="Arial" w:hAnsi="Arial" w:cs="Arial"/>
          <w:noProof/>
        </w:rPr>
        <w:t>[130]</w:t>
      </w:r>
      <w:r>
        <w:rPr>
          <w:rFonts w:ascii="Arial" w:hAnsi="Arial" w:cs="Arial"/>
        </w:rPr>
        <w:t xml:space="preserve">  Fiaf is a circulating lipoprotein lipase inhibitor whose suppression results in increased deposition of triglycerides in adipocytes.</w:t>
      </w:r>
      <w:r>
        <w:rPr>
          <w:rFonts w:ascii="Arial" w:hAnsi="Arial" w:cs="Arial"/>
          <w:noProof/>
        </w:rPr>
        <w:t>[130]</w:t>
      </w:r>
    </w:p>
    <w:p w:rsidR="00330CF1" w:rsidRDefault="00330CF1" w:rsidP="003C5D98">
      <w:pPr>
        <w:autoSpaceDE w:val="0"/>
        <w:autoSpaceDN w:val="0"/>
        <w:adjustRightInd w:val="0"/>
        <w:rPr>
          <w:rFonts w:ascii="Arial" w:hAnsi="Arial" w:cs="Arial"/>
        </w:rPr>
      </w:pPr>
      <w:r>
        <w:rPr>
          <w:rFonts w:ascii="Arial" w:hAnsi="Arial" w:cs="Arial"/>
        </w:rPr>
        <w:t xml:space="preserve">     Changes in micronutrient absorption were also found in colonized vs. germ-free mice.  Colonization resulted in a 3-fold increase in the epithelial copper transporter (CRT1) and 5-6 fold decrease in expression of metallothionein I and II resulting in increased levels of </w:t>
      </w:r>
      <w:r w:rsidRPr="00451BA7">
        <w:rPr>
          <w:rFonts w:ascii="Arial" w:hAnsi="Arial" w:cs="Arial"/>
        </w:rPr>
        <w:t xml:space="preserve">the minerals </w:t>
      </w:r>
      <w:r>
        <w:rPr>
          <w:rFonts w:ascii="Arial" w:hAnsi="Arial" w:cs="Arial"/>
        </w:rPr>
        <w:t>zinc, copper and selenium being available to the host.</w:t>
      </w:r>
      <w:r>
        <w:rPr>
          <w:rFonts w:ascii="Arial" w:hAnsi="Arial" w:cs="Arial"/>
          <w:noProof/>
        </w:rPr>
        <w:t>[129]</w:t>
      </w:r>
    </w:p>
    <w:p w:rsidR="00330CF1" w:rsidRDefault="00330CF1" w:rsidP="003C5D98">
      <w:pPr>
        <w:autoSpaceDE w:val="0"/>
        <w:autoSpaceDN w:val="0"/>
        <w:adjustRightInd w:val="0"/>
        <w:rPr>
          <w:rFonts w:ascii="Arial" w:hAnsi="Arial" w:cs="Arial"/>
        </w:rPr>
      </w:pPr>
      <w:r>
        <w:rPr>
          <w:rFonts w:ascii="Arial" w:hAnsi="Arial" w:cs="Arial"/>
        </w:rPr>
        <w:t xml:space="preserve">     Besides nutrient absorption and utilization, the GI microbiota is important in development and homeostasis of the host’s gastrointestinal epithelium.  The gastrointestinal epithelium of germ-free mice have both morphological and physiological differences compared to conventional colonized mice.  The epithelial cell turnover is twice as fast in colonized animals compared to germ-free animals.</w:t>
      </w:r>
      <w:r>
        <w:rPr>
          <w:rFonts w:ascii="Arial" w:hAnsi="Arial" w:cs="Arial"/>
          <w:noProof/>
        </w:rPr>
        <w:t>[131]</w:t>
      </w:r>
      <w:r>
        <w:rPr>
          <w:rFonts w:ascii="Arial" w:hAnsi="Arial" w:cs="Arial"/>
        </w:rPr>
        <w:t xml:space="preserve">  Colonization increases expression of angiogenin-3, a protein with known angiogenic activity.</w:t>
      </w:r>
      <w:r>
        <w:rPr>
          <w:rFonts w:ascii="Arial" w:hAnsi="Arial" w:cs="Arial"/>
          <w:noProof/>
        </w:rPr>
        <w:t>[129]</w:t>
      </w:r>
      <w:r>
        <w:rPr>
          <w:rFonts w:ascii="Arial" w:hAnsi="Arial" w:cs="Arial"/>
        </w:rPr>
        <w:t xml:space="preserve">  Induction of an angiogenesis in the epithelium further enhances absorption and distribution of nutrients.  Differentiation of epithelial stem cell lineage to Paneth cells is not seen in germ-free mice.</w:t>
      </w:r>
      <w:r>
        <w:rPr>
          <w:rFonts w:ascii="Arial" w:hAnsi="Arial" w:cs="Arial"/>
          <w:noProof/>
        </w:rPr>
        <w:t>[132]</w:t>
      </w:r>
      <w:r>
        <w:rPr>
          <w:rFonts w:ascii="Arial" w:hAnsi="Arial" w:cs="Arial"/>
        </w:rPr>
        <w:t xml:space="preserve">  These cells are replaced by undifferentiated columnar cells.</w:t>
      </w:r>
      <w:r>
        <w:rPr>
          <w:rFonts w:ascii="Arial" w:hAnsi="Arial" w:cs="Arial"/>
          <w:noProof/>
        </w:rPr>
        <w:t>[132]</w:t>
      </w:r>
      <w:r>
        <w:rPr>
          <w:rFonts w:ascii="Arial" w:hAnsi="Arial" w:cs="Arial"/>
        </w:rPr>
        <w:t xml:space="preserve">  Paneth cells secrete antimicrobial proteins contributing to compartmentalization of intestinal bacteria.</w:t>
      </w:r>
    </w:p>
    <w:p w:rsidR="00330CF1" w:rsidRDefault="00330CF1" w:rsidP="003C5D98">
      <w:pPr>
        <w:autoSpaceDE w:val="0"/>
        <w:autoSpaceDN w:val="0"/>
        <w:adjustRightInd w:val="0"/>
        <w:rPr>
          <w:rFonts w:ascii="Arial" w:hAnsi="Arial" w:cs="Arial"/>
        </w:rPr>
      </w:pPr>
      <w:r>
        <w:rPr>
          <w:rFonts w:ascii="Arial" w:hAnsi="Arial" w:cs="Arial"/>
        </w:rPr>
        <w:t xml:space="preserve">     The gastrointestinal microbiota play a key role in development and maintenance of the mucosal immune response along with mechanical barrier formation.  Microbes stimulate mucus production.  The mucus layer is twice as thick in conventional colonized mice compared to germ-free mice.</w:t>
      </w:r>
      <w:r>
        <w:rPr>
          <w:rFonts w:ascii="Arial" w:hAnsi="Arial" w:cs="Arial"/>
          <w:noProof/>
        </w:rPr>
        <w:t>[133]</w:t>
      </w:r>
      <w:r>
        <w:rPr>
          <w:rFonts w:ascii="Arial" w:hAnsi="Arial" w:cs="Arial"/>
        </w:rPr>
        <w:t xml:space="preserve">  A 280-fold increase in small protein-rich protein-2 (sprr2a) is seen in colonized vs. germ-free mice.  Sprr2a is important in </w:t>
      </w:r>
      <w:r>
        <w:rPr>
          <w:rFonts w:ascii="Arial" w:hAnsi="Arial" w:cs="Arial"/>
        </w:rPr>
        <w:lastRenderedPageBreak/>
        <w:t>cross-linking proteins within desmosomes.</w:t>
      </w:r>
      <w:r>
        <w:rPr>
          <w:rFonts w:ascii="Arial" w:hAnsi="Arial" w:cs="Arial"/>
          <w:noProof/>
        </w:rPr>
        <w:t>[129]</w:t>
      </w:r>
      <w:r>
        <w:rPr>
          <w:rFonts w:ascii="Arial" w:hAnsi="Arial" w:cs="Arial"/>
        </w:rPr>
        <w:t xml:space="preserve">  In germ-free mice, Peyer’s patches are poorly formed and composition of CD4 T-cells and IgA-producing B cells in lamina propria are altered along with decreases in intraepithelial lymphocytes.</w:t>
      </w:r>
      <w:r>
        <w:rPr>
          <w:rFonts w:ascii="Arial" w:hAnsi="Arial" w:cs="Arial"/>
          <w:noProof/>
        </w:rPr>
        <w:t>[134]</w:t>
      </w:r>
      <w:r>
        <w:rPr>
          <w:rFonts w:ascii="Arial" w:hAnsi="Arial" w:cs="Arial"/>
        </w:rPr>
        <w:t xml:space="preserve">  Commensals induce increased gene expression of the polymeric immunoglobulin receptor</w:t>
      </w:r>
      <w:r>
        <w:rPr>
          <w:rFonts w:ascii="Arial" w:hAnsi="Arial" w:cs="Arial"/>
          <w:noProof/>
        </w:rPr>
        <w:t>[129]</w:t>
      </w:r>
      <w:r>
        <w:rPr>
          <w:rFonts w:ascii="Arial" w:hAnsi="Arial" w:cs="Arial"/>
        </w:rPr>
        <w:t xml:space="preserve">  The development of follicular T and B-cell areas of the spleen and peripheral lymph nodes are impaired in germ-free mice.</w:t>
      </w:r>
      <w:r>
        <w:rPr>
          <w:rFonts w:ascii="Arial" w:hAnsi="Arial" w:cs="Arial"/>
          <w:noProof/>
        </w:rPr>
        <w:t>[135]</w:t>
      </w:r>
      <w:r>
        <w:rPr>
          <w:rFonts w:ascii="Arial" w:hAnsi="Arial" w:cs="Arial"/>
        </w:rPr>
        <w:t xml:space="preserve">  The introduction of a single bacterial product, PSA (polysaccaride A) from a common commensal </w:t>
      </w:r>
      <w:r>
        <w:rPr>
          <w:rFonts w:ascii="Arial" w:hAnsi="Arial" w:cs="Arial"/>
          <w:i/>
        </w:rPr>
        <w:t>Bacteroides fragilis</w:t>
      </w:r>
      <w:r>
        <w:rPr>
          <w:rFonts w:ascii="Arial" w:hAnsi="Arial" w:cs="Arial"/>
        </w:rPr>
        <w:t xml:space="preserve"> was shown to correct these splenic and lymph node defects along with restoring CD4 T-cell levels and balance in cytokine production between Th1 cells and Th2 cells.</w:t>
      </w:r>
      <w:r>
        <w:rPr>
          <w:rFonts w:ascii="Arial" w:hAnsi="Arial" w:cs="Arial"/>
          <w:noProof/>
        </w:rPr>
        <w:t>[136]</w:t>
      </w:r>
      <w:r>
        <w:rPr>
          <w:rFonts w:ascii="Arial" w:hAnsi="Arial" w:cs="Arial"/>
        </w:rPr>
        <w:t xml:space="preserve">  Distinct from the stimulatory effect on the immune system, commensals compete for the same nutrients and attachment sites as pathogenic bacteria providing “colonization resistance.”</w:t>
      </w:r>
      <w:r>
        <w:rPr>
          <w:rFonts w:ascii="Arial" w:hAnsi="Arial" w:cs="Arial"/>
          <w:noProof/>
        </w:rPr>
        <w:t>[137]</w:t>
      </w:r>
    </w:p>
    <w:p w:rsidR="00330CF1" w:rsidRDefault="00330CF1" w:rsidP="003C5D98">
      <w:pPr>
        <w:autoSpaceDE w:val="0"/>
        <w:autoSpaceDN w:val="0"/>
        <w:adjustRightInd w:val="0"/>
        <w:rPr>
          <w:rFonts w:ascii="Arial" w:hAnsi="Arial" w:cs="Arial"/>
        </w:rPr>
      </w:pPr>
      <w:r>
        <w:rPr>
          <w:rFonts w:ascii="Arial" w:hAnsi="Arial" w:cs="Arial"/>
        </w:rPr>
        <w:t xml:space="preserve">     Microflora also influence host gut motility.  Colonization leads to a 2-5 fold increase in gene expression of the L-glutamate transporter, glutamate decarboxylase, which converts glutamate to gamma-aminobutyric acid, and vesicle-associated protein, a binding protein involved in neurotransmitter release.</w:t>
      </w:r>
      <w:r>
        <w:rPr>
          <w:rFonts w:ascii="Arial" w:hAnsi="Arial" w:cs="Arial"/>
          <w:noProof/>
        </w:rPr>
        <w:t>[129]</w:t>
      </w:r>
      <w:r>
        <w:rPr>
          <w:rFonts w:ascii="Arial" w:hAnsi="Arial" w:cs="Arial"/>
        </w:rPr>
        <w:t xml:space="preserve">  Glutamate is an excitatory neurotransmitter within the enteric nervous system.</w:t>
      </w:r>
    </w:p>
    <w:p w:rsidR="00330CF1" w:rsidRPr="00D10436" w:rsidRDefault="00330CF1" w:rsidP="00D10436"/>
    <w:p w:rsidR="00330CF1" w:rsidRPr="00333F08" w:rsidRDefault="00330CF1" w:rsidP="000578A6">
      <w:pPr>
        <w:pStyle w:val="Heading2"/>
      </w:pPr>
      <w:bookmarkStart w:id="16" w:name="_Toc305485843"/>
      <w:r>
        <w:t>Oxidative R</w:t>
      </w:r>
      <w:r w:rsidRPr="00333F08">
        <w:t>adicals and Measurement of Oxidative Stress</w:t>
      </w:r>
      <w:bookmarkEnd w:id="16"/>
    </w:p>
    <w:p w:rsidR="00330CF1" w:rsidRDefault="00330CF1" w:rsidP="003C5D98">
      <w:pPr>
        <w:autoSpaceDE w:val="0"/>
        <w:autoSpaceDN w:val="0"/>
        <w:adjustRightInd w:val="0"/>
        <w:rPr>
          <w:rFonts w:ascii="Arial" w:hAnsi="Arial" w:cs="Arial"/>
        </w:rPr>
      </w:pPr>
    </w:p>
    <w:p w:rsidR="00330CF1" w:rsidRDefault="00330CF1" w:rsidP="003C5D98">
      <w:pPr>
        <w:autoSpaceDE w:val="0"/>
        <w:autoSpaceDN w:val="0"/>
        <w:adjustRightInd w:val="0"/>
        <w:rPr>
          <w:rFonts w:ascii="Arial" w:hAnsi="Arial" w:cs="Arial"/>
        </w:rPr>
      </w:pPr>
      <w:r>
        <w:rPr>
          <w:rFonts w:ascii="Arial" w:hAnsi="Arial" w:cs="Arial"/>
        </w:rPr>
        <w:t xml:space="preserve">     Generation of reactive oxygen species (ROS) and reactive nitrogen species (RNS) is both beneficial and detrimental to the host.  Overproduction of ROS </w:t>
      </w:r>
      <w:r w:rsidRPr="00127942">
        <w:rPr>
          <w:rFonts w:ascii="Arial" w:hAnsi="Arial" w:cs="Arial"/>
        </w:rPr>
        <w:t xml:space="preserve">results </w:t>
      </w:r>
      <w:r>
        <w:rPr>
          <w:rFonts w:ascii="Arial" w:hAnsi="Arial" w:cs="Arial"/>
        </w:rPr>
        <w:t>in negative effects due to damage to cell structures including proteins, DNA, lipids and membranes.</w:t>
      </w:r>
      <w:r>
        <w:rPr>
          <w:rFonts w:ascii="Arial" w:hAnsi="Arial" w:cs="Arial"/>
          <w:noProof/>
        </w:rPr>
        <w:t>[138]</w:t>
      </w:r>
      <w:r>
        <w:rPr>
          <w:rFonts w:ascii="Arial" w:hAnsi="Arial" w:cs="Arial"/>
        </w:rPr>
        <w:t xml:space="preserve">  In contrast, beneficial effects of ROS/RNS include defense against infectious agents.  ROS/RNS also function in cell signaling pathways and mitogenesis.</w:t>
      </w:r>
      <w:r>
        <w:rPr>
          <w:rFonts w:ascii="Arial" w:hAnsi="Arial" w:cs="Arial"/>
          <w:noProof/>
        </w:rPr>
        <w:t>[138]</w:t>
      </w:r>
      <w:r>
        <w:rPr>
          <w:rFonts w:ascii="Arial" w:hAnsi="Arial" w:cs="Arial"/>
        </w:rPr>
        <w:t xml:space="preserve">  </w:t>
      </w:r>
    </w:p>
    <w:p w:rsidR="00330CF1" w:rsidRPr="00451BA7" w:rsidRDefault="00330CF1" w:rsidP="003C5D98">
      <w:pPr>
        <w:autoSpaceDE w:val="0"/>
        <w:autoSpaceDN w:val="0"/>
        <w:adjustRightInd w:val="0"/>
        <w:rPr>
          <w:rFonts w:ascii="Arial" w:hAnsi="Arial" w:cs="Arial"/>
        </w:rPr>
      </w:pPr>
      <w:r>
        <w:rPr>
          <w:rFonts w:ascii="Arial" w:hAnsi="Arial" w:cs="Arial"/>
        </w:rPr>
        <w:t xml:space="preserve">     ROS/RNS are products of normal cellular metabolism with their production occurring mainly in the mitochondria.  In the process of movement of electrons within the electron transport chain within the inner mitochondrial membrane, small amounts of electrons can “leak” out prematurely forming superoxide radicals when combined with oxygen.</w:t>
      </w:r>
      <w:r>
        <w:rPr>
          <w:rFonts w:ascii="Arial" w:hAnsi="Arial" w:cs="Arial"/>
          <w:noProof/>
        </w:rPr>
        <w:t>[138]</w:t>
      </w:r>
      <w:r>
        <w:rPr>
          <w:rFonts w:ascii="Arial" w:hAnsi="Arial" w:cs="Arial"/>
        </w:rPr>
        <w:t xml:space="preserve">  Approximately 1-3% of all electrons in the electron transport chain leak out prematurely to generate superoxide instead of reducing oxygen to water and producing ATP.</w:t>
      </w:r>
      <w:r>
        <w:rPr>
          <w:rFonts w:ascii="Arial" w:hAnsi="Arial" w:cs="Arial"/>
          <w:noProof/>
        </w:rPr>
        <w:t>[138]</w:t>
      </w:r>
      <w:r>
        <w:rPr>
          <w:rFonts w:ascii="Arial" w:hAnsi="Arial" w:cs="Arial"/>
        </w:rPr>
        <w:t xml:space="preserve">  A free radical is defined as any molecule with one or more unpaired electrons in their outer shell.</w:t>
      </w:r>
      <w:r>
        <w:rPr>
          <w:rFonts w:ascii="Arial" w:hAnsi="Arial" w:cs="Arial"/>
          <w:noProof/>
        </w:rPr>
        <w:t>[138]</w:t>
      </w:r>
      <w:r>
        <w:rPr>
          <w:rFonts w:ascii="Arial" w:hAnsi="Arial" w:cs="Arial"/>
        </w:rPr>
        <w:t xml:space="preserve">  The unpaired electron(s) result in these molecules having high reactivity.  Radicals formed from oxygen include superoxide radical, hydroxyl radical, hydrogen peroxide, peroxynitrite, and lipid peroxides.  Superoxide is considered the primary ROS and can interact with other molecules to produce secondary ROS.</w:t>
      </w:r>
      <w:r>
        <w:rPr>
          <w:rFonts w:ascii="Arial" w:hAnsi="Arial" w:cs="Arial"/>
          <w:noProof/>
        </w:rPr>
        <w:t>[138]</w:t>
      </w:r>
      <w:r>
        <w:rPr>
          <w:rFonts w:ascii="Arial" w:hAnsi="Arial" w:cs="Arial"/>
        </w:rPr>
        <w:t xml:space="preserve">  Figure 1.2 diagrams the sources of free radicals generated by cells and key metabolic pathways.</w:t>
      </w:r>
    </w:p>
    <w:p w:rsidR="00330CF1" w:rsidRDefault="00330CF1" w:rsidP="00D32314">
      <w:pPr>
        <w:autoSpaceDE w:val="0"/>
        <w:autoSpaceDN w:val="0"/>
        <w:adjustRightInd w:val="0"/>
        <w:rPr>
          <w:rFonts w:ascii="Arial" w:hAnsi="Arial" w:cs="Arial"/>
        </w:rPr>
      </w:pPr>
      <w:r>
        <w:rPr>
          <w:rFonts w:ascii="Arial" w:hAnsi="Arial" w:cs="Arial"/>
        </w:rPr>
        <w:t xml:space="preserve">     Granulocytes, including neutrophils and eosinophils, generate large amounts of reactive radicals in response to inflammation.  Local inflammatory signals recruit granulocytes to leave the circulation, marginate along the endothelium and move into the tissue at the site of infection or trauma.</w:t>
      </w:r>
      <w:r>
        <w:rPr>
          <w:rFonts w:ascii="Arial" w:hAnsi="Arial" w:cs="Arial"/>
          <w:noProof/>
        </w:rPr>
        <w:t>[139]</w:t>
      </w:r>
      <w:r>
        <w:rPr>
          <w:rFonts w:ascii="Arial" w:hAnsi="Arial" w:cs="Arial"/>
        </w:rPr>
        <w:t xml:space="preserve">  Phagocytosis </w:t>
      </w:r>
      <w:r w:rsidRPr="009B19CF">
        <w:rPr>
          <w:rFonts w:ascii="Arial" w:hAnsi="Arial" w:cs="Arial"/>
        </w:rPr>
        <w:t>involves</w:t>
      </w:r>
      <w:r>
        <w:rPr>
          <w:rFonts w:ascii="Arial" w:hAnsi="Arial" w:cs="Arial"/>
        </w:rPr>
        <w:t xml:space="preserve"> surface attachment of the neutrophil to the foreign particle, engulfment and formation of a </w:t>
      </w:r>
      <w:r>
        <w:rPr>
          <w:rFonts w:ascii="Arial" w:hAnsi="Arial" w:cs="Arial"/>
        </w:rPr>
        <w:lastRenderedPageBreak/>
        <w:t>phagocytic vesicle or phagosome.</w:t>
      </w:r>
      <w:r>
        <w:rPr>
          <w:rFonts w:ascii="Arial" w:hAnsi="Arial" w:cs="Arial"/>
          <w:noProof/>
        </w:rPr>
        <w:t>[139]</w:t>
      </w:r>
      <w:r>
        <w:rPr>
          <w:rFonts w:ascii="Arial" w:hAnsi="Arial" w:cs="Arial"/>
        </w:rPr>
        <w:t xml:space="preserve">  Once within the phagosome, 2 killing systems can be implemented, oxygen-dependent and/or oxygen independent. </w:t>
      </w:r>
    </w:p>
    <w:p w:rsidR="00330CF1" w:rsidRDefault="00330CF1" w:rsidP="00D32314">
      <w:pPr>
        <w:autoSpaceDE w:val="0"/>
        <w:autoSpaceDN w:val="0"/>
        <w:adjustRightInd w:val="0"/>
        <w:rPr>
          <w:rFonts w:ascii="Arial" w:hAnsi="Arial" w:cs="Arial"/>
        </w:rPr>
      </w:pPr>
      <w:r>
        <w:rPr>
          <w:rFonts w:ascii="Arial" w:hAnsi="Arial" w:cs="Arial"/>
        </w:rPr>
        <w:t xml:space="preserve">     Respiratory burst is the term used to describe the oxygen-dependent system for generation and release of ROS/RNS within the phagosome.  Figure 1.3 illustrates the reactions and products generated during phagocytosis within the cell.  During phagocytosis, granulocytes have a burst of metabolic activity with a 2-3 fold increase in oxygen consumption and increased generation of superoxide radical, hydroxyl radical and hydrogen peroxide generated from NADPH oxidase.</w:t>
      </w:r>
      <w:r>
        <w:rPr>
          <w:rFonts w:ascii="Arial" w:hAnsi="Arial" w:cs="Arial"/>
          <w:noProof/>
        </w:rPr>
        <w:t>[139]</w:t>
      </w:r>
      <w:r>
        <w:rPr>
          <w:rFonts w:ascii="Arial" w:hAnsi="Arial" w:cs="Arial"/>
        </w:rPr>
        <w:t xml:space="preserve">  The hexose monophosphate shunt is the source of both protons and electrons for NADPH oxidase.</w:t>
      </w:r>
      <w:r>
        <w:rPr>
          <w:rFonts w:ascii="Arial" w:hAnsi="Arial" w:cs="Arial"/>
          <w:noProof/>
        </w:rPr>
        <w:t>[140]</w:t>
      </w:r>
      <w:r>
        <w:rPr>
          <w:rFonts w:ascii="Arial" w:hAnsi="Arial" w:cs="Arial"/>
        </w:rPr>
        <w:t xml:space="preserve">  The superoxide radical is generated within the phagosome membrane.  Superoxide can either generate hydrogen peroxide with production of hypochlorous acid via myeloperoxidase or form peroxynitrite using nitric oxide.  Peroxynitrite can subsequently degrade to yield additional hydroxyl radicals.</w:t>
      </w:r>
      <w:r>
        <w:rPr>
          <w:rFonts w:ascii="Arial" w:hAnsi="Arial" w:cs="Arial"/>
          <w:noProof/>
        </w:rPr>
        <w:t>[141]</w:t>
      </w:r>
      <w:r>
        <w:rPr>
          <w:rFonts w:ascii="Arial" w:hAnsi="Arial" w:cs="Arial"/>
        </w:rPr>
        <w:t xml:space="preserve">  If free iron or copper is available, hydroxyl radicals can also be formed from the Fenton reaction.  Hypochlorous acid kills via halogenations and deamination and decarboxylation of microbial proteins and nucleic acids.  Hydroxyl radicals kill via peroxidation damage of membranes and nucleic acids.</w:t>
      </w:r>
      <w:r>
        <w:rPr>
          <w:rFonts w:ascii="Arial" w:hAnsi="Arial" w:cs="Arial"/>
          <w:noProof/>
        </w:rPr>
        <w:t>[139]</w:t>
      </w:r>
      <w:r>
        <w:rPr>
          <w:rFonts w:ascii="Arial" w:hAnsi="Arial" w:cs="Arial"/>
        </w:rPr>
        <w:t xml:space="preserve">.  Excess production of these radicals, particularly hypochlorous acid, can lead to local tissue damage.  Granulocytes and macrophages protect themselves </w:t>
      </w:r>
    </w:p>
    <w:p w:rsidR="00330CF1" w:rsidRDefault="00330CF1" w:rsidP="00C514C0">
      <w:pPr>
        <w:autoSpaceDE w:val="0"/>
        <w:autoSpaceDN w:val="0"/>
        <w:adjustRightInd w:val="0"/>
        <w:rPr>
          <w:rFonts w:ascii="Arial" w:hAnsi="Arial" w:cs="Arial"/>
          <w:b/>
        </w:rPr>
      </w:pPr>
    </w:p>
    <w:p w:rsidR="00330CF1" w:rsidRDefault="00330CF1" w:rsidP="00C514C0">
      <w:pPr>
        <w:autoSpaceDE w:val="0"/>
        <w:autoSpaceDN w:val="0"/>
        <w:adjustRightInd w:val="0"/>
        <w:rPr>
          <w:rFonts w:ascii="Arial" w:hAnsi="Arial" w:cs="Arial"/>
          <w:b/>
        </w:rPr>
      </w:pPr>
    </w:p>
    <w:p w:rsidR="00330CF1" w:rsidRDefault="00330CF1" w:rsidP="00C514C0">
      <w:pPr>
        <w:autoSpaceDE w:val="0"/>
        <w:autoSpaceDN w:val="0"/>
        <w:adjustRightInd w:val="0"/>
        <w:rPr>
          <w:rFonts w:ascii="Arial" w:hAnsi="Arial" w:cs="Arial"/>
          <w:b/>
        </w:rPr>
      </w:pPr>
    </w:p>
    <w:p w:rsidR="00330CF1" w:rsidRDefault="00330CF1" w:rsidP="00D32314">
      <w:pPr>
        <w:autoSpaceDE w:val="0"/>
        <w:autoSpaceDN w:val="0"/>
        <w:adjustRightInd w:val="0"/>
        <w:jc w:val="center"/>
        <w:rPr>
          <w:rFonts w:ascii="Arial" w:hAnsi="Arial" w:cs="Arial"/>
          <w:b/>
        </w:rPr>
      </w:pPr>
      <w:r>
        <w:rPr>
          <w:noProof/>
        </w:rPr>
        <w:drawing>
          <wp:inline distT="0" distB="0" distL="0" distR="0" wp14:anchorId="36B87F95" wp14:editId="5F03522A">
            <wp:extent cx="5486400" cy="2664655"/>
            <wp:effectExtent l="0" t="0" r="0" b="254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2664655"/>
                    </a:xfrm>
                    <a:prstGeom prst="rect">
                      <a:avLst/>
                    </a:prstGeom>
                    <a:noFill/>
                    <a:ln>
                      <a:noFill/>
                    </a:ln>
                    <a:effectLst/>
                    <a:extLst/>
                  </pic:spPr>
                </pic:pic>
              </a:graphicData>
            </a:graphic>
          </wp:inline>
        </w:drawing>
      </w:r>
    </w:p>
    <w:p w:rsidR="00330CF1" w:rsidRDefault="00330CF1" w:rsidP="007E57EF">
      <w:pPr>
        <w:autoSpaceDE w:val="0"/>
        <w:autoSpaceDN w:val="0"/>
        <w:adjustRightInd w:val="0"/>
        <w:rPr>
          <w:rFonts w:ascii="Arial" w:hAnsi="Arial" w:cs="Arial"/>
          <w:b/>
        </w:rPr>
      </w:pPr>
    </w:p>
    <w:p w:rsidR="00330CF1" w:rsidRPr="007E57EF" w:rsidRDefault="00330CF1" w:rsidP="00D17B2A">
      <w:pPr>
        <w:rPr>
          <w:rFonts w:ascii="Arial" w:hAnsi="Arial" w:cs="Arial"/>
        </w:rPr>
      </w:pPr>
      <w:r w:rsidRPr="007B5CF2">
        <w:rPr>
          <w:rFonts w:ascii="Arial" w:eastAsiaTheme="minorEastAsia" w:hAnsi="Arial" w:cs="Arial"/>
          <w:b/>
        </w:rPr>
        <w:t>Figure 1.2</w:t>
      </w:r>
      <w:r w:rsidRPr="007B5CF2">
        <w:rPr>
          <w:rFonts w:ascii="Arial" w:eastAsiaTheme="minorEastAsia" w:hAnsi="Arial" w:cs="Arial"/>
          <w:sz w:val="28"/>
          <w:szCs w:val="28"/>
        </w:rPr>
        <w:t xml:space="preserve"> </w:t>
      </w:r>
      <w:r w:rsidRPr="007B5CF2">
        <w:rPr>
          <w:rFonts w:ascii="Arial" w:eastAsiaTheme="minorEastAsia" w:hAnsi="Arial" w:cs="Arial"/>
        </w:rPr>
        <w:t xml:space="preserve">Sources of free radical generation endogenously produced by cells and key metabolic pathways.  Multiple enzymes may induce free racial generation in various cells, including NADH/NADPH oxidase, xanthine oxidase, lipoxygenase, </w:t>
      </w:r>
      <w:r w:rsidRPr="007E57EF">
        <w:rPr>
          <w:rFonts w:ascii="Arial" w:eastAsiaTheme="minorEastAsia" w:hAnsi="Arial" w:cs="Arial"/>
        </w:rPr>
        <w:t xml:space="preserve">cyclooxygenase, P450 mono-oxygenase, and the enzymes of mitochondrial oxidative phosphorylation.  Superoxide radical = O2•-  , Hydrogen peroxide = H2O2,  Hydroxyl radical = •OH,  Peroxynitrite = ONN-  , SOD= Superoxide dismutase, NO = nitric oxide. </w:t>
      </w:r>
    </w:p>
    <w:p w:rsidR="00330CF1" w:rsidRPr="007B5CF2" w:rsidRDefault="00330CF1" w:rsidP="00D17B2A">
      <w:pPr>
        <w:rPr>
          <w:rFonts w:ascii="Arial" w:hAnsi="Arial" w:cs="Arial"/>
        </w:rPr>
      </w:pPr>
      <w:r w:rsidRPr="007B5CF2">
        <w:rPr>
          <w:rFonts w:ascii="Arial" w:eastAsiaTheme="minorEastAsia" w:hAnsi="Arial" w:cs="Arial"/>
          <w:b/>
          <w:bCs/>
          <w:i/>
          <w:iCs/>
        </w:rPr>
        <w:t xml:space="preserve">Source: </w:t>
      </w:r>
      <w:r w:rsidRPr="007B5CF2">
        <w:rPr>
          <w:rFonts w:ascii="Arial" w:eastAsiaTheme="minorEastAsia" w:hAnsi="Arial" w:cs="Arial"/>
        </w:rPr>
        <w:t xml:space="preserve">Reprinted by permission from </w:t>
      </w:r>
      <w:r w:rsidRPr="007B5CF2">
        <w:rPr>
          <w:rFonts w:ascii="Arial" w:eastAsiaTheme="minorEastAsia" w:hAnsi="Arial" w:cs="Arial"/>
          <w:i/>
          <w:iCs/>
        </w:rPr>
        <w:t xml:space="preserve">Veterinary Clinics of North America, Small Animal </w:t>
      </w:r>
      <w:r w:rsidRPr="007B5CF2">
        <w:rPr>
          <w:rFonts w:ascii="Arial" w:eastAsiaTheme="minorEastAsia" w:hAnsi="Arial" w:cs="Arial"/>
        </w:rPr>
        <w:t>2008; 38: p. 3.</w:t>
      </w:r>
    </w:p>
    <w:p w:rsidR="00330CF1" w:rsidRPr="00261260" w:rsidRDefault="00330CF1" w:rsidP="00D32314">
      <w:pPr>
        <w:autoSpaceDE w:val="0"/>
        <w:autoSpaceDN w:val="0"/>
        <w:adjustRightInd w:val="0"/>
        <w:jc w:val="center"/>
        <w:rPr>
          <w:rFonts w:ascii="Arial" w:hAnsi="Arial" w:cs="Arial"/>
          <w:b/>
        </w:rPr>
      </w:pPr>
    </w:p>
    <w:p w:rsidR="00330CF1" w:rsidRDefault="00330CF1" w:rsidP="00D32314">
      <w:pPr>
        <w:autoSpaceDE w:val="0"/>
        <w:autoSpaceDN w:val="0"/>
        <w:adjustRightInd w:val="0"/>
        <w:jc w:val="center"/>
        <w:rPr>
          <w:rFonts w:ascii="Arial" w:hAnsi="Arial" w:cs="Arial"/>
          <w:b/>
        </w:rPr>
      </w:pPr>
    </w:p>
    <w:p w:rsidR="00330CF1" w:rsidRDefault="00330CF1" w:rsidP="00D32314">
      <w:pPr>
        <w:autoSpaceDE w:val="0"/>
        <w:autoSpaceDN w:val="0"/>
        <w:adjustRightInd w:val="0"/>
        <w:jc w:val="center"/>
        <w:rPr>
          <w:rFonts w:ascii="Arial" w:hAnsi="Arial" w:cs="Arial"/>
          <w:b/>
        </w:rPr>
      </w:pPr>
      <w:r>
        <w:rPr>
          <w:noProof/>
        </w:rPr>
        <w:drawing>
          <wp:inline distT="0" distB="0" distL="0" distR="0" wp14:anchorId="1D7409B3" wp14:editId="07A4D5D9">
            <wp:extent cx="5486400" cy="4553589"/>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4553589"/>
                    </a:xfrm>
                    <a:prstGeom prst="rect">
                      <a:avLst/>
                    </a:prstGeom>
                    <a:noFill/>
                    <a:ln>
                      <a:noFill/>
                    </a:ln>
                    <a:effectLst/>
                    <a:extLst/>
                  </pic:spPr>
                </pic:pic>
              </a:graphicData>
            </a:graphic>
          </wp:inline>
        </w:drawing>
      </w:r>
    </w:p>
    <w:p w:rsidR="00330CF1" w:rsidRDefault="00330CF1" w:rsidP="00D32314">
      <w:pPr>
        <w:autoSpaceDE w:val="0"/>
        <w:autoSpaceDN w:val="0"/>
        <w:adjustRightInd w:val="0"/>
        <w:jc w:val="center"/>
        <w:rPr>
          <w:rFonts w:ascii="Arial" w:hAnsi="Arial" w:cs="Arial"/>
          <w:b/>
        </w:rPr>
      </w:pPr>
    </w:p>
    <w:p w:rsidR="00330CF1" w:rsidRDefault="00330CF1" w:rsidP="00D32314">
      <w:pPr>
        <w:autoSpaceDE w:val="0"/>
        <w:autoSpaceDN w:val="0"/>
        <w:adjustRightInd w:val="0"/>
        <w:jc w:val="center"/>
        <w:rPr>
          <w:rFonts w:ascii="Arial" w:hAnsi="Arial" w:cs="Arial"/>
          <w:b/>
        </w:rPr>
      </w:pPr>
    </w:p>
    <w:p w:rsidR="00330CF1" w:rsidRDefault="00330CF1" w:rsidP="00D32314">
      <w:pPr>
        <w:autoSpaceDE w:val="0"/>
        <w:autoSpaceDN w:val="0"/>
        <w:adjustRightInd w:val="0"/>
        <w:jc w:val="center"/>
        <w:rPr>
          <w:rFonts w:ascii="Arial" w:hAnsi="Arial" w:cs="Arial"/>
          <w:b/>
        </w:rPr>
      </w:pPr>
    </w:p>
    <w:p w:rsidR="00330CF1" w:rsidRPr="00261260" w:rsidRDefault="00330CF1" w:rsidP="00FA4C3D">
      <w:pPr>
        <w:pStyle w:val="NormalWeb"/>
        <w:spacing w:before="0" w:beforeAutospacing="0" w:after="0" w:afterAutospacing="0"/>
      </w:pPr>
      <w:r w:rsidRPr="00261260">
        <w:rPr>
          <w:rFonts w:ascii="Arial" w:eastAsiaTheme="minorEastAsia" w:hAnsi="Arial" w:cs="Arial"/>
          <w:b/>
          <w:color w:val="000000" w:themeColor="text1"/>
          <w:kern w:val="24"/>
        </w:rPr>
        <w:t>Figure 1.3</w:t>
      </w:r>
      <w:r w:rsidRPr="00261260">
        <w:rPr>
          <w:rFonts w:ascii="Arial" w:eastAsiaTheme="minorEastAsia" w:hAnsi="Arial" w:cs="Arial"/>
          <w:color w:val="000000" w:themeColor="text1"/>
          <w:kern w:val="24"/>
        </w:rPr>
        <w:t xml:space="preserve"> Oxygen-dependent killing mechanisms and the enzymatic antioxidant defense. GSH, reduced glutathione; GSH-Px, glutathione peroxidase; GSH-Red, glutathione reductase; GSSG, glutathione disulfide; HMPS, hexose monophosphate shunt; MPO, myeloperoxidase; SOD, superoxide dismutase.  </w:t>
      </w:r>
    </w:p>
    <w:p w:rsidR="00330CF1" w:rsidRPr="00261260" w:rsidRDefault="00330CF1" w:rsidP="00FA4C3D">
      <w:pPr>
        <w:pStyle w:val="NormalWeb"/>
        <w:spacing w:before="0" w:beforeAutospacing="0" w:after="0" w:afterAutospacing="0"/>
      </w:pPr>
      <w:r w:rsidRPr="000E7CCC">
        <w:rPr>
          <w:rFonts w:ascii="Arial" w:eastAsiaTheme="minorEastAsia" w:hAnsi="Arial" w:cs="Arial"/>
          <w:b/>
          <w:bCs/>
          <w:i/>
          <w:iCs/>
          <w:color w:val="000000" w:themeColor="text1"/>
          <w:kern w:val="24"/>
        </w:rPr>
        <w:t>Source</w:t>
      </w:r>
      <w:r w:rsidRPr="00261260">
        <w:rPr>
          <w:rFonts w:ascii="Arial" w:eastAsiaTheme="minorEastAsia" w:hAnsi="Arial" w:cs="Arial"/>
          <w:b/>
          <w:bCs/>
          <w:i/>
          <w:iCs/>
          <w:color w:val="000000" w:themeColor="text1"/>
          <w:kern w:val="24"/>
        </w:rPr>
        <w:t xml:space="preserve">: </w:t>
      </w:r>
      <w:r w:rsidRPr="00261260">
        <w:rPr>
          <w:rFonts w:ascii="Arial" w:eastAsiaTheme="minorEastAsia" w:hAnsi="Arial" w:cs="Arial"/>
          <w:color w:val="000000" w:themeColor="text1"/>
          <w:kern w:val="24"/>
        </w:rPr>
        <w:t xml:space="preserve">Reprinted by permission from </w:t>
      </w:r>
      <w:r w:rsidRPr="00261260">
        <w:rPr>
          <w:rFonts w:ascii="Arial" w:eastAsiaTheme="minorEastAsia" w:hAnsi="Arial" w:cs="Arial"/>
          <w:i/>
          <w:iCs/>
          <w:color w:val="000000" w:themeColor="text1"/>
          <w:kern w:val="24"/>
        </w:rPr>
        <w:t xml:space="preserve">Veterinary Clinics of America, Small Animal  </w:t>
      </w:r>
      <w:r w:rsidRPr="00261260">
        <w:rPr>
          <w:rFonts w:ascii="Arial" w:eastAsiaTheme="minorEastAsia" w:hAnsi="Arial" w:cs="Arial"/>
          <w:color w:val="000000" w:themeColor="text1"/>
          <w:kern w:val="24"/>
        </w:rPr>
        <w:t xml:space="preserve">2008; 38: p. 50.  </w:t>
      </w:r>
    </w:p>
    <w:p w:rsidR="00330CF1" w:rsidRDefault="00330CF1" w:rsidP="00FA4C3D">
      <w:pPr>
        <w:autoSpaceDE w:val="0"/>
        <w:autoSpaceDN w:val="0"/>
        <w:adjustRightInd w:val="0"/>
        <w:rPr>
          <w:rFonts w:ascii="Arial" w:hAnsi="Arial" w:cs="Arial"/>
          <w:b/>
        </w:rPr>
      </w:pPr>
    </w:p>
    <w:p w:rsidR="00330CF1" w:rsidRDefault="00330CF1" w:rsidP="00FA4C3D">
      <w:pPr>
        <w:autoSpaceDE w:val="0"/>
        <w:autoSpaceDN w:val="0"/>
        <w:adjustRightInd w:val="0"/>
        <w:rPr>
          <w:rFonts w:ascii="Arial" w:hAnsi="Arial" w:cs="Arial"/>
          <w:b/>
        </w:rPr>
      </w:pPr>
    </w:p>
    <w:p w:rsidR="00330CF1" w:rsidRDefault="00330CF1" w:rsidP="00720344">
      <w:pPr>
        <w:autoSpaceDE w:val="0"/>
        <w:autoSpaceDN w:val="0"/>
        <w:adjustRightInd w:val="0"/>
        <w:rPr>
          <w:rFonts w:ascii="Arial" w:hAnsi="Arial" w:cs="Arial"/>
        </w:rPr>
      </w:pPr>
      <w:r>
        <w:rPr>
          <w:rFonts w:ascii="Arial" w:hAnsi="Arial" w:cs="Arial"/>
        </w:rPr>
        <w:t>from oxidant damage using the endogenous enzymes superoxide dismutase and catalase, and endogenous glutathione.</w:t>
      </w:r>
    </w:p>
    <w:p w:rsidR="00330CF1" w:rsidRDefault="00330CF1" w:rsidP="00FA4C3D">
      <w:pPr>
        <w:autoSpaceDE w:val="0"/>
        <w:autoSpaceDN w:val="0"/>
        <w:adjustRightInd w:val="0"/>
        <w:rPr>
          <w:rFonts w:ascii="Arial" w:hAnsi="Arial" w:cs="Arial"/>
        </w:rPr>
      </w:pPr>
      <w:r>
        <w:rPr>
          <w:rFonts w:ascii="Arial" w:hAnsi="Arial" w:cs="Arial"/>
          <w:b/>
        </w:rPr>
        <w:t xml:space="preserve">     </w:t>
      </w:r>
      <w:r w:rsidRPr="001D0ADA">
        <w:rPr>
          <w:rFonts w:ascii="Arial" w:hAnsi="Arial" w:cs="Arial"/>
        </w:rPr>
        <w:t>Polyunsaturated fatty acids (PUFA) are particularly vulnerable to extraction of electrons from reactive radicals forming a carbon-centered lipid radical (L•).  The initial products of PUFA oxidation are peroxyl radicals.</w:t>
      </w:r>
      <w:r>
        <w:rPr>
          <w:rFonts w:ascii="Arial" w:hAnsi="Arial" w:cs="Arial"/>
          <w:noProof/>
        </w:rPr>
        <w:t>[142]</w:t>
      </w:r>
      <w:r w:rsidRPr="001D0ADA">
        <w:rPr>
          <w:rFonts w:ascii="Arial" w:hAnsi="Arial" w:cs="Arial"/>
        </w:rPr>
        <w:t xml:space="preserve">  Figure </w:t>
      </w:r>
      <w:r>
        <w:rPr>
          <w:rFonts w:ascii="Arial" w:hAnsi="Arial" w:cs="Arial"/>
        </w:rPr>
        <w:t>1.</w:t>
      </w:r>
      <w:r w:rsidRPr="001D0ADA">
        <w:rPr>
          <w:rFonts w:ascii="Arial" w:hAnsi="Arial" w:cs="Arial"/>
        </w:rPr>
        <w:t>4 diagrams the pathways of ROS formation, lipid peroxidation and antioxidants.</w:t>
      </w:r>
      <w:r>
        <w:rPr>
          <w:rFonts w:ascii="Arial" w:hAnsi="Arial" w:cs="Arial"/>
        </w:rPr>
        <w:t xml:space="preserve"> </w:t>
      </w:r>
      <w:r w:rsidRPr="001D0ADA">
        <w:rPr>
          <w:rFonts w:ascii="Arial" w:hAnsi="Arial" w:cs="Arial"/>
        </w:rPr>
        <w:t xml:space="preserve"> The lipid radical can </w:t>
      </w:r>
      <w:r w:rsidRPr="001D0ADA">
        <w:rPr>
          <w:rFonts w:ascii="Arial" w:hAnsi="Arial" w:cs="Arial"/>
        </w:rPr>
        <w:lastRenderedPageBreak/>
        <w:t xml:space="preserve">further undergo reaction with oxygen to form a </w:t>
      </w:r>
      <w:r>
        <w:rPr>
          <w:rFonts w:ascii="Arial" w:hAnsi="Arial" w:cs="Arial"/>
        </w:rPr>
        <w:t xml:space="preserve">lipid peroxide radical (LOO•).  </w:t>
      </w:r>
      <w:r w:rsidRPr="001D0ADA">
        <w:rPr>
          <w:rFonts w:ascii="Arial" w:hAnsi="Arial" w:cs="Arial"/>
        </w:rPr>
        <w:t>L• or LOO•</w:t>
      </w:r>
      <w:r>
        <w:rPr>
          <w:rFonts w:ascii="Arial" w:hAnsi="Arial" w:cs="Arial"/>
        </w:rPr>
        <w:t xml:space="preserve"> </w:t>
      </w:r>
      <w:r w:rsidRPr="001D0ADA">
        <w:rPr>
          <w:rFonts w:ascii="Arial" w:hAnsi="Arial" w:cs="Arial"/>
        </w:rPr>
        <w:t>can either be reduced by Vitamin E or extract an electron from a neighboring</w:t>
      </w:r>
      <w:r>
        <w:rPr>
          <w:rFonts w:ascii="Arial" w:hAnsi="Arial" w:cs="Arial"/>
        </w:rPr>
        <w:t xml:space="preserve"> molecule propagating a chain reaction.  Up to 60 molecules of linoleic acid and 200 molecules of arachidonic acid within cell membranes can be damaged in this one initiation event.</w:t>
      </w:r>
      <w:r>
        <w:rPr>
          <w:rFonts w:ascii="Arial" w:hAnsi="Arial" w:cs="Arial"/>
          <w:noProof/>
        </w:rPr>
        <w:t>[142]</w:t>
      </w:r>
      <w:r>
        <w:rPr>
          <w:rFonts w:ascii="Arial" w:hAnsi="Arial" w:cs="Arial"/>
        </w:rPr>
        <w:t xml:space="preserve">  The major determinant of radical chain damage is the concentration of Vitamin E within the lipid membrane.  If the peroxyl radical is in an internal position within the FA chain, cyclization to an adjacent double bond can occur.</w:t>
      </w:r>
      <w:r>
        <w:rPr>
          <w:rFonts w:ascii="Arial" w:hAnsi="Arial" w:cs="Arial"/>
          <w:noProof/>
        </w:rPr>
        <w:t>[138]</w:t>
      </w:r>
      <w:r>
        <w:rPr>
          <w:rFonts w:ascii="Arial" w:hAnsi="Arial" w:cs="Arial"/>
        </w:rPr>
        <w:t xml:space="preserve">  This internal carbon-centered radical can undergo a second cyclization to form a bicyclic peroxide.  Bicyclic peroxides are the common intermediate for the production of isoprostanes and malondialdehyde.  Malondialdehyde, the most mutagenic product of lipid peroxidation, reacts with DNA bases forming DNA adducts.</w:t>
      </w:r>
      <w:r>
        <w:rPr>
          <w:rFonts w:ascii="Arial" w:hAnsi="Arial" w:cs="Arial"/>
          <w:noProof/>
        </w:rPr>
        <w:t>[138]</w:t>
      </w:r>
      <w:r>
        <w:rPr>
          <w:rFonts w:ascii="Arial" w:hAnsi="Arial" w:cs="Arial"/>
        </w:rPr>
        <w:t xml:space="preserve"> </w:t>
      </w:r>
    </w:p>
    <w:p w:rsidR="00330CF1" w:rsidRDefault="00330CF1" w:rsidP="006D01EA">
      <w:pPr>
        <w:autoSpaceDE w:val="0"/>
        <w:autoSpaceDN w:val="0"/>
        <w:adjustRightInd w:val="0"/>
        <w:rPr>
          <w:rFonts w:ascii="Arial" w:hAnsi="Arial" w:cs="Arial"/>
        </w:rPr>
      </w:pPr>
      <w:r>
        <w:rPr>
          <w:rFonts w:ascii="Arial" w:hAnsi="Arial" w:cs="Arial"/>
        </w:rPr>
        <w:t xml:space="preserve">     There are 3 approaches to examining levels of oxidative stress in biological systems.  These include measurement of levels of the reaction products such as malondialdehyde or DNA adducts, measurement of the free radicals themselves, or measurement of the levels of endogenous antioxidants.</w:t>
      </w:r>
      <w:r>
        <w:rPr>
          <w:rFonts w:ascii="Arial" w:hAnsi="Arial" w:cs="Arial"/>
          <w:noProof/>
        </w:rPr>
        <w:t>[143]</w:t>
      </w:r>
      <w:r>
        <w:rPr>
          <w:rFonts w:ascii="Arial" w:hAnsi="Arial" w:cs="Arial"/>
        </w:rPr>
        <w:t xml:space="preserve">  If the amount of endogenous antioxidants is low, an increased level of oxidative stress is present.</w:t>
      </w:r>
    </w:p>
    <w:p w:rsidR="00330CF1" w:rsidRDefault="00330CF1" w:rsidP="006D01EA">
      <w:pPr>
        <w:autoSpaceDE w:val="0"/>
        <w:autoSpaceDN w:val="0"/>
        <w:adjustRightInd w:val="0"/>
        <w:rPr>
          <w:rFonts w:ascii="Arial" w:hAnsi="Arial" w:cs="Arial"/>
        </w:rPr>
      </w:pPr>
      <w:r>
        <w:rPr>
          <w:rFonts w:ascii="Arial" w:hAnsi="Arial" w:cs="Arial"/>
        </w:rPr>
        <w:t xml:space="preserve">     Levels of the products of oxidant damage can be a reliable marker of oxidant injury.  Either lipid peroxidation products or oxidized bases in nucleic acids are the most common substrates quantified.  A sensitive technique for assaying DNA damage in single cells is the comet assay or Single Cell Gel Electrophoresis.  This procedure involves lysis with a detergent to disrupt cellular membranes, addition of a high molarity salt to disrupt the cytoplasm, nucleoplasm and nucleosomes, with resulting solubilization of the histones.  What is left within the cell is the nucleoid, which is a scaffold of DNA, RNA and proteins.</w:t>
      </w:r>
      <w:r>
        <w:rPr>
          <w:rFonts w:ascii="Arial" w:hAnsi="Arial" w:cs="Arial"/>
          <w:noProof/>
        </w:rPr>
        <w:t>[144]</w:t>
      </w:r>
      <w:r>
        <w:rPr>
          <w:rFonts w:ascii="Arial" w:hAnsi="Arial" w:cs="Arial"/>
        </w:rPr>
        <w:t xml:space="preserve">  Cell contents are then immobilized in an agarose gel for subsequent electrophoresis.  The mechanism underlying this assay is that undamaged DNA will retain a highly organized association with the matrix proteins.  DNA that is damaged will lose its compact structure and relax, expanding out into the agarose gel.  When the electrical field is applied, the undamaged DNA strands are too large and do not move from the central cavity.  The damaged DNA in smaller fragments is free to move within the electrical field creating a tail or “comet”.  As this method is a highly sensitive assay, anything that can cause DNA damage will affect its reproducibility requiring strict laboratory techniques.  Lymphocytes are readily available from blood but have limited survival </w:t>
      </w:r>
      <w:r w:rsidRPr="00897398">
        <w:rPr>
          <w:rFonts w:ascii="Arial" w:hAnsi="Arial" w:cs="Arial"/>
          <w:i/>
        </w:rPr>
        <w:t>in vitro</w:t>
      </w:r>
      <w:r>
        <w:rPr>
          <w:rFonts w:ascii="Arial" w:hAnsi="Arial" w:cs="Arial"/>
        </w:rPr>
        <w:t xml:space="preserve"> unless stimulated by mitogens. </w:t>
      </w:r>
      <w:r>
        <w:rPr>
          <w:rFonts w:ascii="Arial" w:hAnsi="Arial" w:cs="Arial"/>
          <w:noProof/>
        </w:rPr>
        <w:t>[145]</w:t>
      </w:r>
      <w:r>
        <w:rPr>
          <w:rFonts w:ascii="Arial" w:hAnsi="Arial" w:cs="Arial"/>
        </w:rPr>
        <w:t xml:space="preserve">  There are also large variations from individual to individual regarding their innate ability to repair DNA and to counteract the normal stresses it is exposed to.  </w:t>
      </w:r>
    </w:p>
    <w:p w:rsidR="00330CF1" w:rsidRDefault="00330CF1" w:rsidP="003C5D98">
      <w:pPr>
        <w:autoSpaceDE w:val="0"/>
        <w:autoSpaceDN w:val="0"/>
        <w:adjustRightInd w:val="0"/>
        <w:rPr>
          <w:rFonts w:ascii="Arial" w:hAnsi="Arial" w:cs="Arial"/>
        </w:rPr>
      </w:pPr>
    </w:p>
    <w:p w:rsidR="00330CF1" w:rsidRDefault="00330CF1" w:rsidP="003C5D98">
      <w:pPr>
        <w:autoSpaceDE w:val="0"/>
        <w:autoSpaceDN w:val="0"/>
        <w:adjustRightInd w:val="0"/>
        <w:rPr>
          <w:rFonts w:ascii="Arial" w:hAnsi="Arial" w:cs="Arial"/>
        </w:rPr>
      </w:pPr>
      <w:r>
        <w:rPr>
          <w:rFonts w:ascii="Arial" w:hAnsi="Arial" w:cs="Arial"/>
        </w:rPr>
        <w:t xml:space="preserve">    </w:t>
      </w:r>
    </w:p>
    <w:p w:rsidR="00330CF1" w:rsidRDefault="00330CF1" w:rsidP="001E75F3">
      <w:pPr>
        <w:autoSpaceDE w:val="0"/>
        <w:autoSpaceDN w:val="0"/>
        <w:adjustRightInd w:val="0"/>
        <w:jc w:val="center"/>
        <w:rPr>
          <w:rFonts w:ascii="Arial" w:hAnsi="Arial" w:cs="Arial"/>
          <w:b/>
        </w:rPr>
      </w:pPr>
    </w:p>
    <w:p w:rsidR="00330CF1" w:rsidRDefault="00330CF1" w:rsidP="00FA4C3D">
      <w:pPr>
        <w:autoSpaceDE w:val="0"/>
        <w:autoSpaceDN w:val="0"/>
        <w:adjustRightInd w:val="0"/>
        <w:rPr>
          <w:rFonts w:ascii="Arial" w:eastAsiaTheme="minorEastAsia" w:hAnsi="Arial" w:cs="Arial"/>
          <w:b/>
          <w:color w:val="000000" w:themeColor="text1"/>
          <w:kern w:val="24"/>
        </w:rPr>
      </w:pPr>
    </w:p>
    <w:p w:rsidR="00330CF1" w:rsidRDefault="00330CF1" w:rsidP="00FA4C3D">
      <w:pPr>
        <w:autoSpaceDE w:val="0"/>
        <w:autoSpaceDN w:val="0"/>
        <w:adjustRightInd w:val="0"/>
        <w:rPr>
          <w:rFonts w:ascii="Arial" w:eastAsiaTheme="minorEastAsia" w:hAnsi="Arial" w:cs="Arial"/>
          <w:b/>
          <w:color w:val="000000" w:themeColor="text1"/>
          <w:kern w:val="24"/>
        </w:rPr>
      </w:pPr>
    </w:p>
    <w:p w:rsidR="00330CF1" w:rsidRDefault="00330CF1" w:rsidP="00783477">
      <w:pPr>
        <w:autoSpaceDE w:val="0"/>
        <w:autoSpaceDN w:val="0"/>
        <w:adjustRightInd w:val="0"/>
        <w:jc w:val="center"/>
        <w:rPr>
          <w:rFonts w:ascii="Arial" w:eastAsiaTheme="minorEastAsia" w:hAnsi="Arial" w:cs="Arial"/>
          <w:b/>
          <w:color w:val="000000" w:themeColor="text1"/>
          <w:kern w:val="24"/>
        </w:rPr>
      </w:pPr>
      <w:r>
        <w:rPr>
          <w:noProof/>
        </w:rPr>
        <w:lastRenderedPageBreak/>
        <w:drawing>
          <wp:inline distT="0" distB="0" distL="0" distR="0" wp14:anchorId="59AC93B0" wp14:editId="4CAAA712">
            <wp:extent cx="5352836" cy="6893959"/>
            <wp:effectExtent l="0" t="0" r="635" b="2540"/>
            <wp:docPr id="2" name="Picture 1" descr="Full-size image"/>
            <wp:cNvGraphicFramePr/>
            <a:graphic xmlns:a="http://schemas.openxmlformats.org/drawingml/2006/main">
              <a:graphicData uri="http://schemas.openxmlformats.org/drawingml/2006/picture">
                <pic:pic xmlns:pic="http://schemas.openxmlformats.org/drawingml/2006/picture">
                  <pic:nvPicPr>
                    <pic:cNvPr id="2" name="Picture 1" descr="Full-size image"/>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353001" cy="6894172"/>
                    </a:xfrm>
                    <a:prstGeom prst="rect">
                      <a:avLst/>
                    </a:prstGeom>
                    <a:noFill/>
                    <a:ln>
                      <a:noFill/>
                    </a:ln>
                  </pic:spPr>
                </pic:pic>
              </a:graphicData>
            </a:graphic>
          </wp:inline>
        </w:drawing>
      </w:r>
    </w:p>
    <w:p w:rsidR="00330CF1" w:rsidRDefault="00330CF1" w:rsidP="00783477">
      <w:pPr>
        <w:autoSpaceDE w:val="0"/>
        <w:autoSpaceDN w:val="0"/>
        <w:adjustRightInd w:val="0"/>
        <w:jc w:val="center"/>
        <w:rPr>
          <w:rFonts w:ascii="Arial" w:eastAsiaTheme="minorEastAsia" w:hAnsi="Arial" w:cs="Arial"/>
          <w:b/>
          <w:color w:val="000000" w:themeColor="text1"/>
          <w:kern w:val="24"/>
        </w:rPr>
      </w:pPr>
    </w:p>
    <w:p w:rsidR="00330CF1" w:rsidRDefault="00330CF1" w:rsidP="00783477">
      <w:pPr>
        <w:autoSpaceDE w:val="0"/>
        <w:autoSpaceDN w:val="0"/>
        <w:adjustRightInd w:val="0"/>
        <w:jc w:val="center"/>
        <w:rPr>
          <w:rFonts w:ascii="Arial" w:eastAsiaTheme="minorEastAsia" w:hAnsi="Arial" w:cs="Arial"/>
          <w:b/>
          <w:color w:val="000000" w:themeColor="text1"/>
          <w:kern w:val="24"/>
        </w:rPr>
      </w:pPr>
    </w:p>
    <w:p w:rsidR="00330CF1" w:rsidRDefault="00330CF1" w:rsidP="00783477">
      <w:pPr>
        <w:autoSpaceDE w:val="0"/>
        <w:autoSpaceDN w:val="0"/>
        <w:adjustRightInd w:val="0"/>
        <w:jc w:val="center"/>
        <w:rPr>
          <w:rFonts w:ascii="Arial" w:eastAsiaTheme="minorEastAsia" w:hAnsi="Arial" w:cs="Arial"/>
          <w:b/>
          <w:color w:val="000000" w:themeColor="text1"/>
          <w:kern w:val="24"/>
        </w:rPr>
      </w:pPr>
    </w:p>
    <w:p w:rsidR="00330CF1" w:rsidRDefault="00330CF1" w:rsidP="00783477">
      <w:pPr>
        <w:autoSpaceDE w:val="0"/>
        <w:autoSpaceDN w:val="0"/>
        <w:adjustRightInd w:val="0"/>
        <w:jc w:val="center"/>
        <w:rPr>
          <w:rFonts w:ascii="Arial" w:eastAsiaTheme="minorEastAsia" w:hAnsi="Arial" w:cs="Arial"/>
          <w:b/>
          <w:color w:val="000000" w:themeColor="text1"/>
          <w:kern w:val="24"/>
        </w:rPr>
      </w:pPr>
    </w:p>
    <w:p w:rsidR="00330CF1" w:rsidRDefault="00330CF1" w:rsidP="00783477">
      <w:pPr>
        <w:autoSpaceDE w:val="0"/>
        <w:autoSpaceDN w:val="0"/>
        <w:adjustRightInd w:val="0"/>
        <w:jc w:val="center"/>
        <w:rPr>
          <w:rFonts w:ascii="Arial" w:eastAsiaTheme="minorEastAsia" w:hAnsi="Arial" w:cs="Arial"/>
          <w:b/>
          <w:color w:val="000000" w:themeColor="text1"/>
          <w:kern w:val="24"/>
        </w:rPr>
      </w:pPr>
    </w:p>
    <w:p w:rsidR="00330CF1" w:rsidRPr="00FA4C3D" w:rsidRDefault="00330CF1" w:rsidP="00783477">
      <w:pPr>
        <w:autoSpaceDE w:val="0"/>
        <w:autoSpaceDN w:val="0"/>
        <w:adjustRightInd w:val="0"/>
        <w:rPr>
          <w:rFonts w:ascii="Arial" w:hAnsi="Arial" w:cs="Arial"/>
        </w:rPr>
      </w:pPr>
      <w:r w:rsidRPr="00FA4C3D">
        <w:rPr>
          <w:rFonts w:ascii="Arial" w:eastAsiaTheme="minorEastAsia" w:hAnsi="Arial" w:cs="Arial"/>
          <w:b/>
          <w:color w:val="000000" w:themeColor="text1"/>
          <w:kern w:val="24"/>
        </w:rPr>
        <w:lastRenderedPageBreak/>
        <w:t>Figure 1.4.</w:t>
      </w:r>
      <w:r>
        <w:rPr>
          <w:rFonts w:ascii="Arial" w:eastAsiaTheme="minorEastAsia" w:hAnsi="Arial" w:cs="Arial"/>
          <w:color w:val="000000" w:themeColor="text1"/>
          <w:kern w:val="24"/>
        </w:rPr>
        <w:t xml:space="preserve"> Pathways of ROS formation, the lipid peroxidation process and the role of glutathione (GSH) in the management of oxidative stress.  Reaction 1: The superoxide anion radical is formed by the process of reduction of molecular oxygen by NAD(P)H oxidases and xanthine oxidase or non-enzymatically by redox-reactive compounds.  Reaction 2: Superoxide radical is dismutated by superoxide dismutase (SOD) to hydrogen peroxide.  Reaction 3: Hydrogen peroxide is efficiently scavenged by glutathione peroxidase (GPx) which requires GSH as electron donor. Reaction 4: The oxidized glutathione (GSSG) is reduced back to GSH by glutathione reductase (Gred) which uses NADPH as the electron donor.  Reaction 5: Some transition metals can breakdown hydrogen peroxide to the reactive hydroxyl radical via the Fenton reaction.  Reaction 6: The hydroxyl radical can abstract an electron from polyunsaturated fatty acids (LH) to give rise to a carbon-centered radical (L•).    Reaction 7: The lipid radical (L•) can further interact with molecular oxygen to give a lipid peroxyl radical (LOO•).  If the resulting lipid peroxyl radical LOO• is not reduced by antioxidants, the lipid peroxidation process occurs (reactions 18-23 and 15-17).  Reaction 8: The lipid peroxyl radical (LOO•) is reduced within the membrane by the reduced form of Vitamin E (T-OH) resulting in the formation of a lipid hydroperoxide and a radical of Vitamin E (T-O•).  Reaction 9: The regeneration of Vitamin E by Vitamin C.  Reaction 10: The regeneration of Vitamin C by GSH.  Reaction 11: Oxidized glutathione (GSSG) is reduced back to GSH by dihydrolipoic acid (DHLA).   Reaction 12: DHLA is reduced to </w:t>
      </w:r>
      <w:r>
        <w:rPr>
          <w:rFonts w:ascii="Arial" w:eastAsiaTheme="minorEastAsia" w:hAnsi="Arial" w:cs="Arial"/>
          <w:color w:val="000000" w:themeColor="text1"/>
          <w:kern w:val="24"/>
          <w:lang w:val="el-GR"/>
        </w:rPr>
        <w:t>α</w:t>
      </w:r>
      <w:r>
        <w:rPr>
          <w:rFonts w:ascii="Arial" w:eastAsiaTheme="minorEastAsia" w:hAnsi="Arial" w:cs="Arial"/>
          <w:color w:val="000000" w:themeColor="text1"/>
          <w:kern w:val="24"/>
        </w:rPr>
        <w:t>-lipoic acid by NADPH.  Reaction 13: Lipid hydroperoxides are reduced to alcohols and oxygen by GPx using GSH as the electron donor.</w:t>
      </w:r>
    </w:p>
    <w:p w:rsidR="00330CF1" w:rsidRDefault="00330CF1" w:rsidP="00783477">
      <w:pPr>
        <w:pStyle w:val="NormalWeb"/>
        <w:spacing w:before="0" w:beforeAutospacing="0" w:after="0" w:afterAutospacing="0"/>
      </w:pPr>
      <w:r>
        <w:rPr>
          <w:rFonts w:ascii="Arial" w:eastAsiaTheme="minorEastAsia" w:hAnsi="Arial" w:cs="Arial"/>
          <w:b/>
          <w:bCs/>
          <w:color w:val="000000" w:themeColor="text1"/>
          <w:kern w:val="24"/>
        </w:rPr>
        <w:t xml:space="preserve">Lipid Peroxidation process:  </w:t>
      </w:r>
      <w:r>
        <w:rPr>
          <w:rFonts w:ascii="Arial" w:eastAsiaTheme="minorEastAsia" w:hAnsi="Arial" w:cs="Arial"/>
          <w:color w:val="000000" w:themeColor="text1"/>
          <w:kern w:val="24"/>
        </w:rPr>
        <w:t>Reaction 14: Lipid hydroperoxides can react quickly with Fe</w:t>
      </w:r>
      <w:r>
        <w:rPr>
          <w:rFonts w:ascii="Arial" w:eastAsiaTheme="minorEastAsia" w:hAnsi="Arial" w:cs="Arial"/>
          <w:color w:val="000000" w:themeColor="text1"/>
          <w:kern w:val="24"/>
          <w:position w:val="7"/>
          <w:vertAlign w:val="superscript"/>
        </w:rPr>
        <w:t xml:space="preserve">2+ </w:t>
      </w:r>
      <w:r>
        <w:rPr>
          <w:rFonts w:ascii="Arial" w:eastAsiaTheme="minorEastAsia" w:hAnsi="Arial" w:cs="Arial"/>
          <w:color w:val="000000" w:themeColor="text1"/>
          <w:kern w:val="24"/>
        </w:rPr>
        <w:t xml:space="preserve"> to form lipid alkoxyl radicals (LO•) or more slowly with Fe</w:t>
      </w:r>
      <w:r>
        <w:rPr>
          <w:rFonts w:ascii="Arial" w:eastAsiaTheme="minorEastAsia" w:hAnsi="Arial" w:cs="Arial"/>
          <w:color w:val="000000" w:themeColor="text1"/>
          <w:kern w:val="24"/>
          <w:position w:val="7"/>
          <w:vertAlign w:val="superscript"/>
        </w:rPr>
        <w:t>3+</w:t>
      </w:r>
      <w:r>
        <w:rPr>
          <w:rFonts w:ascii="Arial" w:eastAsiaTheme="minorEastAsia" w:hAnsi="Arial" w:cs="Arial"/>
          <w:color w:val="000000" w:themeColor="text1"/>
          <w:kern w:val="24"/>
        </w:rPr>
        <w:t xml:space="preserve"> to form lipid peroxyl radicals (LOO•).  Reaction 15: Lipid alkoxyl radical (LO•) derived from arachidonic acid undergoes cyclisation reaction to form a six-membered ring hydroperoxide.  Reaction 16: Six-membered ring hydroperoxide undergoes further reactions for form 4-hydroxy-nonental.  Reaction 17: 4-hydroxy is rendered into an innocuous glutathiyl adduct (GST).  Reaction 18: A peroxyl radical located in the internal position of the fatty acid can react by cyclisation to produce a cyclic peroxide adjacent to a carbon-centered radical.  Reaction 19: This radical can either be reduced (not shown) or can undergo a second cyclisation to form a bicyclic peroxide after coupling to oxygen.  Reaction 20: Formed compound is an intermediate product in the production of malondialdehyde.  Reactions 21,22,23: Malondialdehyde can react with DNA bases cytosine, adenine and guanine to form adducts. </w:t>
      </w:r>
    </w:p>
    <w:p w:rsidR="00330CF1" w:rsidRDefault="00330CF1" w:rsidP="00783477">
      <w:pPr>
        <w:pStyle w:val="NormalWeb"/>
        <w:spacing w:before="0" w:beforeAutospacing="0" w:after="0" w:afterAutospacing="0"/>
      </w:pPr>
      <w:r>
        <w:rPr>
          <w:rFonts w:ascii="Arial" w:eastAsiaTheme="minorEastAsia" w:hAnsi="Arial" w:cs="Arial"/>
          <w:b/>
          <w:bCs/>
          <w:i/>
          <w:iCs/>
          <w:color w:val="000000" w:themeColor="text1"/>
          <w:kern w:val="24"/>
        </w:rPr>
        <w:t xml:space="preserve">Source: </w:t>
      </w:r>
      <w:r>
        <w:rPr>
          <w:rFonts w:ascii="Arial" w:eastAsiaTheme="minorEastAsia" w:hAnsi="Arial" w:cs="Arial"/>
          <w:color w:val="000000" w:themeColor="text1"/>
          <w:kern w:val="24"/>
        </w:rPr>
        <w:t xml:space="preserve">Reprinted by permission by </w:t>
      </w:r>
      <w:r>
        <w:rPr>
          <w:rFonts w:ascii="Arial" w:eastAsiaTheme="minorEastAsia" w:hAnsi="Arial" w:cs="Arial"/>
          <w:i/>
          <w:iCs/>
          <w:color w:val="000000" w:themeColor="text1"/>
          <w:kern w:val="24"/>
        </w:rPr>
        <w:t>International Journal of Biochemistry &amp; Cell Biology</w:t>
      </w:r>
      <w:r>
        <w:rPr>
          <w:rFonts w:ascii="Arial" w:eastAsiaTheme="minorEastAsia" w:hAnsi="Arial" w:cs="Arial"/>
          <w:color w:val="000000" w:themeColor="text1"/>
          <w:kern w:val="24"/>
        </w:rPr>
        <w:t xml:space="preserve">, 2007. </w:t>
      </w:r>
      <w:r>
        <w:rPr>
          <w:rFonts w:ascii="Arial" w:eastAsiaTheme="minorEastAsia" w:hAnsi="Arial" w:cs="Arial"/>
          <w:b/>
          <w:bCs/>
          <w:color w:val="000000" w:themeColor="text1"/>
          <w:kern w:val="24"/>
        </w:rPr>
        <w:t>39</w:t>
      </w:r>
      <w:r>
        <w:rPr>
          <w:rFonts w:ascii="Arial" w:eastAsiaTheme="minorEastAsia" w:hAnsi="Arial" w:cs="Arial"/>
          <w:color w:val="000000" w:themeColor="text1"/>
          <w:kern w:val="24"/>
        </w:rPr>
        <w:t>(1): p. 46-47</w:t>
      </w:r>
      <w:r>
        <w:rPr>
          <w:rFonts w:asciiTheme="minorHAnsi" w:eastAsiaTheme="minorEastAsia" w:hAnsi="Calibri" w:cstheme="minorBidi"/>
          <w:color w:val="000000" w:themeColor="text1"/>
          <w:kern w:val="24"/>
        </w:rPr>
        <w:t>.</w:t>
      </w:r>
    </w:p>
    <w:p w:rsidR="00330CF1" w:rsidRDefault="00330CF1" w:rsidP="003C5D98">
      <w:pPr>
        <w:autoSpaceDE w:val="0"/>
        <w:autoSpaceDN w:val="0"/>
        <w:adjustRightInd w:val="0"/>
        <w:rPr>
          <w:rFonts w:ascii="Arial" w:hAnsi="Arial" w:cs="Arial"/>
        </w:rPr>
      </w:pPr>
    </w:p>
    <w:p w:rsidR="00330CF1" w:rsidRDefault="00330CF1" w:rsidP="003C5D98">
      <w:pPr>
        <w:autoSpaceDE w:val="0"/>
        <w:autoSpaceDN w:val="0"/>
        <w:adjustRightInd w:val="0"/>
        <w:rPr>
          <w:rFonts w:ascii="Arial" w:hAnsi="Arial" w:cs="Arial"/>
        </w:rPr>
      </w:pPr>
    </w:p>
    <w:p w:rsidR="00330CF1" w:rsidRDefault="00330CF1" w:rsidP="003C5D98">
      <w:pPr>
        <w:autoSpaceDE w:val="0"/>
        <w:autoSpaceDN w:val="0"/>
        <w:adjustRightInd w:val="0"/>
        <w:rPr>
          <w:rFonts w:ascii="Arial" w:hAnsi="Arial" w:cs="Arial"/>
        </w:rPr>
      </w:pPr>
    </w:p>
    <w:p w:rsidR="00330CF1" w:rsidRDefault="00330CF1" w:rsidP="007759FC">
      <w:pPr>
        <w:rPr>
          <w:rFonts w:ascii="Arial" w:hAnsi="Arial" w:cs="Arial"/>
        </w:rPr>
      </w:pPr>
      <w:r>
        <w:rPr>
          <w:rFonts w:ascii="Arial" w:hAnsi="Arial" w:cs="Arial"/>
        </w:rPr>
        <w:br w:type="page"/>
      </w:r>
    </w:p>
    <w:p w:rsidR="00330CF1" w:rsidRDefault="00330CF1" w:rsidP="003C5D98">
      <w:pPr>
        <w:autoSpaceDE w:val="0"/>
        <w:autoSpaceDN w:val="0"/>
        <w:adjustRightInd w:val="0"/>
        <w:rPr>
          <w:rFonts w:ascii="Arial" w:hAnsi="Arial" w:cs="Arial"/>
        </w:rPr>
      </w:pPr>
      <w:r>
        <w:rPr>
          <w:rFonts w:ascii="Arial" w:hAnsi="Arial" w:cs="Arial"/>
        </w:rPr>
        <w:lastRenderedPageBreak/>
        <w:t xml:space="preserve">     Lipid peroxidation products proposed for measurement include malondialdehyde, hydroxynonenal and isoprostanes.  The thiobarbituric acid reactive substance test is an assay used to measure malondialdehyde in tissues.  As much of the malondialdehyde measured is formed following collection during the incubation period, this test is considered to have marginal validity.</w:t>
      </w:r>
      <w:r>
        <w:rPr>
          <w:rFonts w:ascii="Arial" w:hAnsi="Arial" w:cs="Arial"/>
          <w:noProof/>
        </w:rPr>
        <w:t>[143]</w:t>
      </w:r>
      <w:r>
        <w:rPr>
          <w:rFonts w:ascii="Arial" w:hAnsi="Arial" w:cs="Arial"/>
        </w:rPr>
        <w:t xml:space="preserve">  Malondialdehyde can also form as a result of thromboxane synthesis during platelet activation, as occurs with blood sampling.</w:t>
      </w:r>
      <w:r>
        <w:rPr>
          <w:rFonts w:ascii="Arial" w:hAnsi="Arial" w:cs="Arial"/>
          <w:noProof/>
        </w:rPr>
        <w:t>[143]</w:t>
      </w:r>
    </w:p>
    <w:p w:rsidR="00330CF1" w:rsidRDefault="00330CF1" w:rsidP="003C5D98">
      <w:pPr>
        <w:autoSpaceDE w:val="0"/>
        <w:autoSpaceDN w:val="0"/>
        <w:adjustRightInd w:val="0"/>
        <w:rPr>
          <w:rFonts w:ascii="Arial" w:hAnsi="Arial" w:cs="Arial"/>
        </w:rPr>
      </w:pPr>
      <w:r>
        <w:rPr>
          <w:rFonts w:ascii="Arial" w:hAnsi="Arial" w:cs="Arial"/>
        </w:rPr>
        <w:t xml:space="preserve">     The discovery of isoprostanes as lipid peroxidation products has opened up new methods for quantifying lipid peroxidation.  Isoprostanes are prostaglandin-like compounds that are produced </w:t>
      </w:r>
      <w:r w:rsidRPr="00897398">
        <w:rPr>
          <w:rFonts w:ascii="Arial" w:hAnsi="Arial" w:cs="Arial"/>
          <w:i/>
        </w:rPr>
        <w:t>in vivo</w:t>
      </w:r>
      <w:r>
        <w:rPr>
          <w:rFonts w:ascii="Arial" w:hAnsi="Arial" w:cs="Arial"/>
        </w:rPr>
        <w:t xml:space="preserve"> independent of cyclooxygenases by free radical-induced peroxidation of arachidonic acid in plasma membranes.</w:t>
      </w:r>
      <w:r>
        <w:rPr>
          <w:rFonts w:ascii="Arial" w:hAnsi="Arial" w:cs="Arial"/>
          <w:noProof/>
        </w:rPr>
        <w:t>[146]</w:t>
      </w:r>
      <w:r>
        <w:rPr>
          <w:rFonts w:ascii="Arial" w:hAnsi="Arial" w:cs="Arial"/>
        </w:rPr>
        <w:t xml:space="preserve">  In the  Biomarkers of Oxidative Stress Study (BOSS), sponsored by the National Institutes of Health (NIH), plasma or urine F2-isoprostanes were found to be the most accurate method to assess </w:t>
      </w:r>
      <w:r w:rsidRPr="000D5736">
        <w:rPr>
          <w:rFonts w:ascii="Arial" w:hAnsi="Arial" w:cs="Arial"/>
          <w:i/>
        </w:rPr>
        <w:t>in vivo</w:t>
      </w:r>
      <w:r>
        <w:rPr>
          <w:rFonts w:ascii="Arial" w:hAnsi="Arial" w:cs="Arial"/>
        </w:rPr>
        <w:t xml:space="preserve"> oxidant stress.</w:t>
      </w:r>
      <w:r>
        <w:rPr>
          <w:rFonts w:ascii="Arial" w:hAnsi="Arial" w:cs="Arial"/>
          <w:noProof/>
        </w:rPr>
        <w:t>[147]</w:t>
      </w:r>
      <w:r>
        <w:rPr>
          <w:rFonts w:ascii="Arial" w:hAnsi="Arial" w:cs="Arial"/>
        </w:rPr>
        <w:t xml:space="preserve">  F2-isoprostanes are stable molecules found in all tissues and fluids.  Measurement of urinary isoprostanes is convenient,the least invasive, and represent an accurate index of endogenous production of lipid peroxidation and oxidant stress.  Urine samples in particularly have been viewed as an index of whole body oxidant stress over time.</w:t>
      </w:r>
      <w:r>
        <w:rPr>
          <w:rFonts w:ascii="Arial" w:hAnsi="Arial" w:cs="Arial"/>
          <w:noProof/>
        </w:rPr>
        <w:t>[148]</w:t>
      </w:r>
      <w:r>
        <w:rPr>
          <w:rFonts w:ascii="Arial" w:hAnsi="Arial" w:cs="Arial"/>
        </w:rPr>
        <w:t xml:space="preserve">  Figure 1.5 diagrams formation of isoprostanes from arachidonic acid.  Arachidonic acid undergoes extraction of an electron to form a carbon-centered peroxyl radical.  Depending on the site of H removal and oxygen addition, 4 regioisomers are formed.  These are subsequently reduced to the isoprostane molecule.  Levels of isoprostanes can be analyzed by gas chromatography-mass spectroscopy or immunoassays.</w:t>
      </w:r>
      <w:r>
        <w:rPr>
          <w:rFonts w:ascii="Arial" w:hAnsi="Arial" w:cs="Arial"/>
          <w:noProof/>
        </w:rPr>
        <w:t>[148]</w:t>
      </w:r>
      <w:r>
        <w:rPr>
          <w:rFonts w:ascii="Arial" w:hAnsi="Arial" w:cs="Arial"/>
        </w:rPr>
        <w:t xml:space="preserve">  Normal ranges have been established in humans but to the author’s knowledge, no values have been established for dogs or cats.  Table 1.7 lists the basal levels of free F</w:t>
      </w:r>
      <w:r>
        <w:rPr>
          <w:rFonts w:ascii="Arial" w:hAnsi="Arial" w:cs="Arial"/>
          <w:vertAlign w:val="subscript"/>
        </w:rPr>
        <w:t>2</w:t>
      </w:r>
      <w:r>
        <w:rPr>
          <w:rFonts w:ascii="Arial" w:hAnsi="Arial" w:cs="Arial"/>
        </w:rPr>
        <w:t>-Isoprostanes in various body fluids.  Higher levels of urinary isoprostanes are found in obese human beings, confirming obesity being associated with inflammation and increased oxidative burden.</w:t>
      </w:r>
      <w:r>
        <w:rPr>
          <w:rFonts w:ascii="Arial" w:hAnsi="Arial" w:cs="Arial"/>
          <w:noProof/>
        </w:rPr>
        <w:t>[149]</w:t>
      </w:r>
      <w:r>
        <w:rPr>
          <w:rFonts w:ascii="Arial" w:hAnsi="Arial" w:cs="Arial"/>
        </w:rPr>
        <w:t xml:space="preserve">  Increased levels of urinary isoprostanes have also been found in obese cats compared to lean cats.</w:t>
      </w:r>
      <w:r>
        <w:rPr>
          <w:rFonts w:ascii="Arial" w:hAnsi="Arial" w:cs="Arial"/>
          <w:noProof/>
        </w:rPr>
        <w:t>[150]</w:t>
      </w:r>
    </w:p>
    <w:p w:rsidR="00330CF1" w:rsidRDefault="00330CF1" w:rsidP="003C5D98">
      <w:pPr>
        <w:autoSpaceDE w:val="0"/>
        <w:autoSpaceDN w:val="0"/>
        <w:adjustRightInd w:val="0"/>
        <w:rPr>
          <w:rFonts w:ascii="Arial" w:hAnsi="Arial" w:cs="Arial"/>
        </w:rPr>
      </w:pPr>
    </w:p>
    <w:p w:rsidR="00330CF1" w:rsidRDefault="00330CF1" w:rsidP="003C5D98">
      <w:pPr>
        <w:autoSpaceDE w:val="0"/>
        <w:autoSpaceDN w:val="0"/>
        <w:adjustRightInd w:val="0"/>
        <w:rPr>
          <w:rFonts w:ascii="Arial" w:hAnsi="Arial" w:cs="Arial"/>
        </w:rPr>
      </w:pPr>
    </w:p>
    <w:p w:rsidR="00330CF1" w:rsidRDefault="00330CF1" w:rsidP="003C5D98">
      <w:pPr>
        <w:autoSpaceDE w:val="0"/>
        <w:autoSpaceDN w:val="0"/>
        <w:adjustRightInd w:val="0"/>
        <w:rPr>
          <w:rFonts w:ascii="Arial" w:hAnsi="Arial" w:cs="Arial"/>
        </w:rPr>
      </w:pPr>
    </w:p>
    <w:p w:rsidR="00330CF1" w:rsidRPr="006D01EA" w:rsidRDefault="00330CF1" w:rsidP="003F3A8F">
      <w:pPr>
        <w:autoSpaceDE w:val="0"/>
        <w:autoSpaceDN w:val="0"/>
        <w:adjustRightInd w:val="0"/>
        <w:jc w:val="center"/>
        <w:rPr>
          <w:rFonts w:ascii="Arial" w:hAnsi="Arial" w:cs="Arial"/>
          <w:b/>
        </w:rPr>
      </w:pPr>
      <w:r w:rsidRPr="00BA6850">
        <w:rPr>
          <w:rFonts w:ascii="Arial" w:hAnsi="Arial" w:cs="Arial"/>
          <w:b/>
        </w:rPr>
        <w:t>Table 1.7</w:t>
      </w:r>
      <w:r>
        <w:rPr>
          <w:rFonts w:ascii="Arial" w:hAnsi="Arial" w:cs="Arial"/>
        </w:rPr>
        <w:t xml:space="preserve"> F</w:t>
      </w:r>
      <w:r>
        <w:rPr>
          <w:rFonts w:ascii="Arial" w:hAnsi="Arial" w:cs="Arial"/>
          <w:vertAlign w:val="subscript"/>
        </w:rPr>
        <w:t>2</w:t>
      </w:r>
      <w:r>
        <w:rPr>
          <w:rFonts w:ascii="Arial" w:hAnsi="Arial" w:cs="Arial"/>
        </w:rPr>
        <w:t xml:space="preserve"> Isoprostanes levels in body fluids.</w:t>
      </w:r>
    </w:p>
    <w:p w:rsidR="00330CF1" w:rsidRDefault="00330CF1" w:rsidP="003C5D98">
      <w:pPr>
        <w:autoSpaceDE w:val="0"/>
        <w:autoSpaceDN w:val="0"/>
        <w:adjustRightInd w:val="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4428"/>
      </w:tblGrid>
      <w:tr w:rsidR="00330CF1" w:rsidRPr="00FC44A4" w:rsidTr="00FC44A4">
        <w:tc>
          <w:tcPr>
            <w:tcW w:w="4428" w:type="dxa"/>
          </w:tcPr>
          <w:p w:rsidR="00330CF1" w:rsidRPr="00FC44A4" w:rsidRDefault="00330CF1" w:rsidP="0067768F">
            <w:pPr>
              <w:autoSpaceDE w:val="0"/>
              <w:autoSpaceDN w:val="0"/>
              <w:adjustRightInd w:val="0"/>
              <w:jc w:val="center"/>
              <w:rPr>
                <w:rFonts w:ascii="Arial" w:hAnsi="Arial" w:cs="Arial"/>
                <w:b/>
              </w:rPr>
            </w:pPr>
            <w:r w:rsidRPr="00FC44A4">
              <w:rPr>
                <w:rFonts w:ascii="Arial" w:hAnsi="Arial" w:cs="Arial"/>
                <w:b/>
              </w:rPr>
              <w:t>Body Fluid</w:t>
            </w:r>
          </w:p>
        </w:tc>
        <w:tc>
          <w:tcPr>
            <w:tcW w:w="4428" w:type="dxa"/>
          </w:tcPr>
          <w:p w:rsidR="00330CF1" w:rsidRPr="00FC44A4" w:rsidRDefault="00330CF1" w:rsidP="00FC44A4">
            <w:pPr>
              <w:autoSpaceDE w:val="0"/>
              <w:autoSpaceDN w:val="0"/>
              <w:adjustRightInd w:val="0"/>
              <w:rPr>
                <w:rFonts w:ascii="Arial" w:hAnsi="Arial" w:cs="Arial"/>
                <w:b/>
              </w:rPr>
            </w:pPr>
            <w:r w:rsidRPr="00FC44A4">
              <w:rPr>
                <w:rFonts w:ascii="Arial" w:hAnsi="Arial" w:cs="Arial"/>
                <w:b/>
              </w:rPr>
              <w:t>Level (mean ± 1 standard deviation)</w:t>
            </w:r>
          </w:p>
        </w:tc>
      </w:tr>
      <w:tr w:rsidR="00330CF1" w:rsidRPr="00FC44A4" w:rsidTr="00FC44A4">
        <w:tc>
          <w:tcPr>
            <w:tcW w:w="4428" w:type="dxa"/>
          </w:tcPr>
          <w:p w:rsidR="00330CF1" w:rsidRPr="00FC44A4" w:rsidRDefault="00330CF1" w:rsidP="00FC44A4">
            <w:pPr>
              <w:autoSpaceDE w:val="0"/>
              <w:autoSpaceDN w:val="0"/>
              <w:adjustRightInd w:val="0"/>
              <w:rPr>
                <w:rFonts w:ascii="Arial" w:hAnsi="Arial" w:cs="Arial"/>
              </w:rPr>
            </w:pPr>
            <w:r>
              <w:rPr>
                <w:rFonts w:ascii="Arial" w:hAnsi="Arial" w:cs="Arial"/>
              </w:rPr>
              <w:t xml:space="preserve">Human </w:t>
            </w:r>
            <w:r w:rsidRPr="00FC44A4">
              <w:rPr>
                <w:rFonts w:ascii="Arial" w:hAnsi="Arial" w:cs="Arial"/>
              </w:rPr>
              <w:t>Plasma</w:t>
            </w:r>
            <w:r>
              <w:rPr>
                <w:rFonts w:ascii="Arial" w:hAnsi="Arial" w:cs="Arial"/>
              </w:rPr>
              <w:t>*</w:t>
            </w:r>
          </w:p>
        </w:tc>
        <w:tc>
          <w:tcPr>
            <w:tcW w:w="4428" w:type="dxa"/>
          </w:tcPr>
          <w:p w:rsidR="00330CF1" w:rsidRPr="00FC44A4" w:rsidRDefault="00330CF1" w:rsidP="0046590D">
            <w:pPr>
              <w:autoSpaceDE w:val="0"/>
              <w:autoSpaceDN w:val="0"/>
              <w:adjustRightInd w:val="0"/>
              <w:jc w:val="center"/>
              <w:rPr>
                <w:rFonts w:ascii="Arial" w:hAnsi="Arial" w:cs="Arial"/>
                <w:vertAlign w:val="superscript"/>
              </w:rPr>
            </w:pPr>
            <w:r w:rsidRPr="00FC44A4">
              <w:rPr>
                <w:rFonts w:ascii="Arial" w:hAnsi="Arial" w:cs="Arial"/>
              </w:rPr>
              <w:t>35 ± 6 pg ml</w:t>
            </w:r>
            <w:r w:rsidRPr="00FC44A4">
              <w:rPr>
                <w:rFonts w:ascii="Arial" w:hAnsi="Arial" w:cs="Arial"/>
                <w:vertAlign w:val="superscript"/>
              </w:rPr>
              <w:t>-1</w:t>
            </w:r>
          </w:p>
        </w:tc>
      </w:tr>
      <w:tr w:rsidR="00330CF1" w:rsidRPr="00FC44A4" w:rsidTr="00FC44A4">
        <w:tc>
          <w:tcPr>
            <w:tcW w:w="4428" w:type="dxa"/>
          </w:tcPr>
          <w:p w:rsidR="00330CF1" w:rsidRPr="00FC44A4" w:rsidRDefault="00330CF1" w:rsidP="00FC44A4">
            <w:pPr>
              <w:autoSpaceDE w:val="0"/>
              <w:autoSpaceDN w:val="0"/>
              <w:adjustRightInd w:val="0"/>
              <w:rPr>
                <w:rFonts w:ascii="Arial" w:hAnsi="Arial" w:cs="Arial"/>
              </w:rPr>
            </w:pPr>
            <w:r>
              <w:rPr>
                <w:rFonts w:ascii="Arial" w:hAnsi="Arial" w:cs="Arial"/>
              </w:rPr>
              <w:t xml:space="preserve">Human </w:t>
            </w:r>
            <w:r w:rsidRPr="00FC44A4">
              <w:rPr>
                <w:rFonts w:ascii="Arial" w:hAnsi="Arial" w:cs="Arial"/>
              </w:rPr>
              <w:t>Urine</w:t>
            </w:r>
            <w:r>
              <w:rPr>
                <w:rFonts w:ascii="Arial" w:hAnsi="Arial" w:cs="Arial"/>
              </w:rPr>
              <w:t>*</w:t>
            </w:r>
          </w:p>
        </w:tc>
        <w:tc>
          <w:tcPr>
            <w:tcW w:w="4428" w:type="dxa"/>
          </w:tcPr>
          <w:p w:rsidR="00330CF1" w:rsidRPr="00FC44A4" w:rsidRDefault="00330CF1" w:rsidP="0046590D">
            <w:pPr>
              <w:autoSpaceDE w:val="0"/>
              <w:autoSpaceDN w:val="0"/>
              <w:adjustRightInd w:val="0"/>
              <w:jc w:val="center"/>
              <w:rPr>
                <w:rFonts w:ascii="Arial" w:hAnsi="Arial" w:cs="Arial"/>
              </w:rPr>
            </w:pPr>
            <w:r w:rsidRPr="00FC44A4">
              <w:rPr>
                <w:rFonts w:ascii="Arial" w:hAnsi="Arial" w:cs="Arial"/>
              </w:rPr>
              <w:t>1.6 ± 0.6 ng mg</w:t>
            </w:r>
            <w:r w:rsidRPr="00FC44A4">
              <w:rPr>
                <w:rFonts w:ascii="Arial" w:hAnsi="Arial" w:cs="Arial"/>
                <w:vertAlign w:val="superscript"/>
              </w:rPr>
              <w:t xml:space="preserve">-1 </w:t>
            </w:r>
            <w:r w:rsidRPr="00FC44A4">
              <w:rPr>
                <w:rFonts w:ascii="Arial" w:hAnsi="Arial" w:cs="Arial"/>
              </w:rPr>
              <w:t>creatinine</w:t>
            </w:r>
          </w:p>
        </w:tc>
      </w:tr>
      <w:tr w:rsidR="00330CF1" w:rsidRPr="00FC44A4" w:rsidTr="00FC44A4">
        <w:tc>
          <w:tcPr>
            <w:tcW w:w="4428" w:type="dxa"/>
          </w:tcPr>
          <w:p w:rsidR="00330CF1" w:rsidRPr="00FC44A4" w:rsidRDefault="00330CF1" w:rsidP="00FC44A4">
            <w:pPr>
              <w:autoSpaceDE w:val="0"/>
              <w:autoSpaceDN w:val="0"/>
              <w:adjustRightInd w:val="0"/>
              <w:rPr>
                <w:rFonts w:ascii="Arial" w:hAnsi="Arial" w:cs="Arial"/>
              </w:rPr>
            </w:pPr>
            <w:r>
              <w:rPr>
                <w:rFonts w:ascii="Arial" w:hAnsi="Arial" w:cs="Arial"/>
              </w:rPr>
              <w:t xml:space="preserve">Human </w:t>
            </w:r>
            <w:r w:rsidRPr="00FC44A4">
              <w:rPr>
                <w:rFonts w:ascii="Arial" w:hAnsi="Arial" w:cs="Arial"/>
              </w:rPr>
              <w:t>Cerebrospinal fluid</w:t>
            </w:r>
            <w:r>
              <w:rPr>
                <w:rFonts w:ascii="Arial" w:hAnsi="Arial" w:cs="Arial"/>
              </w:rPr>
              <w:t>*</w:t>
            </w:r>
          </w:p>
        </w:tc>
        <w:tc>
          <w:tcPr>
            <w:tcW w:w="4428" w:type="dxa"/>
          </w:tcPr>
          <w:p w:rsidR="00330CF1" w:rsidRPr="00FC44A4" w:rsidRDefault="00330CF1" w:rsidP="0046590D">
            <w:pPr>
              <w:autoSpaceDE w:val="0"/>
              <w:autoSpaceDN w:val="0"/>
              <w:adjustRightInd w:val="0"/>
              <w:jc w:val="center"/>
              <w:rPr>
                <w:rFonts w:ascii="Arial" w:hAnsi="Arial" w:cs="Arial"/>
              </w:rPr>
            </w:pPr>
            <w:r w:rsidRPr="00FC44A4">
              <w:rPr>
                <w:rFonts w:ascii="Arial" w:hAnsi="Arial" w:cs="Arial"/>
              </w:rPr>
              <w:t>23 ± 1 pg mg</w:t>
            </w:r>
            <w:r w:rsidRPr="00FC44A4">
              <w:rPr>
                <w:rFonts w:ascii="Arial" w:hAnsi="Arial" w:cs="Arial"/>
                <w:vertAlign w:val="superscript"/>
              </w:rPr>
              <w:t>-1</w:t>
            </w:r>
          </w:p>
        </w:tc>
      </w:tr>
      <w:tr w:rsidR="00330CF1" w:rsidRPr="00FC44A4" w:rsidTr="00FC44A4">
        <w:tc>
          <w:tcPr>
            <w:tcW w:w="4428" w:type="dxa"/>
          </w:tcPr>
          <w:p w:rsidR="00330CF1" w:rsidRDefault="00330CF1" w:rsidP="00FC44A4">
            <w:pPr>
              <w:autoSpaceDE w:val="0"/>
              <w:autoSpaceDN w:val="0"/>
              <w:adjustRightInd w:val="0"/>
              <w:rPr>
                <w:rFonts w:ascii="Arial" w:hAnsi="Arial" w:cs="Arial"/>
              </w:rPr>
            </w:pPr>
            <w:r>
              <w:rPr>
                <w:rFonts w:ascii="Arial" w:hAnsi="Arial" w:cs="Arial"/>
              </w:rPr>
              <w:t xml:space="preserve">Feline Urine (lean cats)** </w:t>
            </w:r>
          </w:p>
        </w:tc>
        <w:tc>
          <w:tcPr>
            <w:tcW w:w="4428" w:type="dxa"/>
          </w:tcPr>
          <w:p w:rsidR="00330CF1" w:rsidRPr="00FC44A4" w:rsidRDefault="00330CF1" w:rsidP="0046590D">
            <w:pPr>
              <w:autoSpaceDE w:val="0"/>
              <w:autoSpaceDN w:val="0"/>
              <w:adjustRightInd w:val="0"/>
              <w:jc w:val="center"/>
              <w:rPr>
                <w:rFonts w:ascii="Arial" w:hAnsi="Arial" w:cs="Arial"/>
              </w:rPr>
            </w:pPr>
            <w:r>
              <w:rPr>
                <w:rFonts w:ascii="Arial" w:hAnsi="Arial" w:cs="Arial"/>
              </w:rPr>
              <w:t>3.40 ± 0.89 pg mg</w:t>
            </w:r>
            <w:r>
              <w:rPr>
                <w:rFonts w:ascii="Arial" w:hAnsi="Arial" w:cs="Arial"/>
                <w:vertAlign w:val="superscript"/>
              </w:rPr>
              <w:t>-1</w:t>
            </w:r>
            <w:r>
              <w:rPr>
                <w:rFonts w:ascii="Arial" w:hAnsi="Arial" w:cs="Arial"/>
              </w:rPr>
              <w:t xml:space="preserve"> creatinine***</w:t>
            </w:r>
          </w:p>
        </w:tc>
      </w:tr>
    </w:tbl>
    <w:p w:rsidR="00330CF1" w:rsidRDefault="00330CF1" w:rsidP="003901F7">
      <w:pPr>
        <w:autoSpaceDE w:val="0"/>
        <w:autoSpaceDN w:val="0"/>
        <w:adjustRightInd w:val="0"/>
        <w:rPr>
          <w:rFonts w:ascii="Arial" w:hAnsi="Arial" w:cs="Arial"/>
        </w:rPr>
      </w:pPr>
      <w:r w:rsidRPr="000E7CCC">
        <w:rPr>
          <w:rFonts w:ascii="Arial" w:hAnsi="Arial" w:cs="Arial"/>
          <w:b/>
          <w:i/>
        </w:rPr>
        <w:t>Source</w:t>
      </w:r>
      <w:r w:rsidRPr="0046590D">
        <w:rPr>
          <w:rFonts w:ascii="Arial" w:hAnsi="Arial" w:cs="Arial"/>
        </w:rPr>
        <w:t xml:space="preserve">: * Adapted from Fam, SS and Morrow, J.D.  The isoprostanes – Unique products of arachidonic acid oxidation - A Review. Curr Med Chem, 2003.  10(17): p. 1727, Table 2. </w:t>
      </w:r>
    </w:p>
    <w:p w:rsidR="00330CF1" w:rsidRDefault="00330CF1" w:rsidP="003901F7">
      <w:pPr>
        <w:autoSpaceDE w:val="0"/>
        <w:autoSpaceDN w:val="0"/>
        <w:adjustRightInd w:val="0"/>
        <w:rPr>
          <w:rFonts w:ascii="Arial" w:hAnsi="Arial" w:cs="Arial"/>
        </w:rPr>
      </w:pPr>
      <w:r w:rsidRPr="0046590D">
        <w:rPr>
          <w:rFonts w:ascii="Arial" w:hAnsi="Arial" w:cs="Arial"/>
        </w:rPr>
        <w:t xml:space="preserve">** Adapted from Jeusette, I, et al. Increased urinary F2-isoprostane concentration as an indicator of oxidative stress in overweight cats.  In J Appl Res Vet M, 2009. 7: p. 36    </w:t>
      </w:r>
    </w:p>
    <w:p w:rsidR="00330CF1" w:rsidRPr="0046590D" w:rsidRDefault="00330CF1" w:rsidP="003901F7">
      <w:pPr>
        <w:autoSpaceDE w:val="0"/>
        <w:autoSpaceDN w:val="0"/>
        <w:adjustRightInd w:val="0"/>
        <w:rPr>
          <w:rFonts w:ascii="Arial" w:hAnsi="Arial" w:cs="Arial"/>
        </w:rPr>
      </w:pPr>
      <w:r w:rsidRPr="0046590D">
        <w:rPr>
          <w:rFonts w:ascii="Arial" w:hAnsi="Arial" w:cs="Arial"/>
        </w:rPr>
        <w:t>***Mean ± SEM</w:t>
      </w:r>
    </w:p>
    <w:p w:rsidR="00330CF1" w:rsidRDefault="00330CF1" w:rsidP="006D01EA">
      <w:pPr>
        <w:autoSpaceDE w:val="0"/>
        <w:autoSpaceDN w:val="0"/>
        <w:adjustRightInd w:val="0"/>
        <w:jc w:val="center"/>
        <w:rPr>
          <w:rFonts w:ascii="Arial" w:hAnsi="Arial" w:cs="Arial"/>
          <w:b/>
        </w:rPr>
      </w:pPr>
    </w:p>
    <w:p w:rsidR="00330CF1" w:rsidRDefault="00330CF1" w:rsidP="006D01EA">
      <w:pPr>
        <w:autoSpaceDE w:val="0"/>
        <w:autoSpaceDN w:val="0"/>
        <w:adjustRightInd w:val="0"/>
        <w:jc w:val="center"/>
        <w:rPr>
          <w:rFonts w:ascii="Arial" w:hAnsi="Arial" w:cs="Arial"/>
          <w:b/>
        </w:rPr>
      </w:pPr>
    </w:p>
    <w:p w:rsidR="00330CF1" w:rsidRDefault="00330CF1" w:rsidP="006D01EA">
      <w:pPr>
        <w:autoSpaceDE w:val="0"/>
        <w:autoSpaceDN w:val="0"/>
        <w:adjustRightInd w:val="0"/>
        <w:jc w:val="center"/>
        <w:rPr>
          <w:rFonts w:ascii="Arial" w:hAnsi="Arial" w:cs="Arial"/>
          <w:b/>
        </w:rPr>
      </w:pPr>
    </w:p>
    <w:p w:rsidR="00330CF1" w:rsidRDefault="00330CF1" w:rsidP="006D01EA">
      <w:pPr>
        <w:autoSpaceDE w:val="0"/>
        <w:autoSpaceDN w:val="0"/>
        <w:adjustRightInd w:val="0"/>
        <w:jc w:val="center"/>
        <w:rPr>
          <w:rFonts w:ascii="Arial" w:hAnsi="Arial" w:cs="Arial"/>
          <w:b/>
        </w:rPr>
      </w:pPr>
      <w:r>
        <w:rPr>
          <w:noProof/>
        </w:rPr>
        <w:drawing>
          <wp:inline distT="0" distB="0" distL="0" distR="0" wp14:anchorId="49D8391A" wp14:editId="071372F0">
            <wp:extent cx="5400675" cy="3705226"/>
            <wp:effectExtent l="0" t="0" r="0" b="9525"/>
            <wp:docPr id="3078" name="Picture 6" descr="Synthesis of isoprosta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Picture 6" descr="Synthesis of isoprostanes"/>
                    <pic:cNvPicPr>
                      <a:picLocks noChangeAspect="1" noChangeArrowheads="1"/>
                    </pic:cNvPicPr>
                  </pic:nvPicPr>
                  <pic:blipFill>
                    <a:blip r:embed="rId16">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400675" cy="370522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330CF1" w:rsidRDefault="00330CF1" w:rsidP="006D01EA">
      <w:pPr>
        <w:autoSpaceDE w:val="0"/>
        <w:autoSpaceDN w:val="0"/>
        <w:adjustRightInd w:val="0"/>
        <w:jc w:val="center"/>
        <w:rPr>
          <w:rFonts w:ascii="Arial" w:hAnsi="Arial" w:cs="Arial"/>
          <w:b/>
        </w:rPr>
      </w:pPr>
    </w:p>
    <w:p w:rsidR="00330CF1" w:rsidRDefault="00330CF1" w:rsidP="00FA4C3D">
      <w:pPr>
        <w:autoSpaceDE w:val="0"/>
        <w:autoSpaceDN w:val="0"/>
        <w:adjustRightInd w:val="0"/>
        <w:rPr>
          <w:rFonts w:ascii="Arial" w:hAnsi="Arial" w:cs="Arial"/>
          <w:b/>
        </w:rPr>
      </w:pPr>
    </w:p>
    <w:p w:rsidR="00330CF1" w:rsidRDefault="00330CF1" w:rsidP="00FA4C3D">
      <w:pPr>
        <w:pStyle w:val="NormalWeb"/>
        <w:spacing w:before="0" w:beforeAutospacing="0" w:after="0" w:afterAutospacing="0"/>
      </w:pPr>
      <w:r w:rsidRPr="00FA4C3D">
        <w:rPr>
          <w:rFonts w:ascii="Arial" w:eastAsiaTheme="minorEastAsia" w:hAnsi="Arial" w:cs="Arial"/>
          <w:b/>
          <w:color w:val="000000" w:themeColor="text1"/>
          <w:kern w:val="24"/>
        </w:rPr>
        <w:t>Figure 1.5</w:t>
      </w:r>
      <w:r>
        <w:rPr>
          <w:rFonts w:ascii="Arial" w:eastAsiaTheme="minorEastAsia" w:hAnsi="Arial" w:cs="Arial"/>
          <w:color w:val="000000" w:themeColor="text1"/>
          <w:kern w:val="24"/>
        </w:rPr>
        <w:t xml:space="preserve"> Formation of 15- F</w:t>
      </w:r>
      <w:r>
        <w:rPr>
          <w:rFonts w:ascii="Arial" w:eastAsiaTheme="minorEastAsia" w:hAnsi="Arial" w:cs="Arial"/>
          <w:color w:val="000000" w:themeColor="text1"/>
          <w:kern w:val="24"/>
          <w:vertAlign w:val="subscript"/>
        </w:rPr>
        <w:t>2</w:t>
      </w:r>
      <w:r>
        <w:rPr>
          <w:rFonts w:ascii="Arial" w:eastAsiaTheme="minorEastAsia" w:hAnsi="Arial" w:cs="Arial"/>
          <w:color w:val="000000" w:themeColor="text1"/>
          <w:kern w:val="24"/>
        </w:rPr>
        <w:t xml:space="preserve"> isoprostane from arachidonic acid.  A reactive oxygen species abstracts a hydrogen atom from a methylene group under aerobic conditions.  Since this radical generation is not enzymatic, all methylene groups between two </w:t>
      </w:r>
      <w:r>
        <w:rPr>
          <w:rFonts w:ascii="Arial" w:eastAsiaTheme="minorEastAsia" w:hAnsi="Arial" w:cs="Arial"/>
          <w:i/>
          <w:iCs/>
          <w:color w:val="000000" w:themeColor="text1"/>
          <w:kern w:val="24"/>
        </w:rPr>
        <w:t xml:space="preserve">cis </w:t>
      </w:r>
      <w:r>
        <w:rPr>
          <w:rFonts w:ascii="Arial" w:eastAsiaTheme="minorEastAsia" w:hAnsi="Arial" w:cs="Arial"/>
          <w:color w:val="000000" w:themeColor="text1"/>
          <w:kern w:val="24"/>
        </w:rPr>
        <w:t>double bonds can potentially be involved.  After hydrogen extraction, the radical formed combines with an oxygen molecule to generate a peroxy radical which rearranges.  The bicyclic endoperoxy radical reacts on either face of the side chain with a further oxygen molecule to produce racemic hydroperoxy bicyclic endoperoxy radicals.  The radical chain is terminated by abstraction of hydrogen from an appropriate donor.  Analogous reactions can occur to produce isoprostanes with the hydroxyl group in positions 5, 8 or 12.</w:t>
      </w:r>
    </w:p>
    <w:p w:rsidR="00330CF1" w:rsidRDefault="00330CF1" w:rsidP="00FA4C3D">
      <w:pPr>
        <w:pStyle w:val="NormalWeb"/>
        <w:spacing w:before="0" w:beforeAutospacing="0" w:after="0" w:afterAutospacing="0"/>
      </w:pPr>
      <w:r w:rsidRPr="000E7CCC">
        <w:rPr>
          <w:rFonts w:ascii="Arial" w:eastAsiaTheme="minorEastAsia" w:hAnsi="Arial" w:cs="Arial"/>
          <w:b/>
          <w:bCs/>
          <w:i/>
          <w:iCs/>
          <w:color w:val="000000" w:themeColor="text1"/>
          <w:kern w:val="24"/>
        </w:rPr>
        <w:t>Source</w:t>
      </w:r>
      <w:r>
        <w:rPr>
          <w:rFonts w:ascii="Arial" w:eastAsiaTheme="minorEastAsia" w:hAnsi="Arial" w:cs="Arial"/>
          <w:b/>
          <w:bCs/>
          <w:i/>
          <w:iCs/>
          <w:color w:val="000000" w:themeColor="text1"/>
          <w:kern w:val="24"/>
        </w:rPr>
        <w:t xml:space="preserve">: </w:t>
      </w:r>
      <w:r>
        <w:rPr>
          <w:rFonts w:ascii="Arial" w:eastAsiaTheme="minorEastAsia" w:hAnsi="Arial" w:cs="Arial"/>
          <w:color w:val="000000" w:themeColor="text1"/>
          <w:kern w:val="24"/>
        </w:rPr>
        <w:t xml:space="preserve">  America Oil Chemist’s (AOCS) Lipid library. http://lipidlibrary.aocs.org/lipids/eicisop/index.htm</w:t>
      </w:r>
    </w:p>
    <w:p w:rsidR="00330CF1" w:rsidRDefault="00330CF1" w:rsidP="00FA4C3D">
      <w:pPr>
        <w:autoSpaceDE w:val="0"/>
        <w:autoSpaceDN w:val="0"/>
        <w:adjustRightInd w:val="0"/>
        <w:jc w:val="center"/>
        <w:rPr>
          <w:rFonts w:ascii="Arial" w:hAnsi="Arial" w:cs="Arial"/>
          <w:b/>
        </w:rPr>
      </w:pPr>
      <w:r>
        <w:rPr>
          <w:rFonts w:ascii="Arial" w:eastAsiaTheme="minorEastAsia" w:hAnsi="Arial" w:cs="Arial"/>
          <w:b/>
          <w:bCs/>
          <w:color w:val="000000" w:themeColor="text1"/>
          <w:kern w:val="24"/>
        </w:rPr>
        <w:t> </w:t>
      </w:r>
    </w:p>
    <w:p w:rsidR="00330CF1" w:rsidRDefault="00330CF1" w:rsidP="006D01EA">
      <w:pPr>
        <w:autoSpaceDE w:val="0"/>
        <w:autoSpaceDN w:val="0"/>
        <w:adjustRightInd w:val="0"/>
        <w:jc w:val="center"/>
        <w:rPr>
          <w:rFonts w:ascii="Arial" w:hAnsi="Arial" w:cs="Arial"/>
          <w:b/>
        </w:rPr>
      </w:pPr>
    </w:p>
    <w:p w:rsidR="00330CF1" w:rsidRDefault="00330CF1" w:rsidP="006D01EA">
      <w:pPr>
        <w:autoSpaceDE w:val="0"/>
        <w:autoSpaceDN w:val="0"/>
        <w:adjustRightInd w:val="0"/>
        <w:jc w:val="center"/>
        <w:rPr>
          <w:rFonts w:ascii="Arial" w:hAnsi="Arial" w:cs="Arial"/>
          <w:b/>
        </w:rPr>
      </w:pPr>
    </w:p>
    <w:p w:rsidR="00330CF1" w:rsidRPr="003C4D56" w:rsidRDefault="00330CF1" w:rsidP="003C5D98">
      <w:pPr>
        <w:autoSpaceDE w:val="0"/>
        <w:autoSpaceDN w:val="0"/>
        <w:adjustRightInd w:val="0"/>
        <w:rPr>
          <w:rFonts w:ascii="Arial" w:hAnsi="Arial" w:cs="Arial"/>
        </w:rPr>
      </w:pPr>
    </w:p>
    <w:p w:rsidR="00330CF1" w:rsidRDefault="00330CF1" w:rsidP="003C5D98">
      <w:pPr>
        <w:autoSpaceDE w:val="0"/>
        <w:autoSpaceDN w:val="0"/>
        <w:adjustRightInd w:val="0"/>
        <w:rPr>
          <w:rFonts w:ascii="Arial" w:hAnsi="Arial" w:cs="Arial"/>
        </w:rPr>
      </w:pPr>
      <w:r>
        <w:rPr>
          <w:rFonts w:ascii="Arial" w:hAnsi="Arial" w:cs="Arial"/>
        </w:rPr>
        <w:t xml:space="preserve">     The second method of assessing oxidative stress is to measure the actual reactive radicals.  These measurements have not been used clinically due to their high reactivity and very short half-life.</w:t>
      </w:r>
      <w:r>
        <w:rPr>
          <w:rFonts w:ascii="Arial" w:hAnsi="Arial" w:cs="Arial"/>
          <w:noProof/>
        </w:rPr>
        <w:t>[143]</w:t>
      </w:r>
    </w:p>
    <w:p w:rsidR="00330CF1" w:rsidRDefault="00330CF1" w:rsidP="003C5D98">
      <w:pPr>
        <w:autoSpaceDE w:val="0"/>
        <w:autoSpaceDN w:val="0"/>
        <w:adjustRightInd w:val="0"/>
        <w:rPr>
          <w:rFonts w:ascii="Arial" w:hAnsi="Arial" w:cs="Arial"/>
        </w:rPr>
      </w:pPr>
      <w:r>
        <w:rPr>
          <w:rFonts w:ascii="Arial" w:hAnsi="Arial" w:cs="Arial"/>
        </w:rPr>
        <w:lastRenderedPageBreak/>
        <w:t xml:space="preserve">     The third method involves measurement of endogenous antioxidants in tissues or fluids.  Species variation can be high with no known baseline data available for the various species.  Assessing the ratio of reduced to oxidized glutathione has been used as a method for assessing oxidative stress in dogs and cats.</w:t>
      </w:r>
      <w:r>
        <w:rPr>
          <w:rFonts w:ascii="Arial" w:hAnsi="Arial" w:cs="Arial"/>
          <w:noProof/>
        </w:rPr>
        <w:t>[143, 151]</w:t>
      </w:r>
      <w:r>
        <w:rPr>
          <w:rFonts w:ascii="Arial" w:hAnsi="Arial" w:cs="Arial"/>
        </w:rPr>
        <w:t xml:space="preserve">  Glutathione is an important endogenous antioxidant in cells.  The ratio of reduced to oxidized glutathione in liver tissue of healthy cats was found to be 56.9.</w:t>
      </w:r>
      <w:r>
        <w:rPr>
          <w:rFonts w:ascii="Arial" w:hAnsi="Arial" w:cs="Arial"/>
          <w:noProof/>
        </w:rPr>
        <w:t>[151]</w:t>
      </w:r>
      <w:r>
        <w:rPr>
          <w:rFonts w:ascii="Arial" w:hAnsi="Arial" w:cs="Arial"/>
        </w:rPr>
        <w:t xml:space="preserve">  Similar to measure of malondialdehyde, this method is very susceptible to oxidation </w:t>
      </w:r>
      <w:r w:rsidRPr="000D5736">
        <w:rPr>
          <w:rFonts w:ascii="Arial" w:hAnsi="Arial" w:cs="Arial"/>
          <w:i/>
        </w:rPr>
        <w:t>ex vivo</w:t>
      </w:r>
      <w:r>
        <w:rPr>
          <w:rFonts w:ascii="Arial" w:hAnsi="Arial" w:cs="Arial"/>
        </w:rPr>
        <w:t>, falsely increasing the level of oxidized glutathione.</w:t>
      </w:r>
    </w:p>
    <w:p w:rsidR="00330CF1" w:rsidRDefault="00330CF1" w:rsidP="003C5D98">
      <w:pPr>
        <w:autoSpaceDE w:val="0"/>
        <w:autoSpaceDN w:val="0"/>
        <w:adjustRightInd w:val="0"/>
        <w:rPr>
          <w:rFonts w:ascii="Arial" w:hAnsi="Arial" w:cs="Arial"/>
        </w:rPr>
      </w:pPr>
      <w:r>
        <w:rPr>
          <w:rFonts w:ascii="Arial" w:hAnsi="Arial" w:cs="Arial"/>
        </w:rPr>
        <w:t xml:space="preserve">     Each of these methods examines a different component of the antioxidant defense system.  Therefore, without a comprehensive evaluation of each component, total body oxidant stress cannot be fully evaluated. </w:t>
      </w:r>
    </w:p>
    <w:p w:rsidR="00330CF1" w:rsidRDefault="00330CF1" w:rsidP="003C5D98">
      <w:pPr>
        <w:autoSpaceDE w:val="0"/>
        <w:autoSpaceDN w:val="0"/>
        <w:adjustRightInd w:val="0"/>
        <w:rPr>
          <w:rFonts w:ascii="Arial" w:hAnsi="Arial" w:cs="Arial"/>
        </w:rPr>
      </w:pPr>
      <w:r>
        <w:rPr>
          <w:rFonts w:ascii="Arial" w:hAnsi="Arial" w:cs="Arial"/>
        </w:rPr>
        <w:t xml:space="preserve"> </w:t>
      </w:r>
    </w:p>
    <w:p w:rsidR="00330CF1" w:rsidRPr="00333F08" w:rsidRDefault="00330CF1" w:rsidP="000578A6">
      <w:pPr>
        <w:pStyle w:val="Heading2"/>
      </w:pPr>
      <w:bookmarkStart w:id="17" w:name="_Toc305485844"/>
      <w:r w:rsidRPr="00333F08">
        <w:t>Raw Food Diets</w:t>
      </w:r>
      <w:bookmarkEnd w:id="17"/>
      <w:r w:rsidRPr="00333F08">
        <w:t xml:space="preserve"> </w:t>
      </w:r>
    </w:p>
    <w:p w:rsidR="00330CF1" w:rsidRDefault="00330CF1" w:rsidP="000578A6">
      <w:pPr>
        <w:pStyle w:val="Heading3"/>
      </w:pPr>
      <w:bookmarkStart w:id="18" w:name="_Toc305485845"/>
      <w:r>
        <w:t>Risks</w:t>
      </w:r>
      <w:bookmarkEnd w:id="18"/>
    </w:p>
    <w:p w:rsidR="00330CF1" w:rsidRDefault="00330CF1" w:rsidP="005F5ECF">
      <w:pPr>
        <w:autoSpaceDE w:val="0"/>
        <w:autoSpaceDN w:val="0"/>
        <w:adjustRightInd w:val="0"/>
        <w:rPr>
          <w:rFonts w:ascii="Arial" w:hAnsi="Arial" w:cs="Arial"/>
        </w:rPr>
      </w:pPr>
    </w:p>
    <w:p w:rsidR="00330CF1" w:rsidRDefault="00330CF1" w:rsidP="005F5ECF">
      <w:pPr>
        <w:autoSpaceDE w:val="0"/>
        <w:autoSpaceDN w:val="0"/>
        <w:adjustRightInd w:val="0"/>
        <w:rPr>
          <w:rFonts w:ascii="Arial" w:hAnsi="Arial" w:cs="Arial"/>
        </w:rPr>
      </w:pPr>
      <w:r>
        <w:rPr>
          <w:rFonts w:ascii="Arial" w:hAnsi="Arial" w:cs="Arial"/>
        </w:rPr>
        <w:t xml:space="preserve">     Three primary risk factors have been reported with consumption of raw diets by pets.  These include overall nutritional adequacy, consumption of raw bones leading to dental fractures or gastrointestinal trauma, and consumption of pathogenic bacteria, viruses, and protozoa not killed in the normal cooking process.  The most frequently cited concern of these in the veterinary published literature has been food safety.</w:t>
      </w:r>
    </w:p>
    <w:p w:rsidR="00330CF1" w:rsidRDefault="00330CF1" w:rsidP="005F5ECF">
      <w:pPr>
        <w:autoSpaceDE w:val="0"/>
        <w:autoSpaceDN w:val="0"/>
        <w:adjustRightInd w:val="0"/>
        <w:rPr>
          <w:rFonts w:ascii="Arial" w:hAnsi="Arial" w:cs="Arial"/>
        </w:rPr>
      </w:pPr>
      <w:r>
        <w:rPr>
          <w:rFonts w:ascii="Arial" w:hAnsi="Arial" w:cs="Arial"/>
        </w:rPr>
        <w:t xml:space="preserve">     The source for minimum nutrient requirements in healthy dogs and cats, based on accumulated research and updated periodically, is the National Research Council (NRC) Nutrient Requirements of Dogs and Cats.</w:t>
      </w:r>
      <w:r>
        <w:rPr>
          <w:rFonts w:ascii="Arial" w:hAnsi="Arial" w:cs="Arial"/>
          <w:noProof/>
        </w:rPr>
        <w:t>[12]</w:t>
      </w:r>
      <w:r>
        <w:rPr>
          <w:rFonts w:ascii="Arial" w:hAnsi="Arial" w:cs="Arial"/>
        </w:rPr>
        <w:t xml:space="preserve">  These nutrient requirements are often based on feeding purified diets rather than commercial foods.  To compensate for potential reductions in bioavailability, the Association of American Feed Control Officials (AAFCO) publishes its own nutrient requirements for dogs and cats to account for these bioavailability and potential processing losses.</w:t>
      </w:r>
      <w:r>
        <w:rPr>
          <w:rFonts w:ascii="Arial" w:hAnsi="Arial" w:cs="Arial"/>
          <w:noProof/>
        </w:rPr>
        <w:t>[25]</w:t>
      </w:r>
      <w:r>
        <w:rPr>
          <w:rFonts w:ascii="Arial" w:hAnsi="Arial" w:cs="Arial"/>
        </w:rPr>
        <w:t xml:space="preserve">  The AAFCO pet profiles are published yearly and claims of nutritional adequacy in pet foods are based on current AAFCO nutrient profiles.  Using AAFCO guidelines, a published study examining nutritional adequacy of a small number of homemade and commercial raw diets in dogs has been done.</w:t>
      </w:r>
      <w:r>
        <w:rPr>
          <w:rFonts w:ascii="Arial" w:hAnsi="Arial" w:cs="Arial"/>
          <w:noProof/>
        </w:rPr>
        <w:t>[152]</w:t>
      </w:r>
      <w:r>
        <w:rPr>
          <w:rFonts w:ascii="Arial" w:hAnsi="Arial" w:cs="Arial"/>
        </w:rPr>
        <w:t xml:space="preserve">  No studies to date have been reported in domestic cats.  The canine study evaluated 3 homemade raw diets (BARF </w:t>
      </w:r>
      <w:r>
        <w:rPr>
          <w:rFonts w:ascii="Arial" w:hAnsi="Arial" w:cs="Arial"/>
          <w:noProof/>
        </w:rPr>
        <w:t>[153]</w:t>
      </w:r>
      <w:r>
        <w:rPr>
          <w:rFonts w:ascii="Arial" w:hAnsi="Arial" w:cs="Arial"/>
        </w:rPr>
        <w:t xml:space="preserve">, Ultimate </w:t>
      </w:r>
      <w:r>
        <w:rPr>
          <w:rFonts w:ascii="Arial" w:hAnsi="Arial" w:cs="Arial"/>
          <w:noProof/>
        </w:rPr>
        <w:t>[4]</w:t>
      </w:r>
      <w:r>
        <w:rPr>
          <w:rFonts w:ascii="Arial" w:hAnsi="Arial" w:cs="Arial"/>
        </w:rPr>
        <w:t xml:space="preserve">, and Volhard </w:t>
      </w:r>
      <w:r>
        <w:rPr>
          <w:rFonts w:ascii="Arial" w:hAnsi="Arial" w:cs="Arial"/>
          <w:noProof/>
        </w:rPr>
        <w:t>[154]</w:t>
      </w:r>
      <w:r>
        <w:rPr>
          <w:rFonts w:ascii="Arial" w:hAnsi="Arial" w:cs="Arial"/>
        </w:rPr>
        <w:t>) and 2 commercial complete raw diets.  The diet nutrient profiles were compared after analysis to AAFCO minimum requirements.</w:t>
      </w:r>
      <w:r>
        <w:rPr>
          <w:rFonts w:ascii="Arial" w:hAnsi="Arial" w:cs="Arial"/>
          <w:noProof/>
        </w:rPr>
        <w:t>[152]</w:t>
      </w:r>
      <w:r>
        <w:rPr>
          <w:rFonts w:ascii="Arial" w:hAnsi="Arial" w:cs="Arial"/>
        </w:rPr>
        <w:t xml:space="preserve">  Two of the homemade diets were being fed to adult dogs and the 3</w:t>
      </w:r>
      <w:r w:rsidRPr="00886A1E">
        <w:rPr>
          <w:rFonts w:ascii="Arial" w:hAnsi="Arial" w:cs="Arial"/>
          <w:vertAlign w:val="superscript"/>
        </w:rPr>
        <w:t>rd</w:t>
      </w:r>
      <w:r>
        <w:rPr>
          <w:rFonts w:ascii="Arial" w:hAnsi="Arial" w:cs="Arial"/>
        </w:rPr>
        <w:t xml:space="preserve"> was being fed to a 4 month-old large breed puppy.  In the homemade raw diets, deficiencies were found in calcium, phosphorus, magnesium, potassium, manganese, iron and zinc.  The calcium to phosphorus ratios were improper in 2 of the 3 homemade diets.</w:t>
      </w:r>
      <w:r>
        <w:rPr>
          <w:rFonts w:ascii="Arial" w:hAnsi="Arial" w:cs="Arial"/>
          <w:noProof/>
        </w:rPr>
        <w:t>[152]</w:t>
      </w:r>
      <w:r>
        <w:rPr>
          <w:rFonts w:ascii="Arial" w:hAnsi="Arial" w:cs="Arial"/>
        </w:rPr>
        <w:t xml:space="preserve">  The homemade diet fed to the large-breed puppy had an elevated calcium to phosphorus ratio.  Elevated calcium levels increases the risk of developmental orthopedic disease in these breeds.</w:t>
      </w:r>
      <w:r>
        <w:rPr>
          <w:rFonts w:ascii="Arial" w:hAnsi="Arial" w:cs="Arial"/>
          <w:noProof/>
        </w:rPr>
        <w:t>[155]</w:t>
      </w:r>
      <w:r>
        <w:rPr>
          <w:rFonts w:ascii="Arial" w:hAnsi="Arial" w:cs="Arial"/>
        </w:rPr>
        <w:t xml:space="preserve">  One of the commercial raw diets was found to be low in calcium, phosphorus, and potassium with a low calcium to phosphorus ratio.  Very high levels of zinc were found in this diet.</w:t>
      </w:r>
      <w:r>
        <w:rPr>
          <w:rFonts w:ascii="Arial" w:hAnsi="Arial" w:cs="Arial"/>
          <w:noProof/>
        </w:rPr>
        <w:t>[152]</w:t>
      </w:r>
      <w:r>
        <w:rPr>
          <w:rFonts w:ascii="Arial" w:hAnsi="Arial" w:cs="Arial"/>
        </w:rPr>
        <w:t xml:space="preserve">  High levels of zinc in the diet can reduce intestinal copper absorption through </w:t>
      </w:r>
      <w:r>
        <w:rPr>
          <w:rFonts w:ascii="Arial" w:hAnsi="Arial" w:cs="Arial"/>
        </w:rPr>
        <w:lastRenderedPageBreak/>
        <w:t>increased production of metallothionein.</w:t>
      </w:r>
      <w:r>
        <w:rPr>
          <w:rFonts w:ascii="Arial" w:hAnsi="Arial" w:cs="Arial"/>
          <w:noProof/>
        </w:rPr>
        <w:t>[156]</w:t>
      </w:r>
      <w:r>
        <w:rPr>
          <w:rFonts w:ascii="Arial" w:hAnsi="Arial" w:cs="Arial"/>
        </w:rPr>
        <w:t xml:space="preserve">  Metallothionein is a cytosolic protein produced in response to high levels of zinc, copper or toxic heavy metals.  High levels of metallothionein in enterocytes bind copper preventing its movement through the cell, limiting absorption and leading to a possible copper deficiency.</w:t>
      </w:r>
      <w:r>
        <w:rPr>
          <w:rFonts w:ascii="Arial" w:hAnsi="Arial" w:cs="Arial"/>
          <w:noProof/>
        </w:rPr>
        <w:t>[156]</w:t>
      </w:r>
    </w:p>
    <w:p w:rsidR="00330CF1" w:rsidRDefault="00330CF1" w:rsidP="005F5ECF">
      <w:pPr>
        <w:autoSpaceDE w:val="0"/>
        <w:autoSpaceDN w:val="0"/>
        <w:adjustRightInd w:val="0"/>
        <w:rPr>
          <w:rFonts w:ascii="Arial" w:hAnsi="Arial" w:cs="Arial"/>
        </w:rPr>
      </w:pPr>
      <w:r>
        <w:rPr>
          <w:rFonts w:ascii="Arial" w:hAnsi="Arial" w:cs="Arial"/>
        </w:rPr>
        <w:t xml:space="preserve">     The second potential risk factor cited in feeding raw diets is gastrointestinal perforation, impactions or dental fractures from feeding raw bones.  Proponents have advised to feed raw uncooked bones claiming they can be more easily digested rather than cooked bones which can splinter and fracture.</w:t>
      </w:r>
      <w:r>
        <w:rPr>
          <w:rFonts w:ascii="Arial" w:hAnsi="Arial" w:cs="Arial"/>
          <w:noProof/>
        </w:rPr>
        <w:t>[4]</w:t>
      </w:r>
      <w:r>
        <w:rPr>
          <w:rFonts w:ascii="Arial" w:hAnsi="Arial" w:cs="Arial"/>
          <w:color w:val="FF0000"/>
        </w:rPr>
        <w:t xml:space="preserve">  </w:t>
      </w:r>
      <w:r>
        <w:rPr>
          <w:rFonts w:ascii="Arial" w:hAnsi="Arial" w:cs="Arial"/>
        </w:rPr>
        <w:t>No scientific studies to date confirm this.  There are reports of intestinal obstruction, gastrointestinal perforation, gastroenteritis and dental trauma from feeding raw bones.</w:t>
      </w:r>
      <w:r>
        <w:rPr>
          <w:rFonts w:ascii="Arial" w:hAnsi="Arial" w:cs="Arial"/>
          <w:noProof/>
        </w:rPr>
        <w:t>[152]</w:t>
      </w:r>
      <w:r>
        <w:rPr>
          <w:rFonts w:ascii="Arial" w:hAnsi="Arial" w:cs="Arial"/>
        </w:rPr>
        <w:t xml:space="preserve">  Subsequently, recommendations have been made to grind all bones used in raw diets.</w:t>
      </w:r>
      <w:r>
        <w:rPr>
          <w:rFonts w:ascii="Arial" w:hAnsi="Arial" w:cs="Arial"/>
          <w:noProof/>
        </w:rPr>
        <w:t>[157]</w:t>
      </w:r>
    </w:p>
    <w:p w:rsidR="00330CF1" w:rsidRDefault="00330CF1" w:rsidP="005F5ECF">
      <w:pPr>
        <w:autoSpaceDE w:val="0"/>
        <w:autoSpaceDN w:val="0"/>
        <w:adjustRightInd w:val="0"/>
        <w:rPr>
          <w:rFonts w:ascii="Arial" w:hAnsi="Arial" w:cs="Arial"/>
        </w:rPr>
      </w:pPr>
      <w:r>
        <w:rPr>
          <w:rFonts w:ascii="Arial" w:hAnsi="Arial" w:cs="Arial"/>
        </w:rPr>
        <w:t xml:space="preserve">     The third potential risk factor cited with feeding raw foods is food safety, both to the pets being fed the raw diets, and to the owners/family members who are in contact with the pet, pet food and environment.  Raw meat harbors microbial growth that is destroyed with application of adequate heat.  The incidence of food-borne morbidity and mortality to humans is reported to be 76 million cases with 325,000 hospitalizations and 5,000 deaths annually.</w:t>
      </w:r>
      <w:r>
        <w:rPr>
          <w:rFonts w:ascii="Arial" w:hAnsi="Arial" w:cs="Arial"/>
          <w:noProof/>
        </w:rPr>
        <w:t>[158]</w:t>
      </w:r>
      <w:r>
        <w:rPr>
          <w:rFonts w:ascii="Arial" w:hAnsi="Arial" w:cs="Arial"/>
        </w:rPr>
        <w:t xml:space="preserve">  Viruses are estimated to account for two-thirds of all food borne illness and known pathogenic bacteria for 30%.  </w:t>
      </w:r>
      <w:r w:rsidRPr="00A558CD">
        <w:rPr>
          <w:rFonts w:ascii="Arial" w:hAnsi="Arial" w:cs="Arial"/>
          <w:i/>
        </w:rPr>
        <w:t>Campylobacter</w:t>
      </w:r>
      <w:r>
        <w:rPr>
          <w:rFonts w:ascii="Arial" w:hAnsi="Arial" w:cs="Arial"/>
        </w:rPr>
        <w:t xml:space="preserve"> spp.</w:t>
      </w:r>
      <w:r w:rsidRPr="00A558CD">
        <w:rPr>
          <w:rFonts w:ascii="Arial" w:hAnsi="Arial" w:cs="Arial"/>
        </w:rPr>
        <w:t xml:space="preserve"> </w:t>
      </w:r>
      <w:r>
        <w:rPr>
          <w:rFonts w:ascii="Arial" w:hAnsi="Arial" w:cs="Arial"/>
        </w:rPr>
        <w:t>associated with poultry account for the majority of bacterial cases.</w:t>
      </w:r>
      <w:r>
        <w:rPr>
          <w:rFonts w:ascii="Arial" w:hAnsi="Arial" w:cs="Arial"/>
          <w:noProof/>
        </w:rPr>
        <w:t>[158]</w:t>
      </w:r>
      <w:r>
        <w:rPr>
          <w:rFonts w:ascii="Arial" w:hAnsi="Arial" w:cs="Arial"/>
        </w:rPr>
        <w:t xml:space="preserve">  Parasites are believed to account for approximately 3% of food-borne illnesses.</w:t>
      </w:r>
      <w:r>
        <w:rPr>
          <w:rFonts w:ascii="Arial" w:hAnsi="Arial" w:cs="Arial"/>
          <w:noProof/>
        </w:rPr>
        <w:t>[158]</w:t>
      </w:r>
      <w:r>
        <w:rPr>
          <w:rFonts w:ascii="Arial" w:hAnsi="Arial" w:cs="Arial"/>
        </w:rPr>
        <w:t xml:space="preserve">  In contrast, morbidity from bacteria, viruses or parasites are much different.  Seventy-two percent of deaths from food are attributable to bacteria, 21% to parasites and 7% viruses.</w:t>
      </w:r>
    </w:p>
    <w:p w:rsidR="00330CF1" w:rsidRDefault="00330CF1" w:rsidP="005F5ECF">
      <w:pPr>
        <w:autoSpaceDE w:val="0"/>
        <w:autoSpaceDN w:val="0"/>
        <w:adjustRightInd w:val="0"/>
        <w:rPr>
          <w:rFonts w:ascii="Arial" w:hAnsi="Arial" w:cs="Arial"/>
        </w:rPr>
      </w:pPr>
      <w:r>
        <w:rPr>
          <w:rFonts w:ascii="Arial" w:hAnsi="Arial" w:cs="Arial"/>
        </w:rPr>
        <w:t xml:space="preserve">     The overall prevalence of pathogenic bacterial contamination in raw meat and poultry sold for human consumption varies greatly, with ranges of 1% - 100% depending on the contaminant, the species of animal used to produce the raw ingredient, the amount of processing of the raw ingredient i.e. the number of times the ingredient has been handled, and the facility it is processed in.  Overall prevalence of </w:t>
      </w:r>
      <w:r w:rsidRPr="00A558CD">
        <w:rPr>
          <w:rFonts w:ascii="Arial" w:hAnsi="Arial" w:cs="Arial"/>
          <w:i/>
        </w:rPr>
        <w:t>Salmonella</w:t>
      </w:r>
      <w:r>
        <w:rPr>
          <w:rFonts w:ascii="Arial" w:hAnsi="Arial" w:cs="Arial"/>
        </w:rPr>
        <w:t xml:space="preserve"> spp. in 2002-2003 in poultry used for human consumption was reported to be 9.1%-12.8%, while </w:t>
      </w:r>
      <w:r w:rsidRPr="00A558CD">
        <w:rPr>
          <w:rFonts w:ascii="Arial" w:hAnsi="Arial" w:cs="Arial"/>
          <w:i/>
        </w:rPr>
        <w:t>Campylobacter jejuni</w:t>
      </w:r>
      <w:r>
        <w:rPr>
          <w:rFonts w:ascii="Arial" w:hAnsi="Arial" w:cs="Arial"/>
        </w:rPr>
        <w:t xml:space="preserve"> was found in 73.6% of samples.</w:t>
      </w:r>
      <w:r>
        <w:rPr>
          <w:rFonts w:ascii="Arial" w:hAnsi="Arial" w:cs="Arial"/>
          <w:noProof/>
        </w:rPr>
        <w:t>[159]</w:t>
      </w:r>
      <w:r>
        <w:rPr>
          <w:rFonts w:ascii="Arial" w:hAnsi="Arial" w:cs="Arial"/>
        </w:rPr>
        <w:t xml:space="preserve">  In human grade raw beef products, prevalence ranges for pathogenic </w:t>
      </w:r>
      <w:r w:rsidRPr="00A558CD">
        <w:rPr>
          <w:rFonts w:ascii="Arial" w:hAnsi="Arial" w:cs="Arial"/>
          <w:i/>
        </w:rPr>
        <w:t>E.coli</w:t>
      </w:r>
      <w:r>
        <w:rPr>
          <w:rFonts w:ascii="Arial" w:hAnsi="Arial" w:cs="Arial"/>
        </w:rPr>
        <w:t xml:space="preserve"> O157:H7 have been found to be 0.0-28%, and for </w:t>
      </w:r>
      <w:r w:rsidRPr="00A558CD">
        <w:rPr>
          <w:rFonts w:ascii="Arial" w:hAnsi="Arial" w:cs="Arial"/>
          <w:i/>
        </w:rPr>
        <w:t>Salmonella</w:t>
      </w:r>
      <w:r>
        <w:rPr>
          <w:rFonts w:ascii="Arial" w:hAnsi="Arial" w:cs="Arial"/>
        </w:rPr>
        <w:t xml:space="preserve"> spp. 0.0-7.5%.</w:t>
      </w:r>
      <w:r>
        <w:rPr>
          <w:rFonts w:ascii="Arial" w:hAnsi="Arial" w:cs="Arial"/>
          <w:noProof/>
        </w:rPr>
        <w:t>[160, 161]</w:t>
      </w:r>
      <w:r>
        <w:rPr>
          <w:rFonts w:ascii="Arial" w:hAnsi="Arial" w:cs="Arial"/>
        </w:rPr>
        <w:t xml:space="preserve">  Cattle are known to harbor large numbers of </w:t>
      </w:r>
      <w:r w:rsidRPr="00A558CD">
        <w:rPr>
          <w:rFonts w:ascii="Arial" w:hAnsi="Arial" w:cs="Arial"/>
          <w:i/>
        </w:rPr>
        <w:t>E. coli</w:t>
      </w:r>
      <w:r>
        <w:rPr>
          <w:rFonts w:ascii="Arial" w:hAnsi="Arial" w:cs="Arial"/>
        </w:rPr>
        <w:t xml:space="preserve"> through fecal contamination, with numbers ranging between 10</w:t>
      </w:r>
      <w:r>
        <w:rPr>
          <w:rFonts w:ascii="Arial" w:hAnsi="Arial" w:cs="Arial"/>
          <w:vertAlign w:val="superscript"/>
        </w:rPr>
        <w:t>5</w:t>
      </w:r>
      <w:r>
        <w:rPr>
          <w:rFonts w:ascii="Arial" w:hAnsi="Arial" w:cs="Arial"/>
        </w:rPr>
        <w:t xml:space="preserve"> to 10</w:t>
      </w:r>
      <w:r>
        <w:rPr>
          <w:rFonts w:ascii="Arial" w:hAnsi="Arial" w:cs="Arial"/>
          <w:vertAlign w:val="superscript"/>
        </w:rPr>
        <w:t>6</w:t>
      </w:r>
      <w:r>
        <w:rPr>
          <w:rFonts w:ascii="Arial" w:hAnsi="Arial" w:cs="Arial"/>
        </w:rPr>
        <w:t xml:space="preserve"> CFU/g feces.  The same fecal strains of </w:t>
      </w:r>
      <w:r w:rsidRPr="00910944">
        <w:rPr>
          <w:rFonts w:ascii="Arial" w:hAnsi="Arial" w:cs="Arial"/>
          <w:i/>
        </w:rPr>
        <w:t>E. coli</w:t>
      </w:r>
      <w:r>
        <w:rPr>
          <w:rFonts w:ascii="Arial" w:hAnsi="Arial" w:cs="Arial"/>
        </w:rPr>
        <w:t xml:space="preserve"> have been recovered throughout the entire production-processing continuum and in the raw beef products.</w:t>
      </w:r>
      <w:r>
        <w:rPr>
          <w:rFonts w:ascii="Arial" w:hAnsi="Arial" w:cs="Arial"/>
          <w:noProof/>
        </w:rPr>
        <w:t>[162]</w:t>
      </w:r>
      <w:r>
        <w:rPr>
          <w:rFonts w:ascii="Arial" w:hAnsi="Arial" w:cs="Arial"/>
        </w:rPr>
        <w:t xml:space="preserve">  </w:t>
      </w:r>
    </w:p>
    <w:p w:rsidR="00330CF1" w:rsidRDefault="00330CF1" w:rsidP="005F5ECF">
      <w:pPr>
        <w:autoSpaceDE w:val="0"/>
        <w:autoSpaceDN w:val="0"/>
        <w:adjustRightInd w:val="0"/>
        <w:rPr>
          <w:rFonts w:ascii="Arial" w:hAnsi="Arial" w:cs="Arial"/>
        </w:rPr>
      </w:pPr>
      <w:r>
        <w:rPr>
          <w:rFonts w:ascii="Arial" w:hAnsi="Arial" w:cs="Arial"/>
        </w:rPr>
        <w:t xml:space="preserve">     Processing standards and laws to minimize microbial contamination of meat products for humans are not mandatory in production of pet foods.  The USDA’s Food Safety Inspection Service is responsible for ensuring that the domestic food supply is safe and that contamination of meat products with pathogens is minimal.  Unlike food intended for human use, there is no regulatory agency with binding laws to ensure and monitor bacterial contamination in raw foods that can be used for pets.  The Food and Drug Administration Center for Veterinary Medicine has guidelines for the manufacture and labeling of raw meat foods for companion and captive noncompanion carnivores and omnivores </w:t>
      </w:r>
      <w:r>
        <w:rPr>
          <w:rFonts w:ascii="Arial" w:hAnsi="Arial" w:cs="Arial"/>
          <w:noProof/>
        </w:rPr>
        <w:t>[157]</w:t>
      </w:r>
      <w:r>
        <w:rPr>
          <w:rFonts w:ascii="Arial" w:hAnsi="Arial" w:cs="Arial"/>
        </w:rPr>
        <w:t xml:space="preserve"> but these guidelines are not binding and producers can choose to follow or reject them.</w:t>
      </w:r>
    </w:p>
    <w:p w:rsidR="00330CF1" w:rsidRDefault="00330CF1" w:rsidP="005F5ECF">
      <w:pPr>
        <w:autoSpaceDE w:val="0"/>
        <w:autoSpaceDN w:val="0"/>
        <w:adjustRightInd w:val="0"/>
        <w:rPr>
          <w:rFonts w:ascii="Arial" w:hAnsi="Arial" w:cs="Arial"/>
        </w:rPr>
      </w:pPr>
      <w:r>
        <w:rPr>
          <w:rFonts w:ascii="Arial" w:hAnsi="Arial" w:cs="Arial"/>
        </w:rPr>
        <w:lastRenderedPageBreak/>
        <w:t xml:space="preserve">     There have been several studies evaluating bacterial contamination in raw foods for companion animal consumption.  In one study that evaluated bacterial contamination in raw beef fed to racing greyhounds, </w:t>
      </w:r>
      <w:r w:rsidRPr="001B4C11">
        <w:rPr>
          <w:rFonts w:ascii="Arial" w:hAnsi="Arial" w:cs="Arial"/>
          <w:i/>
        </w:rPr>
        <w:t>Salmonella</w:t>
      </w:r>
      <w:r>
        <w:rPr>
          <w:rFonts w:ascii="Arial" w:hAnsi="Arial" w:cs="Arial"/>
        </w:rPr>
        <w:t xml:space="preserve"> spp. was found in 75% of raw meat diet samples and 93% of fecal samples.</w:t>
      </w:r>
      <w:r>
        <w:rPr>
          <w:rFonts w:ascii="Arial" w:hAnsi="Arial" w:cs="Arial"/>
          <w:noProof/>
        </w:rPr>
        <w:t>[5]</w:t>
      </w:r>
      <w:r>
        <w:rPr>
          <w:rFonts w:ascii="Arial" w:hAnsi="Arial" w:cs="Arial"/>
        </w:rPr>
        <w:t xml:space="preserve">  All the dogs had normal stools with the exception of one dog with diarrhea.</w:t>
      </w:r>
      <w:r>
        <w:rPr>
          <w:rFonts w:ascii="Arial" w:hAnsi="Arial" w:cs="Arial"/>
          <w:noProof/>
        </w:rPr>
        <w:t>[5]</w:t>
      </w:r>
      <w:r>
        <w:rPr>
          <w:rFonts w:ascii="Arial" w:hAnsi="Arial" w:cs="Arial"/>
        </w:rPr>
        <w:t xml:space="preserve">  All of the dogs in this study that were ill or had died with salmonellosis were young puppies.  No juvenile or adult dogs were ill.</w:t>
      </w:r>
      <w:r>
        <w:rPr>
          <w:rFonts w:ascii="Arial" w:hAnsi="Arial" w:cs="Arial"/>
          <w:noProof/>
        </w:rPr>
        <w:t>[5]</w:t>
      </w:r>
      <w:r>
        <w:rPr>
          <w:rFonts w:ascii="Arial" w:hAnsi="Arial" w:cs="Arial"/>
        </w:rPr>
        <w:t xml:space="preserve">  Another study that cultured 10 raw meat samples used for feeding dogs based on chicken found 80% of the diets and 30% of stool samples contaminated with </w:t>
      </w:r>
      <w:r w:rsidRPr="001B4C11">
        <w:rPr>
          <w:rFonts w:ascii="Arial" w:hAnsi="Arial" w:cs="Arial"/>
          <w:i/>
        </w:rPr>
        <w:t xml:space="preserve">Salmonella </w:t>
      </w:r>
      <w:r>
        <w:rPr>
          <w:rFonts w:ascii="Arial" w:hAnsi="Arial" w:cs="Arial"/>
        </w:rPr>
        <w:t>spp.</w:t>
      </w:r>
      <w:r>
        <w:rPr>
          <w:rFonts w:ascii="Arial" w:hAnsi="Arial" w:cs="Arial"/>
          <w:noProof/>
        </w:rPr>
        <w:t>[6]</w:t>
      </w:r>
      <w:r>
        <w:rPr>
          <w:rFonts w:ascii="Arial" w:hAnsi="Arial" w:cs="Arial"/>
        </w:rPr>
        <w:t xml:space="preserve">  Since only one fecal sample was cultured, this may be an underestimate since </w:t>
      </w:r>
      <w:r w:rsidRPr="001B4C11">
        <w:rPr>
          <w:rFonts w:ascii="Arial" w:hAnsi="Arial" w:cs="Arial"/>
          <w:i/>
        </w:rPr>
        <w:t>Salmonella</w:t>
      </w:r>
      <w:r>
        <w:rPr>
          <w:rFonts w:ascii="Arial" w:hAnsi="Arial" w:cs="Arial"/>
          <w:i/>
        </w:rPr>
        <w:t xml:space="preserve"> </w:t>
      </w:r>
      <w:r>
        <w:rPr>
          <w:rFonts w:ascii="Arial" w:hAnsi="Arial" w:cs="Arial"/>
        </w:rPr>
        <w:t>spp.</w:t>
      </w:r>
      <w:r w:rsidRPr="001B4C11">
        <w:rPr>
          <w:rFonts w:ascii="Arial" w:hAnsi="Arial" w:cs="Arial"/>
          <w:i/>
        </w:rPr>
        <w:t xml:space="preserve"> </w:t>
      </w:r>
      <w:r>
        <w:rPr>
          <w:rFonts w:ascii="Arial" w:hAnsi="Arial" w:cs="Arial"/>
        </w:rPr>
        <w:t>is difficult to isolate and shedding can be intermittent.</w:t>
      </w:r>
      <w:r>
        <w:rPr>
          <w:rFonts w:ascii="Arial" w:hAnsi="Arial" w:cs="Arial"/>
          <w:noProof/>
        </w:rPr>
        <w:t>[163]</w:t>
      </w:r>
      <w:r>
        <w:rPr>
          <w:rFonts w:ascii="Arial" w:hAnsi="Arial" w:cs="Arial"/>
        </w:rPr>
        <w:t xml:space="preserve">  Commercial raw pet diets have been found to contain high levels of bacterial pathogens.  In one study, </w:t>
      </w:r>
      <w:r w:rsidRPr="001B4C11">
        <w:rPr>
          <w:rFonts w:ascii="Arial" w:hAnsi="Arial" w:cs="Arial"/>
          <w:i/>
        </w:rPr>
        <w:t>E coli</w:t>
      </w:r>
      <w:r>
        <w:rPr>
          <w:rFonts w:ascii="Arial" w:hAnsi="Arial" w:cs="Arial"/>
        </w:rPr>
        <w:t xml:space="preserve"> was found in 64% of the diets, but </w:t>
      </w:r>
      <w:r w:rsidRPr="001B4C11">
        <w:rPr>
          <w:rFonts w:ascii="Arial" w:hAnsi="Arial" w:cs="Arial"/>
          <w:i/>
        </w:rPr>
        <w:t xml:space="preserve">E.coli </w:t>
      </w:r>
      <w:r>
        <w:rPr>
          <w:rFonts w:ascii="Arial" w:hAnsi="Arial" w:cs="Arial"/>
        </w:rPr>
        <w:t>O157:H7 was not detected.</w:t>
      </w:r>
      <w:r>
        <w:rPr>
          <w:rFonts w:ascii="Arial" w:hAnsi="Arial" w:cs="Arial"/>
          <w:noProof/>
        </w:rPr>
        <w:t>[164]</w:t>
      </w:r>
      <w:r>
        <w:rPr>
          <w:rFonts w:ascii="Arial" w:hAnsi="Arial" w:cs="Arial"/>
        </w:rPr>
        <w:t xml:space="preserve">  </w:t>
      </w:r>
      <w:r w:rsidRPr="001B4C11">
        <w:rPr>
          <w:rFonts w:ascii="Arial" w:hAnsi="Arial" w:cs="Arial"/>
          <w:i/>
        </w:rPr>
        <w:t>Salmonella</w:t>
      </w:r>
      <w:r>
        <w:rPr>
          <w:rFonts w:ascii="Arial" w:hAnsi="Arial" w:cs="Arial"/>
        </w:rPr>
        <w:t xml:space="preserve"> spp. was detected in 20% of the diets while </w:t>
      </w:r>
      <w:r w:rsidRPr="001B4C11">
        <w:rPr>
          <w:rFonts w:ascii="Arial" w:hAnsi="Arial" w:cs="Arial"/>
          <w:i/>
        </w:rPr>
        <w:t xml:space="preserve">Campylobacter </w:t>
      </w:r>
      <w:r>
        <w:rPr>
          <w:rFonts w:ascii="Arial" w:hAnsi="Arial" w:cs="Arial"/>
        </w:rPr>
        <w:t>spp. was not isolated.</w:t>
      </w:r>
      <w:r>
        <w:rPr>
          <w:rFonts w:ascii="Arial" w:hAnsi="Arial" w:cs="Arial"/>
          <w:noProof/>
        </w:rPr>
        <w:t>[164]</w:t>
      </w:r>
      <w:r>
        <w:rPr>
          <w:rFonts w:ascii="Arial" w:hAnsi="Arial" w:cs="Arial"/>
        </w:rPr>
        <w:t xml:space="preserve">  A second study evaluating bacterial and protozoal contamination of commercial raw meat diets for dogs found 53% of the samples contaminated with </w:t>
      </w:r>
      <w:r w:rsidRPr="000345B3">
        <w:rPr>
          <w:rFonts w:ascii="Arial" w:hAnsi="Arial" w:cs="Arial"/>
          <w:i/>
        </w:rPr>
        <w:t>E. coli</w:t>
      </w:r>
      <w:r>
        <w:rPr>
          <w:rFonts w:ascii="Arial" w:hAnsi="Arial" w:cs="Arial"/>
        </w:rPr>
        <w:t xml:space="preserve">, 5.9% contaminated with </w:t>
      </w:r>
      <w:r w:rsidRPr="000345B3">
        <w:rPr>
          <w:rFonts w:ascii="Arial" w:hAnsi="Arial" w:cs="Arial"/>
          <w:i/>
        </w:rPr>
        <w:t>Salmonella</w:t>
      </w:r>
      <w:r>
        <w:rPr>
          <w:rFonts w:ascii="Arial" w:hAnsi="Arial" w:cs="Arial"/>
        </w:rPr>
        <w:t xml:space="preserve"> spp. and 1% contaminated with </w:t>
      </w:r>
      <w:r w:rsidRPr="000345B3">
        <w:rPr>
          <w:rFonts w:ascii="Arial" w:hAnsi="Arial" w:cs="Arial"/>
          <w:i/>
        </w:rPr>
        <w:t>Cryptosporidium parvum</w:t>
      </w:r>
      <w:r>
        <w:rPr>
          <w:rFonts w:ascii="Arial" w:hAnsi="Arial" w:cs="Arial"/>
        </w:rPr>
        <w:t>.</w:t>
      </w:r>
      <w:r>
        <w:rPr>
          <w:rFonts w:ascii="Arial" w:hAnsi="Arial" w:cs="Arial"/>
          <w:noProof/>
        </w:rPr>
        <w:t>[165]</w:t>
      </w:r>
      <w:r>
        <w:rPr>
          <w:rFonts w:ascii="Arial" w:hAnsi="Arial" w:cs="Arial"/>
        </w:rPr>
        <w:t xml:space="preserve">  Testing for </w:t>
      </w:r>
      <w:r w:rsidRPr="000345B3">
        <w:rPr>
          <w:rFonts w:ascii="Arial" w:hAnsi="Arial" w:cs="Arial"/>
          <w:i/>
        </w:rPr>
        <w:t>Campylobacter</w:t>
      </w:r>
      <w:r>
        <w:rPr>
          <w:rFonts w:ascii="Arial" w:hAnsi="Arial" w:cs="Arial"/>
        </w:rPr>
        <w:t xml:space="preserve"> spp. was negative.  Testing specific for </w:t>
      </w:r>
      <w:r w:rsidRPr="000345B3">
        <w:rPr>
          <w:rFonts w:ascii="Arial" w:hAnsi="Arial" w:cs="Arial"/>
          <w:i/>
        </w:rPr>
        <w:t>E.coli</w:t>
      </w:r>
      <w:r>
        <w:rPr>
          <w:rFonts w:ascii="Arial" w:hAnsi="Arial" w:cs="Arial"/>
        </w:rPr>
        <w:t xml:space="preserve"> O157 was not preformed.</w:t>
      </w:r>
      <w:r>
        <w:rPr>
          <w:rFonts w:ascii="Arial" w:hAnsi="Arial" w:cs="Arial"/>
          <w:noProof/>
        </w:rPr>
        <w:t>[165]</w:t>
      </w:r>
      <w:r>
        <w:rPr>
          <w:rFonts w:ascii="Arial" w:hAnsi="Arial" w:cs="Arial"/>
        </w:rPr>
        <w:t xml:space="preserve">  It has been speculated that despite the high prevalence of poultry contamination with </w:t>
      </w:r>
      <w:r w:rsidRPr="000345B3">
        <w:rPr>
          <w:rFonts w:ascii="Arial" w:hAnsi="Arial" w:cs="Arial"/>
          <w:i/>
        </w:rPr>
        <w:t>Campylobacter</w:t>
      </w:r>
      <w:r>
        <w:rPr>
          <w:rFonts w:ascii="Arial" w:hAnsi="Arial" w:cs="Arial"/>
          <w:i/>
        </w:rPr>
        <w:t xml:space="preserve"> </w:t>
      </w:r>
      <w:r>
        <w:rPr>
          <w:rFonts w:ascii="Arial" w:hAnsi="Arial" w:cs="Arial"/>
        </w:rPr>
        <w:t xml:space="preserve">spp., negative results in these studies have be related to </w:t>
      </w:r>
      <w:r w:rsidRPr="000345B3">
        <w:rPr>
          <w:rFonts w:ascii="Arial" w:hAnsi="Arial" w:cs="Arial"/>
          <w:i/>
        </w:rPr>
        <w:t>Campylobacter</w:t>
      </w:r>
      <w:r>
        <w:rPr>
          <w:rFonts w:ascii="Arial" w:hAnsi="Arial" w:cs="Arial"/>
        </w:rPr>
        <w:t xml:space="preserve"> spp. strict anaerobic requirement and intolerance to drying conditions.</w:t>
      </w:r>
      <w:r>
        <w:rPr>
          <w:rFonts w:ascii="Arial" w:hAnsi="Arial" w:cs="Arial"/>
          <w:noProof/>
        </w:rPr>
        <w:t>[165]</w:t>
      </w:r>
    </w:p>
    <w:p w:rsidR="00330CF1" w:rsidRDefault="00330CF1" w:rsidP="00A2336F">
      <w:pPr>
        <w:autoSpaceDE w:val="0"/>
        <w:autoSpaceDN w:val="0"/>
        <w:adjustRightInd w:val="0"/>
        <w:rPr>
          <w:rFonts w:ascii="Arial" w:hAnsi="Arial" w:cs="Arial"/>
        </w:rPr>
      </w:pPr>
      <w:r>
        <w:rPr>
          <w:rFonts w:ascii="Arial" w:hAnsi="Arial" w:cs="Arial"/>
        </w:rPr>
        <w:t xml:space="preserve">     The risk to human health with feeding raw meat to pets is another risk factor.  In addition to the diet itself being a source of pathogens for humans, food utensils, feeding bowls and areas of possible fecal contamination are also sources of contamination.  The same pathogens isolated from raw diets have been found in dog’s feces </w:t>
      </w:r>
      <w:r>
        <w:rPr>
          <w:rFonts w:ascii="Arial" w:hAnsi="Arial" w:cs="Arial"/>
          <w:noProof/>
        </w:rPr>
        <w:t>[6]</w:t>
      </w:r>
      <w:r>
        <w:rPr>
          <w:rFonts w:ascii="Arial" w:hAnsi="Arial" w:cs="Arial"/>
        </w:rPr>
        <w:t xml:space="preserve"> and subsequently in owners/family members  that have become ill.</w:t>
      </w:r>
      <w:r>
        <w:rPr>
          <w:rFonts w:ascii="Arial" w:hAnsi="Arial" w:cs="Arial"/>
          <w:noProof/>
        </w:rPr>
        <w:t>[161, 166, 167]</w:t>
      </w:r>
      <w:r>
        <w:rPr>
          <w:rFonts w:ascii="Arial" w:hAnsi="Arial" w:cs="Arial"/>
        </w:rPr>
        <w:t xml:space="preserve">  Although </w:t>
      </w:r>
      <w:r w:rsidRPr="000345B3">
        <w:rPr>
          <w:rFonts w:ascii="Arial" w:hAnsi="Arial" w:cs="Arial"/>
          <w:i/>
        </w:rPr>
        <w:t>E.coli</w:t>
      </w:r>
      <w:r>
        <w:rPr>
          <w:rFonts w:ascii="Arial" w:hAnsi="Arial" w:cs="Arial"/>
        </w:rPr>
        <w:t xml:space="preserve"> O157 transmission from dogs to humans has been documented, cat-human transmission to date has not been documented.  The populations at greatest risk for contracting illness in households feeding raw diets are the very young (infants and children), the elderly, pregnant women, and the immunocompromised.  </w:t>
      </w:r>
    </w:p>
    <w:p w:rsidR="00330CF1" w:rsidRDefault="00330CF1" w:rsidP="00A2336F">
      <w:pPr>
        <w:autoSpaceDE w:val="0"/>
        <w:autoSpaceDN w:val="0"/>
        <w:adjustRightInd w:val="0"/>
        <w:rPr>
          <w:rFonts w:ascii="Arial" w:hAnsi="Arial" w:cs="Arial"/>
        </w:rPr>
      </w:pPr>
      <w:r>
        <w:rPr>
          <w:rFonts w:ascii="Arial" w:hAnsi="Arial" w:cs="Arial"/>
        </w:rPr>
        <w:t xml:space="preserve">     Pathogen contamination is not unique to unprocessed pet foods.  Commercial pet foods have been subject to numerous recalls for </w:t>
      </w:r>
      <w:r>
        <w:rPr>
          <w:rFonts w:ascii="Arial" w:hAnsi="Arial" w:cs="Arial"/>
          <w:i/>
        </w:rPr>
        <w:t xml:space="preserve">Salmonella </w:t>
      </w:r>
      <w:r>
        <w:rPr>
          <w:rFonts w:ascii="Arial" w:hAnsi="Arial" w:cs="Arial"/>
        </w:rPr>
        <w:t>spp.</w:t>
      </w:r>
      <w:r>
        <w:rPr>
          <w:rFonts w:ascii="Arial" w:hAnsi="Arial" w:cs="Arial"/>
          <w:noProof/>
        </w:rPr>
        <w:t>[168]</w:t>
      </w:r>
      <w:r>
        <w:rPr>
          <w:rFonts w:ascii="Arial" w:hAnsi="Arial" w:cs="Arial"/>
        </w:rPr>
        <w:t xml:space="preserve">  A recent multi-state outbreak of Human </w:t>
      </w:r>
      <w:r w:rsidRPr="00A321C8">
        <w:rPr>
          <w:rFonts w:ascii="Arial" w:hAnsi="Arial" w:cs="Arial"/>
          <w:i/>
        </w:rPr>
        <w:t>Salmonella</w:t>
      </w:r>
      <w:r>
        <w:rPr>
          <w:rFonts w:ascii="Arial" w:hAnsi="Arial" w:cs="Arial"/>
        </w:rPr>
        <w:t xml:space="preserve"> Infantis infection has been traced to multiple brands of a dry commercial dog food, leading to illness in 9 individuals.</w:t>
      </w:r>
      <w:r>
        <w:rPr>
          <w:rFonts w:ascii="Arial" w:hAnsi="Arial" w:cs="Arial"/>
          <w:noProof/>
        </w:rPr>
        <w:t>[169]</w:t>
      </w:r>
      <w:r>
        <w:rPr>
          <w:rFonts w:ascii="Arial" w:hAnsi="Arial" w:cs="Arial"/>
        </w:rPr>
        <w:t xml:space="preserve">  </w:t>
      </w:r>
    </w:p>
    <w:p w:rsidR="00330CF1" w:rsidRDefault="00330CF1" w:rsidP="005F5ECF">
      <w:pPr>
        <w:autoSpaceDE w:val="0"/>
        <w:autoSpaceDN w:val="0"/>
        <w:adjustRightInd w:val="0"/>
        <w:rPr>
          <w:rFonts w:ascii="Arial" w:hAnsi="Arial" w:cs="Arial"/>
        </w:rPr>
      </w:pPr>
      <w:r>
        <w:rPr>
          <w:rFonts w:ascii="Arial" w:hAnsi="Arial" w:cs="Arial"/>
        </w:rPr>
        <w:t xml:space="preserve">     The parasites of primary concern in feeding raw diets to cats include the protozoan </w:t>
      </w:r>
      <w:r w:rsidRPr="007B33F8">
        <w:rPr>
          <w:rFonts w:ascii="Arial" w:hAnsi="Arial" w:cs="Arial"/>
          <w:i/>
        </w:rPr>
        <w:t>Toxoplasma gondii</w:t>
      </w:r>
      <w:r>
        <w:rPr>
          <w:rFonts w:ascii="Arial" w:hAnsi="Arial" w:cs="Arial"/>
        </w:rPr>
        <w:t xml:space="preserve"> and nematode </w:t>
      </w:r>
      <w:r w:rsidRPr="007B33F8">
        <w:rPr>
          <w:rFonts w:ascii="Arial" w:hAnsi="Arial" w:cs="Arial"/>
          <w:i/>
        </w:rPr>
        <w:t>Trichinella</w:t>
      </w:r>
      <w:r>
        <w:rPr>
          <w:rFonts w:ascii="Arial" w:hAnsi="Arial" w:cs="Arial"/>
        </w:rPr>
        <w:t xml:space="preserve"> spp.  </w:t>
      </w:r>
      <w:r w:rsidRPr="007B33F8">
        <w:rPr>
          <w:rFonts w:ascii="Arial" w:hAnsi="Arial" w:cs="Arial"/>
          <w:i/>
        </w:rPr>
        <w:t>Neospora</w:t>
      </w:r>
      <w:r>
        <w:rPr>
          <w:rFonts w:ascii="Arial" w:hAnsi="Arial" w:cs="Arial"/>
        </w:rPr>
        <w:t xml:space="preserve"> spp., </w:t>
      </w:r>
      <w:r>
        <w:rPr>
          <w:rFonts w:ascii="Arial" w:hAnsi="Arial" w:cs="Arial"/>
          <w:i/>
        </w:rPr>
        <w:t>Cryptosporidium</w:t>
      </w:r>
      <w:r w:rsidRPr="007B33F8">
        <w:rPr>
          <w:rFonts w:ascii="Arial" w:hAnsi="Arial" w:cs="Arial"/>
          <w:i/>
        </w:rPr>
        <w:t xml:space="preserve"> parvum</w:t>
      </w:r>
      <w:r>
        <w:rPr>
          <w:rFonts w:ascii="Arial" w:hAnsi="Arial" w:cs="Arial"/>
        </w:rPr>
        <w:t xml:space="preserve">, and </w:t>
      </w:r>
      <w:r w:rsidRPr="007B33F8">
        <w:rPr>
          <w:rFonts w:ascii="Arial" w:hAnsi="Arial" w:cs="Arial"/>
          <w:i/>
        </w:rPr>
        <w:t>Giardia</w:t>
      </w:r>
      <w:r>
        <w:rPr>
          <w:rFonts w:ascii="Arial" w:hAnsi="Arial" w:cs="Arial"/>
        </w:rPr>
        <w:t xml:space="preserve"> spp. have also been cited.</w:t>
      </w:r>
      <w:r>
        <w:rPr>
          <w:rFonts w:ascii="Arial" w:hAnsi="Arial" w:cs="Arial"/>
          <w:noProof/>
        </w:rPr>
        <w:t>[170]</w:t>
      </w:r>
      <w:r>
        <w:rPr>
          <w:rFonts w:ascii="Arial" w:hAnsi="Arial" w:cs="Arial"/>
        </w:rPr>
        <w:t xml:space="preserve">  Since the domestic dog is the definitive host for </w:t>
      </w:r>
      <w:r w:rsidRPr="007B33F8">
        <w:rPr>
          <w:rFonts w:ascii="Arial" w:hAnsi="Arial" w:cs="Arial"/>
          <w:i/>
        </w:rPr>
        <w:t>Neospora</w:t>
      </w:r>
      <w:r>
        <w:rPr>
          <w:rFonts w:ascii="Arial" w:hAnsi="Arial" w:cs="Arial"/>
        </w:rPr>
        <w:t>, naturally occurring canine infections are common.</w:t>
      </w:r>
      <w:r>
        <w:rPr>
          <w:rFonts w:ascii="Arial" w:hAnsi="Arial" w:cs="Arial"/>
          <w:noProof/>
        </w:rPr>
        <w:t>[171]</w:t>
      </w:r>
      <w:r>
        <w:rPr>
          <w:rFonts w:ascii="Arial" w:hAnsi="Arial" w:cs="Arial"/>
        </w:rPr>
        <w:t xml:space="preserve">  Tachyzoites become encysted in neural cells and occasionally muscle cells.  Dogs become infected from eating infected tissues from the intermediate herbivore hosts.</w:t>
      </w:r>
      <w:r>
        <w:rPr>
          <w:rFonts w:ascii="Arial" w:hAnsi="Arial" w:cs="Arial"/>
          <w:noProof/>
        </w:rPr>
        <w:t>[172]</w:t>
      </w:r>
      <w:r>
        <w:rPr>
          <w:rFonts w:ascii="Arial" w:hAnsi="Arial" w:cs="Arial"/>
        </w:rPr>
        <w:t xml:space="preserve">  Dogs fed raw meat have a three times higher prevalence of </w:t>
      </w:r>
      <w:r>
        <w:rPr>
          <w:rFonts w:ascii="Arial" w:hAnsi="Arial" w:cs="Arial"/>
          <w:i/>
        </w:rPr>
        <w:t>N</w:t>
      </w:r>
      <w:r w:rsidRPr="007B33F8">
        <w:rPr>
          <w:rFonts w:ascii="Arial" w:hAnsi="Arial" w:cs="Arial"/>
          <w:i/>
        </w:rPr>
        <w:t>eospora</w:t>
      </w:r>
      <w:r>
        <w:rPr>
          <w:rFonts w:ascii="Arial" w:hAnsi="Arial" w:cs="Arial"/>
          <w:i/>
        </w:rPr>
        <w:t xml:space="preserve"> </w:t>
      </w:r>
      <w:r>
        <w:rPr>
          <w:rFonts w:ascii="Arial" w:hAnsi="Arial" w:cs="Arial"/>
        </w:rPr>
        <w:t>spp. antibody than dogs on commercial diets.</w:t>
      </w:r>
      <w:r>
        <w:rPr>
          <w:rFonts w:ascii="Arial" w:hAnsi="Arial" w:cs="Arial"/>
          <w:noProof/>
        </w:rPr>
        <w:t>[173]</w:t>
      </w:r>
      <w:r>
        <w:rPr>
          <w:rFonts w:ascii="Arial" w:hAnsi="Arial" w:cs="Arial"/>
        </w:rPr>
        <w:t xml:space="preserve">  Natural clinical infections with </w:t>
      </w:r>
      <w:r w:rsidRPr="007B33F8">
        <w:rPr>
          <w:rFonts w:ascii="Arial" w:hAnsi="Arial" w:cs="Arial"/>
          <w:i/>
        </w:rPr>
        <w:t>Neospora</w:t>
      </w:r>
      <w:r>
        <w:rPr>
          <w:rFonts w:ascii="Arial" w:hAnsi="Arial" w:cs="Arial"/>
        </w:rPr>
        <w:t xml:space="preserve"> spp. have not been documented in cats, although antibodies have been reported in domestic and wild felids.  Fatal </w:t>
      </w:r>
      <w:r>
        <w:rPr>
          <w:rFonts w:ascii="Arial" w:hAnsi="Arial" w:cs="Arial"/>
          <w:i/>
        </w:rPr>
        <w:t>N</w:t>
      </w:r>
      <w:r w:rsidRPr="007B33F8">
        <w:rPr>
          <w:rFonts w:ascii="Arial" w:hAnsi="Arial" w:cs="Arial"/>
          <w:i/>
        </w:rPr>
        <w:t>eospora</w:t>
      </w:r>
      <w:r>
        <w:rPr>
          <w:rFonts w:ascii="Arial" w:hAnsi="Arial" w:cs="Arial"/>
        </w:rPr>
        <w:t xml:space="preserve"> spp. infection did occur in cats experimentally </w:t>
      </w:r>
      <w:r>
        <w:rPr>
          <w:rFonts w:ascii="Arial" w:hAnsi="Arial" w:cs="Arial"/>
        </w:rPr>
        <w:lastRenderedPageBreak/>
        <w:t xml:space="preserve">inoculated with </w:t>
      </w:r>
      <w:r w:rsidRPr="007B33F8">
        <w:rPr>
          <w:rFonts w:ascii="Arial" w:hAnsi="Arial" w:cs="Arial"/>
          <w:i/>
        </w:rPr>
        <w:t>Neospora caninum</w:t>
      </w:r>
      <w:r>
        <w:rPr>
          <w:rFonts w:ascii="Arial" w:hAnsi="Arial" w:cs="Arial"/>
        </w:rPr>
        <w:t xml:space="preserve"> and subsequently immunosuppressed with methylprednisone acetate.</w:t>
      </w:r>
      <w:r>
        <w:rPr>
          <w:rFonts w:ascii="Arial" w:hAnsi="Arial" w:cs="Arial"/>
          <w:noProof/>
        </w:rPr>
        <w:t>[174]</w:t>
      </w:r>
      <w:r>
        <w:rPr>
          <w:rFonts w:ascii="Arial" w:hAnsi="Arial" w:cs="Arial"/>
        </w:rPr>
        <w:t xml:space="preserve">  </w:t>
      </w:r>
    </w:p>
    <w:p w:rsidR="00330CF1" w:rsidRDefault="00330CF1" w:rsidP="005F5ECF">
      <w:pPr>
        <w:autoSpaceDE w:val="0"/>
        <w:autoSpaceDN w:val="0"/>
        <w:adjustRightInd w:val="0"/>
        <w:rPr>
          <w:rFonts w:ascii="Arial" w:hAnsi="Arial" w:cs="Arial"/>
        </w:rPr>
      </w:pPr>
      <w:r>
        <w:rPr>
          <w:rFonts w:ascii="Arial" w:hAnsi="Arial" w:cs="Arial"/>
        </w:rPr>
        <w:t xml:space="preserve">     </w:t>
      </w:r>
      <w:r w:rsidRPr="007B33F8">
        <w:rPr>
          <w:rFonts w:ascii="Arial" w:hAnsi="Arial" w:cs="Arial"/>
          <w:i/>
        </w:rPr>
        <w:t>Giardia</w:t>
      </w:r>
      <w:r>
        <w:rPr>
          <w:rFonts w:ascii="Arial" w:hAnsi="Arial" w:cs="Arial"/>
        </w:rPr>
        <w:t xml:space="preserve"> spp. and </w:t>
      </w:r>
      <w:r w:rsidRPr="007B33F8">
        <w:rPr>
          <w:rFonts w:ascii="Arial" w:hAnsi="Arial" w:cs="Arial"/>
          <w:i/>
        </w:rPr>
        <w:t>Cryptosporidium</w:t>
      </w:r>
      <w:r>
        <w:rPr>
          <w:rFonts w:ascii="Arial" w:hAnsi="Arial" w:cs="Arial"/>
        </w:rPr>
        <w:t xml:space="preserve"> </w:t>
      </w:r>
      <w:r>
        <w:rPr>
          <w:rFonts w:ascii="Arial" w:hAnsi="Arial" w:cs="Arial"/>
          <w:i/>
        </w:rPr>
        <w:t>parvum</w:t>
      </w:r>
      <w:r>
        <w:rPr>
          <w:rFonts w:ascii="Arial" w:hAnsi="Arial" w:cs="Arial"/>
        </w:rPr>
        <w:t xml:space="preserve"> both have the potential to cause illness through transfer from water contamination rather than raw meat consumption.  In a survey of prevalence of enteric zoonotic organisms in client-owned cats and humane shelter cats, </w:t>
      </w:r>
      <w:r>
        <w:rPr>
          <w:rFonts w:ascii="Arial" w:hAnsi="Arial" w:cs="Arial"/>
          <w:i/>
        </w:rPr>
        <w:t>C</w:t>
      </w:r>
      <w:r w:rsidRPr="007B33F8">
        <w:rPr>
          <w:rFonts w:ascii="Arial" w:hAnsi="Arial" w:cs="Arial"/>
          <w:i/>
        </w:rPr>
        <w:t>ryptosporidium parvum</w:t>
      </w:r>
      <w:r>
        <w:rPr>
          <w:rFonts w:ascii="Arial" w:hAnsi="Arial" w:cs="Arial"/>
        </w:rPr>
        <w:t xml:space="preserve">, </w:t>
      </w:r>
      <w:r w:rsidRPr="007B33F8">
        <w:rPr>
          <w:rFonts w:ascii="Arial" w:hAnsi="Arial" w:cs="Arial"/>
          <w:i/>
        </w:rPr>
        <w:t xml:space="preserve">Giardia </w:t>
      </w:r>
      <w:r>
        <w:rPr>
          <w:rFonts w:ascii="Arial" w:hAnsi="Arial" w:cs="Arial"/>
        </w:rPr>
        <w:t xml:space="preserve">spp, </w:t>
      </w:r>
      <w:r w:rsidRPr="007B33F8">
        <w:rPr>
          <w:rFonts w:ascii="Arial" w:hAnsi="Arial" w:cs="Arial"/>
          <w:i/>
        </w:rPr>
        <w:t>Salmonella enterica</w:t>
      </w:r>
      <w:r>
        <w:rPr>
          <w:rFonts w:ascii="Arial" w:hAnsi="Arial" w:cs="Arial"/>
        </w:rPr>
        <w:t xml:space="preserve">, and </w:t>
      </w:r>
      <w:r w:rsidRPr="007B33F8">
        <w:rPr>
          <w:rFonts w:ascii="Arial" w:hAnsi="Arial" w:cs="Arial"/>
          <w:i/>
        </w:rPr>
        <w:t>Campylobacter</w:t>
      </w:r>
      <w:r>
        <w:rPr>
          <w:rFonts w:ascii="Arial" w:hAnsi="Arial" w:cs="Arial"/>
        </w:rPr>
        <w:t xml:space="preserve"> spp. were all detected with </w:t>
      </w:r>
      <w:r w:rsidRPr="007B33F8">
        <w:rPr>
          <w:rFonts w:ascii="Arial" w:hAnsi="Arial" w:cs="Arial"/>
          <w:i/>
        </w:rPr>
        <w:t>Cryptosporidium</w:t>
      </w:r>
      <w:r>
        <w:rPr>
          <w:rFonts w:ascii="Arial" w:hAnsi="Arial" w:cs="Arial"/>
        </w:rPr>
        <w:t xml:space="preserve"> spp. being the most prevalent.</w:t>
      </w:r>
      <w:r>
        <w:rPr>
          <w:rFonts w:ascii="Arial" w:hAnsi="Arial" w:cs="Arial"/>
          <w:noProof/>
        </w:rPr>
        <w:t>[175]</w:t>
      </w:r>
      <w:r>
        <w:rPr>
          <w:rFonts w:ascii="Arial" w:hAnsi="Arial" w:cs="Arial"/>
        </w:rPr>
        <w:t xml:space="preserve">  Although it is not known how cats become infected with </w:t>
      </w:r>
      <w:r w:rsidRPr="007B33F8">
        <w:rPr>
          <w:rFonts w:ascii="Arial" w:hAnsi="Arial" w:cs="Arial"/>
          <w:i/>
        </w:rPr>
        <w:t>Cryptosporidium</w:t>
      </w:r>
      <w:r>
        <w:rPr>
          <w:rFonts w:ascii="Arial" w:hAnsi="Arial" w:cs="Arial"/>
          <w:i/>
        </w:rPr>
        <w:t xml:space="preserve"> parvum</w:t>
      </w:r>
      <w:r>
        <w:rPr>
          <w:rFonts w:ascii="Arial" w:hAnsi="Arial" w:cs="Arial"/>
        </w:rPr>
        <w:t>, infection through contaminated drinking water or ingestion of infected prey species is suspected.</w:t>
      </w:r>
      <w:r>
        <w:rPr>
          <w:rFonts w:ascii="Arial" w:hAnsi="Arial" w:cs="Arial"/>
          <w:noProof/>
        </w:rPr>
        <w:t>[176, 177]</w:t>
      </w:r>
    </w:p>
    <w:p w:rsidR="00330CF1" w:rsidRPr="00120483" w:rsidRDefault="00330CF1" w:rsidP="003C5D98">
      <w:pPr>
        <w:autoSpaceDE w:val="0"/>
        <w:autoSpaceDN w:val="0"/>
        <w:adjustRightInd w:val="0"/>
        <w:rPr>
          <w:rFonts w:ascii="Arial" w:hAnsi="Arial" w:cs="Arial"/>
          <w:color w:val="FF0000"/>
        </w:rPr>
      </w:pPr>
      <w:r>
        <w:rPr>
          <w:rFonts w:ascii="Arial" w:hAnsi="Arial" w:cs="Arial"/>
        </w:rPr>
        <w:t xml:space="preserve">     The two principle parasitic contaminants in muscle meat are </w:t>
      </w:r>
      <w:r w:rsidRPr="00741E17">
        <w:rPr>
          <w:rFonts w:ascii="Arial" w:hAnsi="Arial" w:cs="Arial"/>
          <w:i/>
        </w:rPr>
        <w:t>Toxoplasma gondii</w:t>
      </w:r>
      <w:r>
        <w:rPr>
          <w:rFonts w:ascii="Arial" w:hAnsi="Arial" w:cs="Arial"/>
        </w:rPr>
        <w:t xml:space="preserve"> and </w:t>
      </w:r>
      <w:r w:rsidRPr="00741E17">
        <w:rPr>
          <w:rFonts w:ascii="Arial" w:hAnsi="Arial" w:cs="Arial"/>
          <w:i/>
        </w:rPr>
        <w:t>Trichinella spiralis</w:t>
      </w:r>
      <w:r>
        <w:rPr>
          <w:rFonts w:ascii="Arial" w:hAnsi="Arial" w:cs="Arial"/>
        </w:rPr>
        <w:t xml:space="preserve">.  Cats are the definitive host for </w:t>
      </w:r>
      <w:r w:rsidRPr="00741E17">
        <w:rPr>
          <w:rFonts w:ascii="Arial" w:hAnsi="Arial" w:cs="Arial"/>
          <w:i/>
        </w:rPr>
        <w:t xml:space="preserve">Toxoplasma gondii </w:t>
      </w:r>
      <w:r>
        <w:rPr>
          <w:rFonts w:ascii="Arial" w:hAnsi="Arial" w:cs="Arial"/>
        </w:rPr>
        <w:t>and therefore capable of shedding oocysts communicable to humans for a short period of time after initial infection and recrudescence.</w:t>
      </w:r>
      <w:r>
        <w:rPr>
          <w:rFonts w:ascii="Arial" w:hAnsi="Arial" w:cs="Arial"/>
          <w:noProof/>
        </w:rPr>
        <w:t>[172]</w:t>
      </w:r>
      <w:r>
        <w:rPr>
          <w:rFonts w:ascii="Arial" w:hAnsi="Arial" w:cs="Arial"/>
        </w:rPr>
        <w:t xml:space="preserve">  Pregnant women infected with these cysts can give birth to children with deafness, mental retardation and learning disabilities.</w:t>
      </w:r>
      <w:r>
        <w:rPr>
          <w:rFonts w:ascii="Arial" w:hAnsi="Arial" w:cs="Arial"/>
          <w:noProof/>
        </w:rPr>
        <w:t>[178]</w:t>
      </w:r>
      <w:r>
        <w:rPr>
          <w:rFonts w:ascii="Arial" w:hAnsi="Arial" w:cs="Arial"/>
        </w:rPr>
        <w:t xml:space="preserve">  Like </w:t>
      </w:r>
      <w:r w:rsidRPr="00741E17">
        <w:rPr>
          <w:rFonts w:ascii="Arial" w:hAnsi="Arial" w:cs="Arial"/>
          <w:i/>
        </w:rPr>
        <w:t>Neospora</w:t>
      </w:r>
      <w:r>
        <w:rPr>
          <w:rFonts w:ascii="Arial" w:hAnsi="Arial" w:cs="Arial"/>
        </w:rPr>
        <w:t xml:space="preserve"> spp., </w:t>
      </w:r>
      <w:r w:rsidRPr="000345B3">
        <w:rPr>
          <w:rFonts w:ascii="Arial" w:hAnsi="Arial" w:cs="Arial"/>
          <w:i/>
        </w:rPr>
        <w:t>Toxoplasma</w:t>
      </w:r>
      <w:r>
        <w:rPr>
          <w:rFonts w:ascii="Arial" w:hAnsi="Arial" w:cs="Arial"/>
        </w:rPr>
        <w:t xml:space="preserve"> bradyzoites encyst in tissue, particularly muscle.  Cats ingesting tissue cysts can go on to develop systemic infections.  Kittens are particularly sensitive with transplacental exposure or ingestion through lactation resulting in significant morbidity and mortality.</w:t>
      </w:r>
      <w:r>
        <w:rPr>
          <w:rFonts w:ascii="Arial" w:hAnsi="Arial" w:cs="Arial"/>
          <w:noProof/>
        </w:rPr>
        <w:t>[172]</w:t>
      </w:r>
      <w:r>
        <w:rPr>
          <w:rFonts w:ascii="Arial" w:hAnsi="Arial" w:cs="Arial"/>
        </w:rPr>
        <w:t xml:space="preserve">  In one study, overall seroprevalence of antibodies to </w:t>
      </w:r>
      <w:r w:rsidRPr="00741E17">
        <w:rPr>
          <w:rFonts w:ascii="Arial" w:hAnsi="Arial" w:cs="Arial"/>
          <w:i/>
        </w:rPr>
        <w:t>Toxoplasma</w:t>
      </w:r>
      <w:r>
        <w:rPr>
          <w:rFonts w:ascii="Arial" w:hAnsi="Arial" w:cs="Arial"/>
          <w:i/>
        </w:rPr>
        <w:t xml:space="preserve"> gondii</w:t>
      </w:r>
      <w:r>
        <w:rPr>
          <w:rFonts w:ascii="Arial" w:hAnsi="Arial" w:cs="Arial"/>
        </w:rPr>
        <w:t xml:space="preserve"> were 53% in cats fed raw meat diets compared to 23% in cats fed commercial heat-processed diets.</w:t>
      </w:r>
      <w:r>
        <w:rPr>
          <w:rFonts w:ascii="Arial" w:hAnsi="Arial" w:cs="Arial"/>
          <w:noProof/>
        </w:rPr>
        <w:t>[179]</w:t>
      </w:r>
      <w:r>
        <w:rPr>
          <w:rFonts w:ascii="Arial" w:hAnsi="Arial" w:cs="Arial"/>
        </w:rPr>
        <w:t xml:space="preserve">  Undercooked pork, lamb and mutton are the most important sources of meat-borne infections of </w:t>
      </w:r>
      <w:r w:rsidRPr="00741E17">
        <w:rPr>
          <w:rFonts w:ascii="Arial" w:hAnsi="Arial" w:cs="Arial"/>
          <w:i/>
        </w:rPr>
        <w:t>Toxoplasma</w:t>
      </w:r>
      <w:r>
        <w:rPr>
          <w:rFonts w:ascii="Arial" w:hAnsi="Arial" w:cs="Arial"/>
        </w:rPr>
        <w:t xml:space="preserve"> spp. together with game meat such as bear and feral swine.</w:t>
      </w:r>
      <w:r>
        <w:rPr>
          <w:rFonts w:ascii="Arial" w:hAnsi="Arial" w:cs="Arial"/>
          <w:noProof/>
        </w:rPr>
        <w:t>[180]</w:t>
      </w:r>
      <w:r>
        <w:rPr>
          <w:rFonts w:ascii="Arial" w:hAnsi="Arial" w:cs="Arial"/>
        </w:rPr>
        <w:t xml:space="preserve">  </w:t>
      </w:r>
      <w:r w:rsidRPr="00741E17">
        <w:rPr>
          <w:rFonts w:ascii="Arial" w:hAnsi="Arial" w:cs="Arial"/>
          <w:i/>
        </w:rPr>
        <w:t>Trichinella</w:t>
      </w:r>
      <w:r>
        <w:rPr>
          <w:rFonts w:ascii="Arial" w:hAnsi="Arial" w:cs="Arial"/>
        </w:rPr>
        <w:t xml:space="preserve"> spp. is a nematode parasite that when ingested encysts in the muscle tissues of its host.  Trichinosis in carnivores occurs after ingestion of raw or undercooked meat containing cysts.  Trichinosis is most commonly associated with eating raw or undercooked pork, bear meat and horse meat.</w:t>
      </w:r>
      <w:r>
        <w:rPr>
          <w:rFonts w:ascii="Arial" w:hAnsi="Arial" w:cs="Arial"/>
          <w:noProof/>
        </w:rPr>
        <w:t>[180]</w:t>
      </w:r>
      <w:r>
        <w:rPr>
          <w:rFonts w:ascii="Arial" w:hAnsi="Arial" w:cs="Arial"/>
        </w:rPr>
        <w:t xml:space="preserve">  Clinical trichinosis in cats may result in intestinal mucosal injury from adult worms or the host’s reaction to invasion of skeletal muscle by the larvae.</w:t>
      </w:r>
      <w:r>
        <w:rPr>
          <w:rFonts w:ascii="Arial" w:hAnsi="Arial" w:cs="Arial"/>
          <w:noProof/>
        </w:rPr>
        <w:t>[181]</w:t>
      </w:r>
    </w:p>
    <w:p w:rsidR="00330CF1" w:rsidRDefault="00330CF1" w:rsidP="003C5D98">
      <w:pPr>
        <w:autoSpaceDE w:val="0"/>
        <w:autoSpaceDN w:val="0"/>
        <w:adjustRightInd w:val="0"/>
        <w:rPr>
          <w:rFonts w:ascii="Arial" w:hAnsi="Arial" w:cs="Arial"/>
        </w:rPr>
      </w:pPr>
      <w:r>
        <w:rPr>
          <w:rFonts w:ascii="Arial" w:hAnsi="Arial" w:cs="Arial"/>
        </w:rPr>
        <w:t xml:space="preserve">     Exotic cats have a high prevalence of fecal </w:t>
      </w:r>
      <w:r>
        <w:rPr>
          <w:rFonts w:ascii="Arial" w:hAnsi="Arial" w:cs="Arial"/>
          <w:i/>
        </w:rPr>
        <w:t>S</w:t>
      </w:r>
      <w:r w:rsidRPr="000345B3">
        <w:rPr>
          <w:rFonts w:ascii="Arial" w:hAnsi="Arial" w:cs="Arial"/>
          <w:i/>
        </w:rPr>
        <w:t>almonella</w:t>
      </w:r>
      <w:r>
        <w:rPr>
          <w:rFonts w:ascii="Arial" w:hAnsi="Arial" w:cs="Arial"/>
          <w:i/>
        </w:rPr>
        <w:t xml:space="preserve"> </w:t>
      </w:r>
      <w:r>
        <w:rPr>
          <w:rFonts w:ascii="Arial" w:hAnsi="Arial" w:cs="Arial"/>
        </w:rPr>
        <w:t xml:space="preserve">spp.  </w:t>
      </w:r>
      <w:r w:rsidRPr="000345B3">
        <w:rPr>
          <w:rFonts w:ascii="Arial" w:hAnsi="Arial" w:cs="Arial"/>
          <w:i/>
        </w:rPr>
        <w:t>Salmonella</w:t>
      </w:r>
      <w:r w:rsidRPr="000345B3">
        <w:rPr>
          <w:rFonts w:ascii="Arial" w:hAnsi="Arial" w:cs="Arial"/>
        </w:rPr>
        <w:t xml:space="preserve"> </w:t>
      </w:r>
      <w:r>
        <w:rPr>
          <w:rFonts w:ascii="Arial" w:hAnsi="Arial" w:cs="Arial"/>
        </w:rPr>
        <w:t>spp. was isolated in 94% of fecal samples from a zoo and private big cat collection.</w:t>
      </w:r>
      <w:r>
        <w:rPr>
          <w:rFonts w:ascii="Arial" w:hAnsi="Arial" w:cs="Arial"/>
          <w:noProof/>
        </w:rPr>
        <w:t>[182]</w:t>
      </w:r>
      <w:r>
        <w:rPr>
          <w:rFonts w:ascii="Arial" w:hAnsi="Arial" w:cs="Arial"/>
        </w:rPr>
        <w:t xml:space="preserve">  All exotic cats were clinically healthy and were being fed a raw horsemeat and chicken diet. Prevalence of fecal isolation of </w:t>
      </w:r>
      <w:r w:rsidRPr="000345B3">
        <w:rPr>
          <w:rFonts w:ascii="Arial" w:hAnsi="Arial" w:cs="Arial"/>
          <w:i/>
        </w:rPr>
        <w:t>Salmonella</w:t>
      </w:r>
      <w:r>
        <w:rPr>
          <w:rFonts w:ascii="Arial" w:hAnsi="Arial" w:cs="Arial"/>
        </w:rPr>
        <w:t xml:space="preserve"> spp. in apparent clinically healthy domestic cats ranges from 1%-18%.</w:t>
      </w:r>
      <w:r>
        <w:rPr>
          <w:rFonts w:ascii="Arial" w:hAnsi="Arial" w:cs="Arial"/>
          <w:noProof/>
        </w:rPr>
        <w:t>[163, 175, 183, 184]</w:t>
      </w:r>
      <w:r>
        <w:rPr>
          <w:rFonts w:ascii="Arial" w:hAnsi="Arial" w:cs="Arial"/>
        </w:rPr>
        <w:t xml:space="preserve">  As these values are based on one fecal culture, they probably are underestimates due to the difficulty in isolating and culturing </w:t>
      </w:r>
      <w:r w:rsidRPr="00451BA7">
        <w:rPr>
          <w:rFonts w:ascii="Arial" w:hAnsi="Arial" w:cs="Arial"/>
          <w:i/>
        </w:rPr>
        <w:t>Salmonella</w:t>
      </w:r>
      <w:r>
        <w:rPr>
          <w:rFonts w:ascii="Arial" w:hAnsi="Arial" w:cs="Arial"/>
        </w:rPr>
        <w:t xml:space="preserve"> spp. and its intermittent shedding in the host.  Suspected clinical cases of salmonellosis require 3 negative cultures before ruling out the disease.</w:t>
      </w:r>
      <w:r>
        <w:rPr>
          <w:rFonts w:ascii="Arial" w:hAnsi="Arial" w:cs="Arial"/>
          <w:noProof/>
        </w:rPr>
        <w:t>[163]</w:t>
      </w:r>
      <w:r>
        <w:rPr>
          <w:rFonts w:ascii="Arial" w:hAnsi="Arial" w:cs="Arial"/>
        </w:rPr>
        <w:t xml:space="preserve">  Susceptibility and severity of infection depends on multiple factors including virulence of the pathogen strain, infectious dose, and host resistance.</w:t>
      </w:r>
      <w:r>
        <w:rPr>
          <w:rFonts w:ascii="Arial" w:hAnsi="Arial" w:cs="Arial"/>
          <w:noProof/>
        </w:rPr>
        <w:t>[183]</w:t>
      </w:r>
      <w:r>
        <w:rPr>
          <w:rFonts w:ascii="Arial" w:hAnsi="Arial" w:cs="Arial"/>
        </w:rPr>
        <w:t xml:space="preserve">  Host resistance factors include age, immunocompetence, stress, administration of glucocorticoids, and presence of chronic disease.  Salmonellosis is most commonly reported in young, aged or immunocompromised cats.</w:t>
      </w:r>
      <w:r>
        <w:rPr>
          <w:rFonts w:ascii="Arial" w:hAnsi="Arial" w:cs="Arial"/>
          <w:noProof/>
        </w:rPr>
        <w:t>[183, 185]</w:t>
      </w:r>
      <w:r>
        <w:rPr>
          <w:rFonts w:ascii="Arial" w:hAnsi="Arial" w:cs="Arial"/>
        </w:rPr>
        <w:t xml:space="preserve">  Reports of fatal salmonellosis have been documented in a cattery-raised Exotic shorthair kitten fed raw meat </w:t>
      </w:r>
      <w:r>
        <w:rPr>
          <w:rFonts w:ascii="Arial" w:hAnsi="Arial" w:cs="Arial"/>
          <w:noProof/>
        </w:rPr>
        <w:t>[183]</w:t>
      </w:r>
      <w:r>
        <w:rPr>
          <w:rFonts w:ascii="Arial" w:hAnsi="Arial" w:cs="Arial"/>
        </w:rPr>
        <w:t xml:space="preserve">, a group of cattery-raised Persian kittens immunized with a modified live panleukopenia vaccine living in a household with an adult being fed raw chicken </w:t>
      </w:r>
      <w:r>
        <w:rPr>
          <w:rFonts w:ascii="Arial" w:hAnsi="Arial" w:cs="Arial"/>
          <w:noProof/>
        </w:rPr>
        <w:t>[186]</w:t>
      </w:r>
      <w:r>
        <w:rPr>
          <w:rFonts w:ascii="Arial" w:hAnsi="Arial" w:cs="Arial"/>
        </w:rPr>
        <w:t xml:space="preserve">, and stillbirths in a </w:t>
      </w:r>
      <w:r>
        <w:rPr>
          <w:rFonts w:ascii="Arial" w:hAnsi="Arial" w:cs="Arial"/>
        </w:rPr>
        <w:lastRenderedPageBreak/>
        <w:t xml:space="preserve">Persian queen being fed a raw meat diet positive for </w:t>
      </w:r>
      <w:r w:rsidRPr="00846528">
        <w:rPr>
          <w:rFonts w:ascii="Arial" w:hAnsi="Arial" w:cs="Arial"/>
          <w:i/>
        </w:rPr>
        <w:t>Salmonella</w:t>
      </w:r>
      <w:r>
        <w:rPr>
          <w:rFonts w:ascii="Arial" w:hAnsi="Arial" w:cs="Arial"/>
        </w:rPr>
        <w:t xml:space="preserve"> spp. </w:t>
      </w:r>
      <w:r>
        <w:rPr>
          <w:rFonts w:ascii="Arial" w:hAnsi="Arial" w:cs="Arial"/>
          <w:noProof/>
        </w:rPr>
        <w:t>[187]</w:t>
      </w:r>
      <w:r>
        <w:rPr>
          <w:rFonts w:ascii="Arial" w:hAnsi="Arial" w:cs="Arial"/>
        </w:rPr>
        <w:t>.  Clinical signs of feline salmonellosis include gastroenteritis, bacteremia/endotoxemia with localization to individual or multiple organs, chronic febrile disease with anorexia and lethargy, and conjunctivitis.</w:t>
      </w:r>
      <w:r>
        <w:rPr>
          <w:rFonts w:ascii="Arial" w:hAnsi="Arial" w:cs="Arial"/>
          <w:noProof/>
        </w:rPr>
        <w:t>[163, 183, 187-189]</w:t>
      </w:r>
      <w:r>
        <w:rPr>
          <w:rFonts w:ascii="Arial" w:hAnsi="Arial" w:cs="Arial"/>
        </w:rPr>
        <w:t xml:space="preserve">  A fatal case of salmonellosis was reported in an adult pure-bred cat being fed raw meat with identical </w:t>
      </w:r>
      <w:r w:rsidRPr="00846528">
        <w:rPr>
          <w:rFonts w:ascii="Arial" w:hAnsi="Arial" w:cs="Arial"/>
          <w:i/>
        </w:rPr>
        <w:t>Salmonella</w:t>
      </w:r>
      <w:r>
        <w:rPr>
          <w:rFonts w:ascii="Arial" w:hAnsi="Arial" w:cs="Arial"/>
        </w:rPr>
        <w:t xml:space="preserve"> spp. found in both the animal’s tissues and its raw diet.</w:t>
      </w:r>
      <w:r>
        <w:rPr>
          <w:rFonts w:ascii="Arial" w:hAnsi="Arial" w:cs="Arial"/>
          <w:noProof/>
        </w:rPr>
        <w:t>[183]</w:t>
      </w:r>
      <w:r>
        <w:rPr>
          <w:rFonts w:ascii="Arial" w:hAnsi="Arial" w:cs="Arial"/>
        </w:rPr>
        <w:t xml:space="preserve">  Several cases of salmonellosis sepsis have been found in cats with no signs of gastrointestinal disease or isolation of </w:t>
      </w:r>
      <w:r w:rsidRPr="00846528">
        <w:rPr>
          <w:rFonts w:ascii="Arial" w:hAnsi="Arial" w:cs="Arial"/>
          <w:i/>
        </w:rPr>
        <w:t>Salmonella</w:t>
      </w:r>
      <w:r>
        <w:rPr>
          <w:rFonts w:ascii="Arial" w:hAnsi="Arial" w:cs="Arial"/>
        </w:rPr>
        <w:t xml:space="preserve"> spp. from feces.  No diet history was given with these sepsis cases.</w:t>
      </w:r>
      <w:r>
        <w:rPr>
          <w:rFonts w:ascii="Arial" w:hAnsi="Arial" w:cs="Arial"/>
          <w:noProof/>
        </w:rPr>
        <w:t>[188, 189]</w:t>
      </w:r>
    </w:p>
    <w:p w:rsidR="00330CF1" w:rsidRDefault="00330CF1" w:rsidP="00364A09">
      <w:pPr>
        <w:autoSpaceDE w:val="0"/>
        <w:autoSpaceDN w:val="0"/>
        <w:adjustRightInd w:val="0"/>
        <w:rPr>
          <w:rFonts w:ascii="Arial" w:hAnsi="Arial" w:cs="Arial"/>
        </w:rPr>
      </w:pPr>
      <w:r>
        <w:rPr>
          <w:rFonts w:ascii="Arial" w:hAnsi="Arial" w:cs="Arial"/>
        </w:rPr>
        <w:t xml:space="preserve">     Most human cases of salmonellosis are due to exposure to contaminated foodstuffs, but cases of human salmonellosis due to direct or indirect contact with animals have been reported.</w:t>
      </w:r>
      <w:r>
        <w:rPr>
          <w:rFonts w:ascii="Arial" w:hAnsi="Arial" w:cs="Arial"/>
          <w:noProof/>
        </w:rPr>
        <w:t>[190]</w:t>
      </w:r>
      <w:r>
        <w:rPr>
          <w:rFonts w:ascii="Arial" w:hAnsi="Arial" w:cs="Arial"/>
        </w:rPr>
        <w:t xml:space="preserve">  Fecal shedding of </w:t>
      </w:r>
      <w:r w:rsidRPr="00846528">
        <w:rPr>
          <w:rFonts w:ascii="Arial" w:hAnsi="Arial" w:cs="Arial"/>
          <w:i/>
        </w:rPr>
        <w:t>Salmonella</w:t>
      </w:r>
      <w:r>
        <w:rPr>
          <w:rFonts w:ascii="Arial" w:hAnsi="Arial" w:cs="Arial"/>
        </w:rPr>
        <w:t xml:space="preserve"> spp. in cats can last from 3 to 6 weeks and in some cases up to 14 weeks after clinical illness.</w:t>
      </w:r>
      <w:r>
        <w:rPr>
          <w:rFonts w:ascii="Arial" w:hAnsi="Arial" w:cs="Arial"/>
          <w:noProof/>
        </w:rPr>
        <w:t>[163, 191]</w:t>
      </w:r>
      <w:r>
        <w:rPr>
          <w:rFonts w:ascii="Arial" w:hAnsi="Arial" w:cs="Arial"/>
        </w:rPr>
        <w:t xml:space="preserve">  In cats with salmonellosis, large numbers of bacteria are present in the mouth and their coat can be highly contaminated secondary to their grooming habits.</w:t>
      </w:r>
      <w:r>
        <w:rPr>
          <w:rFonts w:ascii="Arial" w:hAnsi="Arial" w:cs="Arial"/>
          <w:noProof/>
        </w:rPr>
        <w:t>[185]</w:t>
      </w:r>
      <w:r>
        <w:rPr>
          <w:rFonts w:ascii="Arial" w:hAnsi="Arial" w:cs="Arial"/>
        </w:rPr>
        <w:t xml:space="preserve">  Most domestic cats spend a large amount of time in close proximity to their owners with ample potential for direct or indirect exposure to zoonotic organisms.  Of particular concern is the increasing incidence of an antibiotic-resistant strain, </w:t>
      </w:r>
      <w:r>
        <w:rPr>
          <w:rFonts w:ascii="Arial" w:hAnsi="Arial" w:cs="Arial"/>
          <w:i/>
        </w:rPr>
        <w:t xml:space="preserve">Salmonella </w:t>
      </w:r>
      <w:r>
        <w:rPr>
          <w:rFonts w:ascii="Arial" w:hAnsi="Arial" w:cs="Arial"/>
        </w:rPr>
        <w:t>serovar</w:t>
      </w:r>
      <w:r>
        <w:rPr>
          <w:rFonts w:ascii="Arial" w:hAnsi="Arial" w:cs="Arial"/>
          <w:i/>
        </w:rPr>
        <w:t xml:space="preserve"> </w:t>
      </w:r>
      <w:r>
        <w:rPr>
          <w:rFonts w:ascii="Arial" w:hAnsi="Arial" w:cs="Arial"/>
        </w:rPr>
        <w:t>T</w:t>
      </w:r>
      <w:r w:rsidRPr="00902682">
        <w:rPr>
          <w:rFonts w:ascii="Arial" w:hAnsi="Arial" w:cs="Arial"/>
        </w:rPr>
        <w:t xml:space="preserve">yphimurium </w:t>
      </w:r>
      <w:r>
        <w:rPr>
          <w:rFonts w:ascii="Arial" w:hAnsi="Arial" w:cs="Arial"/>
        </w:rPr>
        <w:t xml:space="preserve">definitive type (DT)104.  This strain has become an important food safety concern because of its increased incidence in both humans and animals and its ability to cause serious disease with resistance to ampicillin, chloramphenicol, streptomycin, sulphonamides and tetracycline.  Several studies have identified domestic cats as carriers of multiresistant </w:t>
      </w:r>
      <w:r>
        <w:rPr>
          <w:rFonts w:ascii="Arial" w:hAnsi="Arial" w:cs="Arial"/>
          <w:i/>
        </w:rPr>
        <w:t xml:space="preserve">Salmonella </w:t>
      </w:r>
      <w:r>
        <w:rPr>
          <w:rFonts w:ascii="Arial" w:hAnsi="Arial" w:cs="Arial"/>
        </w:rPr>
        <w:t>T</w:t>
      </w:r>
      <w:r w:rsidRPr="00902682">
        <w:rPr>
          <w:rFonts w:ascii="Arial" w:hAnsi="Arial" w:cs="Arial"/>
        </w:rPr>
        <w:t>yphimurium</w:t>
      </w:r>
      <w:r>
        <w:rPr>
          <w:rFonts w:ascii="Arial" w:hAnsi="Arial" w:cs="Arial"/>
        </w:rPr>
        <w:t xml:space="preserve"> DT 104 along with farm animals, dogs and birds.</w:t>
      </w:r>
      <w:r>
        <w:rPr>
          <w:rFonts w:ascii="Arial" w:hAnsi="Arial" w:cs="Arial"/>
          <w:noProof/>
        </w:rPr>
        <w:t>[190-194]</w:t>
      </w:r>
    </w:p>
    <w:p w:rsidR="00330CF1" w:rsidRPr="002F3D25" w:rsidRDefault="00330CF1" w:rsidP="00364A09">
      <w:pPr>
        <w:autoSpaceDE w:val="0"/>
        <w:autoSpaceDN w:val="0"/>
        <w:adjustRightInd w:val="0"/>
        <w:rPr>
          <w:rFonts w:ascii="Arial" w:hAnsi="Arial" w:cs="Arial"/>
        </w:rPr>
      </w:pPr>
      <w:r>
        <w:rPr>
          <w:rFonts w:ascii="Arial" w:hAnsi="Arial" w:cs="Arial"/>
        </w:rPr>
        <w:t xml:space="preserve">     </w:t>
      </w:r>
      <w:r w:rsidRPr="00364A09">
        <w:rPr>
          <w:rFonts w:ascii="Arial" w:hAnsi="Arial" w:cs="Arial"/>
          <w:i/>
        </w:rPr>
        <w:t>Escherichia coli</w:t>
      </w:r>
      <w:r>
        <w:rPr>
          <w:rFonts w:ascii="Arial" w:hAnsi="Arial" w:cs="Arial"/>
        </w:rPr>
        <w:t xml:space="preserve"> is part of the normal commensal microbiota of mammals.  Yet certain strains of </w:t>
      </w:r>
      <w:r w:rsidRPr="00364A09">
        <w:rPr>
          <w:rFonts w:ascii="Arial" w:hAnsi="Arial" w:cs="Arial"/>
          <w:i/>
        </w:rPr>
        <w:t>E.coli</w:t>
      </w:r>
      <w:r>
        <w:rPr>
          <w:rFonts w:ascii="Arial" w:hAnsi="Arial" w:cs="Arial"/>
          <w:i/>
        </w:rPr>
        <w:t xml:space="preserve"> </w:t>
      </w:r>
      <w:r>
        <w:rPr>
          <w:rFonts w:ascii="Arial" w:hAnsi="Arial" w:cs="Arial"/>
        </w:rPr>
        <w:t xml:space="preserve">are known pathogens to both humans and animals.  Some of the pathogenic </w:t>
      </w:r>
      <w:r w:rsidRPr="00364A09">
        <w:rPr>
          <w:rFonts w:ascii="Arial" w:hAnsi="Arial" w:cs="Arial"/>
          <w:i/>
        </w:rPr>
        <w:t>E. coli</w:t>
      </w:r>
      <w:r>
        <w:rPr>
          <w:rFonts w:ascii="Arial" w:hAnsi="Arial" w:cs="Arial"/>
        </w:rPr>
        <w:t xml:space="preserve"> strains can be transmitted between different host species and may cause disease in one but not the other species.  Pathogenic </w:t>
      </w:r>
      <w:r w:rsidRPr="002A3D4F">
        <w:rPr>
          <w:rFonts w:ascii="Arial" w:hAnsi="Arial" w:cs="Arial"/>
          <w:i/>
        </w:rPr>
        <w:t>E.coli</w:t>
      </w:r>
      <w:r>
        <w:rPr>
          <w:rFonts w:ascii="Arial" w:hAnsi="Arial" w:cs="Arial"/>
        </w:rPr>
        <w:t xml:space="preserve"> are characterized by virulence markers with five groups of enteric pathogenic </w:t>
      </w:r>
      <w:r w:rsidRPr="002A3D4F">
        <w:rPr>
          <w:rFonts w:ascii="Arial" w:hAnsi="Arial" w:cs="Arial"/>
          <w:i/>
        </w:rPr>
        <w:t>E.coli</w:t>
      </w:r>
      <w:r>
        <w:rPr>
          <w:rFonts w:ascii="Arial" w:hAnsi="Arial" w:cs="Arial"/>
        </w:rPr>
        <w:t xml:space="preserve"> established.  These include 1- enteropathogenic </w:t>
      </w:r>
      <w:r w:rsidRPr="002A3D4F">
        <w:rPr>
          <w:rFonts w:ascii="Arial" w:hAnsi="Arial" w:cs="Arial"/>
          <w:i/>
        </w:rPr>
        <w:t>E. coli</w:t>
      </w:r>
      <w:r>
        <w:rPr>
          <w:rFonts w:ascii="Arial" w:hAnsi="Arial" w:cs="Arial"/>
        </w:rPr>
        <w:t xml:space="preserve"> (EPEC) which express colonization factors such as pili, 2- enterotoxigenic </w:t>
      </w:r>
      <w:r w:rsidRPr="002A3D4F">
        <w:rPr>
          <w:rFonts w:ascii="Arial" w:hAnsi="Arial" w:cs="Arial"/>
          <w:i/>
        </w:rPr>
        <w:t>E. coli</w:t>
      </w:r>
      <w:r>
        <w:rPr>
          <w:rFonts w:ascii="Arial" w:hAnsi="Arial" w:cs="Arial"/>
        </w:rPr>
        <w:t xml:space="preserve"> (ETEC) expressing heat-stable (ST) or heat labile (LT) enterotoxins, 3- enteroinvasive E. coli (EIEC) with genes for invasion of intestinal epithelium, 4- shiga-toxin producing </w:t>
      </w:r>
      <w:r w:rsidRPr="002A3D4F">
        <w:rPr>
          <w:rFonts w:ascii="Arial" w:hAnsi="Arial" w:cs="Arial"/>
          <w:i/>
        </w:rPr>
        <w:t>E.coli</w:t>
      </w:r>
      <w:r>
        <w:rPr>
          <w:rFonts w:ascii="Arial" w:hAnsi="Arial" w:cs="Arial"/>
        </w:rPr>
        <w:t xml:space="preserve"> (STEC) expressing one or more different types of cytotoxins (Stx1 and Stx2), and 5- enteroaggregative </w:t>
      </w:r>
      <w:r w:rsidRPr="002A3D4F">
        <w:rPr>
          <w:rFonts w:ascii="Arial" w:hAnsi="Arial" w:cs="Arial"/>
          <w:i/>
        </w:rPr>
        <w:t>E.coli</w:t>
      </w:r>
      <w:r>
        <w:rPr>
          <w:rFonts w:ascii="Arial" w:hAnsi="Arial" w:cs="Arial"/>
        </w:rPr>
        <w:t xml:space="preserve"> (EAggEC) showing a distinct aggregative pattern of adherence to epithelial cells.</w:t>
      </w:r>
      <w:r>
        <w:rPr>
          <w:rFonts w:ascii="Arial" w:hAnsi="Arial" w:cs="Arial"/>
          <w:noProof/>
        </w:rPr>
        <w:t>[195]</w:t>
      </w:r>
      <w:r>
        <w:rPr>
          <w:rFonts w:ascii="Arial" w:hAnsi="Arial" w:cs="Arial"/>
        </w:rPr>
        <w:t>.  Strains belonging to EPEC, ETEC, and STEC are known to cause disease in humans and some animals, whereas EIEC and EAggEC are isolated only from humans.</w:t>
      </w:r>
      <w:r>
        <w:rPr>
          <w:rFonts w:ascii="Arial" w:hAnsi="Arial" w:cs="Arial"/>
          <w:noProof/>
        </w:rPr>
        <w:t>[195]</w:t>
      </w:r>
      <w:r>
        <w:rPr>
          <w:rFonts w:ascii="Arial" w:hAnsi="Arial" w:cs="Arial"/>
        </w:rPr>
        <w:t xml:space="preserve">  A novel class of </w:t>
      </w:r>
      <w:r>
        <w:rPr>
          <w:rFonts w:ascii="Arial" w:hAnsi="Arial" w:cs="Arial"/>
          <w:i/>
        </w:rPr>
        <w:t>E.coli</w:t>
      </w:r>
      <w:r>
        <w:rPr>
          <w:rFonts w:ascii="Arial" w:hAnsi="Arial" w:cs="Arial"/>
        </w:rPr>
        <w:t xml:space="preserve">, termed adherent-invasive </w:t>
      </w:r>
      <w:r>
        <w:rPr>
          <w:rFonts w:ascii="Arial" w:hAnsi="Arial" w:cs="Arial"/>
          <w:i/>
        </w:rPr>
        <w:t>E.coli</w:t>
      </w:r>
      <w:r>
        <w:rPr>
          <w:rFonts w:ascii="Arial" w:hAnsi="Arial" w:cs="Arial"/>
        </w:rPr>
        <w:t xml:space="preserve"> (AIEC) has been associated with chronic inflammatory disease in humans, dogs and cats.</w:t>
      </w:r>
      <w:r>
        <w:rPr>
          <w:rFonts w:ascii="Arial" w:hAnsi="Arial" w:cs="Arial"/>
          <w:noProof/>
        </w:rPr>
        <w:t>[196, 197]</w:t>
      </w:r>
      <w:r w:rsidRPr="002F3D25">
        <w:rPr>
          <w:rFonts w:ascii="Arial" w:hAnsi="Arial" w:cs="Arial"/>
        </w:rPr>
        <w:t xml:space="preserve"> </w:t>
      </w:r>
    </w:p>
    <w:p w:rsidR="00330CF1" w:rsidRDefault="00330CF1" w:rsidP="00775597">
      <w:pPr>
        <w:autoSpaceDE w:val="0"/>
        <w:autoSpaceDN w:val="0"/>
        <w:adjustRightInd w:val="0"/>
        <w:rPr>
          <w:rFonts w:ascii="Arial" w:hAnsi="Arial" w:cs="Arial"/>
        </w:rPr>
      </w:pPr>
      <w:r>
        <w:rPr>
          <w:rFonts w:ascii="Arial" w:hAnsi="Arial" w:cs="Arial"/>
        </w:rPr>
        <w:t xml:space="preserve">     Verocytotoxic </w:t>
      </w:r>
      <w:r w:rsidRPr="00846528">
        <w:rPr>
          <w:rFonts w:ascii="Arial" w:hAnsi="Arial" w:cs="Arial"/>
          <w:i/>
        </w:rPr>
        <w:t xml:space="preserve">E.coli </w:t>
      </w:r>
      <w:r>
        <w:rPr>
          <w:rFonts w:ascii="Arial" w:hAnsi="Arial" w:cs="Arial"/>
        </w:rPr>
        <w:t xml:space="preserve">are responsible for the majority of </w:t>
      </w:r>
      <w:r w:rsidRPr="002A3D4F">
        <w:rPr>
          <w:rFonts w:ascii="Arial" w:hAnsi="Arial" w:cs="Arial"/>
          <w:i/>
        </w:rPr>
        <w:t>E. coli</w:t>
      </w:r>
      <w:r>
        <w:rPr>
          <w:rFonts w:ascii="Arial" w:hAnsi="Arial" w:cs="Arial"/>
        </w:rPr>
        <w:t xml:space="preserve"> associated food-borne illness from raw or undercooked meat in humans.</w:t>
      </w:r>
      <w:r>
        <w:rPr>
          <w:rFonts w:ascii="Arial" w:hAnsi="Arial" w:cs="Arial"/>
          <w:noProof/>
        </w:rPr>
        <w:t>[158]</w:t>
      </w:r>
      <w:r>
        <w:rPr>
          <w:rFonts w:ascii="Arial" w:hAnsi="Arial" w:cs="Arial"/>
        </w:rPr>
        <w:t xml:space="preserve">  Verocytotoxic </w:t>
      </w:r>
      <w:r w:rsidRPr="00F04C9D">
        <w:rPr>
          <w:rFonts w:ascii="Arial" w:hAnsi="Arial" w:cs="Arial"/>
          <w:i/>
        </w:rPr>
        <w:t>E.coli</w:t>
      </w:r>
      <w:r>
        <w:rPr>
          <w:rFonts w:ascii="Arial" w:hAnsi="Arial" w:cs="Arial"/>
        </w:rPr>
        <w:t xml:space="preserve"> are named because of their ability to cause damage to cultured Vero cells.  Vero cells, isolated from the African green monkey, were the first cell lines used to detect </w:t>
      </w:r>
      <w:r>
        <w:rPr>
          <w:rFonts w:ascii="Arial" w:hAnsi="Arial" w:cs="Arial"/>
          <w:i/>
        </w:rPr>
        <w:t xml:space="preserve">E.coli </w:t>
      </w:r>
      <w:r>
        <w:rPr>
          <w:rFonts w:ascii="Arial" w:hAnsi="Arial" w:cs="Arial"/>
        </w:rPr>
        <w:t xml:space="preserve">toxins.  Many verocytotoxic </w:t>
      </w:r>
      <w:r w:rsidRPr="00F04C9D">
        <w:rPr>
          <w:rFonts w:ascii="Arial" w:hAnsi="Arial" w:cs="Arial"/>
          <w:i/>
        </w:rPr>
        <w:t>E.coli</w:t>
      </w:r>
      <w:r>
        <w:rPr>
          <w:rFonts w:ascii="Arial" w:hAnsi="Arial" w:cs="Arial"/>
        </w:rPr>
        <w:t xml:space="preserve"> strains produce shiga-toxins (Stx1, Stx2, Stx3).  Shiga-toxin or STEC strains such as </w:t>
      </w:r>
      <w:r w:rsidRPr="00F04C9D">
        <w:rPr>
          <w:rFonts w:ascii="Arial" w:hAnsi="Arial" w:cs="Arial"/>
          <w:i/>
        </w:rPr>
        <w:t>E.coli</w:t>
      </w:r>
      <w:r>
        <w:rPr>
          <w:rFonts w:ascii="Arial" w:hAnsi="Arial" w:cs="Arial"/>
        </w:rPr>
        <w:t xml:space="preserve"> O157:H7 are considered the most virulent in humans </w:t>
      </w:r>
      <w:r>
        <w:rPr>
          <w:rFonts w:ascii="Arial" w:hAnsi="Arial" w:cs="Arial"/>
        </w:rPr>
        <w:lastRenderedPageBreak/>
        <w:t>causing hemorrhagic diarrhea and hemolytic uremic syndrome.</w:t>
      </w:r>
      <w:r>
        <w:rPr>
          <w:rFonts w:ascii="Arial" w:hAnsi="Arial" w:cs="Arial"/>
          <w:noProof/>
        </w:rPr>
        <w:t>[161]</w:t>
      </w:r>
      <w:r>
        <w:rPr>
          <w:rFonts w:ascii="Arial" w:hAnsi="Arial" w:cs="Arial"/>
        </w:rPr>
        <w:t xml:space="preserve">  Cattle, including dairy herds are important sources of STEC isolates.</w:t>
      </w:r>
      <w:r>
        <w:rPr>
          <w:rFonts w:ascii="Arial" w:hAnsi="Arial" w:cs="Arial"/>
          <w:noProof/>
        </w:rPr>
        <w:t>[161]</w:t>
      </w:r>
      <w:r>
        <w:rPr>
          <w:rFonts w:ascii="Arial" w:hAnsi="Arial" w:cs="Arial"/>
        </w:rPr>
        <w:t xml:space="preserve">  Horses and dogs can also be carriers with one case reported of transmission from an asymptomatic dog to a child.</w:t>
      </w:r>
      <w:r>
        <w:rPr>
          <w:rFonts w:ascii="Arial" w:hAnsi="Arial" w:cs="Arial"/>
          <w:noProof/>
        </w:rPr>
        <w:t>[161, 198]</w:t>
      </w:r>
      <w:r>
        <w:rPr>
          <w:rFonts w:ascii="Arial" w:hAnsi="Arial" w:cs="Arial"/>
        </w:rPr>
        <w:t xml:space="preserve">  Verocytoxic </w:t>
      </w:r>
      <w:r w:rsidRPr="00F04C9D">
        <w:rPr>
          <w:rFonts w:ascii="Arial" w:hAnsi="Arial" w:cs="Arial"/>
          <w:i/>
        </w:rPr>
        <w:t>E.coli</w:t>
      </w:r>
      <w:r>
        <w:rPr>
          <w:rFonts w:ascii="Arial" w:hAnsi="Arial" w:cs="Arial"/>
        </w:rPr>
        <w:t xml:space="preserve"> have been isolated from both healthy and diarrheic cats but none of these strains have been reported to produce shiga-toxins.</w:t>
      </w:r>
      <w:r>
        <w:rPr>
          <w:rFonts w:ascii="Arial" w:hAnsi="Arial" w:cs="Arial"/>
          <w:noProof/>
        </w:rPr>
        <w:t>[195, 198]</w:t>
      </w:r>
      <w:r>
        <w:rPr>
          <w:rFonts w:ascii="Arial" w:hAnsi="Arial" w:cs="Arial"/>
        </w:rPr>
        <w:t xml:space="preserve">  These feline verocytotoxic strains produce necrotizing toxins associated with hemolysin and are associated with extra-intestinal infections in cats, but it is unknown the extent of their involvement in intestinal disease.  As STEC have not been found in cats to date, it is unknown if ingested whether they would cause disease or possible transmission to humans through shedding.</w:t>
      </w:r>
    </w:p>
    <w:p w:rsidR="00330CF1" w:rsidRDefault="00330CF1" w:rsidP="00775597">
      <w:pPr>
        <w:autoSpaceDE w:val="0"/>
        <w:autoSpaceDN w:val="0"/>
        <w:adjustRightInd w:val="0"/>
        <w:rPr>
          <w:rFonts w:ascii="Arial" w:hAnsi="Arial" w:cs="Arial"/>
        </w:rPr>
      </w:pPr>
      <w:r>
        <w:rPr>
          <w:rFonts w:ascii="Arial" w:hAnsi="Arial" w:cs="Arial"/>
        </w:rPr>
        <w:t xml:space="preserve">     Enteropathogenic </w:t>
      </w:r>
      <w:r w:rsidRPr="00F04C9D">
        <w:rPr>
          <w:rFonts w:ascii="Arial" w:hAnsi="Arial" w:cs="Arial"/>
          <w:i/>
        </w:rPr>
        <w:t>E. coli</w:t>
      </w:r>
      <w:r>
        <w:rPr>
          <w:rFonts w:ascii="Arial" w:hAnsi="Arial" w:cs="Arial"/>
        </w:rPr>
        <w:t xml:space="preserve"> (EPEC) are known to cause gastroenteritis in young infants and neonatal farm animals.  EPEC strains have been isolated from cats but it is unknown to what extent these are potential diarrheic agents or their incidence of shedding.</w:t>
      </w:r>
      <w:r>
        <w:rPr>
          <w:rFonts w:ascii="Arial" w:hAnsi="Arial" w:cs="Arial"/>
          <w:noProof/>
        </w:rPr>
        <w:t>[195]</w:t>
      </w:r>
    </w:p>
    <w:p w:rsidR="00330CF1" w:rsidRDefault="00330CF1" w:rsidP="00775597">
      <w:pPr>
        <w:autoSpaceDE w:val="0"/>
        <w:autoSpaceDN w:val="0"/>
        <w:adjustRightInd w:val="0"/>
        <w:rPr>
          <w:rFonts w:ascii="Arial" w:hAnsi="Arial" w:cs="Arial"/>
        </w:rPr>
      </w:pPr>
      <w:r>
        <w:rPr>
          <w:rFonts w:ascii="Arial" w:hAnsi="Arial" w:cs="Arial"/>
        </w:rPr>
        <w:t xml:space="preserve">     Enterotoxigenic </w:t>
      </w:r>
      <w:r w:rsidRPr="00F04C9D">
        <w:rPr>
          <w:rFonts w:ascii="Arial" w:hAnsi="Arial" w:cs="Arial"/>
          <w:i/>
        </w:rPr>
        <w:t>E.coli</w:t>
      </w:r>
      <w:r>
        <w:rPr>
          <w:rFonts w:ascii="Arial" w:hAnsi="Arial" w:cs="Arial"/>
        </w:rPr>
        <w:t xml:space="preserve"> produce one or more different types of enterotoxins which stimulate intestinal fluid secretion causing a non-bloody, water diarrhea in humans and young farm animals.</w:t>
      </w:r>
      <w:r>
        <w:rPr>
          <w:rFonts w:ascii="Arial" w:hAnsi="Arial" w:cs="Arial"/>
          <w:noProof/>
        </w:rPr>
        <w:t>[195]</w:t>
      </w:r>
      <w:r>
        <w:rPr>
          <w:rFonts w:ascii="Arial" w:hAnsi="Arial" w:cs="Arial"/>
        </w:rPr>
        <w:t xml:space="preserve">  The toxins produced by ETEC are divided into two major groups: heat-labile (LT) and heat-stable (ST) toxins.  ETEC have been found associated with diarrhea in dogs, particularly young dogs.  Very little information or studies have been done on ETEC’s in cats but to date, these strains and toxins have not been found.</w:t>
      </w:r>
      <w:r>
        <w:rPr>
          <w:rFonts w:ascii="Arial" w:hAnsi="Arial" w:cs="Arial"/>
          <w:noProof/>
        </w:rPr>
        <w:t>[195]</w:t>
      </w:r>
    </w:p>
    <w:p w:rsidR="00330CF1" w:rsidRDefault="00330CF1" w:rsidP="00775597">
      <w:pPr>
        <w:autoSpaceDE w:val="0"/>
        <w:autoSpaceDN w:val="0"/>
        <w:adjustRightInd w:val="0"/>
        <w:rPr>
          <w:rFonts w:ascii="Arial" w:hAnsi="Arial" w:cs="Arial"/>
        </w:rPr>
      </w:pPr>
    </w:p>
    <w:p w:rsidR="00330CF1" w:rsidRDefault="00330CF1" w:rsidP="000578A6">
      <w:pPr>
        <w:pStyle w:val="Heading3"/>
      </w:pPr>
      <w:bookmarkStart w:id="19" w:name="_Toc305485846"/>
      <w:r w:rsidRPr="006C3FEB">
        <w:t>Benefits</w:t>
      </w:r>
      <w:bookmarkEnd w:id="19"/>
      <w:r w:rsidRPr="006C3FEB">
        <w:t xml:space="preserve">  </w:t>
      </w:r>
    </w:p>
    <w:p w:rsidR="00330CF1" w:rsidRDefault="00330CF1" w:rsidP="00775597">
      <w:pPr>
        <w:autoSpaceDE w:val="0"/>
        <w:autoSpaceDN w:val="0"/>
        <w:adjustRightInd w:val="0"/>
        <w:rPr>
          <w:rFonts w:ascii="Arial" w:hAnsi="Arial" w:cs="Arial"/>
        </w:rPr>
      </w:pPr>
    </w:p>
    <w:p w:rsidR="00330CF1" w:rsidRDefault="00330CF1" w:rsidP="00775597">
      <w:pPr>
        <w:autoSpaceDE w:val="0"/>
        <w:autoSpaceDN w:val="0"/>
        <w:adjustRightInd w:val="0"/>
        <w:rPr>
          <w:rFonts w:ascii="Arial" w:hAnsi="Arial" w:cs="Arial"/>
        </w:rPr>
      </w:pPr>
      <w:r>
        <w:rPr>
          <w:rFonts w:ascii="Arial" w:hAnsi="Arial" w:cs="Arial"/>
        </w:rPr>
        <w:t xml:space="preserve">     Improved digestibility has been one of the most consistent benefits to date for feeding raw meat diets </w:t>
      </w:r>
      <w:r w:rsidRPr="00127942">
        <w:rPr>
          <w:rFonts w:ascii="Arial" w:hAnsi="Arial" w:cs="Arial"/>
        </w:rPr>
        <w:t xml:space="preserve">to </w:t>
      </w:r>
      <w:r>
        <w:rPr>
          <w:rFonts w:ascii="Arial" w:hAnsi="Arial" w:cs="Arial"/>
        </w:rPr>
        <w:t>cats.  Most of these studies have been done on small exotic feline species.  Crissey compared a raw meat diet with a dry kibble diet in Sand cats and found the raw meat diet to have 10% higher digestibility in dry matter, and energy and 15% higher digestibility in crude protein compared to the kibble extruded diet.</w:t>
      </w:r>
      <w:r>
        <w:rPr>
          <w:rFonts w:ascii="Arial" w:hAnsi="Arial" w:cs="Arial"/>
          <w:noProof/>
        </w:rPr>
        <w:t>[199]</w:t>
      </w:r>
      <w:r>
        <w:rPr>
          <w:rFonts w:ascii="Arial" w:hAnsi="Arial" w:cs="Arial"/>
        </w:rPr>
        <w:t>.  Differences in plasma taurine were also examined.  Taurine levels in both diets were adequate but plasma taurine levels in the kibble-fed cats were twice as high despite taurine levels in the raw diet being twice as high as the kibble diet.  The amount of taurine available from the diet depends on several factors including the amount of protein, quality of protein, processing effects, the animal’s oxidative status and levels of small intestinal bacteria.</w:t>
      </w:r>
      <w:r>
        <w:rPr>
          <w:rFonts w:ascii="Arial" w:hAnsi="Arial" w:cs="Arial"/>
          <w:noProof/>
        </w:rPr>
        <w:t>[200, 201]</w:t>
      </w:r>
      <w:r>
        <w:rPr>
          <w:rFonts w:ascii="Arial" w:hAnsi="Arial" w:cs="Arial"/>
        </w:rPr>
        <w:t xml:space="preserve">  Taurine is an intracellular osmolite and drip losses can occur in raw muscle meat following osmotic changes associated with slaughter and post-mortem conditions in muscle.</w:t>
      </w:r>
      <w:r>
        <w:rPr>
          <w:rFonts w:ascii="Arial" w:hAnsi="Arial" w:cs="Arial"/>
          <w:noProof/>
        </w:rPr>
        <w:t>[202]</w:t>
      </w:r>
      <w:r>
        <w:rPr>
          <w:rFonts w:ascii="Arial" w:hAnsi="Arial" w:cs="Arial"/>
        </w:rPr>
        <w:t xml:space="preserve">  The kibble diet had crystalline taurine added during the processing.  Plasma beta-carotene levels were 10X higher in the raw diet compared to the kibble diet.  Cats have minimal activity of the enzyme 15-15 monooxygenase which converts beta-carotene to Vitamin A but can utilize carotenoids as antioxidants.</w:t>
      </w:r>
      <w:r>
        <w:rPr>
          <w:rFonts w:ascii="Arial" w:hAnsi="Arial" w:cs="Arial"/>
          <w:noProof/>
        </w:rPr>
        <w:t>[203, 204]</w:t>
      </w:r>
      <w:r>
        <w:rPr>
          <w:rFonts w:ascii="Arial" w:hAnsi="Arial" w:cs="Arial"/>
        </w:rPr>
        <w:t xml:space="preserve">  Plasma retinyl esters were not significantly different between the two diets.</w:t>
      </w:r>
    </w:p>
    <w:p w:rsidR="00330CF1" w:rsidRDefault="00330CF1" w:rsidP="00775597">
      <w:pPr>
        <w:autoSpaceDE w:val="0"/>
        <w:autoSpaceDN w:val="0"/>
        <w:adjustRightInd w:val="0"/>
        <w:rPr>
          <w:rFonts w:ascii="Arial" w:hAnsi="Arial" w:cs="Arial"/>
        </w:rPr>
      </w:pPr>
      <w:r>
        <w:rPr>
          <w:rFonts w:ascii="Arial" w:hAnsi="Arial" w:cs="Arial"/>
        </w:rPr>
        <w:t xml:space="preserve">     A more recent study looked at feeding the domestic cat’s wild ancestor, </w:t>
      </w:r>
      <w:r w:rsidRPr="003D2855">
        <w:rPr>
          <w:rFonts w:ascii="Arial" w:hAnsi="Arial" w:cs="Arial"/>
          <w:i/>
        </w:rPr>
        <w:t>Felis lybica</w:t>
      </w:r>
      <w:r>
        <w:rPr>
          <w:rFonts w:ascii="Arial" w:hAnsi="Arial" w:cs="Arial"/>
        </w:rPr>
        <w:t xml:space="preserve">, a commercial raw meat vs. an extruded high protein kibble diet.  The purpose was to </w:t>
      </w:r>
      <w:r>
        <w:rPr>
          <w:rFonts w:ascii="Arial" w:hAnsi="Arial" w:cs="Arial"/>
        </w:rPr>
        <w:lastRenderedPageBreak/>
        <w:t>compare apparent nutrient digestibility, fecal characteristics and blood metabolite concentrations.</w:t>
      </w:r>
      <w:r>
        <w:rPr>
          <w:rFonts w:ascii="Arial" w:hAnsi="Arial" w:cs="Arial"/>
          <w:noProof/>
        </w:rPr>
        <w:t>[205]</w:t>
      </w:r>
      <w:r>
        <w:rPr>
          <w:rFonts w:ascii="Arial" w:hAnsi="Arial" w:cs="Arial"/>
        </w:rPr>
        <w:t xml:space="preserve">  Caloric intake on a dry-matter (DM) basis was not different between the two diets but fecal output was significantly higher in the kibble fed cats.  Crude protein digestibility in the raw diet was 8% higher compared to the extruded diet.</w:t>
      </w:r>
      <w:r>
        <w:rPr>
          <w:rFonts w:ascii="Arial" w:hAnsi="Arial" w:cs="Arial"/>
          <w:noProof/>
        </w:rPr>
        <w:t>[205]</w:t>
      </w:r>
      <w:r>
        <w:rPr>
          <w:rFonts w:ascii="Arial" w:hAnsi="Arial" w:cs="Arial"/>
        </w:rPr>
        <w:t xml:space="preserve">  Blood analyses showed a few differences between the diets.  Alanine aminotransferase and bicarbonate were significantly higher on the raw diet compared to the extruded diet.  Both of these concentrations were still within the normal reference range.  Another study evaluating protein quality of various raw and rendered animal products, found total essential amino acid digestibility and total amino acid digestibility ranged from 93.7 to 96.7 and 90.3 to 95.5% respectively in the raw diets, and 84.0 to 87.7  and 79.2 to 84.8 respectively in the rendered animal meats.</w:t>
      </w:r>
      <w:r>
        <w:rPr>
          <w:rFonts w:ascii="Arial" w:hAnsi="Arial" w:cs="Arial"/>
          <w:noProof/>
        </w:rPr>
        <w:t>[206]</w:t>
      </w:r>
    </w:p>
    <w:p w:rsidR="00330CF1" w:rsidRDefault="00330CF1" w:rsidP="00775597">
      <w:pPr>
        <w:autoSpaceDE w:val="0"/>
        <w:autoSpaceDN w:val="0"/>
        <w:adjustRightInd w:val="0"/>
        <w:rPr>
          <w:rFonts w:ascii="Arial" w:hAnsi="Arial" w:cs="Arial"/>
        </w:rPr>
      </w:pPr>
      <w:r>
        <w:rPr>
          <w:rFonts w:ascii="Arial" w:hAnsi="Arial" w:cs="Arial"/>
        </w:rPr>
        <w:t xml:space="preserve">     The amino acid lysine is particularly sensitive to heat processing due to formation of Maillard reaction products.</w:t>
      </w:r>
      <w:r>
        <w:rPr>
          <w:rFonts w:ascii="Arial" w:hAnsi="Arial" w:cs="Arial"/>
          <w:noProof/>
        </w:rPr>
        <w:t>[207, 208]</w:t>
      </w:r>
      <w:r>
        <w:rPr>
          <w:rFonts w:ascii="Arial" w:hAnsi="Arial" w:cs="Arial"/>
        </w:rPr>
        <w:t xml:space="preserve">  Larsen examined the relationship between lysine bioavailability and growth response in kittens fed heat-treated and unheated casein.  The bioavailability of the lysine in the untreated casein was 96.2% compared to 56.5% in the heat-treated casein.</w:t>
      </w:r>
      <w:r>
        <w:rPr>
          <w:rFonts w:ascii="Arial" w:hAnsi="Arial" w:cs="Arial"/>
          <w:noProof/>
        </w:rPr>
        <w:t>[209]</w:t>
      </w:r>
      <w:r>
        <w:rPr>
          <w:rFonts w:ascii="Arial" w:hAnsi="Arial" w:cs="Arial"/>
        </w:rPr>
        <w:t xml:space="preserve">  There was a lower growth rate in the kittens fed heat-treated casein reflecting a decreased bioavailability compared to the raw, unheated casein.  </w:t>
      </w:r>
    </w:p>
    <w:p w:rsidR="00330CF1" w:rsidRDefault="00330CF1" w:rsidP="00775597">
      <w:pPr>
        <w:autoSpaceDE w:val="0"/>
        <w:autoSpaceDN w:val="0"/>
        <w:adjustRightInd w:val="0"/>
        <w:rPr>
          <w:rFonts w:ascii="Arial" w:hAnsi="Arial" w:cs="Arial"/>
        </w:rPr>
      </w:pPr>
      <w:r>
        <w:rPr>
          <w:rFonts w:ascii="Arial" w:hAnsi="Arial" w:cs="Arial"/>
        </w:rPr>
        <w:t xml:space="preserve">     Another benefit attributed to feeding raw food diets is that active enzymes remain intact and thereby improve digestibility and bioavailability of foodstuffs.  A consistent argument against this claim is that protein enzymes are denatured and inactivated in the stomach secondary to hydrochloric acid and pepsin secretion.</w:t>
      </w:r>
      <w:r>
        <w:rPr>
          <w:rFonts w:ascii="Arial" w:hAnsi="Arial" w:cs="Arial"/>
          <w:noProof/>
        </w:rPr>
        <w:t>[210]</w:t>
      </w:r>
      <w:r>
        <w:rPr>
          <w:rFonts w:ascii="Arial" w:hAnsi="Arial" w:cs="Arial"/>
        </w:rPr>
        <w:t xml:space="preserve">  An additional argument states that all of the enzymes dogs and cats need for digestion are already produced in the gastrointestinal tract unless they have an underlying exocrine pancreatic insufficiency.</w:t>
      </w:r>
      <w:r>
        <w:rPr>
          <w:rFonts w:ascii="Arial" w:hAnsi="Arial" w:cs="Arial"/>
          <w:noProof/>
        </w:rPr>
        <w:t>[210, 211]</w:t>
      </w:r>
      <w:r>
        <w:rPr>
          <w:rFonts w:ascii="Arial" w:hAnsi="Arial" w:cs="Arial"/>
        </w:rPr>
        <w:t xml:space="preserve">  The extent or types of enzyme degradation in the stomach is not completely quantified, but treatment for inadequate pancreatic enzyme secretion secondary to pancreatic insufficiency with raw pancreas is a common practice.  Westermarck found in jejunally cannulated dogs, that raw porcine pancreas had the highest level of lipase recovery in the jejunum (39.1%) compared to Viokase powder</w:t>
      </w:r>
      <w:r>
        <w:rPr>
          <w:rFonts w:ascii="Arial" w:hAnsi="Arial" w:cs="Arial"/>
          <w:vertAlign w:val="superscript"/>
        </w:rPr>
        <w:t>1</w:t>
      </w:r>
      <w:r>
        <w:rPr>
          <w:rFonts w:ascii="Arial" w:hAnsi="Arial" w:cs="Arial"/>
        </w:rPr>
        <w:t xml:space="preserve"> (26.2%).  Dietary amylase and proteases activity levels were still present in the jejunum from the raw pancreas extract and higher than enzyme levels in a subclinical exocrine pancreatic insufficiency cases.</w:t>
      </w:r>
      <w:r>
        <w:rPr>
          <w:rFonts w:ascii="Arial" w:hAnsi="Arial" w:cs="Arial"/>
          <w:noProof/>
        </w:rPr>
        <w:t>[212]</w:t>
      </w:r>
    </w:p>
    <w:p w:rsidR="00330CF1" w:rsidRPr="0042003F" w:rsidRDefault="00330CF1" w:rsidP="00775597">
      <w:pPr>
        <w:autoSpaceDE w:val="0"/>
        <w:autoSpaceDN w:val="0"/>
        <w:adjustRightInd w:val="0"/>
        <w:rPr>
          <w:rFonts w:ascii="Arial" w:hAnsi="Arial" w:cs="Arial"/>
        </w:rPr>
      </w:pPr>
      <w:r w:rsidRPr="007111B8">
        <w:rPr>
          <w:rFonts w:ascii="Arial" w:hAnsi="Arial" w:cs="Arial"/>
          <w:color w:val="C00000"/>
        </w:rPr>
        <w:t xml:space="preserve">     </w:t>
      </w:r>
      <w:r w:rsidRPr="0042003F">
        <w:rPr>
          <w:rFonts w:ascii="Arial" w:hAnsi="Arial" w:cs="Arial"/>
        </w:rPr>
        <w:t>A study sponsored by the Winn Foundation was conducted to develop a “gold standard diet” for domestic cats which then could be used for comparison with commercial diets.</w:t>
      </w:r>
      <w:r>
        <w:rPr>
          <w:rFonts w:ascii="Arial" w:hAnsi="Arial" w:cs="Arial"/>
          <w:noProof/>
        </w:rPr>
        <w:t>[213]</w:t>
      </w:r>
      <w:r w:rsidRPr="0042003F">
        <w:rPr>
          <w:rFonts w:ascii="Arial" w:hAnsi="Arial" w:cs="Arial"/>
        </w:rPr>
        <w:t xml:space="preserve"> </w:t>
      </w:r>
      <w:r>
        <w:rPr>
          <w:rFonts w:ascii="Arial" w:hAnsi="Arial" w:cs="Arial"/>
        </w:rPr>
        <w:t xml:space="preserve"> </w:t>
      </w:r>
      <w:r w:rsidRPr="0042003F">
        <w:rPr>
          <w:rFonts w:ascii="Arial" w:hAnsi="Arial" w:cs="Arial"/>
        </w:rPr>
        <w:t>Two groups of kittens, 4 weeks-old and 20 weeks-old, were fed either a ground raw rabbit</w:t>
      </w:r>
      <w:r>
        <w:rPr>
          <w:rFonts w:ascii="Arial" w:hAnsi="Arial" w:cs="Arial"/>
        </w:rPr>
        <w:t xml:space="preserve"> diet or commercial premium cat diet</w:t>
      </w:r>
      <w:r w:rsidRPr="0042003F">
        <w:rPr>
          <w:rFonts w:ascii="Arial" w:hAnsi="Arial" w:cs="Arial"/>
        </w:rPr>
        <w:t>.</w:t>
      </w:r>
      <w:r>
        <w:rPr>
          <w:rFonts w:ascii="Arial" w:hAnsi="Arial" w:cs="Arial"/>
          <w:noProof/>
        </w:rPr>
        <w:t>[213]</w:t>
      </w:r>
      <w:r w:rsidRPr="0042003F">
        <w:rPr>
          <w:rFonts w:ascii="Arial" w:hAnsi="Arial" w:cs="Arial"/>
        </w:rPr>
        <w:t xml:space="preserve">  Cats on the whole ground rabbit diet had significant improvements in stool quality based on a visual stool grading system.  They went from soft or liquid stools to formed hard stools.  The cats on the commercial canned diet continued to have semi-formed to soft stools.  The kittens also ate the raw diet more aggressively and rapidly suggesting a higher palatability.  Kittens on the raw diet appeared to have a better coat quality although this was not objectively quantified.  There were no differences in rate of growth, amount of intestinal </w:t>
      </w:r>
    </w:p>
    <w:p w:rsidR="00330CF1" w:rsidRPr="00F56589" w:rsidRDefault="00330CF1" w:rsidP="00775597">
      <w:pPr>
        <w:autoSpaceDE w:val="0"/>
        <w:autoSpaceDN w:val="0"/>
        <w:adjustRightInd w:val="0"/>
        <w:rPr>
          <w:rFonts w:ascii="Arial" w:hAnsi="Arial" w:cs="Arial"/>
        </w:rPr>
      </w:pPr>
      <w:r w:rsidRPr="00F56589">
        <w:rPr>
          <w:rFonts w:ascii="Arial" w:hAnsi="Arial" w:cs="Arial"/>
        </w:rPr>
        <w:t xml:space="preserve">inflammation or numbers of bacteria in the small intestine between the two groups </w:t>
      </w:r>
    </w:p>
    <w:p w:rsidR="00330CF1" w:rsidRDefault="00330CF1" w:rsidP="00372EA7">
      <w:pPr>
        <w:rPr>
          <w:rFonts w:ascii="Arial" w:hAnsi="Arial" w:cs="Arial"/>
        </w:rPr>
      </w:pPr>
      <w:r w:rsidRPr="00F56589">
        <w:rPr>
          <w:rFonts w:ascii="Arial" w:hAnsi="Arial" w:cs="Arial"/>
        </w:rPr>
        <w:t xml:space="preserve">although shedding of pathogenic organisms was slightly higher in the kittens on the raw </w:t>
      </w:r>
    </w:p>
    <w:p w:rsidR="00330CF1" w:rsidRDefault="00330CF1" w:rsidP="00372EA7">
      <w:pPr>
        <w:rPr>
          <w:rFonts w:ascii="Arial" w:hAnsi="Arial" w:cs="Arial"/>
        </w:rPr>
      </w:pPr>
      <w:r>
        <w:rPr>
          <w:rFonts w:ascii="Arial" w:hAnsi="Arial" w:cs="Arial"/>
        </w:rPr>
        <w:t>___________________________________________________________</w:t>
      </w:r>
    </w:p>
    <w:p w:rsidR="00330CF1" w:rsidRPr="00372EA7" w:rsidRDefault="00330CF1" w:rsidP="00372EA7">
      <w:pPr>
        <w:rPr>
          <w:rFonts w:ascii="Arial" w:hAnsi="Arial" w:cs="Arial"/>
        </w:rPr>
      </w:pPr>
      <w:r w:rsidRPr="00F56589">
        <w:rPr>
          <w:rFonts w:ascii="Arial" w:hAnsi="Arial" w:cs="Arial"/>
          <w:sz w:val="20"/>
          <w:szCs w:val="20"/>
          <w:vertAlign w:val="superscript"/>
        </w:rPr>
        <w:t>1</w:t>
      </w:r>
      <w:r w:rsidRPr="00F56589">
        <w:rPr>
          <w:rFonts w:ascii="Arial" w:hAnsi="Arial" w:cs="Arial"/>
          <w:sz w:val="20"/>
          <w:szCs w:val="20"/>
        </w:rPr>
        <w:t xml:space="preserve">  Viocase-v powder, Boehringer Ingelheim/Fort Dodge Vetmedica, Inc. St. Joseph, MO.</w:t>
      </w:r>
    </w:p>
    <w:p w:rsidR="00330CF1" w:rsidRPr="00F56589" w:rsidRDefault="00330CF1" w:rsidP="00775597">
      <w:pPr>
        <w:autoSpaceDE w:val="0"/>
        <w:autoSpaceDN w:val="0"/>
        <w:adjustRightInd w:val="0"/>
        <w:rPr>
          <w:rFonts w:ascii="Arial" w:hAnsi="Arial" w:cs="Arial"/>
        </w:rPr>
      </w:pPr>
      <w:r w:rsidRPr="00F56589">
        <w:rPr>
          <w:rFonts w:ascii="Arial" w:hAnsi="Arial" w:cs="Arial"/>
        </w:rPr>
        <w:lastRenderedPageBreak/>
        <w:t>diet.</w:t>
      </w:r>
      <w:r>
        <w:rPr>
          <w:rFonts w:ascii="Arial" w:hAnsi="Arial" w:cs="Arial"/>
          <w:noProof/>
        </w:rPr>
        <w:t>[213]</w:t>
      </w:r>
      <w:r w:rsidRPr="00F56589">
        <w:rPr>
          <w:rFonts w:ascii="Arial" w:hAnsi="Arial" w:cs="Arial"/>
        </w:rPr>
        <w:t xml:space="preserve">  One of the kittens on the raw rabbit diet had a sudden death due to taurine deficient dilated cardiomyopathy.  When the other kittens on the raw diet were  examined, they were found to have heart muscle changes consistent with taurine deficiency.  </w:t>
      </w:r>
      <w:r>
        <w:rPr>
          <w:rFonts w:ascii="Arial" w:hAnsi="Arial" w:cs="Arial"/>
        </w:rPr>
        <w:t>While the raw rabbit diet was found to contain the minimal requirement for taurine, it was speculated that bacteria in the carcass of the ground rabbit or in the intestine of the cats broke down some of the taurine.  This would not be detrimental in diets containing excess levels of taurine but would be problematic if the diet was borderline deficient.</w:t>
      </w:r>
      <w:r>
        <w:rPr>
          <w:rFonts w:ascii="Arial" w:hAnsi="Arial" w:cs="Arial"/>
          <w:noProof/>
        </w:rPr>
        <w:t>[213]</w:t>
      </w:r>
    </w:p>
    <w:p w:rsidR="00330CF1" w:rsidRPr="0042003F" w:rsidRDefault="00330CF1" w:rsidP="00775597">
      <w:pPr>
        <w:autoSpaceDE w:val="0"/>
        <w:autoSpaceDN w:val="0"/>
        <w:adjustRightInd w:val="0"/>
        <w:rPr>
          <w:rFonts w:ascii="Arial" w:hAnsi="Arial" w:cs="Arial"/>
          <w:color w:val="C00000"/>
        </w:rPr>
      </w:pPr>
      <w:r>
        <w:rPr>
          <w:rFonts w:ascii="Arial" w:hAnsi="Arial" w:cs="Arial"/>
        </w:rPr>
        <w:t xml:space="preserve">     Similar to raw dog and cat foods, there has been very little scientific research on raw diets in humans.  Human raw food diets have been variably described as uncooked vegan diets, uncooked vegetable diets, and “living foods” diets.  Most exclude all animal products, except one diet which includes raw liver.</w:t>
      </w:r>
      <w:r>
        <w:rPr>
          <w:rFonts w:ascii="Arial" w:hAnsi="Arial" w:cs="Arial"/>
          <w:noProof/>
        </w:rPr>
        <w:t>[214]</w:t>
      </w:r>
      <w:r>
        <w:rPr>
          <w:rFonts w:ascii="Arial" w:hAnsi="Arial" w:cs="Arial"/>
        </w:rPr>
        <w:t xml:space="preserve">  The amount of actual raw food intake varies between 50-100% of total caloric intake.  As compared to mean nutrient intakes of people reported in the National Health and Nutrition Examination Survey (NHANES III), subjects eating a raw foods diet had significantly higher intakes of fiber, Vitamins A, B6, C and E, folate, copper and potassium and significantly lower intakes of protein, total and saturated fat, cholesterol, Vitamin B12, phosphorus, sodium and zinc.</w:t>
      </w:r>
      <w:r>
        <w:rPr>
          <w:rFonts w:ascii="Arial" w:hAnsi="Arial" w:cs="Arial"/>
          <w:noProof/>
        </w:rPr>
        <w:t>[214]</w:t>
      </w:r>
      <w:r>
        <w:rPr>
          <w:rFonts w:ascii="Arial" w:hAnsi="Arial" w:cs="Arial"/>
        </w:rPr>
        <w:t xml:space="preserve">  Subsequently, raw food diets had higher vitamin antioxidant levels (Vitamin C, E and beta-carotene) but variable mineral antioxidant levels.</w:t>
      </w:r>
      <w:r>
        <w:rPr>
          <w:rFonts w:ascii="Arial" w:hAnsi="Arial" w:cs="Arial"/>
          <w:noProof/>
        </w:rPr>
        <w:t>[215]</w:t>
      </w:r>
      <w:r>
        <w:rPr>
          <w:rFonts w:ascii="Arial" w:hAnsi="Arial" w:cs="Arial"/>
        </w:rPr>
        <w:t xml:space="preserve">  Humans on raw food diets had lower serum cholesterol and triglyceride levels but higher homocysteine and reduced HDL.</w:t>
      </w:r>
      <w:r>
        <w:rPr>
          <w:rFonts w:ascii="Arial" w:hAnsi="Arial" w:cs="Arial"/>
          <w:noProof/>
        </w:rPr>
        <w:t>[216]</w:t>
      </w:r>
      <w:r>
        <w:rPr>
          <w:rFonts w:ascii="Arial" w:hAnsi="Arial" w:cs="Arial"/>
        </w:rPr>
        <w:t xml:space="preserve">  Raw food diets have also been associated with subjective improvement of fibromyalgia and rheumatoid arthritis symptoms.</w:t>
      </w:r>
      <w:r>
        <w:rPr>
          <w:rFonts w:ascii="Arial" w:hAnsi="Arial" w:cs="Arial"/>
          <w:noProof/>
        </w:rPr>
        <w:t>[217, 218]</w:t>
      </w:r>
      <w:r>
        <w:rPr>
          <w:rFonts w:ascii="Arial" w:hAnsi="Arial" w:cs="Arial"/>
        </w:rPr>
        <w:t xml:space="preserve">  Positive effects were attributed to changes within intestinal microflora populations.</w:t>
      </w:r>
      <w:r>
        <w:rPr>
          <w:rFonts w:ascii="Arial" w:hAnsi="Arial" w:cs="Arial"/>
          <w:noProof/>
        </w:rPr>
        <w:t>[219, 220]</w:t>
      </w:r>
      <w:r>
        <w:rPr>
          <w:rFonts w:ascii="Arial" w:hAnsi="Arial" w:cs="Arial"/>
        </w:rPr>
        <w:t xml:space="preserve">  </w:t>
      </w:r>
      <w:r w:rsidRPr="00CB612F">
        <w:rPr>
          <w:rFonts w:ascii="Arial" w:hAnsi="Arial" w:cs="Arial"/>
        </w:rPr>
        <w:t>“Living foods” diets contain fermented products, typically rich in lactobacilli.  An uncooked vegan diet resulted in significant decreases in bacterial fecal urease, choloylglycine hydrolase, β-glucuronidase, and β-glucosidase along with lowered serum and urine phenol and p-cresol concentrations.</w:t>
      </w:r>
      <w:r>
        <w:rPr>
          <w:rFonts w:ascii="Arial" w:hAnsi="Arial" w:cs="Arial"/>
          <w:noProof/>
        </w:rPr>
        <w:t>[220]</w:t>
      </w:r>
      <w:r w:rsidRPr="00CB612F">
        <w:rPr>
          <w:rFonts w:ascii="Arial" w:hAnsi="Arial" w:cs="Arial"/>
        </w:rPr>
        <w:t xml:space="preserve">  Phenol, cresol, ammonia and the products of various fecal hydrolytic enzymes result in the generation of toxins and potential carcinogens.</w:t>
      </w:r>
      <w:r>
        <w:rPr>
          <w:rFonts w:ascii="Arial" w:hAnsi="Arial" w:cs="Arial"/>
          <w:noProof/>
        </w:rPr>
        <w:t>[220]</w:t>
      </w:r>
      <w:r w:rsidRPr="0042003F">
        <w:rPr>
          <w:rFonts w:ascii="Arial" w:hAnsi="Arial" w:cs="Arial"/>
          <w:color w:val="C00000"/>
        </w:rPr>
        <w:t xml:space="preserve"> </w:t>
      </w:r>
    </w:p>
    <w:p w:rsidR="00330CF1" w:rsidRDefault="00330CF1" w:rsidP="00775597">
      <w:pPr>
        <w:autoSpaceDE w:val="0"/>
        <w:autoSpaceDN w:val="0"/>
        <w:adjustRightInd w:val="0"/>
        <w:rPr>
          <w:rFonts w:ascii="Arial" w:hAnsi="Arial" w:cs="Arial"/>
        </w:rPr>
      </w:pPr>
    </w:p>
    <w:p w:rsidR="00330CF1" w:rsidRDefault="00330CF1" w:rsidP="000578A6">
      <w:pPr>
        <w:pStyle w:val="Heading3"/>
      </w:pPr>
      <w:bookmarkStart w:id="20" w:name="_Toc305485847"/>
      <w:r>
        <w:t>Effects of processing on proteins and amino acids</w:t>
      </w:r>
      <w:bookmarkEnd w:id="20"/>
    </w:p>
    <w:p w:rsidR="00330CF1" w:rsidRDefault="00330CF1" w:rsidP="00775597">
      <w:pPr>
        <w:autoSpaceDE w:val="0"/>
        <w:autoSpaceDN w:val="0"/>
        <w:adjustRightInd w:val="0"/>
        <w:rPr>
          <w:rFonts w:ascii="Arial" w:hAnsi="Arial" w:cs="Arial"/>
        </w:rPr>
      </w:pPr>
    </w:p>
    <w:p w:rsidR="00330CF1" w:rsidRDefault="00330CF1" w:rsidP="00775597">
      <w:pPr>
        <w:autoSpaceDE w:val="0"/>
        <w:autoSpaceDN w:val="0"/>
        <w:adjustRightInd w:val="0"/>
        <w:rPr>
          <w:rFonts w:ascii="Arial" w:hAnsi="Arial" w:cs="Arial"/>
        </w:rPr>
      </w:pPr>
      <w:r>
        <w:rPr>
          <w:rFonts w:ascii="Arial" w:hAnsi="Arial" w:cs="Arial"/>
        </w:rPr>
        <w:t xml:space="preserve">     Many factors affect protein quality.  These include amino acid composition, presence of any anti-nutritional factors such as trypsin inhibitors, phytates, tannins or fiber, and the storage and processing of the protein itself.</w:t>
      </w:r>
      <w:r>
        <w:rPr>
          <w:rFonts w:ascii="Arial" w:hAnsi="Arial" w:cs="Arial"/>
          <w:noProof/>
        </w:rPr>
        <w:t>[221]</w:t>
      </w:r>
      <w:r>
        <w:rPr>
          <w:rFonts w:ascii="Arial" w:hAnsi="Arial" w:cs="Arial"/>
        </w:rPr>
        <w:t xml:space="preserve">  The nutritional value of a protein depends on both its distribution of amino acids and their bioavailability.  Proteolytic enzymes in the gut may not be able to digest altered proteins if the protein is not recognized by the enzyme’s active site.</w:t>
      </w:r>
      <w:r>
        <w:rPr>
          <w:rFonts w:ascii="Arial" w:hAnsi="Arial" w:cs="Arial"/>
          <w:noProof/>
        </w:rPr>
        <w:t>[9]</w:t>
      </w:r>
      <w:r>
        <w:rPr>
          <w:rFonts w:ascii="Arial" w:hAnsi="Arial" w:cs="Arial"/>
        </w:rPr>
        <w:t xml:space="preserve">  If the modified amino acid or peptide is hydrolyzed, it may not be transported across the epithelial wall.  If the modified amino acid is absorbed, the animal may not be able to convert it back to its native form.</w:t>
      </w:r>
      <w:r>
        <w:rPr>
          <w:rFonts w:ascii="Arial" w:hAnsi="Arial" w:cs="Arial"/>
          <w:noProof/>
        </w:rPr>
        <w:t>[9]</w:t>
      </w:r>
      <w:r>
        <w:rPr>
          <w:rFonts w:ascii="Arial" w:hAnsi="Arial" w:cs="Arial"/>
        </w:rPr>
        <w:t xml:space="preserve">  </w:t>
      </w:r>
    </w:p>
    <w:p w:rsidR="00330CF1" w:rsidRDefault="00330CF1" w:rsidP="00775597">
      <w:pPr>
        <w:autoSpaceDE w:val="0"/>
        <w:autoSpaceDN w:val="0"/>
        <w:adjustRightInd w:val="0"/>
        <w:rPr>
          <w:rFonts w:ascii="Arial" w:hAnsi="Arial" w:cs="Arial"/>
        </w:rPr>
      </w:pPr>
      <w:r>
        <w:rPr>
          <w:rFonts w:ascii="Arial" w:hAnsi="Arial" w:cs="Arial"/>
        </w:rPr>
        <w:t xml:space="preserve">     Proteins and amino acids can undergo significant chemical changes during processing.  Processing conditions can include both chemical and physical factors such pressure, temperature and water content.  Food proteins can react with other food components such as sugars, fats, oxidizing agents, acids, alkali, polyphenols and food </w:t>
      </w:r>
      <w:r>
        <w:rPr>
          <w:rFonts w:ascii="Arial" w:hAnsi="Arial" w:cs="Arial"/>
        </w:rPr>
        <w:lastRenderedPageBreak/>
        <w:t>additives.</w:t>
      </w:r>
      <w:r>
        <w:rPr>
          <w:rFonts w:ascii="Arial" w:hAnsi="Arial" w:cs="Arial"/>
          <w:noProof/>
        </w:rPr>
        <w:t>[222]</w:t>
      </w:r>
      <w:r>
        <w:rPr>
          <w:rFonts w:ascii="Arial" w:hAnsi="Arial" w:cs="Arial"/>
        </w:rPr>
        <w:t xml:space="preserve">  The benefits </w:t>
      </w:r>
      <w:r w:rsidRPr="00320D16">
        <w:rPr>
          <w:rFonts w:ascii="Arial" w:hAnsi="Arial" w:cs="Arial"/>
        </w:rPr>
        <w:t>of</w:t>
      </w:r>
      <w:r w:rsidRPr="00D148E2">
        <w:rPr>
          <w:rFonts w:ascii="Arial" w:hAnsi="Arial" w:cs="Arial"/>
          <w:color w:val="FF0000"/>
        </w:rPr>
        <w:t xml:space="preserve"> </w:t>
      </w:r>
      <w:r>
        <w:rPr>
          <w:rFonts w:ascii="Arial" w:hAnsi="Arial" w:cs="Arial"/>
        </w:rPr>
        <w:t>processing include food preservation, destruction of toxins and microorganisms, improved palatability, and convenience.   Processing can also positively and negatively effect the bioavailability of nutrients.</w:t>
      </w:r>
      <w:r>
        <w:rPr>
          <w:rFonts w:ascii="Arial" w:hAnsi="Arial" w:cs="Arial"/>
          <w:noProof/>
        </w:rPr>
        <w:t>[9]</w:t>
      </w:r>
      <w:r>
        <w:rPr>
          <w:rFonts w:ascii="Arial" w:hAnsi="Arial" w:cs="Arial"/>
        </w:rPr>
        <w:t xml:space="preserve">  </w:t>
      </w:r>
    </w:p>
    <w:p w:rsidR="00330CF1" w:rsidRDefault="00330CF1" w:rsidP="00775597">
      <w:pPr>
        <w:autoSpaceDE w:val="0"/>
        <w:autoSpaceDN w:val="0"/>
        <w:adjustRightInd w:val="0"/>
        <w:rPr>
          <w:rFonts w:ascii="Arial" w:hAnsi="Arial" w:cs="Arial"/>
        </w:rPr>
      </w:pPr>
      <w:r>
        <w:rPr>
          <w:rFonts w:ascii="Arial" w:hAnsi="Arial" w:cs="Arial"/>
        </w:rPr>
        <w:t xml:space="preserve">     Processing typically results in </w:t>
      </w:r>
      <w:r w:rsidRPr="009E41C6">
        <w:rPr>
          <w:rFonts w:ascii="Arial" w:hAnsi="Arial" w:cs="Arial"/>
        </w:rPr>
        <w:t xml:space="preserve">denaturing </w:t>
      </w:r>
      <w:r>
        <w:rPr>
          <w:rFonts w:ascii="Arial" w:hAnsi="Arial" w:cs="Arial"/>
        </w:rPr>
        <w:t>of proteins and loss of secondary and tertiary structure with resultant loss of functionality.  Denaturing exposes reactive groups to reactions not previously possible when the protein was in its native confirmation.</w:t>
      </w:r>
      <w:r>
        <w:rPr>
          <w:rFonts w:ascii="Arial" w:hAnsi="Arial" w:cs="Arial"/>
          <w:noProof/>
        </w:rPr>
        <w:t>[9]</w:t>
      </w:r>
      <w:r>
        <w:rPr>
          <w:rFonts w:ascii="Arial" w:hAnsi="Arial" w:cs="Arial"/>
        </w:rPr>
        <w:t xml:space="preserve">  Processing effects on a range of amino acids include proteolysis, protein-crosslinking, amino acid racemization, protein-polyphenol reactions, oxidative reactions, and browning or Maillard reactions.</w:t>
      </w:r>
      <w:r>
        <w:rPr>
          <w:rFonts w:ascii="Arial" w:hAnsi="Arial" w:cs="Arial"/>
          <w:noProof/>
        </w:rPr>
        <w:t>[9]</w:t>
      </w:r>
    </w:p>
    <w:p w:rsidR="00330CF1" w:rsidRDefault="00330CF1" w:rsidP="00775597">
      <w:pPr>
        <w:autoSpaceDE w:val="0"/>
        <w:autoSpaceDN w:val="0"/>
        <w:adjustRightInd w:val="0"/>
        <w:rPr>
          <w:rFonts w:ascii="Arial" w:hAnsi="Arial" w:cs="Arial"/>
        </w:rPr>
      </w:pPr>
      <w:r>
        <w:rPr>
          <w:rFonts w:ascii="Arial" w:hAnsi="Arial" w:cs="Arial"/>
        </w:rPr>
        <w:t xml:space="preserve">     Heat processing will improve digestibility of some plant proteins due to denaturing protein antinutritional factors.  Legumes contain trypsin and chymotrypsin inhibitors which impair protein digestion and reduce protein’s bioavailability.</w:t>
      </w:r>
      <w:r>
        <w:rPr>
          <w:rFonts w:ascii="Arial" w:hAnsi="Arial" w:cs="Arial"/>
          <w:noProof/>
        </w:rPr>
        <w:t>[222]</w:t>
      </w:r>
      <w:r>
        <w:rPr>
          <w:rFonts w:ascii="Arial" w:hAnsi="Arial" w:cs="Arial"/>
        </w:rPr>
        <w:t xml:space="preserve">  Inhibitors of trypsin and chymotrypsin activity in the gut induce pancreatic overproduction of these enzymes leading to pancreatic hypertrophy.</w:t>
      </w:r>
      <w:r>
        <w:rPr>
          <w:rFonts w:ascii="Arial" w:hAnsi="Arial" w:cs="Arial"/>
          <w:noProof/>
        </w:rPr>
        <w:t>[222]</w:t>
      </w:r>
      <w:r>
        <w:rPr>
          <w:rFonts w:ascii="Arial" w:hAnsi="Arial" w:cs="Arial"/>
        </w:rPr>
        <w:t xml:space="preserve"> </w:t>
      </w:r>
    </w:p>
    <w:p w:rsidR="00330CF1" w:rsidRDefault="00330CF1" w:rsidP="00775597">
      <w:pPr>
        <w:autoSpaceDE w:val="0"/>
        <w:autoSpaceDN w:val="0"/>
        <w:adjustRightInd w:val="0"/>
        <w:rPr>
          <w:rFonts w:ascii="Arial" w:hAnsi="Arial" w:cs="Arial"/>
        </w:rPr>
      </w:pPr>
      <w:r>
        <w:rPr>
          <w:rFonts w:ascii="Arial" w:hAnsi="Arial" w:cs="Arial"/>
        </w:rPr>
        <w:t xml:space="preserve">     It is the Maillard reaction that accounts for the majority of protein quality loss with processing.</w:t>
      </w:r>
      <w:r>
        <w:rPr>
          <w:rFonts w:ascii="Arial" w:hAnsi="Arial" w:cs="Arial"/>
          <w:noProof/>
        </w:rPr>
        <w:t>[9]</w:t>
      </w:r>
      <w:r>
        <w:rPr>
          <w:rFonts w:ascii="Arial" w:hAnsi="Arial" w:cs="Arial"/>
        </w:rPr>
        <w:t xml:space="preserve">  The Maillard or browning reaction was first discovered by L.C. Maillard in 1912.</w:t>
      </w:r>
      <w:r>
        <w:rPr>
          <w:rFonts w:ascii="Arial" w:hAnsi="Arial" w:cs="Arial"/>
          <w:noProof/>
        </w:rPr>
        <w:t>[223]</w:t>
      </w:r>
      <w:r>
        <w:rPr>
          <w:rFonts w:ascii="Arial" w:hAnsi="Arial" w:cs="Arial"/>
        </w:rPr>
        <w:t xml:space="preserve">  It is responsible for many of the positive flavor, color and textural components of foods.  The browning reaction can be broken down into nonenzymatic browning and enzymatic browning.</w:t>
      </w:r>
      <w:r>
        <w:rPr>
          <w:rFonts w:ascii="Arial" w:hAnsi="Arial" w:cs="Arial"/>
          <w:noProof/>
        </w:rPr>
        <w:t>[224]</w:t>
      </w:r>
      <w:r>
        <w:rPr>
          <w:rFonts w:ascii="Arial" w:hAnsi="Arial" w:cs="Arial"/>
        </w:rPr>
        <w:t xml:space="preserve">  Nonenzymatic browning includes:</w:t>
      </w:r>
    </w:p>
    <w:p w:rsidR="00330CF1" w:rsidRDefault="00330CF1" w:rsidP="000A17F3">
      <w:pPr>
        <w:numPr>
          <w:ilvl w:val="0"/>
          <w:numId w:val="1"/>
        </w:numPr>
        <w:autoSpaceDE w:val="0"/>
        <w:autoSpaceDN w:val="0"/>
        <w:adjustRightInd w:val="0"/>
        <w:rPr>
          <w:rFonts w:ascii="Arial" w:hAnsi="Arial" w:cs="Arial"/>
        </w:rPr>
      </w:pPr>
      <w:r>
        <w:rPr>
          <w:rFonts w:ascii="Arial" w:hAnsi="Arial" w:cs="Arial"/>
        </w:rPr>
        <w:t>Heat catalyzed protein and/or amino acid-carbohydrate glycosylation reactions</w:t>
      </w:r>
    </w:p>
    <w:p w:rsidR="00330CF1" w:rsidRDefault="00330CF1" w:rsidP="000A17F3">
      <w:pPr>
        <w:numPr>
          <w:ilvl w:val="0"/>
          <w:numId w:val="1"/>
        </w:numPr>
        <w:autoSpaceDE w:val="0"/>
        <w:autoSpaceDN w:val="0"/>
        <w:adjustRightInd w:val="0"/>
        <w:rPr>
          <w:rFonts w:ascii="Arial" w:hAnsi="Arial" w:cs="Arial"/>
        </w:rPr>
      </w:pPr>
      <w:r w:rsidRPr="008A383A">
        <w:rPr>
          <w:rFonts w:ascii="Arial" w:hAnsi="Arial" w:cs="Arial"/>
          <w:i/>
        </w:rPr>
        <w:t>In vivo</w:t>
      </w:r>
      <w:r>
        <w:rPr>
          <w:rFonts w:ascii="Arial" w:hAnsi="Arial" w:cs="Arial"/>
        </w:rPr>
        <w:t xml:space="preserve"> protein-carbohydrate reactions i.e. glycosylated hemoglobin or fructosamine</w:t>
      </w:r>
    </w:p>
    <w:p w:rsidR="00330CF1" w:rsidRDefault="00330CF1" w:rsidP="000A17F3">
      <w:pPr>
        <w:numPr>
          <w:ilvl w:val="0"/>
          <w:numId w:val="1"/>
        </w:numPr>
        <w:autoSpaceDE w:val="0"/>
        <w:autoSpaceDN w:val="0"/>
        <w:adjustRightInd w:val="0"/>
        <w:rPr>
          <w:rFonts w:ascii="Arial" w:hAnsi="Arial" w:cs="Arial"/>
        </w:rPr>
      </w:pPr>
      <w:r>
        <w:rPr>
          <w:rFonts w:ascii="Arial" w:hAnsi="Arial" w:cs="Arial"/>
        </w:rPr>
        <w:t>Protein-oxidized fatty acid reactions</w:t>
      </w:r>
    </w:p>
    <w:p w:rsidR="00330CF1" w:rsidRDefault="00330CF1" w:rsidP="000A17F3">
      <w:pPr>
        <w:numPr>
          <w:ilvl w:val="0"/>
          <w:numId w:val="1"/>
        </w:numPr>
        <w:autoSpaceDE w:val="0"/>
        <w:autoSpaceDN w:val="0"/>
        <w:adjustRightInd w:val="0"/>
        <w:rPr>
          <w:rFonts w:ascii="Arial" w:hAnsi="Arial" w:cs="Arial"/>
        </w:rPr>
      </w:pPr>
      <w:r>
        <w:rPr>
          <w:rFonts w:ascii="Arial" w:hAnsi="Arial" w:cs="Arial"/>
        </w:rPr>
        <w:t>Heterocyclic amine formation- heat catalyzed reactions of amino acids with glucose and creatinine to form polycyclic amines in cooked meat and fish</w:t>
      </w:r>
    </w:p>
    <w:p w:rsidR="00330CF1" w:rsidRDefault="00330CF1" w:rsidP="00681100">
      <w:pPr>
        <w:autoSpaceDE w:val="0"/>
        <w:autoSpaceDN w:val="0"/>
        <w:adjustRightInd w:val="0"/>
        <w:rPr>
          <w:rFonts w:ascii="Arial" w:hAnsi="Arial" w:cs="Arial"/>
        </w:rPr>
      </w:pPr>
      <w:r>
        <w:rPr>
          <w:rFonts w:ascii="Arial" w:hAnsi="Arial" w:cs="Arial"/>
        </w:rPr>
        <w:t>Enzymatic browning includes:</w:t>
      </w:r>
    </w:p>
    <w:p w:rsidR="00330CF1" w:rsidRDefault="00330CF1" w:rsidP="000A17F3">
      <w:pPr>
        <w:numPr>
          <w:ilvl w:val="0"/>
          <w:numId w:val="2"/>
        </w:numPr>
        <w:autoSpaceDE w:val="0"/>
        <w:autoSpaceDN w:val="0"/>
        <w:adjustRightInd w:val="0"/>
        <w:rPr>
          <w:rFonts w:ascii="Arial" w:hAnsi="Arial" w:cs="Arial"/>
        </w:rPr>
      </w:pPr>
      <w:r>
        <w:rPr>
          <w:rFonts w:ascii="Arial" w:hAnsi="Arial" w:cs="Arial"/>
        </w:rPr>
        <w:t>Polyphenol-oxidase catalyzed oxidation of polyphenol compounds in fruits and vegetables to quinones which polymerize to dark melanin pigments</w:t>
      </w:r>
    </w:p>
    <w:p w:rsidR="00330CF1" w:rsidRDefault="00330CF1" w:rsidP="000A17F3">
      <w:pPr>
        <w:numPr>
          <w:ilvl w:val="0"/>
          <w:numId w:val="2"/>
        </w:numPr>
        <w:autoSpaceDE w:val="0"/>
        <w:autoSpaceDN w:val="0"/>
        <w:adjustRightInd w:val="0"/>
        <w:rPr>
          <w:rFonts w:ascii="Arial" w:hAnsi="Arial" w:cs="Arial"/>
        </w:rPr>
      </w:pPr>
      <w:r>
        <w:rPr>
          <w:rFonts w:ascii="Arial" w:hAnsi="Arial" w:cs="Arial"/>
        </w:rPr>
        <w:t>Reactions of polyphenol-derived quinones with free amino acids and proteins to form dark polymers.</w:t>
      </w:r>
    </w:p>
    <w:p w:rsidR="00330CF1" w:rsidRDefault="00330CF1" w:rsidP="009C23D4">
      <w:pPr>
        <w:autoSpaceDE w:val="0"/>
        <w:autoSpaceDN w:val="0"/>
        <w:adjustRightInd w:val="0"/>
        <w:ind w:left="720"/>
        <w:rPr>
          <w:rFonts w:ascii="Arial" w:hAnsi="Arial" w:cs="Arial"/>
        </w:rPr>
      </w:pPr>
    </w:p>
    <w:p w:rsidR="00330CF1" w:rsidRPr="00DE76AF" w:rsidRDefault="00330CF1" w:rsidP="00681100">
      <w:pPr>
        <w:autoSpaceDE w:val="0"/>
        <w:autoSpaceDN w:val="0"/>
        <w:adjustRightInd w:val="0"/>
        <w:rPr>
          <w:rFonts w:ascii="Arial" w:hAnsi="Arial" w:cs="Arial"/>
        </w:rPr>
      </w:pPr>
      <w:r>
        <w:rPr>
          <w:rFonts w:ascii="Arial" w:hAnsi="Arial" w:cs="Arial"/>
        </w:rPr>
        <w:t xml:space="preserve">     Figure 1.6 diagrams initial stages of the Maillard reaction.  Nonenzymatic glycosylation occurs with covalent attachment of a carbonyl group from carbohydrates or fatty acids to an alpha or side chain amino group in amino acids and proteins. The first glycation product is a Schiff base that rearranges to a more stable ketoamine or Amadori compound.</w:t>
      </w:r>
      <w:r>
        <w:rPr>
          <w:rFonts w:ascii="Arial" w:hAnsi="Arial" w:cs="Arial"/>
          <w:noProof/>
        </w:rPr>
        <w:t>[224]</w:t>
      </w:r>
      <w:r>
        <w:rPr>
          <w:rFonts w:ascii="Arial" w:hAnsi="Arial" w:cs="Arial"/>
        </w:rPr>
        <w:t xml:space="preserve">  Since the initial reaction in formation of a Schiff base is reversible, the modified amino acid is potentially 100% bioavailable at this stage.  Formation of Amadori compounds and any further reactions result in 0% bioavailability.</w:t>
      </w:r>
      <w:r>
        <w:rPr>
          <w:rFonts w:ascii="Arial" w:hAnsi="Arial" w:cs="Arial"/>
          <w:noProof/>
        </w:rPr>
        <w:t>[9, 224]</w:t>
      </w:r>
    </w:p>
    <w:p w:rsidR="00330CF1" w:rsidRPr="00C043B2" w:rsidRDefault="00330CF1" w:rsidP="00C043B2">
      <w:pPr>
        <w:autoSpaceDE w:val="0"/>
        <w:autoSpaceDN w:val="0"/>
        <w:adjustRightInd w:val="0"/>
        <w:rPr>
          <w:rFonts w:ascii="Arial" w:hAnsi="Arial" w:cs="Arial"/>
        </w:rPr>
      </w:pPr>
      <w:r>
        <w:rPr>
          <w:rFonts w:ascii="Arial" w:hAnsi="Arial" w:cs="Arial"/>
          <w:b/>
        </w:rPr>
        <w:t xml:space="preserve">     </w:t>
      </w:r>
      <w:r>
        <w:rPr>
          <w:rFonts w:ascii="Arial" w:hAnsi="Arial" w:cs="Arial"/>
        </w:rPr>
        <w:t xml:space="preserve">The Maillard reaction does not usually stop at formation of Amadori compounds.  Under the right conditions (i.e. high temperature, medium water activity), Amadori compounds degrade into smaller derivatives that can react together or polymerize to produce melanoidins or advanced glycation end products (AGE’s).  Melanoidins are high molecular weight, nonreactive brown or black pigments seen in foods.  Advanced glycation end products are a heterogeneous group of compounds that have been </w:t>
      </w:r>
      <w:r>
        <w:rPr>
          <w:rFonts w:ascii="Arial" w:hAnsi="Arial" w:cs="Arial"/>
        </w:rPr>
        <w:lastRenderedPageBreak/>
        <w:t>implicated in numerous diseases.</w:t>
      </w:r>
      <w:r>
        <w:rPr>
          <w:rFonts w:ascii="Arial" w:hAnsi="Arial" w:cs="Arial"/>
          <w:noProof/>
        </w:rPr>
        <w:t>[225, 226]</w:t>
      </w:r>
      <w:r>
        <w:rPr>
          <w:rFonts w:ascii="Arial" w:hAnsi="Arial" w:cs="Arial"/>
        </w:rPr>
        <w:t xml:space="preserve">  AGE’s can elicit damage to tissues through upregulation of inflammation, cross-linking of proteins and increased oxidative stress.  These effects are mediated through the binding of AGE’s to the receptor for advanced glycation end products (RAGE).  RAGE activation triggers the </w:t>
      </w:r>
      <w:r w:rsidRPr="00BD171C">
        <w:rPr>
          <w:rFonts w:ascii="Arial" w:hAnsi="Arial" w:cs="Arial"/>
        </w:rPr>
        <w:t>induction of increased reactive oxygen species, activates NADPH oxidase, increases expression of adhesion molecules and uprelates inflammation through nuclear factor kappa-beta (NF-Κβ) and other signaling pathways.</w:t>
      </w:r>
      <w:r>
        <w:rPr>
          <w:rFonts w:ascii="Arial" w:hAnsi="Arial" w:cs="Arial"/>
          <w:noProof/>
        </w:rPr>
        <w:t>[225]</w:t>
      </w:r>
      <w:r w:rsidRPr="00BD171C">
        <w:rPr>
          <w:rFonts w:ascii="Arial" w:hAnsi="Arial" w:cs="Arial"/>
        </w:rPr>
        <w:t xml:space="preserve">  Inflammatory mediators that are upregulated include TNF-alpha, IL-6 and C-reactive protein.</w:t>
      </w:r>
      <w:r>
        <w:rPr>
          <w:rFonts w:ascii="Arial" w:hAnsi="Arial" w:cs="Arial"/>
          <w:noProof/>
        </w:rPr>
        <w:t>[227]</w:t>
      </w:r>
      <w:r w:rsidRPr="00BD171C">
        <w:rPr>
          <w:rFonts w:ascii="Arial" w:hAnsi="Arial" w:cs="Arial"/>
        </w:rPr>
        <w:t xml:space="preserve">  Figure 1.7 illustrates the various pathways to AGE formation from early and intermediate glyc</w:t>
      </w:r>
      <w:r>
        <w:rPr>
          <w:rFonts w:ascii="Arial" w:hAnsi="Arial" w:cs="Arial"/>
        </w:rPr>
        <w:t>ation products.  Accumulation of AGEs in tissues and cells through highly processed diets has been proposed as a contributor to chronic diseases, particularly diabetes, renal disease, cardiovascular disease, and the phenomenon of aging.</w:t>
      </w:r>
      <w:r>
        <w:rPr>
          <w:rFonts w:ascii="Arial" w:hAnsi="Arial" w:cs="Arial"/>
          <w:noProof/>
        </w:rPr>
        <w:t>[227, 228]</w:t>
      </w:r>
      <w:r>
        <w:rPr>
          <w:rFonts w:ascii="Arial" w:hAnsi="Arial" w:cs="Arial"/>
        </w:rPr>
        <w:t xml:space="preserve">  AGEs exist in high concentration in processed foods, particularly foods high in fat and protein.</w:t>
      </w:r>
      <w:r>
        <w:rPr>
          <w:rFonts w:ascii="Arial" w:hAnsi="Arial" w:cs="Arial"/>
          <w:noProof/>
        </w:rPr>
        <w:t>[228]</w:t>
      </w:r>
    </w:p>
    <w:p w:rsidR="00330CF1" w:rsidRDefault="00330CF1" w:rsidP="00DE76AF">
      <w:pPr>
        <w:autoSpaceDE w:val="0"/>
        <w:autoSpaceDN w:val="0"/>
        <w:adjustRightInd w:val="0"/>
        <w:jc w:val="center"/>
        <w:rPr>
          <w:rFonts w:ascii="Arial" w:hAnsi="Arial" w:cs="Arial"/>
          <w:b/>
        </w:rPr>
      </w:pPr>
    </w:p>
    <w:p w:rsidR="00330CF1" w:rsidRDefault="00330CF1" w:rsidP="00DE76AF">
      <w:pPr>
        <w:autoSpaceDE w:val="0"/>
        <w:autoSpaceDN w:val="0"/>
        <w:adjustRightInd w:val="0"/>
        <w:jc w:val="center"/>
        <w:rPr>
          <w:rFonts w:ascii="Arial" w:hAnsi="Arial" w:cs="Arial"/>
          <w:b/>
        </w:rPr>
      </w:pPr>
    </w:p>
    <w:p w:rsidR="00330CF1" w:rsidRDefault="00330CF1" w:rsidP="00DE76AF">
      <w:pPr>
        <w:autoSpaceDE w:val="0"/>
        <w:autoSpaceDN w:val="0"/>
        <w:adjustRightInd w:val="0"/>
        <w:jc w:val="center"/>
        <w:rPr>
          <w:rFonts w:ascii="Arial" w:hAnsi="Arial" w:cs="Arial"/>
          <w:b/>
        </w:rPr>
      </w:pPr>
      <w:r>
        <w:rPr>
          <w:noProof/>
        </w:rPr>
        <w:drawing>
          <wp:inline distT="0" distB="0" distL="0" distR="0" wp14:anchorId="102D2886" wp14:editId="2F784D29">
            <wp:extent cx="5486400" cy="2958318"/>
            <wp:effectExtent l="0" t="0" r="0" b="0"/>
            <wp:docPr id="3" name="Picture 2" descr="D:\Hamper\pngs\Fig_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D:\Hamper\pngs\Fig_1_6.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2958318"/>
                    </a:xfrm>
                    <a:prstGeom prst="rect">
                      <a:avLst/>
                    </a:prstGeom>
                    <a:noFill/>
                    <a:extLst/>
                  </pic:spPr>
                </pic:pic>
              </a:graphicData>
            </a:graphic>
          </wp:inline>
        </w:drawing>
      </w:r>
    </w:p>
    <w:p w:rsidR="00330CF1" w:rsidRDefault="00330CF1" w:rsidP="00DE76AF">
      <w:pPr>
        <w:autoSpaceDE w:val="0"/>
        <w:autoSpaceDN w:val="0"/>
        <w:adjustRightInd w:val="0"/>
        <w:jc w:val="center"/>
        <w:rPr>
          <w:rFonts w:ascii="Arial" w:hAnsi="Arial" w:cs="Arial"/>
          <w:b/>
        </w:rPr>
      </w:pPr>
    </w:p>
    <w:p w:rsidR="00330CF1" w:rsidRDefault="00330CF1" w:rsidP="00DE76AF">
      <w:pPr>
        <w:autoSpaceDE w:val="0"/>
        <w:autoSpaceDN w:val="0"/>
        <w:adjustRightInd w:val="0"/>
        <w:jc w:val="center"/>
        <w:rPr>
          <w:rFonts w:ascii="Arial" w:hAnsi="Arial" w:cs="Arial"/>
          <w:b/>
        </w:rPr>
      </w:pPr>
    </w:p>
    <w:p w:rsidR="00330CF1" w:rsidRDefault="00330CF1" w:rsidP="00DE76AF">
      <w:pPr>
        <w:autoSpaceDE w:val="0"/>
        <w:autoSpaceDN w:val="0"/>
        <w:adjustRightInd w:val="0"/>
        <w:jc w:val="center"/>
        <w:rPr>
          <w:rFonts w:ascii="Arial" w:hAnsi="Arial" w:cs="Arial"/>
          <w:b/>
        </w:rPr>
      </w:pPr>
    </w:p>
    <w:p w:rsidR="00330CF1" w:rsidRDefault="00330CF1" w:rsidP="00FA4C3D">
      <w:pPr>
        <w:pStyle w:val="NormalWeb"/>
        <w:spacing w:before="0" w:beforeAutospacing="0" w:after="0" w:afterAutospacing="0"/>
        <w:rPr>
          <w:rFonts w:ascii="Arial" w:eastAsiaTheme="minorEastAsia" w:hAnsi="Arial" w:cs="Arial"/>
          <w:color w:val="000000" w:themeColor="text1"/>
          <w:kern w:val="24"/>
        </w:rPr>
      </w:pPr>
      <w:r w:rsidRPr="00261260">
        <w:rPr>
          <w:rFonts w:ascii="Arial" w:eastAsiaTheme="minorEastAsia" w:hAnsi="Arial" w:cs="Arial"/>
          <w:b/>
          <w:color w:val="000000" w:themeColor="text1"/>
          <w:kern w:val="24"/>
        </w:rPr>
        <w:t>Figure 1.6</w:t>
      </w:r>
      <w:r w:rsidRPr="00261260">
        <w:rPr>
          <w:rFonts w:ascii="Arial" w:eastAsiaTheme="minorEastAsia" w:hAnsi="Arial" w:cs="Arial"/>
          <w:color w:val="000000" w:themeColor="text1"/>
          <w:kern w:val="24"/>
        </w:rPr>
        <w:t xml:space="preserve"> </w:t>
      </w:r>
      <w:r>
        <w:rPr>
          <w:rFonts w:ascii="Arial" w:eastAsiaTheme="minorEastAsia" w:hAnsi="Arial" w:cs="Arial"/>
          <w:color w:val="000000" w:themeColor="text1"/>
          <w:kern w:val="24"/>
        </w:rPr>
        <w:t>Initial stages of the Maillard r</w:t>
      </w:r>
      <w:r w:rsidRPr="00261260">
        <w:rPr>
          <w:rFonts w:ascii="Arial" w:eastAsiaTheme="minorEastAsia" w:hAnsi="Arial" w:cs="Arial"/>
          <w:color w:val="000000" w:themeColor="text1"/>
          <w:kern w:val="24"/>
        </w:rPr>
        <w:t>eaction.  The first step of the Maillard reaction occurs when a free amino group, such as a lysine residue in a protein, reacts with a carbonyl group, such as those found in reducing sugars or fat breakdown products to give a Schiff’s base.  This then undergoes a rearrangement to fo</w:t>
      </w:r>
      <w:r>
        <w:rPr>
          <w:rFonts w:ascii="Arial" w:eastAsiaTheme="minorEastAsia" w:hAnsi="Arial" w:cs="Arial"/>
          <w:color w:val="000000" w:themeColor="text1"/>
          <w:kern w:val="24"/>
        </w:rPr>
        <w:t xml:space="preserve">rm a reasonably stable adduct, </w:t>
      </w:r>
      <w:r w:rsidRPr="00261260">
        <w:rPr>
          <w:rFonts w:ascii="Arial" w:eastAsiaTheme="minorEastAsia" w:hAnsi="Arial" w:cs="Arial"/>
          <w:color w:val="000000" w:themeColor="text1"/>
          <w:kern w:val="24"/>
        </w:rPr>
        <w:t>the Amadori product.</w:t>
      </w:r>
    </w:p>
    <w:p w:rsidR="00330CF1" w:rsidRPr="001C129A" w:rsidRDefault="00330CF1" w:rsidP="00FA4C3D">
      <w:pPr>
        <w:pStyle w:val="NormalWeb"/>
        <w:spacing w:before="0" w:beforeAutospacing="0" w:after="0" w:afterAutospacing="0"/>
        <w:rPr>
          <w:rFonts w:ascii="Arial" w:hAnsi="Arial" w:cs="Arial"/>
          <w:b/>
        </w:rPr>
      </w:pPr>
      <w:r w:rsidRPr="000E7CCC">
        <w:rPr>
          <w:rFonts w:ascii="Arial" w:eastAsiaTheme="minorEastAsia" w:hAnsi="Arial" w:cs="Arial"/>
          <w:b/>
          <w:i/>
          <w:color w:val="000000" w:themeColor="text1"/>
          <w:kern w:val="24"/>
        </w:rPr>
        <w:t>Source</w:t>
      </w:r>
      <w:r w:rsidRPr="001C129A">
        <w:rPr>
          <w:rFonts w:ascii="Arial" w:eastAsiaTheme="minorEastAsia" w:hAnsi="Arial" w:cs="Arial"/>
          <w:b/>
          <w:color w:val="000000" w:themeColor="text1"/>
          <w:kern w:val="24"/>
        </w:rPr>
        <w:t>:</w:t>
      </w:r>
      <w:r>
        <w:rPr>
          <w:rFonts w:ascii="Arial" w:hAnsi="Arial" w:cs="Arial"/>
          <w:b/>
        </w:rPr>
        <w:t xml:space="preserve"> </w:t>
      </w:r>
      <w:r>
        <w:rPr>
          <w:rFonts w:ascii="Arial" w:hAnsi="Arial" w:cs="Arial"/>
        </w:rPr>
        <w:t xml:space="preserve">Adapted from Friedman, M. </w:t>
      </w:r>
      <w:r>
        <w:rPr>
          <w:rFonts w:ascii="Arial" w:hAnsi="Arial" w:cs="Arial"/>
          <w:i/>
        </w:rPr>
        <w:t xml:space="preserve">Food Browning and Its Prevention: An Overview. </w:t>
      </w:r>
      <w:r>
        <w:rPr>
          <w:rFonts w:ascii="Arial" w:hAnsi="Arial" w:cs="Arial"/>
        </w:rPr>
        <w:t>J. Agric Food Chem. 1996. 44(3): p. 633.</w:t>
      </w:r>
      <w:r w:rsidRPr="001C129A">
        <w:rPr>
          <w:rFonts w:ascii="Arial" w:hAnsi="Arial" w:cs="Arial"/>
          <w:b/>
        </w:rPr>
        <w:t xml:space="preserve">   </w:t>
      </w:r>
    </w:p>
    <w:p w:rsidR="00330CF1" w:rsidRPr="00261260" w:rsidRDefault="00330CF1" w:rsidP="00DE76AF">
      <w:pPr>
        <w:autoSpaceDE w:val="0"/>
        <w:autoSpaceDN w:val="0"/>
        <w:adjustRightInd w:val="0"/>
        <w:jc w:val="center"/>
        <w:rPr>
          <w:rFonts w:ascii="Arial" w:hAnsi="Arial" w:cs="Arial"/>
          <w:b/>
        </w:rPr>
      </w:pPr>
    </w:p>
    <w:p w:rsidR="00330CF1" w:rsidRDefault="00330CF1" w:rsidP="00DE76AF">
      <w:pPr>
        <w:autoSpaceDE w:val="0"/>
        <w:autoSpaceDN w:val="0"/>
        <w:adjustRightInd w:val="0"/>
        <w:jc w:val="center"/>
        <w:rPr>
          <w:rFonts w:ascii="Arial" w:hAnsi="Arial" w:cs="Arial"/>
          <w:b/>
        </w:rPr>
      </w:pPr>
    </w:p>
    <w:p w:rsidR="00330CF1" w:rsidRDefault="00330CF1" w:rsidP="00DE76AF">
      <w:pPr>
        <w:autoSpaceDE w:val="0"/>
        <w:autoSpaceDN w:val="0"/>
        <w:adjustRightInd w:val="0"/>
        <w:jc w:val="center"/>
        <w:rPr>
          <w:rFonts w:ascii="Arial" w:hAnsi="Arial" w:cs="Arial"/>
          <w:b/>
        </w:rPr>
      </w:pPr>
    </w:p>
    <w:p w:rsidR="00330CF1" w:rsidRDefault="00330CF1" w:rsidP="00DE76AF">
      <w:pPr>
        <w:autoSpaceDE w:val="0"/>
        <w:autoSpaceDN w:val="0"/>
        <w:adjustRightInd w:val="0"/>
        <w:jc w:val="center"/>
        <w:rPr>
          <w:rFonts w:ascii="Arial" w:hAnsi="Arial" w:cs="Arial"/>
          <w:b/>
        </w:rPr>
      </w:pPr>
    </w:p>
    <w:p w:rsidR="00330CF1" w:rsidRDefault="00330CF1" w:rsidP="007759FC">
      <w:pPr>
        <w:autoSpaceDE w:val="0"/>
        <w:autoSpaceDN w:val="0"/>
        <w:adjustRightInd w:val="0"/>
        <w:rPr>
          <w:rFonts w:ascii="Arial" w:hAnsi="Arial" w:cs="Arial"/>
          <w:b/>
        </w:rPr>
      </w:pPr>
    </w:p>
    <w:p w:rsidR="00330CF1" w:rsidRDefault="00330CF1" w:rsidP="00DE76AF">
      <w:pPr>
        <w:autoSpaceDE w:val="0"/>
        <w:autoSpaceDN w:val="0"/>
        <w:adjustRightInd w:val="0"/>
        <w:jc w:val="center"/>
        <w:rPr>
          <w:rFonts w:ascii="Arial" w:hAnsi="Arial" w:cs="Arial"/>
          <w:b/>
        </w:rPr>
      </w:pPr>
      <w:r>
        <w:rPr>
          <w:noProof/>
        </w:rPr>
        <w:drawing>
          <wp:inline distT="0" distB="0" distL="0" distR="0" wp14:anchorId="3534E561" wp14:editId="495078A7">
            <wp:extent cx="4877819" cy="5626324"/>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77819" cy="5626324"/>
                    </a:xfrm>
                    <a:prstGeom prst="rect">
                      <a:avLst/>
                    </a:prstGeom>
                  </pic:spPr>
                </pic:pic>
              </a:graphicData>
            </a:graphic>
          </wp:inline>
        </w:drawing>
      </w:r>
    </w:p>
    <w:p w:rsidR="00330CF1" w:rsidRDefault="00330CF1" w:rsidP="00DE76AF">
      <w:pPr>
        <w:autoSpaceDE w:val="0"/>
        <w:autoSpaceDN w:val="0"/>
        <w:adjustRightInd w:val="0"/>
        <w:jc w:val="center"/>
        <w:rPr>
          <w:rFonts w:ascii="Arial" w:hAnsi="Arial" w:cs="Arial"/>
          <w:b/>
        </w:rPr>
      </w:pPr>
    </w:p>
    <w:p w:rsidR="00330CF1" w:rsidRDefault="00330CF1" w:rsidP="00DE76AF">
      <w:pPr>
        <w:autoSpaceDE w:val="0"/>
        <w:autoSpaceDN w:val="0"/>
        <w:adjustRightInd w:val="0"/>
        <w:jc w:val="center"/>
        <w:rPr>
          <w:rFonts w:ascii="Arial" w:hAnsi="Arial" w:cs="Arial"/>
          <w:b/>
        </w:rPr>
      </w:pPr>
    </w:p>
    <w:p w:rsidR="00330CF1" w:rsidRDefault="00330CF1" w:rsidP="00DE76AF">
      <w:pPr>
        <w:autoSpaceDE w:val="0"/>
        <w:autoSpaceDN w:val="0"/>
        <w:adjustRightInd w:val="0"/>
        <w:jc w:val="center"/>
        <w:rPr>
          <w:rFonts w:ascii="Arial" w:hAnsi="Arial" w:cs="Arial"/>
          <w:b/>
        </w:rPr>
      </w:pPr>
    </w:p>
    <w:p w:rsidR="00330CF1" w:rsidRDefault="00330CF1" w:rsidP="00FA4C3D">
      <w:pPr>
        <w:pStyle w:val="NormalWeb"/>
        <w:spacing w:before="0" w:beforeAutospacing="0" w:after="0" w:afterAutospacing="0"/>
        <w:rPr>
          <w:rFonts w:ascii="Arial" w:eastAsiaTheme="minorEastAsia" w:hAnsi="Arial" w:cs="Arial"/>
          <w:color w:val="000000" w:themeColor="text1"/>
          <w:kern w:val="24"/>
        </w:rPr>
      </w:pPr>
      <w:r w:rsidRPr="00261260">
        <w:rPr>
          <w:rFonts w:ascii="Arial" w:eastAsiaTheme="minorEastAsia" w:hAnsi="Arial" w:cs="Arial"/>
          <w:b/>
          <w:color w:val="000000" w:themeColor="text1"/>
          <w:kern w:val="24"/>
        </w:rPr>
        <w:t>Figure 1.7</w:t>
      </w:r>
      <w:r w:rsidRPr="00261260">
        <w:rPr>
          <w:rFonts w:ascii="Arial" w:eastAsiaTheme="minorEastAsia" w:hAnsi="Arial" w:cs="Arial"/>
          <w:color w:val="000000" w:themeColor="text1"/>
          <w:kern w:val="24"/>
        </w:rPr>
        <w:t xml:space="preserve"> Pathways</w:t>
      </w:r>
      <w:r>
        <w:rPr>
          <w:rFonts w:ascii="Arial" w:eastAsiaTheme="minorEastAsia" w:hAnsi="Arial" w:cs="Arial"/>
          <w:color w:val="000000" w:themeColor="text1"/>
          <w:kern w:val="24"/>
        </w:rPr>
        <w:t xml:space="preserve"> in the f</w:t>
      </w:r>
      <w:r w:rsidRPr="00261260">
        <w:rPr>
          <w:rFonts w:ascii="Arial" w:eastAsiaTheme="minorEastAsia" w:hAnsi="Arial" w:cs="Arial"/>
          <w:color w:val="000000" w:themeColor="text1"/>
          <w:kern w:val="24"/>
        </w:rPr>
        <w:t>ormation of Advanced Glycation End Products.</w:t>
      </w:r>
    </w:p>
    <w:p w:rsidR="00330CF1" w:rsidRPr="00365782" w:rsidRDefault="00330CF1" w:rsidP="00FA4C3D">
      <w:pPr>
        <w:pStyle w:val="NormalWeb"/>
        <w:spacing w:before="0" w:beforeAutospacing="0" w:after="0" w:afterAutospacing="0"/>
      </w:pPr>
      <w:r w:rsidRPr="000E7CCC">
        <w:rPr>
          <w:rFonts w:ascii="Arial" w:eastAsiaTheme="minorEastAsia" w:hAnsi="Arial" w:cs="Arial"/>
          <w:b/>
          <w:i/>
          <w:color w:val="000000" w:themeColor="text1"/>
          <w:kern w:val="24"/>
        </w:rPr>
        <w:t>Source:</w:t>
      </w:r>
      <w:r>
        <w:rPr>
          <w:rFonts w:ascii="Arial" w:eastAsiaTheme="minorEastAsia" w:hAnsi="Arial" w:cs="Arial"/>
          <w:b/>
          <w:color w:val="000000" w:themeColor="text1"/>
          <w:kern w:val="24"/>
        </w:rPr>
        <w:t xml:space="preserve"> </w:t>
      </w:r>
      <w:r>
        <w:rPr>
          <w:rFonts w:ascii="Arial" w:eastAsiaTheme="minorEastAsia" w:hAnsi="Arial" w:cs="Arial"/>
          <w:color w:val="000000" w:themeColor="text1"/>
          <w:kern w:val="24"/>
        </w:rPr>
        <w:t xml:space="preserve">Adapted from Singh, R. </w:t>
      </w:r>
      <w:r>
        <w:rPr>
          <w:rFonts w:ascii="Arial" w:eastAsiaTheme="minorEastAsia" w:hAnsi="Arial" w:cs="Arial"/>
          <w:i/>
          <w:color w:val="000000" w:themeColor="text1"/>
          <w:kern w:val="24"/>
        </w:rPr>
        <w:t xml:space="preserve">Advanced glycation end products – a review.  </w:t>
      </w:r>
      <w:r>
        <w:rPr>
          <w:rFonts w:ascii="Arial" w:eastAsiaTheme="minorEastAsia" w:hAnsi="Arial" w:cs="Arial"/>
          <w:color w:val="000000" w:themeColor="text1"/>
          <w:kern w:val="24"/>
        </w:rPr>
        <w:t xml:space="preserve">Diabetologia, 2001. </w:t>
      </w:r>
      <w:r>
        <w:rPr>
          <w:rFonts w:ascii="Arial" w:eastAsiaTheme="minorEastAsia" w:hAnsi="Arial" w:cs="Arial"/>
          <w:b/>
          <w:color w:val="000000" w:themeColor="text1"/>
          <w:kern w:val="24"/>
        </w:rPr>
        <w:t>44</w:t>
      </w:r>
      <w:r>
        <w:rPr>
          <w:rFonts w:ascii="Arial" w:eastAsiaTheme="minorEastAsia" w:hAnsi="Arial" w:cs="Arial"/>
          <w:color w:val="000000" w:themeColor="text1"/>
          <w:kern w:val="24"/>
        </w:rPr>
        <w:t>; p. 131.</w:t>
      </w:r>
    </w:p>
    <w:p w:rsidR="00330CF1" w:rsidRDefault="00330CF1" w:rsidP="00DE76AF">
      <w:pPr>
        <w:autoSpaceDE w:val="0"/>
        <w:autoSpaceDN w:val="0"/>
        <w:adjustRightInd w:val="0"/>
        <w:jc w:val="center"/>
        <w:rPr>
          <w:rFonts w:ascii="Arial" w:hAnsi="Arial" w:cs="Arial"/>
          <w:b/>
        </w:rPr>
      </w:pPr>
    </w:p>
    <w:p w:rsidR="00330CF1" w:rsidRDefault="00330CF1" w:rsidP="00DE76AF">
      <w:pPr>
        <w:rPr>
          <w:rFonts w:ascii="Arial" w:hAnsi="Arial" w:cs="Arial"/>
        </w:rPr>
      </w:pPr>
    </w:p>
    <w:p w:rsidR="00330CF1" w:rsidRDefault="00330CF1" w:rsidP="00DE76AF">
      <w:pPr>
        <w:rPr>
          <w:rFonts w:ascii="Arial" w:hAnsi="Arial" w:cs="Arial"/>
        </w:rPr>
      </w:pPr>
    </w:p>
    <w:p w:rsidR="00330CF1" w:rsidRDefault="00330CF1" w:rsidP="00DE76AF">
      <w:pPr>
        <w:rPr>
          <w:rFonts w:ascii="Arial" w:hAnsi="Arial" w:cs="Arial"/>
        </w:rPr>
      </w:pPr>
    </w:p>
    <w:p w:rsidR="00330CF1" w:rsidRDefault="00330CF1" w:rsidP="00DE76AF">
      <w:pPr>
        <w:rPr>
          <w:rFonts w:ascii="Arial" w:hAnsi="Arial" w:cs="Arial"/>
        </w:rPr>
      </w:pPr>
    </w:p>
    <w:p w:rsidR="00330CF1" w:rsidRDefault="00330CF1" w:rsidP="00DE76AF">
      <w:pPr>
        <w:rPr>
          <w:rFonts w:ascii="Arial" w:hAnsi="Arial" w:cs="Arial"/>
        </w:rPr>
      </w:pPr>
    </w:p>
    <w:p w:rsidR="00330CF1" w:rsidRDefault="00330CF1" w:rsidP="00DE76AF">
      <w:pPr>
        <w:rPr>
          <w:rFonts w:ascii="Arial" w:hAnsi="Arial" w:cs="Arial"/>
        </w:rPr>
      </w:pPr>
      <w:r>
        <w:rPr>
          <w:rFonts w:ascii="Arial" w:hAnsi="Arial" w:cs="Arial"/>
        </w:rPr>
        <w:lastRenderedPageBreak/>
        <w:t xml:space="preserve">     </w:t>
      </w:r>
      <w:r w:rsidRPr="00BD171C">
        <w:rPr>
          <w:rFonts w:ascii="Arial" w:hAnsi="Arial" w:cs="Arial"/>
        </w:rPr>
        <w:t>Lysine is the most vulnerable to heat processing due to presence of its ε-amino group.</w:t>
      </w:r>
      <w:r>
        <w:rPr>
          <w:rFonts w:ascii="Arial" w:hAnsi="Arial" w:cs="Arial"/>
          <w:noProof/>
        </w:rPr>
        <w:t>[9, 224]</w:t>
      </w:r>
      <w:r w:rsidRPr="00BD171C">
        <w:rPr>
          <w:rFonts w:ascii="Arial" w:hAnsi="Arial" w:cs="Arial"/>
        </w:rPr>
        <w:t xml:space="preserve"> </w:t>
      </w:r>
      <w:r>
        <w:rPr>
          <w:rFonts w:ascii="Arial" w:hAnsi="Arial" w:cs="Arial"/>
        </w:rPr>
        <w:t xml:space="preserve"> </w:t>
      </w:r>
      <w:r w:rsidRPr="00BD171C">
        <w:rPr>
          <w:rFonts w:ascii="Arial" w:hAnsi="Arial" w:cs="Arial"/>
        </w:rPr>
        <w:t>Heat catalyzes the interaction between the ε-amino group of lysine and the amide groups of glutamate, glutamine, aspartate and asparagine residues resulting</w:t>
      </w:r>
      <w:r>
        <w:rPr>
          <w:rFonts w:ascii="Arial" w:hAnsi="Arial" w:cs="Arial"/>
        </w:rPr>
        <w:t xml:space="preserve"> in isopeptide bond formation.</w:t>
      </w:r>
      <w:r>
        <w:rPr>
          <w:rFonts w:ascii="Arial" w:hAnsi="Arial" w:cs="Arial"/>
          <w:noProof/>
        </w:rPr>
        <w:t>[9]</w:t>
      </w:r>
      <w:r>
        <w:rPr>
          <w:rFonts w:ascii="Arial" w:hAnsi="Arial" w:cs="Arial"/>
        </w:rPr>
        <w:t xml:space="preserve">  Figure 1.8 diagrams the isopeptide bond formation between lysine and glutamine, asparagine, glutamate and aspartate.  Glutamyl-lysine is between 80-100% available but aspartyl-lysine has no bioavailability. </w:t>
      </w: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D76588">
      <w:pPr>
        <w:autoSpaceDE w:val="0"/>
        <w:autoSpaceDN w:val="0"/>
        <w:adjustRightInd w:val="0"/>
        <w:rPr>
          <w:rFonts w:ascii="Arial" w:hAnsi="Arial" w:cs="Arial"/>
        </w:rPr>
      </w:pPr>
      <w:r w:rsidRPr="00CA5857">
        <w:rPr>
          <w:rFonts w:ascii="Arial" w:eastAsiaTheme="minorEastAsia" w:hAnsi="Arial" w:cs="Arial"/>
          <w:b/>
          <w:noProof/>
          <w:color w:val="000000" w:themeColor="text1"/>
          <w:kern w:val="24"/>
        </w:rPr>
        <w:lastRenderedPageBreak/>
        <mc:AlternateContent>
          <mc:Choice Requires="wps">
            <w:drawing>
              <wp:anchor distT="0" distB="0" distL="114300" distR="114300" simplePos="0" relativeHeight="251669504" behindDoc="0" locked="0" layoutInCell="1" allowOverlap="1" wp14:anchorId="2F318446" wp14:editId="19AC3099">
                <wp:simplePos x="0" y="0"/>
                <wp:positionH relativeFrom="column">
                  <wp:posOffset>3642360</wp:posOffset>
                </wp:positionH>
                <wp:positionV relativeFrom="paragraph">
                  <wp:posOffset>434340</wp:posOffset>
                </wp:positionV>
                <wp:extent cx="2019300" cy="55626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556260"/>
                        </a:xfrm>
                        <a:prstGeom prst="rect">
                          <a:avLst/>
                        </a:prstGeom>
                        <a:noFill/>
                        <a:ln w="9525">
                          <a:noFill/>
                          <a:miter lim="800000"/>
                          <a:headEnd/>
                          <a:tailEnd/>
                        </a:ln>
                      </wps:spPr>
                      <wps:txbx>
                        <w:txbxContent>
                          <w:p w:rsidR="00330CF1" w:rsidRPr="00CA5857" w:rsidRDefault="00330CF1" w:rsidP="00FF0B86">
                            <w:pPr>
                              <w:rPr>
                                <w:rFonts w:ascii="Arial" w:hAnsi="Arial" w:cs="Arial"/>
                                <w:b/>
                              </w:rPr>
                            </w:pPr>
                            <w:r w:rsidRPr="00CA5857">
                              <w:rPr>
                                <w:rFonts w:ascii="Arial" w:hAnsi="Arial" w:cs="Arial"/>
                                <w:b/>
                              </w:rPr>
                              <w:t>n=1 ; Asparagine residue</w:t>
                            </w:r>
                          </w:p>
                          <w:p w:rsidR="00330CF1" w:rsidRPr="00CA5857" w:rsidRDefault="00330CF1" w:rsidP="00FF0B86">
                            <w:pPr>
                              <w:rPr>
                                <w:rFonts w:ascii="Arial" w:hAnsi="Arial" w:cs="Arial"/>
                                <w:b/>
                              </w:rPr>
                            </w:pPr>
                            <w:r w:rsidRPr="00CA5857">
                              <w:rPr>
                                <w:rFonts w:ascii="Arial" w:hAnsi="Arial" w:cs="Arial"/>
                                <w:b/>
                              </w:rPr>
                              <w:t>n=2 ; Glutamine residue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86.8pt;margin-top:34.2pt;width:159pt;height:4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" filled="f" stroked="f">
                <v:textbox>
                  <w:txbxContent>
                    <w:p w:rsidR="00330CF1" w:rsidRPr="00CA5857" w:rsidRDefault="00330CF1" w:rsidP="00FF0B86">
                      <w:pPr>
                        <w:rPr>
                          <w:rFonts w:ascii="Arial" w:hAnsi="Arial" w:cs="Arial"/>
                          <w:b/>
                        </w:rPr>
                      </w:pPr>
                      <w:r w:rsidRPr="00CA5857">
                        <w:rPr>
                          <w:rFonts w:ascii="Arial" w:hAnsi="Arial" w:cs="Arial"/>
                          <w:b/>
                        </w:rPr>
                        <w:t>n=</w:t>
                      </w:r>
                      <w:proofErr w:type="gramStart"/>
                      <w:r w:rsidRPr="00CA5857">
                        <w:rPr>
                          <w:rFonts w:ascii="Arial" w:hAnsi="Arial" w:cs="Arial"/>
                          <w:b/>
                        </w:rPr>
                        <w:t>1 ;</w:t>
                      </w:r>
                      <w:proofErr w:type="gramEnd"/>
                      <w:r w:rsidRPr="00CA5857">
                        <w:rPr>
                          <w:rFonts w:ascii="Arial" w:hAnsi="Arial" w:cs="Arial"/>
                          <w:b/>
                        </w:rPr>
                        <w:t xml:space="preserve"> Asparagine residue</w:t>
                      </w:r>
                    </w:p>
                    <w:p w:rsidR="00330CF1" w:rsidRPr="00CA5857" w:rsidRDefault="00330CF1" w:rsidP="00FF0B86">
                      <w:pPr>
                        <w:rPr>
                          <w:rFonts w:ascii="Arial" w:hAnsi="Arial" w:cs="Arial"/>
                          <w:b/>
                        </w:rPr>
                      </w:pPr>
                      <w:r w:rsidRPr="00CA5857">
                        <w:rPr>
                          <w:rFonts w:ascii="Arial" w:hAnsi="Arial" w:cs="Arial"/>
                          <w:b/>
                        </w:rPr>
                        <w:t>n=</w:t>
                      </w:r>
                      <w:proofErr w:type="gramStart"/>
                      <w:r w:rsidRPr="00CA5857">
                        <w:rPr>
                          <w:rFonts w:ascii="Arial" w:hAnsi="Arial" w:cs="Arial"/>
                          <w:b/>
                        </w:rPr>
                        <w:t>2 ;</w:t>
                      </w:r>
                      <w:proofErr w:type="gramEnd"/>
                      <w:r w:rsidRPr="00CA5857">
                        <w:rPr>
                          <w:rFonts w:ascii="Arial" w:hAnsi="Arial" w:cs="Arial"/>
                          <w:b/>
                        </w:rPr>
                        <w:t xml:space="preserve"> Glutamine residue</w:t>
                      </w:r>
                    </w:p>
                  </w:txbxContent>
                </v:textbox>
              </v:shape>
            </w:pict>
          </mc:Fallback>
        </mc:AlternateContent>
      </w:r>
      <w:r w:rsidRPr="00D76588">
        <w:rPr>
          <w:rFonts w:ascii="Arial" w:hAnsi="Arial" w:cs="Arial"/>
          <w:noProof/>
        </w:rPr>
        <mc:AlternateContent>
          <mc:Choice Requires="wps">
            <w:drawing>
              <wp:anchor distT="0" distB="0" distL="114300" distR="114300" simplePos="0" relativeHeight="251667456" behindDoc="0" locked="0" layoutInCell="1" allowOverlap="1" wp14:anchorId="7DD115C6" wp14:editId="593D55F9">
                <wp:simplePos x="0" y="0"/>
                <wp:positionH relativeFrom="column">
                  <wp:posOffset>-190500</wp:posOffset>
                </wp:positionH>
                <wp:positionV relativeFrom="paragraph">
                  <wp:posOffset>-251460</wp:posOffset>
                </wp:positionV>
                <wp:extent cx="426720" cy="35052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350520"/>
                        </a:xfrm>
                        <a:prstGeom prst="rect">
                          <a:avLst/>
                        </a:prstGeom>
                        <a:noFill/>
                        <a:ln w="9525">
                          <a:noFill/>
                          <a:miter lim="800000"/>
                          <a:headEnd/>
                          <a:tailEnd/>
                        </a:ln>
                      </wps:spPr>
                      <wps:txbx>
                        <w:txbxContent>
                          <w:p w:rsidR="00330CF1" w:rsidRPr="00D76588" w:rsidRDefault="00330CF1">
                            <w:pPr>
                              <w:rPr>
                                <w:rFonts w:ascii="Arial" w:hAnsi="Arial" w:cs="Arial"/>
                                <w:b/>
                              </w:rPr>
                            </w:pPr>
                            <w:r w:rsidRPr="00D76588">
                              <w:rPr>
                                <w:rFonts w:ascii="Arial" w:hAnsi="Arial" w:cs="Arial"/>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5pt;margin-top:-19.8pt;width:33.6pt;height:2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" filled="f" stroked="f">
                <v:textbox>
                  <w:txbxContent>
                    <w:p w:rsidR="00330CF1" w:rsidRPr="00D76588" w:rsidRDefault="00330CF1">
                      <w:pPr>
                        <w:rPr>
                          <w:rFonts w:ascii="Arial" w:hAnsi="Arial" w:cs="Arial"/>
                          <w:b/>
                        </w:rPr>
                      </w:pPr>
                      <w:proofErr w:type="gramStart"/>
                      <w:r w:rsidRPr="00D76588">
                        <w:rPr>
                          <w:rFonts w:ascii="Arial" w:hAnsi="Arial" w:cs="Arial"/>
                          <w:b/>
                        </w:rPr>
                        <w:t>a</w:t>
                      </w:r>
                      <w:proofErr w:type="gramEnd"/>
                      <w:r w:rsidRPr="00D76588">
                        <w:rPr>
                          <w:rFonts w:ascii="Arial" w:hAnsi="Arial" w:cs="Arial"/>
                          <w:b/>
                        </w:rPr>
                        <w:t>.)</w:t>
                      </w:r>
                    </w:p>
                  </w:txbxContent>
                </v:textbox>
              </v:shape>
            </w:pict>
          </mc:Fallback>
        </mc:AlternateContent>
      </w:r>
      <w:r w:rsidRPr="00CA5857">
        <w:rPr>
          <w:rFonts w:ascii="Arial" w:hAnsi="Arial" w:cs="Arial"/>
          <w:noProof/>
        </w:rPr>
        <mc:AlternateContent>
          <mc:Choice Requires="wps">
            <w:drawing>
              <wp:anchor distT="0" distB="0" distL="114300" distR="114300" simplePos="0" relativeHeight="251668480" behindDoc="0" locked="0" layoutInCell="1" allowOverlap="1" wp14:anchorId="211813D7" wp14:editId="33BDE58A">
                <wp:simplePos x="0" y="0"/>
                <wp:positionH relativeFrom="column">
                  <wp:posOffset>-571500</wp:posOffset>
                </wp:positionH>
                <wp:positionV relativeFrom="paragraph">
                  <wp:posOffset>1059180</wp:posOffset>
                </wp:positionV>
                <wp:extent cx="1897380" cy="47879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478790"/>
                        </a:xfrm>
                        <a:prstGeom prst="rect">
                          <a:avLst/>
                        </a:prstGeom>
                        <a:noFill/>
                        <a:ln w="9525">
                          <a:noFill/>
                          <a:miter lim="800000"/>
                          <a:headEnd/>
                          <a:tailEnd/>
                        </a:ln>
                      </wps:spPr>
                      <wps:txbx>
                        <w:txbxContent>
                          <w:p w:rsidR="00330CF1" w:rsidRPr="00CA5857" w:rsidRDefault="00330CF1" w:rsidP="00CA5857">
                            <w:pPr>
                              <w:jc w:val="center"/>
                              <w:rPr>
                                <w:rFonts w:ascii="Arial" w:hAnsi="Arial" w:cs="Arial"/>
                                <w:b/>
                              </w:rPr>
                            </w:pPr>
                            <w:r w:rsidRPr="00CA5857">
                              <w:rPr>
                                <w:rFonts w:ascii="Arial" w:hAnsi="Arial" w:cs="Arial"/>
                                <w:b/>
                              </w:rPr>
                              <w:t>Lysine residue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5pt;margin-top:83.4pt;width:149.4pt;height:3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" filled="f" stroked="f">
                <v:textbox>
                  <w:txbxContent>
                    <w:p w:rsidR="00330CF1" w:rsidRPr="00CA5857" w:rsidRDefault="00330CF1" w:rsidP="00CA5857">
                      <w:pPr>
                        <w:jc w:val="center"/>
                        <w:rPr>
                          <w:rFonts w:ascii="Arial" w:hAnsi="Arial" w:cs="Arial"/>
                          <w:b/>
                        </w:rPr>
                      </w:pPr>
                      <w:r w:rsidRPr="00CA5857">
                        <w:rPr>
                          <w:rFonts w:ascii="Arial" w:hAnsi="Arial" w:cs="Arial"/>
                          <w:b/>
                        </w:rPr>
                        <w:t>Lysine residue</w:t>
                      </w:r>
                    </w:p>
                  </w:txbxContent>
                </v:textbox>
              </v:shape>
            </w:pict>
          </mc:Fallback>
        </mc:AlternateContent>
      </w:r>
      <w:r w:rsidRPr="00CA5857">
        <w:rPr>
          <w:rFonts w:ascii="Arial" w:hAnsi="Arial" w:cs="Arial"/>
          <w:noProof/>
        </w:rPr>
        <mc:AlternateContent>
          <mc:Choice Requires="wps">
            <w:drawing>
              <wp:anchor distT="0" distB="0" distL="114300" distR="114300" simplePos="0" relativeHeight="251670528" behindDoc="0" locked="0" layoutInCell="1" allowOverlap="1" wp14:anchorId="171BAF16" wp14:editId="1C188B34">
                <wp:simplePos x="0" y="0"/>
                <wp:positionH relativeFrom="column">
                  <wp:posOffset>2054831</wp:posOffset>
                </wp:positionH>
                <wp:positionV relativeFrom="paragraph">
                  <wp:posOffset>1140430</wp:posOffset>
                </wp:positionV>
                <wp:extent cx="2661007" cy="452063"/>
                <wp:effectExtent l="0" t="0" r="0" b="571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1007" cy="452063"/>
                        </a:xfrm>
                        <a:prstGeom prst="rect">
                          <a:avLst/>
                        </a:prstGeom>
                        <a:noFill/>
                        <a:ln w="9525">
                          <a:noFill/>
                          <a:miter lim="800000"/>
                          <a:headEnd/>
                          <a:tailEnd/>
                        </a:ln>
                      </wps:spPr>
                      <wps:txbx>
                        <w:txbxContent>
                          <w:p w:rsidR="00330CF1" w:rsidRPr="00CA5857" w:rsidRDefault="00330CF1">
                            <w:pPr>
                              <w:rPr>
                                <w:rFonts w:ascii="Arial" w:hAnsi="Arial" w:cs="Arial"/>
                                <w:b/>
                              </w:rPr>
                            </w:pPr>
                            <w:r w:rsidRPr="00CA5857">
                              <w:rPr>
                                <w:rFonts w:ascii="Arial" w:hAnsi="Arial" w:cs="Arial"/>
                                <w:b/>
                              </w:rPr>
                              <w:t>Glutamine/Asparagine residue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61.8pt;margin-top:89.8pt;width:209.55pt;height:3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" filled="f" stroked="f">
                <v:textbox>
                  <w:txbxContent>
                    <w:p w:rsidR="00330CF1" w:rsidRPr="00CA5857" w:rsidRDefault="00330CF1">
                      <w:pPr>
                        <w:rPr>
                          <w:rFonts w:ascii="Arial" w:hAnsi="Arial" w:cs="Arial"/>
                          <w:b/>
                        </w:rPr>
                      </w:pPr>
                      <w:r w:rsidRPr="00CA5857">
                        <w:rPr>
                          <w:rFonts w:ascii="Arial" w:hAnsi="Arial" w:cs="Arial"/>
                          <w:b/>
                        </w:rPr>
                        <w:t>Glutamine/Asparagine residue</w:t>
                      </w:r>
                    </w:p>
                  </w:txbxContent>
                </v:textbox>
              </v:shape>
            </w:pict>
          </mc:Fallback>
        </mc:AlternateContent>
      </w:r>
      <w:r>
        <w:rPr>
          <w:noProof/>
        </w:rPr>
        <w:drawing>
          <wp:inline distT="0" distB="0" distL="0" distR="0" wp14:anchorId="74A103CF" wp14:editId="601C05B2">
            <wp:extent cx="3032760" cy="2506980"/>
            <wp:effectExtent l="0" t="0" r="0" b="762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44903" cy="2517018"/>
                    </a:xfrm>
                    <a:prstGeom prst="rect">
                      <a:avLst/>
                    </a:prstGeom>
                  </pic:spPr>
                </pic:pic>
              </a:graphicData>
            </a:graphic>
          </wp:inline>
        </w:drawing>
      </w:r>
    </w:p>
    <w:p w:rsidR="00330CF1" w:rsidRDefault="00330CF1" w:rsidP="00D76588">
      <w:pPr>
        <w:autoSpaceDE w:val="0"/>
        <w:autoSpaceDN w:val="0"/>
        <w:adjustRightInd w:val="0"/>
        <w:rPr>
          <w:rFonts w:ascii="Arial" w:hAnsi="Arial" w:cs="Arial"/>
        </w:rPr>
      </w:pPr>
      <w:r w:rsidRPr="00CA5857">
        <w:rPr>
          <w:rFonts w:ascii="Arial" w:hAnsi="Arial" w:cs="Arial"/>
          <w:noProof/>
        </w:rPr>
        <mc:AlternateContent>
          <mc:Choice Requires="wps">
            <w:drawing>
              <wp:anchor distT="0" distB="0" distL="114300" distR="114300" simplePos="0" relativeHeight="251671552" behindDoc="0" locked="0" layoutInCell="1" allowOverlap="1" wp14:anchorId="2E137447" wp14:editId="3B608FE0">
                <wp:simplePos x="0" y="0"/>
                <wp:positionH relativeFrom="column">
                  <wp:posOffset>220980</wp:posOffset>
                </wp:positionH>
                <wp:positionV relativeFrom="paragraph">
                  <wp:posOffset>116840</wp:posOffset>
                </wp:positionV>
                <wp:extent cx="2374265" cy="1403985"/>
                <wp:effectExtent l="0" t="0" r="0" b="0"/>
                <wp:wrapNone/>
                <wp:docPr id="20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CA5857" w:rsidRDefault="00330CF1" w:rsidP="00CA5857">
                            <w:pPr>
                              <w:jc w:val="center"/>
                              <w:rPr>
                                <w:rFonts w:ascii="Arial" w:hAnsi="Arial" w:cs="Arial"/>
                                <w:b/>
                              </w:rPr>
                            </w:pPr>
                            <w:r w:rsidRPr="00CA5857">
                              <w:rPr>
                                <w:rFonts w:ascii="Arial" w:hAnsi="Arial" w:cs="Arial"/>
                                <w:b/>
                              </w:rPr>
                              <w:t>Cross-linked peptide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0" type="#_x0000_t202" style="position:absolute;margin-left:17.4pt;margin-top:9.2pt;width:186.95pt;height:110.55pt;z-index:2516715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" filled="f" stroked="f">
                <v:textbox style="mso-fit-shape-to-text:t">
                  <w:txbxContent>
                    <w:p w:rsidR="00330CF1" w:rsidRPr="00CA5857" w:rsidRDefault="00330CF1" w:rsidP="00CA5857">
                      <w:pPr>
                        <w:jc w:val="center"/>
                        <w:rPr>
                          <w:rFonts w:ascii="Arial" w:hAnsi="Arial" w:cs="Arial"/>
                          <w:b/>
                        </w:rPr>
                      </w:pPr>
                      <w:r w:rsidRPr="00CA5857">
                        <w:rPr>
                          <w:rFonts w:ascii="Arial" w:hAnsi="Arial" w:cs="Arial"/>
                          <w:b/>
                        </w:rPr>
                        <w:t>Cross-linked peptide</w:t>
                      </w:r>
                    </w:p>
                  </w:txbxContent>
                </v:textbox>
              </v:shape>
            </w:pict>
          </mc:Fallback>
        </mc:AlternateContent>
      </w: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r w:rsidRPr="00FF0B86">
        <w:rPr>
          <w:rFonts w:ascii="Arial" w:eastAsiaTheme="minorEastAsia" w:hAnsi="Arial" w:cs="Arial"/>
          <w:b/>
          <w:noProof/>
          <w:color w:val="000000" w:themeColor="text1"/>
          <w:kern w:val="24"/>
        </w:rPr>
        <mc:AlternateContent>
          <mc:Choice Requires="wps">
            <w:drawing>
              <wp:anchor distT="0" distB="0" distL="114300" distR="114300" simplePos="0" relativeHeight="251676672" behindDoc="0" locked="0" layoutInCell="1" allowOverlap="1" wp14:anchorId="027C542D" wp14:editId="76B606FB">
                <wp:simplePos x="0" y="0"/>
                <wp:positionH relativeFrom="column">
                  <wp:posOffset>4440555</wp:posOffset>
                </wp:positionH>
                <wp:positionV relativeFrom="paragraph">
                  <wp:posOffset>86360</wp:posOffset>
                </wp:positionV>
                <wp:extent cx="1431290" cy="564515"/>
                <wp:effectExtent l="0" t="0" r="0" b="0"/>
                <wp:wrapNone/>
                <wp:docPr id="20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290" cy="564515"/>
                        </a:xfrm>
                        <a:prstGeom prst="rect">
                          <a:avLst/>
                        </a:prstGeom>
                        <a:noFill/>
                        <a:ln w="9525">
                          <a:noFill/>
                          <a:miter lim="800000"/>
                          <a:headEnd/>
                          <a:tailEnd/>
                        </a:ln>
                      </wps:spPr>
                      <wps:txbx>
                        <w:txbxContent>
                          <w:p w:rsidR="00330CF1" w:rsidRPr="00FF0B86" w:rsidRDefault="00330CF1" w:rsidP="00FF0B86">
                            <w:pPr>
                              <w:rPr>
                                <w:rFonts w:ascii="Arial" w:hAnsi="Arial" w:cs="Arial"/>
                                <w:b/>
                              </w:rPr>
                            </w:pPr>
                            <w:r w:rsidRPr="00FF0B86">
                              <w:rPr>
                                <w:rFonts w:ascii="Arial" w:hAnsi="Arial" w:cs="Arial"/>
                                <w:b/>
                              </w:rPr>
                              <w:t>n= 1; Aspartate</w:t>
                            </w:r>
                          </w:p>
                          <w:p w:rsidR="00330CF1" w:rsidRDefault="00330CF1" w:rsidP="00FF0B86">
                            <w:r w:rsidRPr="00FF0B86">
                              <w:rPr>
                                <w:rFonts w:ascii="Arial" w:hAnsi="Arial" w:cs="Arial"/>
                                <w:b/>
                              </w:rPr>
                              <w:t>n= 1; Glutamate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349.65pt;margin-top:6.8pt;width:112.7pt;height:44.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" filled="f" stroked="f">
                <v:textbox>
                  <w:txbxContent>
                    <w:p w:rsidR="00330CF1" w:rsidRPr="00FF0B86" w:rsidRDefault="00330CF1" w:rsidP="00FF0B86">
                      <w:pPr>
                        <w:rPr>
                          <w:rFonts w:ascii="Arial" w:hAnsi="Arial" w:cs="Arial"/>
                          <w:b/>
                        </w:rPr>
                      </w:pPr>
                      <w:r w:rsidRPr="00FF0B86">
                        <w:rPr>
                          <w:rFonts w:ascii="Arial" w:hAnsi="Arial" w:cs="Arial"/>
                          <w:b/>
                        </w:rPr>
                        <w:t>n= 1; Aspartate</w:t>
                      </w:r>
                    </w:p>
                    <w:p w:rsidR="00330CF1" w:rsidRDefault="00330CF1" w:rsidP="00FF0B86">
                      <w:r w:rsidRPr="00FF0B86">
                        <w:rPr>
                          <w:rFonts w:ascii="Arial" w:hAnsi="Arial" w:cs="Arial"/>
                          <w:b/>
                        </w:rPr>
                        <w:t>n= 1; Glutamate</w:t>
                      </w:r>
                    </w:p>
                  </w:txbxContent>
                </v:textbox>
              </v:shape>
            </w:pict>
          </mc:Fallback>
        </mc:AlternateContent>
      </w:r>
      <w:r w:rsidRPr="00CA5857">
        <w:rPr>
          <w:rFonts w:ascii="Arial" w:hAnsi="Arial" w:cs="Arial"/>
          <w:noProof/>
        </w:rPr>
        <mc:AlternateContent>
          <mc:Choice Requires="wps">
            <w:drawing>
              <wp:anchor distT="0" distB="0" distL="114300" distR="114300" simplePos="0" relativeHeight="251674624" behindDoc="0" locked="0" layoutInCell="1" allowOverlap="1" wp14:anchorId="4036B3B6" wp14:editId="0D992683">
                <wp:simplePos x="0" y="0"/>
                <wp:positionH relativeFrom="column">
                  <wp:posOffset>674370</wp:posOffset>
                </wp:positionH>
                <wp:positionV relativeFrom="paragraph">
                  <wp:posOffset>83185</wp:posOffset>
                </wp:positionV>
                <wp:extent cx="603885" cy="1403985"/>
                <wp:effectExtent l="0" t="0" r="0" b="0"/>
                <wp:wrapNone/>
                <wp:docPr id="20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 cy="1403985"/>
                        </a:xfrm>
                        <a:prstGeom prst="rect">
                          <a:avLst/>
                        </a:prstGeom>
                        <a:noFill/>
                        <a:ln w="9525">
                          <a:noFill/>
                          <a:miter lim="800000"/>
                          <a:headEnd/>
                          <a:tailEnd/>
                        </a:ln>
                      </wps:spPr>
                      <wps:txbx>
                        <w:txbxContent>
                          <w:p w:rsidR="00330CF1" w:rsidRPr="00CA5857" w:rsidRDefault="00330CF1">
                            <w:pPr>
                              <w:rPr>
                                <w:rFonts w:ascii="Arial" w:hAnsi="Arial" w:cs="Arial"/>
                                <w:b/>
                              </w:rPr>
                            </w:pPr>
                            <w:r w:rsidRPr="00CA5857">
                              <w:rPr>
                                <w:rFonts w:ascii="Arial" w:hAnsi="Arial" w:cs="Arial"/>
                                <w:b/>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53.1pt;margin-top:6.55pt;width:47.55pt;height:110.55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" filled="f" stroked="f">
                <v:textbox style="mso-fit-shape-to-text:t">
                  <w:txbxContent>
                    <w:p w:rsidR="00330CF1" w:rsidRPr="00CA5857" w:rsidRDefault="00330CF1">
                      <w:pPr>
                        <w:rPr>
                          <w:rFonts w:ascii="Arial" w:hAnsi="Arial" w:cs="Arial"/>
                          <w:b/>
                        </w:rPr>
                      </w:pPr>
                      <w:proofErr w:type="gramStart"/>
                      <w:r w:rsidRPr="00CA5857">
                        <w:rPr>
                          <w:rFonts w:ascii="Arial" w:hAnsi="Arial" w:cs="Arial"/>
                          <w:b/>
                        </w:rPr>
                        <w:t>b</w:t>
                      </w:r>
                      <w:proofErr w:type="gramEnd"/>
                      <w:r w:rsidRPr="00CA5857">
                        <w:rPr>
                          <w:rFonts w:ascii="Arial" w:hAnsi="Arial" w:cs="Arial"/>
                          <w:b/>
                        </w:rPr>
                        <w:t>.)</w:t>
                      </w:r>
                    </w:p>
                  </w:txbxContent>
                </v:textbox>
              </v:shape>
            </w:pict>
          </mc:Fallback>
        </mc:AlternateContent>
      </w:r>
      <w:r>
        <w:rPr>
          <w:noProof/>
        </w:rPr>
        <w:drawing>
          <wp:anchor distT="0" distB="0" distL="114300" distR="114300" simplePos="0" relativeHeight="251659264" behindDoc="1" locked="0" layoutInCell="1" allowOverlap="1" wp14:anchorId="47671774" wp14:editId="58FB88E4">
            <wp:simplePos x="0" y="0"/>
            <wp:positionH relativeFrom="column">
              <wp:posOffset>1218565</wp:posOffset>
            </wp:positionH>
            <wp:positionV relativeFrom="paragraph">
              <wp:posOffset>114300</wp:posOffset>
            </wp:positionV>
            <wp:extent cx="3051175" cy="2607945"/>
            <wp:effectExtent l="0" t="0" r="0" b="1905"/>
            <wp:wrapThrough wrapText="bothSides">
              <wp:wrapPolygon edited="0">
                <wp:start x="0" y="0"/>
                <wp:lineTo x="0" y="9309"/>
                <wp:lineTo x="10384" y="10098"/>
                <wp:lineTo x="2967" y="12465"/>
                <wp:lineTo x="2697" y="14042"/>
                <wp:lineTo x="2697" y="16567"/>
                <wp:lineTo x="2967" y="21458"/>
                <wp:lineTo x="17667" y="21458"/>
                <wp:lineTo x="17667" y="20196"/>
                <wp:lineTo x="18611" y="20196"/>
                <wp:lineTo x="18611" y="19091"/>
                <wp:lineTo x="18071" y="17671"/>
                <wp:lineTo x="18071" y="16251"/>
                <wp:lineTo x="17667" y="15147"/>
                <wp:lineTo x="18611" y="14989"/>
                <wp:lineTo x="18611" y="14200"/>
                <wp:lineTo x="17801" y="12622"/>
                <wp:lineTo x="14295" y="10098"/>
                <wp:lineTo x="21443" y="9467"/>
                <wp:lineTo x="21443" y="1736"/>
                <wp:lineTo x="21173" y="0"/>
                <wp:lineTo x="0" y="0"/>
              </wp:wrapPolygon>
            </wp:wrapThrough>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51175" cy="2607945"/>
                    </a:xfrm>
                    <a:prstGeom prst="rect">
                      <a:avLst/>
                    </a:prstGeom>
                  </pic:spPr>
                </pic:pic>
              </a:graphicData>
            </a:graphic>
            <wp14:sizeRelH relativeFrom="page">
              <wp14:pctWidth>0</wp14:pctWidth>
            </wp14:sizeRelH>
            <wp14:sizeRelV relativeFrom="page">
              <wp14:pctHeight>0</wp14:pctHeight>
            </wp14:sizeRelV>
          </wp:anchor>
        </w:drawing>
      </w: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r>
        <w:rPr>
          <w:rFonts w:ascii="Arial" w:hAnsi="Arial" w:cs="Arial"/>
        </w:rPr>
        <w:t xml:space="preserve">                                                              </w:t>
      </w: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r w:rsidRPr="00FF0B86">
        <w:rPr>
          <w:rFonts w:ascii="Arial" w:hAnsi="Arial" w:cs="Arial"/>
          <w:noProof/>
        </w:rPr>
        <mc:AlternateContent>
          <mc:Choice Requires="wps">
            <w:drawing>
              <wp:anchor distT="0" distB="0" distL="114300" distR="114300" simplePos="0" relativeHeight="251675648" behindDoc="0" locked="0" layoutInCell="1" allowOverlap="1" wp14:anchorId="44BF852B" wp14:editId="0264A382">
                <wp:simplePos x="0" y="0"/>
                <wp:positionH relativeFrom="column">
                  <wp:posOffset>239395</wp:posOffset>
                </wp:positionH>
                <wp:positionV relativeFrom="paragraph">
                  <wp:posOffset>11430</wp:posOffset>
                </wp:positionV>
                <wp:extent cx="2106295" cy="1403985"/>
                <wp:effectExtent l="0" t="0" r="0" b="0"/>
                <wp:wrapNone/>
                <wp:docPr id="204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295" cy="1403985"/>
                        </a:xfrm>
                        <a:prstGeom prst="rect">
                          <a:avLst/>
                        </a:prstGeom>
                        <a:noFill/>
                        <a:ln w="9525">
                          <a:noFill/>
                          <a:miter lim="800000"/>
                          <a:headEnd/>
                          <a:tailEnd/>
                        </a:ln>
                      </wps:spPr>
                      <wps:txbx>
                        <w:txbxContent>
                          <w:p w:rsidR="00330CF1" w:rsidRPr="00FF0B86" w:rsidRDefault="00330CF1" w:rsidP="00FF0B86">
                            <w:pPr>
                              <w:jc w:val="center"/>
                              <w:rPr>
                                <w:rFonts w:ascii="Arial" w:hAnsi="Arial" w:cs="Arial"/>
                                <w:b/>
                              </w:rPr>
                            </w:pPr>
                            <w:r w:rsidRPr="00FF0B86">
                              <w:rPr>
                                <w:rFonts w:ascii="Arial" w:hAnsi="Arial" w:cs="Arial"/>
                                <w:b/>
                              </w:rPr>
                              <w:t>Lysine residue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18.85pt;margin-top:.9pt;width:165.8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" filled="f" stroked="f">
                <v:textbox style="mso-fit-shape-to-text:t">
                  <w:txbxContent>
                    <w:p w:rsidR="00330CF1" w:rsidRPr="00FF0B86" w:rsidRDefault="00330CF1" w:rsidP="00FF0B86">
                      <w:pPr>
                        <w:jc w:val="center"/>
                        <w:rPr>
                          <w:rFonts w:ascii="Arial" w:hAnsi="Arial" w:cs="Arial"/>
                          <w:b/>
                        </w:rPr>
                      </w:pPr>
                      <w:r w:rsidRPr="00FF0B86">
                        <w:rPr>
                          <w:rFonts w:ascii="Arial" w:hAnsi="Arial" w:cs="Arial"/>
                          <w:b/>
                        </w:rPr>
                        <w:t>Lysine residue</w:t>
                      </w:r>
                    </w:p>
                  </w:txbxContent>
                </v:textbox>
              </v:shape>
            </w:pict>
          </mc:Fallback>
        </mc:AlternateContent>
      </w:r>
      <w:r w:rsidRPr="00CA5857">
        <w:rPr>
          <w:rFonts w:ascii="Arial" w:hAnsi="Arial" w:cs="Arial"/>
          <w:noProof/>
        </w:rPr>
        <mc:AlternateContent>
          <mc:Choice Requires="wps">
            <w:drawing>
              <wp:anchor distT="0" distB="0" distL="114300" distR="114300" simplePos="0" relativeHeight="251673600" behindDoc="0" locked="0" layoutInCell="1" allowOverlap="1" wp14:anchorId="69E16061" wp14:editId="063B6540">
                <wp:simplePos x="0" y="0"/>
                <wp:positionH relativeFrom="column">
                  <wp:posOffset>3515995</wp:posOffset>
                </wp:positionH>
                <wp:positionV relativeFrom="paragraph">
                  <wp:posOffset>11430</wp:posOffset>
                </wp:positionV>
                <wp:extent cx="2084070" cy="288290"/>
                <wp:effectExtent l="0" t="0" r="0" b="0"/>
                <wp:wrapNone/>
                <wp:docPr id="20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070" cy="288290"/>
                        </a:xfrm>
                        <a:prstGeom prst="rect">
                          <a:avLst/>
                        </a:prstGeom>
                        <a:noFill/>
                        <a:ln w="9525">
                          <a:noFill/>
                          <a:miter lim="800000"/>
                          <a:headEnd/>
                          <a:tailEnd/>
                        </a:ln>
                      </wps:spPr>
                      <wps:txbx>
                        <w:txbxContent>
                          <w:p w:rsidR="00330CF1" w:rsidRPr="003E3510" w:rsidRDefault="00330CF1" w:rsidP="00CA5857">
                            <w:pPr>
                              <w:rPr>
                                <w:rFonts w:ascii="Arial" w:hAnsi="Arial" w:cs="Arial"/>
                                <w:b/>
                                <w:sz w:val="20"/>
                                <w:szCs w:val="20"/>
                              </w:rPr>
                            </w:pPr>
                            <w:r w:rsidRPr="003E3510">
                              <w:rPr>
                                <w:rFonts w:ascii="Arial" w:hAnsi="Arial" w:cs="Arial"/>
                                <w:b/>
                                <w:sz w:val="20"/>
                                <w:szCs w:val="20"/>
                              </w:rPr>
                              <w:t>Glutamate/Aspartate residue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76.85pt;margin-top:.9pt;width:164.1pt;height:2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" filled="f" stroked="f">
                <v:textbox>
                  <w:txbxContent>
                    <w:p w:rsidR="00330CF1" w:rsidRPr="003E3510" w:rsidRDefault="00330CF1" w:rsidP="00CA5857">
                      <w:pPr>
                        <w:rPr>
                          <w:rFonts w:ascii="Arial" w:hAnsi="Arial" w:cs="Arial"/>
                          <w:b/>
                          <w:sz w:val="20"/>
                          <w:szCs w:val="20"/>
                        </w:rPr>
                      </w:pPr>
                      <w:r w:rsidRPr="003E3510">
                        <w:rPr>
                          <w:rFonts w:ascii="Arial" w:hAnsi="Arial" w:cs="Arial"/>
                          <w:b/>
                          <w:sz w:val="20"/>
                          <w:szCs w:val="20"/>
                        </w:rPr>
                        <w:t>Glutamate/Aspartate residue</w:t>
                      </w:r>
                    </w:p>
                  </w:txbxContent>
                </v:textbox>
              </v:shape>
            </w:pict>
          </mc:Fallback>
        </mc:AlternateContent>
      </w: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r w:rsidRPr="00CA5857">
        <w:rPr>
          <w:rFonts w:ascii="Arial" w:hAnsi="Arial" w:cs="Arial"/>
          <w:noProof/>
        </w:rPr>
        <mc:AlternateContent>
          <mc:Choice Requires="wps">
            <w:drawing>
              <wp:anchor distT="0" distB="0" distL="114300" distR="114300" simplePos="0" relativeHeight="251672576" behindDoc="0" locked="0" layoutInCell="1" allowOverlap="1" wp14:anchorId="2FA803F8" wp14:editId="5BAD1204">
                <wp:simplePos x="0" y="0"/>
                <wp:positionH relativeFrom="column">
                  <wp:posOffset>1486082</wp:posOffset>
                </wp:positionH>
                <wp:positionV relativeFrom="paragraph">
                  <wp:posOffset>12065</wp:posOffset>
                </wp:positionV>
                <wp:extent cx="2374265" cy="410966"/>
                <wp:effectExtent l="0" t="0" r="0" b="0"/>
                <wp:wrapNone/>
                <wp:docPr id="20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10966"/>
                        </a:xfrm>
                        <a:prstGeom prst="rect">
                          <a:avLst/>
                        </a:prstGeom>
                        <a:noFill/>
                        <a:ln w="9525">
                          <a:noFill/>
                          <a:miter lim="800000"/>
                          <a:headEnd/>
                          <a:tailEnd/>
                        </a:ln>
                      </wps:spPr>
                      <wps:txbx>
                        <w:txbxContent>
                          <w:p w:rsidR="00330CF1" w:rsidRPr="00CA5857" w:rsidRDefault="00330CF1" w:rsidP="00CA5857">
                            <w:pPr>
                              <w:jc w:val="center"/>
                              <w:rPr>
                                <w:rFonts w:ascii="Arial" w:hAnsi="Arial" w:cs="Arial"/>
                                <w:b/>
                              </w:rPr>
                            </w:pPr>
                            <w:r w:rsidRPr="00CA5857">
                              <w:rPr>
                                <w:rFonts w:ascii="Arial" w:hAnsi="Arial" w:cs="Arial"/>
                                <w:b/>
                              </w:rPr>
                              <w:t>Cross-linked peptide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5" type="#_x0000_t202" style="position:absolute;margin-left:117pt;margin-top:.95pt;width:186.95pt;height:32.35pt;z-index:25167257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" filled="f" stroked="f">
                <v:textbox>
                  <w:txbxContent>
                    <w:p w:rsidR="00330CF1" w:rsidRPr="00CA5857" w:rsidRDefault="00330CF1" w:rsidP="00CA5857">
                      <w:pPr>
                        <w:jc w:val="center"/>
                        <w:rPr>
                          <w:rFonts w:ascii="Arial" w:hAnsi="Arial" w:cs="Arial"/>
                          <w:b/>
                        </w:rPr>
                      </w:pPr>
                      <w:r w:rsidRPr="00CA5857">
                        <w:rPr>
                          <w:rFonts w:ascii="Arial" w:hAnsi="Arial" w:cs="Arial"/>
                          <w:b/>
                        </w:rPr>
                        <w:t>Cross-linked peptide</w:t>
                      </w:r>
                    </w:p>
                  </w:txbxContent>
                </v:textbox>
              </v:shape>
            </w:pict>
          </mc:Fallback>
        </mc:AlternateContent>
      </w: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p>
    <w:p w:rsidR="00330CF1" w:rsidRDefault="00330CF1" w:rsidP="00DE76AF">
      <w:pPr>
        <w:pStyle w:val="NormalWeb"/>
        <w:spacing w:before="0" w:beforeAutospacing="0" w:after="0" w:afterAutospacing="0"/>
        <w:rPr>
          <w:rFonts w:ascii="Arial" w:eastAsiaTheme="minorEastAsia" w:hAnsi="Arial" w:cs="Arial"/>
          <w:b/>
          <w:color w:val="000000" w:themeColor="text1"/>
          <w:kern w:val="24"/>
        </w:rPr>
      </w:pPr>
    </w:p>
    <w:p w:rsidR="00330CF1" w:rsidRDefault="00330CF1" w:rsidP="00DE76AF">
      <w:pPr>
        <w:pStyle w:val="NormalWeb"/>
        <w:spacing w:before="0" w:beforeAutospacing="0" w:after="0" w:afterAutospacing="0"/>
        <w:rPr>
          <w:rFonts w:ascii="Arial" w:hAnsi="Arial" w:cs="Arial"/>
          <w:b/>
        </w:rPr>
      </w:pPr>
      <w:r w:rsidRPr="00B51DF6">
        <w:rPr>
          <w:rFonts w:ascii="Arial" w:eastAsiaTheme="minorEastAsia" w:hAnsi="Arial" w:cs="Arial"/>
          <w:b/>
          <w:color w:val="000000" w:themeColor="text1"/>
          <w:kern w:val="24"/>
        </w:rPr>
        <w:t>Figure 1.8</w:t>
      </w:r>
      <w:r w:rsidRPr="00B51DF6">
        <w:rPr>
          <w:rFonts w:ascii="Arial" w:eastAsiaTheme="minorEastAsia" w:hAnsi="Arial" w:cs="Arial"/>
          <w:color w:val="000000" w:themeColor="text1"/>
          <w:kern w:val="24"/>
        </w:rPr>
        <w:t xml:space="preserve"> The formation of isopeptide crosslinks during processing.  </w:t>
      </w:r>
      <w:r>
        <w:rPr>
          <w:rFonts w:ascii="Arial" w:eastAsiaTheme="minorEastAsia" w:hAnsi="Arial" w:cs="Arial"/>
          <w:color w:val="000000" w:themeColor="text1"/>
          <w:kern w:val="24"/>
        </w:rPr>
        <w:t xml:space="preserve">a.) </w:t>
      </w:r>
      <w:r w:rsidRPr="00B51DF6">
        <w:rPr>
          <w:rFonts w:ascii="Arial" w:eastAsiaTheme="minorEastAsia" w:hAnsi="Arial" w:cs="Arial"/>
          <w:color w:val="000000" w:themeColor="text1"/>
          <w:kern w:val="24"/>
        </w:rPr>
        <w:t xml:space="preserve">condensation of the </w:t>
      </w:r>
      <w:r w:rsidRPr="00B51DF6">
        <w:rPr>
          <w:rFonts w:ascii="Arial" w:eastAsiaTheme="minorEastAsia" w:hAnsi="Arial" w:cs="Arial"/>
          <w:color w:val="000000" w:themeColor="text1"/>
          <w:kern w:val="24"/>
          <w:lang w:val="el-GR"/>
        </w:rPr>
        <w:t>ε</w:t>
      </w:r>
      <w:r w:rsidRPr="00B51DF6">
        <w:rPr>
          <w:rFonts w:ascii="Arial" w:eastAsiaTheme="minorEastAsia" w:hAnsi="Arial" w:cs="Arial"/>
          <w:color w:val="000000" w:themeColor="text1"/>
          <w:kern w:val="24"/>
        </w:rPr>
        <w:t>-amino group of lysine with the amide group of an asparagi</w:t>
      </w:r>
      <w:r>
        <w:rPr>
          <w:rFonts w:ascii="Arial" w:eastAsiaTheme="minorEastAsia" w:hAnsi="Arial" w:cs="Arial"/>
          <w:color w:val="000000" w:themeColor="text1"/>
          <w:kern w:val="24"/>
        </w:rPr>
        <w:t xml:space="preserve">ne or glutamine residue, b) </w:t>
      </w:r>
      <w:r w:rsidRPr="00B51DF6">
        <w:rPr>
          <w:rFonts w:ascii="Arial" w:eastAsiaTheme="minorEastAsia" w:hAnsi="Arial" w:cs="Arial"/>
          <w:color w:val="000000" w:themeColor="text1"/>
          <w:kern w:val="24"/>
        </w:rPr>
        <w:t xml:space="preserve">condensation </w:t>
      </w:r>
      <w:r w:rsidRPr="00B51DF6">
        <w:rPr>
          <w:rFonts w:ascii="Arial" w:eastAsiaTheme="minorEastAsia" w:hAnsi="Arial" w:cs="Arial"/>
          <w:color w:val="000000" w:themeColor="text1"/>
          <w:kern w:val="24"/>
          <w:lang w:val="el-GR"/>
        </w:rPr>
        <w:t>ε</w:t>
      </w:r>
      <w:r w:rsidRPr="00B51DF6">
        <w:rPr>
          <w:rFonts w:ascii="Arial" w:eastAsiaTheme="minorEastAsia" w:hAnsi="Arial" w:cs="Arial"/>
          <w:color w:val="000000" w:themeColor="text1"/>
          <w:kern w:val="24"/>
        </w:rPr>
        <w:t xml:space="preserve">-amino group of lysine with hydroxyl group of glutamate or aspartate residue. </w:t>
      </w:r>
    </w:p>
    <w:p w:rsidR="00330CF1" w:rsidRPr="00B51DF6" w:rsidRDefault="00330CF1" w:rsidP="00DE76AF">
      <w:pPr>
        <w:pStyle w:val="NormalWeb"/>
        <w:spacing w:before="0" w:beforeAutospacing="0" w:after="0" w:afterAutospacing="0"/>
        <w:rPr>
          <w:rFonts w:ascii="Arial" w:hAnsi="Arial" w:cs="Arial"/>
          <w:b/>
        </w:rPr>
      </w:pPr>
      <w:r w:rsidRPr="000E7CCC">
        <w:rPr>
          <w:rFonts w:ascii="Arial" w:hAnsi="Arial" w:cs="Arial"/>
          <w:b/>
          <w:i/>
        </w:rPr>
        <w:t>Source</w:t>
      </w:r>
      <w:r>
        <w:rPr>
          <w:rFonts w:ascii="Arial" w:hAnsi="Arial" w:cs="Arial"/>
        </w:rPr>
        <w:t xml:space="preserve">:  Adapted from Damodaran, S. </w:t>
      </w:r>
      <w:r>
        <w:rPr>
          <w:rFonts w:ascii="Arial" w:hAnsi="Arial" w:cs="Arial"/>
          <w:i/>
        </w:rPr>
        <w:t xml:space="preserve">Amino Acids, Peptides and Proteins </w:t>
      </w:r>
      <w:r>
        <w:rPr>
          <w:rFonts w:ascii="Arial" w:hAnsi="Arial" w:cs="Arial"/>
        </w:rPr>
        <w:t xml:space="preserve">in </w:t>
      </w:r>
      <w:r>
        <w:rPr>
          <w:rFonts w:ascii="Arial" w:hAnsi="Arial" w:cs="Arial"/>
          <w:u w:val="single"/>
        </w:rPr>
        <w:t>Food Chemistry 3</w:t>
      </w:r>
      <w:r w:rsidRPr="00B51DF6">
        <w:rPr>
          <w:rFonts w:ascii="Arial" w:hAnsi="Arial" w:cs="Arial"/>
          <w:u w:val="single"/>
          <w:vertAlign w:val="superscript"/>
        </w:rPr>
        <w:t>rd</w:t>
      </w:r>
      <w:r>
        <w:rPr>
          <w:rFonts w:ascii="Arial" w:hAnsi="Arial" w:cs="Arial"/>
          <w:u w:val="single"/>
        </w:rPr>
        <w:t xml:space="preserve"> Edition</w:t>
      </w:r>
      <w:r>
        <w:rPr>
          <w:rFonts w:ascii="Arial" w:hAnsi="Arial" w:cs="Arial"/>
        </w:rPr>
        <w:t>, O.R.Fennema, Editor.  1996, Marcel Dekker, Inc.: New York, NY p. 408.</w:t>
      </w:r>
      <w:r w:rsidRPr="00B51DF6">
        <w:rPr>
          <w:rFonts w:ascii="Arial" w:hAnsi="Arial" w:cs="Arial"/>
          <w:b/>
        </w:rPr>
        <w:t xml:space="preserve"> </w:t>
      </w:r>
    </w:p>
    <w:p w:rsidR="00330CF1" w:rsidRDefault="00330CF1" w:rsidP="00DE76AF">
      <w:pPr>
        <w:autoSpaceDE w:val="0"/>
        <w:autoSpaceDN w:val="0"/>
        <w:adjustRightInd w:val="0"/>
        <w:rPr>
          <w:rFonts w:ascii="Arial" w:hAnsi="Arial" w:cs="Arial"/>
          <w:b/>
        </w:rPr>
      </w:pPr>
    </w:p>
    <w:p w:rsidR="00330CF1" w:rsidRDefault="00330CF1" w:rsidP="00681100">
      <w:pPr>
        <w:autoSpaceDE w:val="0"/>
        <w:autoSpaceDN w:val="0"/>
        <w:adjustRightInd w:val="0"/>
        <w:rPr>
          <w:rFonts w:ascii="Arial" w:hAnsi="Arial" w:cs="Arial"/>
          <w:b/>
        </w:rPr>
      </w:pPr>
    </w:p>
    <w:p w:rsidR="00330CF1" w:rsidRDefault="00330CF1" w:rsidP="00681100">
      <w:pPr>
        <w:autoSpaceDE w:val="0"/>
        <w:autoSpaceDN w:val="0"/>
        <w:adjustRightInd w:val="0"/>
        <w:rPr>
          <w:rFonts w:ascii="Arial" w:hAnsi="Arial" w:cs="Arial"/>
        </w:rPr>
      </w:pPr>
    </w:p>
    <w:p w:rsidR="00330CF1" w:rsidRDefault="00330CF1" w:rsidP="00AA5FCC">
      <w:pPr>
        <w:autoSpaceDE w:val="0"/>
        <w:autoSpaceDN w:val="0"/>
        <w:adjustRightInd w:val="0"/>
        <w:rPr>
          <w:rFonts w:ascii="Arial" w:hAnsi="Arial" w:cs="Arial"/>
          <w:b/>
        </w:rPr>
      </w:pPr>
    </w:p>
    <w:p w:rsidR="00330CF1" w:rsidRDefault="00330CF1" w:rsidP="00AA5FCC">
      <w:pPr>
        <w:autoSpaceDE w:val="0"/>
        <w:autoSpaceDN w:val="0"/>
        <w:adjustRightInd w:val="0"/>
        <w:jc w:val="center"/>
        <w:rPr>
          <w:rFonts w:ascii="Arial" w:hAnsi="Arial" w:cs="Arial"/>
          <w:b/>
        </w:rPr>
      </w:pPr>
      <w:r w:rsidRPr="00834F3C">
        <w:rPr>
          <w:rFonts w:ascii="Arial" w:hAnsi="Arial" w:cs="Arial"/>
          <w:b/>
          <w:noProof/>
        </w:rPr>
        <mc:AlternateContent>
          <mc:Choice Requires="wps">
            <w:drawing>
              <wp:anchor distT="0" distB="0" distL="114300" distR="114300" simplePos="0" relativeHeight="251677696" behindDoc="0" locked="0" layoutInCell="1" allowOverlap="1" wp14:anchorId="199903E3" wp14:editId="1E36EC8A">
                <wp:simplePos x="0" y="0"/>
                <wp:positionH relativeFrom="column">
                  <wp:posOffset>3821987</wp:posOffset>
                </wp:positionH>
                <wp:positionV relativeFrom="paragraph">
                  <wp:posOffset>2434462</wp:posOffset>
                </wp:positionV>
                <wp:extent cx="2374265" cy="452062"/>
                <wp:effectExtent l="0" t="0" r="0" b="5715"/>
                <wp:wrapNone/>
                <wp:docPr id="20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52062"/>
                        </a:xfrm>
                        <a:prstGeom prst="rect">
                          <a:avLst/>
                        </a:prstGeom>
                        <a:noFill/>
                        <a:ln w="9525">
                          <a:noFill/>
                          <a:miter lim="800000"/>
                          <a:headEnd/>
                          <a:tailEnd/>
                        </a:ln>
                      </wps:spPr>
                      <wps:txbx>
                        <w:txbxContent>
                          <w:p w:rsidR="00330CF1" w:rsidRPr="00834F3C" w:rsidRDefault="00330CF1" w:rsidP="00834F3C">
                            <w:pPr>
                              <w:jc w:val="center"/>
                              <w:rPr>
                                <w:rFonts w:ascii="Arial" w:hAnsi="Arial" w:cs="Arial"/>
                                <w:b/>
                                <w:sz w:val="20"/>
                                <w:szCs w:val="20"/>
                              </w:rPr>
                            </w:pPr>
                            <w:r w:rsidRPr="00834F3C">
                              <w:rPr>
                                <w:rFonts w:ascii="Arial" w:hAnsi="Arial" w:cs="Arial"/>
                                <w:b/>
                                <w:sz w:val="20"/>
                                <w:szCs w:val="20"/>
                              </w:rPr>
                              <w:t>Dehydroalanine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6" type="#_x0000_t202" style="position:absolute;left:0;text-align:left;margin-left:300.95pt;margin-top:191.7pt;width:186.95pt;height:35.6pt;z-index:25167769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" filled="f" stroked="f">
                <v:textbox>
                  <w:txbxContent>
                    <w:p w:rsidR="00330CF1" w:rsidRPr="00834F3C" w:rsidRDefault="00330CF1" w:rsidP="00834F3C">
                      <w:pPr>
                        <w:jc w:val="center"/>
                        <w:rPr>
                          <w:rFonts w:ascii="Arial" w:hAnsi="Arial" w:cs="Arial"/>
                          <w:b/>
                          <w:sz w:val="20"/>
                          <w:szCs w:val="20"/>
                        </w:rPr>
                      </w:pPr>
                      <w:r w:rsidRPr="00834F3C">
                        <w:rPr>
                          <w:rFonts w:ascii="Arial" w:hAnsi="Arial" w:cs="Arial"/>
                          <w:b/>
                          <w:sz w:val="20"/>
                          <w:szCs w:val="20"/>
                        </w:rPr>
                        <w:t>Dehydroalanine</w:t>
                      </w:r>
                    </w:p>
                  </w:txbxContent>
                </v:textbox>
              </v:shape>
            </w:pict>
          </mc:Fallback>
        </mc:AlternateContent>
      </w:r>
      <w:r>
        <w:rPr>
          <w:noProof/>
        </w:rPr>
        <w:drawing>
          <wp:inline distT="0" distB="0" distL="0" distR="0" wp14:anchorId="3C1D3224" wp14:editId="471957E9">
            <wp:extent cx="5486400" cy="2889738"/>
            <wp:effectExtent l="0" t="0" r="0" b="635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86400" cy="2889738"/>
                    </a:xfrm>
                    <a:prstGeom prst="rect">
                      <a:avLst/>
                    </a:prstGeom>
                  </pic:spPr>
                </pic:pic>
              </a:graphicData>
            </a:graphic>
          </wp:inline>
        </w:drawing>
      </w:r>
    </w:p>
    <w:p w:rsidR="00330CF1" w:rsidRDefault="00330CF1" w:rsidP="00B51DF6">
      <w:pPr>
        <w:autoSpaceDE w:val="0"/>
        <w:autoSpaceDN w:val="0"/>
        <w:adjustRightInd w:val="0"/>
        <w:rPr>
          <w:rFonts w:ascii="Arial" w:hAnsi="Arial" w:cs="Arial"/>
          <w:b/>
        </w:rPr>
      </w:pPr>
    </w:p>
    <w:p w:rsidR="00330CF1" w:rsidRDefault="00330CF1" w:rsidP="00B51DF6">
      <w:pPr>
        <w:autoSpaceDE w:val="0"/>
        <w:autoSpaceDN w:val="0"/>
        <w:adjustRightInd w:val="0"/>
        <w:rPr>
          <w:rFonts w:ascii="Arial" w:hAnsi="Arial" w:cs="Arial"/>
          <w:b/>
        </w:rPr>
      </w:pPr>
      <w:r>
        <w:rPr>
          <w:rFonts w:ascii="Arial" w:hAnsi="Arial" w:cs="Arial"/>
          <w:b/>
        </w:rPr>
        <w:t xml:space="preserve">Figure 1.9 </w:t>
      </w:r>
      <w:r w:rsidRPr="00C228FA">
        <w:rPr>
          <w:rFonts w:ascii="Arial" w:hAnsi="Arial" w:cs="Arial"/>
        </w:rPr>
        <w:t>Formation of dehydroproteins and amino acid racemization</w:t>
      </w:r>
    </w:p>
    <w:p w:rsidR="00330CF1" w:rsidRDefault="00330CF1" w:rsidP="00B51DF6">
      <w:pPr>
        <w:pStyle w:val="NormalWeb"/>
        <w:spacing w:before="0" w:beforeAutospacing="0" w:after="0" w:afterAutospacing="0"/>
        <w:rPr>
          <w:rFonts w:ascii="Arial" w:hAnsi="Arial" w:cs="Arial"/>
        </w:rPr>
      </w:pPr>
      <w:r w:rsidRPr="000E7CCC">
        <w:rPr>
          <w:rFonts w:ascii="Arial" w:hAnsi="Arial" w:cs="Arial"/>
          <w:b/>
          <w:i/>
        </w:rPr>
        <w:t>Source:</w:t>
      </w:r>
      <w:r>
        <w:rPr>
          <w:rFonts w:ascii="Arial" w:hAnsi="Arial" w:cs="Arial"/>
          <w:b/>
        </w:rPr>
        <w:t xml:space="preserve"> </w:t>
      </w:r>
      <w:r>
        <w:rPr>
          <w:rFonts w:ascii="Arial" w:hAnsi="Arial" w:cs="Arial"/>
        </w:rPr>
        <w:t xml:space="preserve">From Damodaran, S. </w:t>
      </w:r>
      <w:r>
        <w:rPr>
          <w:rFonts w:ascii="Arial" w:hAnsi="Arial" w:cs="Arial"/>
          <w:i/>
        </w:rPr>
        <w:t xml:space="preserve">Amino Acids, Peptides and Proteins </w:t>
      </w:r>
      <w:r>
        <w:rPr>
          <w:rFonts w:ascii="Arial" w:hAnsi="Arial" w:cs="Arial"/>
        </w:rPr>
        <w:t xml:space="preserve">in </w:t>
      </w:r>
      <w:r>
        <w:rPr>
          <w:rFonts w:ascii="Arial" w:hAnsi="Arial" w:cs="Arial"/>
          <w:u w:val="single"/>
        </w:rPr>
        <w:t>Food Chemistry 3</w:t>
      </w:r>
      <w:r w:rsidRPr="00B51DF6">
        <w:rPr>
          <w:rFonts w:ascii="Arial" w:hAnsi="Arial" w:cs="Arial"/>
          <w:u w:val="single"/>
          <w:vertAlign w:val="superscript"/>
        </w:rPr>
        <w:t>rd</w:t>
      </w:r>
      <w:r>
        <w:rPr>
          <w:rFonts w:ascii="Arial" w:hAnsi="Arial" w:cs="Arial"/>
          <w:u w:val="single"/>
        </w:rPr>
        <w:t xml:space="preserve"> Edition</w:t>
      </w:r>
      <w:r>
        <w:rPr>
          <w:rFonts w:ascii="Arial" w:hAnsi="Arial" w:cs="Arial"/>
        </w:rPr>
        <w:t>, O.R.Fennema, Editor.  1996, Marcel Dekker, Inc.: New York, NY p. 404.</w:t>
      </w:r>
    </w:p>
    <w:p w:rsidR="00330CF1" w:rsidRDefault="00330CF1" w:rsidP="00B51DF6">
      <w:pPr>
        <w:pStyle w:val="NormalWeb"/>
        <w:spacing w:before="0" w:beforeAutospacing="0" w:after="0" w:afterAutospacing="0"/>
        <w:rPr>
          <w:rFonts w:ascii="Arial" w:hAnsi="Arial" w:cs="Arial"/>
          <w:b/>
        </w:rPr>
      </w:pPr>
    </w:p>
    <w:p w:rsidR="00330CF1" w:rsidRPr="00B51DF6" w:rsidRDefault="00330CF1" w:rsidP="00B51DF6">
      <w:pPr>
        <w:pStyle w:val="NormalWeb"/>
        <w:spacing w:before="0" w:beforeAutospacing="0" w:after="0" w:afterAutospacing="0"/>
        <w:rPr>
          <w:rFonts w:ascii="Arial" w:hAnsi="Arial" w:cs="Arial"/>
          <w:b/>
        </w:rPr>
      </w:pPr>
    </w:p>
    <w:p w:rsidR="00330CF1" w:rsidRDefault="00330CF1" w:rsidP="00DB03CD">
      <w:pPr>
        <w:autoSpaceDE w:val="0"/>
        <w:autoSpaceDN w:val="0"/>
        <w:adjustRightInd w:val="0"/>
        <w:rPr>
          <w:rFonts w:ascii="Arial" w:hAnsi="Arial" w:cs="Arial"/>
        </w:rPr>
      </w:pPr>
      <w:r>
        <w:rPr>
          <w:rFonts w:ascii="Arial" w:hAnsi="Arial" w:cs="Arial"/>
        </w:rPr>
        <w:t xml:space="preserve">     Heat and alkaline conditions can result in amino acid racemization and formation of dehydro and cross-linked amino acids.</w:t>
      </w:r>
      <w:r>
        <w:rPr>
          <w:rFonts w:ascii="Arial" w:hAnsi="Arial" w:cs="Arial"/>
          <w:noProof/>
        </w:rPr>
        <w:t>[9, 222]</w:t>
      </w:r>
      <w:r>
        <w:rPr>
          <w:rFonts w:ascii="Arial" w:hAnsi="Arial" w:cs="Arial"/>
        </w:rPr>
        <w:t xml:space="preserve">  Figure 1.9 illustrates formation of dehydroproteins and amino acid racemization.  The addition of a hydroxyl ion results in a carbanion intermediate and a subsequent carbon-carbon double bond or dehydroprotein.</w:t>
      </w:r>
      <w:r>
        <w:rPr>
          <w:rFonts w:ascii="Arial" w:hAnsi="Arial" w:cs="Arial"/>
          <w:noProof/>
        </w:rPr>
        <w:t>[222]</w:t>
      </w:r>
      <w:r>
        <w:rPr>
          <w:rFonts w:ascii="Arial" w:hAnsi="Arial" w:cs="Arial"/>
        </w:rPr>
        <w:t xml:space="preserve">  Because addition can take place on either side of the carbon-carbon double bond, the resulting compound is a mixture of L- and D- isomers.</w:t>
      </w:r>
      <w:r>
        <w:rPr>
          <w:rFonts w:ascii="Arial" w:hAnsi="Arial" w:cs="Arial"/>
          <w:noProof/>
        </w:rPr>
        <w:t>[222]</w:t>
      </w:r>
      <w:r>
        <w:rPr>
          <w:rFonts w:ascii="Arial" w:hAnsi="Arial" w:cs="Arial"/>
        </w:rPr>
        <w:t xml:space="preserve">  D-D, D-L, and L-D dipeptide bonds in proteins are a major factor adversely affecting their bioavailability due to decreased susceptibility to digestion by proteolytic enzymes.</w:t>
      </w:r>
      <w:r>
        <w:rPr>
          <w:rFonts w:ascii="Arial" w:hAnsi="Arial" w:cs="Arial"/>
          <w:noProof/>
        </w:rPr>
        <w:t>[229]</w:t>
      </w:r>
      <w:r>
        <w:rPr>
          <w:rFonts w:ascii="Arial" w:hAnsi="Arial" w:cs="Arial"/>
        </w:rPr>
        <w:t xml:space="preserve"> If free D-amino acids are absorbed, they must be converted back to their L-form via epimerases or D-amino acid oxidases to be used for protein synthesis.</w:t>
      </w:r>
      <w:r>
        <w:rPr>
          <w:rFonts w:ascii="Arial" w:hAnsi="Arial" w:cs="Arial"/>
          <w:noProof/>
        </w:rPr>
        <w:t>[222]</w:t>
      </w:r>
      <w:r>
        <w:rPr>
          <w:rFonts w:ascii="Arial" w:hAnsi="Arial" w:cs="Arial"/>
        </w:rPr>
        <w:t xml:space="preserve">  The one exception is D-methionine whose nutritional value has been shown to approach that of L-methionine.</w:t>
      </w:r>
      <w:r>
        <w:rPr>
          <w:rFonts w:ascii="Arial" w:hAnsi="Arial" w:cs="Arial"/>
          <w:noProof/>
        </w:rPr>
        <w:t>[229]</w:t>
      </w:r>
    </w:p>
    <w:p w:rsidR="00330CF1" w:rsidRDefault="00330CF1" w:rsidP="00DB03CD">
      <w:pPr>
        <w:autoSpaceDE w:val="0"/>
        <w:autoSpaceDN w:val="0"/>
        <w:adjustRightInd w:val="0"/>
        <w:rPr>
          <w:rFonts w:ascii="Arial" w:hAnsi="Arial" w:cs="Arial"/>
        </w:rPr>
      </w:pPr>
      <w:r>
        <w:rPr>
          <w:rFonts w:ascii="Arial" w:hAnsi="Arial" w:cs="Arial"/>
          <w:b/>
        </w:rPr>
        <w:t xml:space="preserve">     </w:t>
      </w:r>
      <w:r>
        <w:rPr>
          <w:rFonts w:ascii="Arial" w:hAnsi="Arial" w:cs="Arial"/>
        </w:rPr>
        <w:t>Alkaline and heat can also form cross-linked amino acids including lysinoalanine, ornithinoalanine, histidinoalanine and lanthionine.  Figure 1.10 diagrams formation of cross-linked proteins lysinoalanine, ornithinoalanine, histidinoalanine and lanthionine from dehydroalanine.</w:t>
      </w:r>
      <w:r>
        <w:rPr>
          <w:rFonts w:ascii="Arial" w:hAnsi="Arial" w:cs="Arial"/>
          <w:noProof/>
        </w:rPr>
        <w:t>[230]</w:t>
      </w:r>
      <w:r>
        <w:rPr>
          <w:rFonts w:ascii="Arial" w:hAnsi="Arial" w:cs="Arial"/>
        </w:rPr>
        <w:t xml:space="preserve">  Some of the original L- residues can undergo racemization to the D form before dehydro  formation, with 4 potential isomers formed: DL, LL, DD and LD. </w:t>
      </w:r>
      <w:r>
        <w:rPr>
          <w:rFonts w:ascii="Arial" w:hAnsi="Arial" w:cs="Arial"/>
          <w:noProof/>
        </w:rPr>
        <w:t>[230]</w:t>
      </w:r>
      <w:r>
        <w:rPr>
          <w:rFonts w:ascii="Arial" w:hAnsi="Arial" w:cs="Arial"/>
        </w:rPr>
        <w:t xml:space="preserve">  Formation of the dehydro residue from the carbanion can occur with alanine, cysteine, phospho-serine and threonine and is highly reactive.</w:t>
      </w:r>
      <w:r>
        <w:rPr>
          <w:rFonts w:ascii="Arial" w:hAnsi="Arial" w:cs="Arial"/>
          <w:noProof/>
        </w:rPr>
        <w:t>[230]</w:t>
      </w:r>
      <w:r>
        <w:rPr>
          <w:rFonts w:ascii="Arial" w:hAnsi="Arial" w:cs="Arial"/>
        </w:rPr>
        <w:t xml:space="preserve">  Once formed, the residue reacts with nucleophilic groups such as the amino group of a lysine, arginine or ornithine, or the thiol croup of cysteine, or histidine.</w:t>
      </w:r>
      <w:r>
        <w:rPr>
          <w:rFonts w:ascii="Arial" w:hAnsi="Arial" w:cs="Arial"/>
          <w:noProof/>
        </w:rPr>
        <w:t>[230]</w:t>
      </w:r>
      <w:r>
        <w:rPr>
          <w:rFonts w:ascii="Arial" w:hAnsi="Arial" w:cs="Arial"/>
        </w:rPr>
        <w:t xml:space="preserve">  Both nitrogens of the histidine ring can react with the double bond of dehydroalanine leading to the </w:t>
      </w:r>
    </w:p>
    <w:p w:rsidR="00330CF1" w:rsidRDefault="00330CF1" w:rsidP="00927FF7">
      <w:pPr>
        <w:rPr>
          <w:rFonts w:ascii="Arial" w:hAnsi="Arial" w:cs="Arial"/>
        </w:rPr>
      </w:pPr>
      <w:r>
        <w:rPr>
          <w:noProof/>
        </w:rPr>
        <w:lastRenderedPageBreak/>
        <w:drawing>
          <wp:inline distT="0" distB="0" distL="0" distR="0" wp14:anchorId="386B73A0" wp14:editId="0D3F9533">
            <wp:extent cx="5429819" cy="5488987"/>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29819" cy="5488987"/>
                    </a:xfrm>
                    <a:prstGeom prst="rect">
                      <a:avLst/>
                    </a:prstGeom>
                  </pic:spPr>
                </pic:pic>
              </a:graphicData>
            </a:graphic>
          </wp:inline>
        </w:drawing>
      </w:r>
    </w:p>
    <w:p w:rsidR="00330CF1" w:rsidRDefault="00330CF1" w:rsidP="00927FF7">
      <w:pPr>
        <w:rPr>
          <w:rFonts w:ascii="Arial" w:hAnsi="Arial" w:cs="Arial"/>
        </w:rPr>
      </w:pPr>
    </w:p>
    <w:p w:rsidR="00330CF1" w:rsidRPr="00C228FA" w:rsidRDefault="00330CF1" w:rsidP="00B51DF6">
      <w:pPr>
        <w:rPr>
          <w:rFonts w:ascii="Arial" w:hAnsi="Arial" w:cs="Arial"/>
        </w:rPr>
      </w:pPr>
      <w:r>
        <w:rPr>
          <w:rFonts w:ascii="Arial" w:hAnsi="Arial" w:cs="Arial"/>
          <w:b/>
        </w:rPr>
        <w:t xml:space="preserve">Figure 1.10 </w:t>
      </w:r>
      <w:r w:rsidRPr="00C228FA">
        <w:rPr>
          <w:rFonts w:ascii="Arial" w:hAnsi="Arial" w:cs="Arial"/>
        </w:rPr>
        <w:t>Fo</w:t>
      </w:r>
      <w:r>
        <w:rPr>
          <w:rFonts w:ascii="Arial" w:hAnsi="Arial" w:cs="Arial"/>
        </w:rPr>
        <w:t>rmation of cross-linked peptides.</w:t>
      </w:r>
    </w:p>
    <w:p w:rsidR="00330CF1" w:rsidRPr="00B51DF6" w:rsidRDefault="00330CF1" w:rsidP="00B51DF6">
      <w:pPr>
        <w:pStyle w:val="NormalWeb"/>
        <w:spacing w:before="0" w:beforeAutospacing="0" w:after="0" w:afterAutospacing="0"/>
        <w:rPr>
          <w:rFonts w:ascii="Arial" w:hAnsi="Arial" w:cs="Arial"/>
          <w:b/>
        </w:rPr>
      </w:pPr>
      <w:r w:rsidRPr="000E7CCC">
        <w:rPr>
          <w:rFonts w:ascii="Arial" w:hAnsi="Arial" w:cs="Arial"/>
          <w:b/>
          <w:i/>
        </w:rPr>
        <w:t>Source</w:t>
      </w:r>
      <w:r>
        <w:rPr>
          <w:rFonts w:ascii="Arial" w:hAnsi="Arial" w:cs="Arial"/>
          <w:b/>
        </w:rPr>
        <w:t xml:space="preserve">: </w:t>
      </w:r>
      <w:r>
        <w:rPr>
          <w:rFonts w:ascii="Arial" w:hAnsi="Arial" w:cs="Arial"/>
        </w:rPr>
        <w:t xml:space="preserve">Adapted from Damodaran, S. </w:t>
      </w:r>
      <w:r>
        <w:rPr>
          <w:rFonts w:ascii="Arial" w:hAnsi="Arial" w:cs="Arial"/>
          <w:i/>
        </w:rPr>
        <w:t xml:space="preserve">Amino Acids, Peptides and Proteins </w:t>
      </w:r>
      <w:r>
        <w:rPr>
          <w:rFonts w:ascii="Arial" w:hAnsi="Arial" w:cs="Arial"/>
        </w:rPr>
        <w:t xml:space="preserve">in </w:t>
      </w:r>
      <w:r>
        <w:rPr>
          <w:rFonts w:ascii="Arial" w:hAnsi="Arial" w:cs="Arial"/>
          <w:u w:val="single"/>
        </w:rPr>
        <w:t>Food Chemistry 3</w:t>
      </w:r>
      <w:r w:rsidRPr="00B51DF6">
        <w:rPr>
          <w:rFonts w:ascii="Arial" w:hAnsi="Arial" w:cs="Arial"/>
          <w:u w:val="single"/>
          <w:vertAlign w:val="superscript"/>
        </w:rPr>
        <w:t>rd</w:t>
      </w:r>
      <w:r>
        <w:rPr>
          <w:rFonts w:ascii="Arial" w:hAnsi="Arial" w:cs="Arial"/>
          <w:u w:val="single"/>
        </w:rPr>
        <w:t xml:space="preserve"> Edition</w:t>
      </w:r>
      <w:r>
        <w:rPr>
          <w:rFonts w:ascii="Arial" w:hAnsi="Arial" w:cs="Arial"/>
        </w:rPr>
        <w:t>, O.R.Fennema, Editor.  1996, Marcel Dekker, Inc.: New York, NY p. 406.</w:t>
      </w:r>
    </w:p>
    <w:p w:rsidR="00330CF1" w:rsidRDefault="00330CF1" w:rsidP="00927FF7">
      <w:pPr>
        <w:rPr>
          <w:rFonts w:ascii="Arial" w:hAnsi="Arial" w:cs="Arial"/>
          <w:b/>
        </w:rPr>
      </w:pPr>
    </w:p>
    <w:p w:rsidR="00330CF1" w:rsidRPr="00927FF7" w:rsidRDefault="00330CF1" w:rsidP="00927FF7">
      <w:pPr>
        <w:rPr>
          <w:rFonts w:ascii="Arial" w:hAnsi="Arial" w:cs="Arial"/>
          <w:b/>
        </w:rPr>
      </w:pPr>
    </w:p>
    <w:p w:rsidR="00330CF1" w:rsidRDefault="00330CF1" w:rsidP="00236A5C">
      <w:pPr>
        <w:autoSpaceDE w:val="0"/>
        <w:autoSpaceDN w:val="0"/>
        <w:adjustRightInd w:val="0"/>
        <w:rPr>
          <w:rFonts w:ascii="Arial" w:hAnsi="Arial" w:cs="Arial"/>
        </w:rPr>
      </w:pPr>
      <w:r>
        <w:rPr>
          <w:rFonts w:ascii="Arial" w:hAnsi="Arial" w:cs="Arial"/>
        </w:rPr>
        <w:t>formation of histidinoalanine. Since histidine is ionized at neutral pH (5.5 compared to 10 for lysine), the formation of histidinoalanine will be more prevalent under neutral pH conditions.</w:t>
      </w:r>
      <w:r>
        <w:rPr>
          <w:rFonts w:ascii="Arial" w:hAnsi="Arial" w:cs="Arial"/>
          <w:noProof/>
        </w:rPr>
        <w:t>[230]</w:t>
      </w:r>
      <w:r>
        <w:rPr>
          <w:rFonts w:ascii="Arial" w:hAnsi="Arial" w:cs="Arial"/>
        </w:rPr>
        <w:t xml:space="preserve"> </w:t>
      </w:r>
    </w:p>
    <w:p w:rsidR="00330CF1" w:rsidRDefault="00330CF1" w:rsidP="00236A5C">
      <w:pPr>
        <w:rPr>
          <w:rFonts w:ascii="Arial" w:hAnsi="Arial" w:cs="Arial"/>
        </w:rPr>
      </w:pPr>
      <w:r>
        <w:rPr>
          <w:rFonts w:ascii="Arial" w:hAnsi="Arial" w:cs="Arial"/>
        </w:rPr>
        <w:t xml:space="preserve">     Some microorganisms can utilize lysinoalanine (LAL) as a source of lysine but it has significantly reduced bioavailability in mammals.  LAL formation results in a decrease in digestibility due to the inability of trypsin to cleave the peptide bond in the LAL cross-link.  Also, steric interference imposed by the cross-links prevents hydrolysis of other </w:t>
      </w:r>
      <w:r>
        <w:rPr>
          <w:rFonts w:ascii="Arial" w:hAnsi="Arial" w:cs="Arial"/>
        </w:rPr>
        <w:lastRenderedPageBreak/>
        <w:t>peptide bonds in the surrounding area.</w:t>
      </w:r>
      <w:r>
        <w:rPr>
          <w:rFonts w:ascii="Arial" w:hAnsi="Arial" w:cs="Arial"/>
          <w:noProof/>
        </w:rPr>
        <w:t>[230]</w:t>
      </w:r>
      <w:r>
        <w:rPr>
          <w:rFonts w:ascii="Arial" w:hAnsi="Arial" w:cs="Arial"/>
        </w:rPr>
        <w:t xml:space="preserve">  Any absorbed portion is largely excreted as free LAL in urine.</w:t>
      </w:r>
      <w:r>
        <w:rPr>
          <w:rFonts w:ascii="Arial" w:hAnsi="Arial" w:cs="Arial"/>
          <w:noProof/>
        </w:rPr>
        <w:t>[230]</w:t>
      </w:r>
      <w:r>
        <w:rPr>
          <w:rFonts w:ascii="Arial" w:hAnsi="Arial" w:cs="Arial"/>
        </w:rPr>
        <w:t xml:space="preserve">  Studies in rats have found that feeding alkaline-treated proteins results in changes in kidney cells characterized by enlargement of the nucleus due to changes in DNA synthesis and mitosis, called “nephrocytomegaly”.  The affected cells are principally the epithelial cells of the straight portion of the proximal renal tubules.</w:t>
      </w:r>
      <w:r>
        <w:rPr>
          <w:rFonts w:ascii="Arial" w:hAnsi="Arial" w:cs="Arial"/>
          <w:noProof/>
        </w:rPr>
        <w:t>[231]</w:t>
      </w:r>
      <w:r>
        <w:rPr>
          <w:rFonts w:ascii="Arial" w:hAnsi="Arial" w:cs="Arial"/>
        </w:rPr>
        <w:t xml:space="preserve">  The mechanism of the underlying pathology is unknown.  Because LAL contains 2 amino and 2 carboxyl groups which can serve as potential metal ion chelation sites, it has been speculated that the nephropathy may be due to metal ion chelation.</w:t>
      </w:r>
      <w:r>
        <w:rPr>
          <w:rFonts w:ascii="Arial" w:hAnsi="Arial" w:cs="Arial"/>
          <w:noProof/>
        </w:rPr>
        <w:t>[230]</w:t>
      </w:r>
      <w:r>
        <w:rPr>
          <w:rFonts w:ascii="Arial" w:hAnsi="Arial" w:cs="Arial"/>
        </w:rPr>
        <w:t xml:space="preserve">  LAL is known to have a high affinity for copper ions resulting in increased copper excretion.  The divalent cations iron and zinc are also at increased risk for chelation and loss.</w:t>
      </w:r>
      <w:r>
        <w:rPr>
          <w:rFonts w:ascii="Arial" w:hAnsi="Arial" w:cs="Arial"/>
          <w:noProof/>
        </w:rPr>
        <w:t>[230]</w:t>
      </w:r>
    </w:p>
    <w:p w:rsidR="00330CF1" w:rsidRDefault="00330CF1" w:rsidP="00681100">
      <w:pPr>
        <w:autoSpaceDE w:val="0"/>
        <w:autoSpaceDN w:val="0"/>
        <w:adjustRightInd w:val="0"/>
        <w:rPr>
          <w:rFonts w:ascii="Arial" w:hAnsi="Arial" w:cs="Arial"/>
        </w:rPr>
      </w:pPr>
      <w:r>
        <w:rPr>
          <w:rFonts w:ascii="Arial" w:hAnsi="Arial" w:cs="Arial"/>
        </w:rPr>
        <w:t xml:space="preserve">     Heterocyclic amines (HAA) found in cooked protein foods are formed by several mechanisms including carbohydrate caramelization, protein pyrolysis, amino acid/creatinine reactions and Maillard reactions producing melanoidins, and carbolines.</w:t>
      </w:r>
      <w:r>
        <w:rPr>
          <w:rFonts w:ascii="Arial" w:hAnsi="Arial" w:cs="Arial"/>
          <w:noProof/>
        </w:rPr>
        <w:t>[232]</w:t>
      </w:r>
      <w:r>
        <w:rPr>
          <w:rFonts w:ascii="Arial" w:hAnsi="Arial" w:cs="Arial"/>
        </w:rPr>
        <w:t xml:space="preserve">  Heterocyclic amines are generated in protein foods at normal or very high cooking temperatures and have been divided into 2 categories based on precursors and temperature of formation.  Those found at moderate cooking temperatures (190-200°C) are formed from the reaction of Maillard reaction products and creatinine.</w:t>
      </w:r>
      <w:r>
        <w:rPr>
          <w:rFonts w:ascii="Arial" w:hAnsi="Arial" w:cs="Arial"/>
          <w:noProof/>
        </w:rPr>
        <w:t>[232]</w:t>
      </w:r>
      <w:r>
        <w:rPr>
          <w:rFonts w:ascii="Arial" w:hAnsi="Arial" w:cs="Arial"/>
        </w:rPr>
        <w:t xml:space="preserve">  Figure 1.11 diagrams the formation of heterocyclic amines from Maillard products and creatinine.  These compounds have been detected in all muscle sources when foods are cooked to a well done but not charred state.</w:t>
      </w:r>
      <w:r>
        <w:rPr>
          <w:rFonts w:ascii="Arial" w:hAnsi="Arial" w:cs="Arial"/>
          <w:noProof/>
        </w:rPr>
        <w:t>[232]</w:t>
      </w:r>
      <w:r>
        <w:rPr>
          <w:rFonts w:ascii="Arial" w:hAnsi="Arial" w:cs="Arial"/>
        </w:rPr>
        <w:t xml:space="preserve">  No HAA’s have been detected in raw beef prior to processing.</w:t>
      </w:r>
      <w:r>
        <w:rPr>
          <w:rFonts w:ascii="Arial" w:hAnsi="Arial" w:cs="Arial"/>
          <w:noProof/>
        </w:rPr>
        <w:t>[232]</w:t>
      </w:r>
      <w:r>
        <w:rPr>
          <w:rFonts w:ascii="Arial" w:hAnsi="Arial" w:cs="Arial"/>
        </w:rPr>
        <w:t xml:space="preserve">  HAAs found in cooked proteins are in the parts per billion or ng/gm food.  Heterocyclic amines are potent mutagens inducing a variety of tumors in rodents when given at mg/kg of body weight.</w:t>
      </w:r>
      <w:r>
        <w:rPr>
          <w:rFonts w:ascii="Arial" w:hAnsi="Arial" w:cs="Arial"/>
          <w:noProof/>
        </w:rPr>
        <w:t>[233]</w:t>
      </w:r>
      <w:r>
        <w:rPr>
          <w:rFonts w:ascii="Arial" w:hAnsi="Arial" w:cs="Arial"/>
        </w:rPr>
        <w:t xml:space="preserve">  The melanoidins produced at moderate cooking temperatures are toxic over </w:t>
      </w:r>
      <w:r w:rsidRPr="00082925">
        <w:rPr>
          <w:rFonts w:ascii="Arial" w:hAnsi="Arial" w:cs="Arial"/>
        </w:rPr>
        <w:t xml:space="preserve">longer periods and appear to be cumulative </w:t>
      </w:r>
      <w:r>
        <w:rPr>
          <w:rFonts w:ascii="Arial" w:hAnsi="Arial" w:cs="Arial"/>
        </w:rPr>
        <w:t>in their toxicity.</w:t>
      </w:r>
      <w:r>
        <w:rPr>
          <w:rFonts w:ascii="Arial" w:hAnsi="Arial" w:cs="Arial"/>
          <w:noProof/>
        </w:rPr>
        <w:t>[232]</w:t>
      </w:r>
      <w:r>
        <w:rPr>
          <w:rFonts w:ascii="Arial" w:hAnsi="Arial" w:cs="Arial"/>
        </w:rPr>
        <w:t xml:space="preserve">  Typical cooking temperatures for extruded pet foods are between 80-200°C and up to 121°C for canned foods.</w:t>
      </w:r>
      <w:r>
        <w:rPr>
          <w:rFonts w:ascii="Arial" w:hAnsi="Arial" w:cs="Arial"/>
          <w:noProof/>
        </w:rPr>
        <w:t>[234]</w:t>
      </w:r>
      <w:r>
        <w:rPr>
          <w:rFonts w:ascii="Arial" w:hAnsi="Arial" w:cs="Arial"/>
        </w:rPr>
        <w:t xml:space="preserve"> </w:t>
      </w:r>
    </w:p>
    <w:p w:rsidR="00330CF1" w:rsidRDefault="00330CF1" w:rsidP="00681100">
      <w:pPr>
        <w:autoSpaceDE w:val="0"/>
        <w:autoSpaceDN w:val="0"/>
        <w:adjustRightInd w:val="0"/>
        <w:rPr>
          <w:rFonts w:ascii="Arial" w:hAnsi="Arial" w:cs="Arial"/>
        </w:rPr>
      </w:pPr>
    </w:p>
    <w:p w:rsidR="00330CF1" w:rsidRDefault="00330CF1" w:rsidP="00236A5C">
      <w:pPr>
        <w:autoSpaceDE w:val="0"/>
        <w:autoSpaceDN w:val="0"/>
        <w:adjustRightInd w:val="0"/>
        <w:rPr>
          <w:rFonts w:ascii="Arial" w:hAnsi="Arial" w:cs="Arial"/>
          <w:b/>
        </w:rPr>
      </w:pPr>
    </w:p>
    <w:p w:rsidR="00330CF1" w:rsidRDefault="00330CF1" w:rsidP="00927FF7">
      <w:pPr>
        <w:autoSpaceDE w:val="0"/>
        <w:autoSpaceDN w:val="0"/>
        <w:adjustRightInd w:val="0"/>
        <w:rPr>
          <w:rFonts w:ascii="Arial" w:hAnsi="Arial" w:cs="Arial"/>
          <w:b/>
        </w:rPr>
      </w:pPr>
    </w:p>
    <w:p w:rsidR="00330CF1" w:rsidRDefault="00330CF1" w:rsidP="00EA3A00">
      <w:pPr>
        <w:autoSpaceDE w:val="0"/>
        <w:autoSpaceDN w:val="0"/>
        <w:adjustRightInd w:val="0"/>
        <w:jc w:val="center"/>
        <w:rPr>
          <w:rFonts w:ascii="Arial" w:hAnsi="Arial" w:cs="Arial"/>
          <w:b/>
        </w:rPr>
      </w:pPr>
      <w:r w:rsidRPr="00D76588">
        <w:rPr>
          <w:rFonts w:ascii="Arial" w:hAnsi="Arial" w:cs="Arial"/>
          <w:b/>
          <w:noProof/>
        </w:rPr>
        <w:lastRenderedPageBreak/>
        <mc:AlternateContent>
          <mc:Choice Requires="wps">
            <w:drawing>
              <wp:anchor distT="0" distB="0" distL="114300" distR="114300" simplePos="0" relativeHeight="251664384" behindDoc="0" locked="0" layoutInCell="1" allowOverlap="1" wp14:anchorId="24A9C22A" wp14:editId="1F8A8ACB">
                <wp:simplePos x="0" y="0"/>
                <wp:positionH relativeFrom="column">
                  <wp:posOffset>2567940</wp:posOffset>
                </wp:positionH>
                <wp:positionV relativeFrom="paragraph">
                  <wp:posOffset>3131728</wp:posOffset>
                </wp:positionV>
                <wp:extent cx="2374265" cy="534257"/>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34257"/>
                        </a:xfrm>
                        <a:prstGeom prst="rect">
                          <a:avLst/>
                        </a:prstGeom>
                        <a:noFill/>
                        <a:ln w="9525">
                          <a:noFill/>
                          <a:miter lim="800000"/>
                          <a:headEnd/>
                          <a:tailEnd/>
                        </a:ln>
                      </wps:spPr>
                      <wps:txbx>
                        <w:txbxContent>
                          <w:p w:rsidR="00330CF1" w:rsidRPr="00D76588" w:rsidRDefault="00330CF1" w:rsidP="00D76588">
                            <w:pPr>
                              <w:jc w:val="center"/>
                              <w:rPr>
                                <w:rFonts w:ascii="Arial" w:hAnsi="Arial" w:cs="Arial"/>
                                <w:b/>
                              </w:rPr>
                            </w:pPr>
                            <w:r w:rsidRPr="00D76588">
                              <w:rPr>
                                <w:rFonts w:ascii="Arial" w:hAnsi="Arial" w:cs="Arial"/>
                                <w:b/>
                              </w:rPr>
                              <w:t>creatine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7" type="#_x0000_t202" style="position:absolute;left:0;text-align:left;margin-left:202.2pt;margin-top:246.6pt;width:186.95pt;height:42.05pt;z-index:2516643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" filled="f" stroked="f">
                <v:textbox>
                  <w:txbxContent>
                    <w:p w:rsidR="00330CF1" w:rsidRPr="00D76588" w:rsidRDefault="00330CF1" w:rsidP="00D76588">
                      <w:pPr>
                        <w:jc w:val="center"/>
                        <w:rPr>
                          <w:rFonts w:ascii="Arial" w:hAnsi="Arial" w:cs="Arial"/>
                          <w:b/>
                        </w:rPr>
                      </w:pPr>
                      <w:proofErr w:type="gramStart"/>
                      <w:r w:rsidRPr="00D76588">
                        <w:rPr>
                          <w:rFonts w:ascii="Arial" w:hAnsi="Arial" w:cs="Arial"/>
                          <w:b/>
                        </w:rPr>
                        <w:t>creatine</w:t>
                      </w:r>
                      <w:proofErr w:type="gramEnd"/>
                    </w:p>
                  </w:txbxContent>
                </v:textbox>
              </v:shape>
            </w:pict>
          </mc:Fallback>
        </mc:AlternateContent>
      </w:r>
      <w:r w:rsidRPr="008A35E0">
        <w:rPr>
          <w:rFonts w:ascii="Arial" w:hAnsi="Arial" w:cs="Arial"/>
          <w:b/>
          <w:noProof/>
        </w:rPr>
        <mc:AlternateContent>
          <mc:Choice Requires="wps">
            <w:drawing>
              <wp:anchor distT="0" distB="0" distL="114300" distR="114300" simplePos="0" relativeHeight="251663360" behindDoc="0" locked="0" layoutInCell="1" allowOverlap="1" wp14:anchorId="20FB624E" wp14:editId="66F71048">
                <wp:simplePos x="0" y="0"/>
                <wp:positionH relativeFrom="column">
                  <wp:posOffset>986155</wp:posOffset>
                </wp:positionH>
                <wp:positionV relativeFrom="paragraph">
                  <wp:posOffset>2371625</wp:posOffset>
                </wp:positionV>
                <wp:extent cx="2374265" cy="760287"/>
                <wp:effectExtent l="0" t="0" r="0" b="190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760287"/>
                        </a:xfrm>
                        <a:prstGeom prst="rect">
                          <a:avLst/>
                        </a:prstGeom>
                        <a:noFill/>
                        <a:ln w="9525">
                          <a:noFill/>
                          <a:miter lim="800000"/>
                          <a:headEnd/>
                          <a:tailEnd/>
                        </a:ln>
                      </wps:spPr>
                      <wps:txbx>
                        <w:txbxContent>
                          <w:p w:rsidR="00330CF1" w:rsidRPr="008A35E0" w:rsidRDefault="00330CF1" w:rsidP="008A35E0">
                            <w:pPr>
                              <w:jc w:val="center"/>
                              <w:rPr>
                                <w:rFonts w:ascii="Arial" w:hAnsi="Arial" w:cs="Arial"/>
                                <w:b/>
                              </w:rPr>
                            </w:pPr>
                            <w:r w:rsidRPr="008A35E0">
                              <w:rPr>
                                <w:rFonts w:ascii="Arial" w:hAnsi="Arial" w:cs="Arial"/>
                                <w:b/>
                              </w:rPr>
                              <w:t>aldehyde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8" type="#_x0000_t202" style="position:absolute;left:0;text-align:left;margin-left:77.65pt;margin-top:186.75pt;width:186.95pt;height:59.85pt;z-index:2516633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" filled="f" stroked="f">
                <v:textbox>
                  <w:txbxContent>
                    <w:p w:rsidR="00330CF1" w:rsidRPr="008A35E0" w:rsidRDefault="00330CF1" w:rsidP="008A35E0">
                      <w:pPr>
                        <w:jc w:val="center"/>
                        <w:rPr>
                          <w:rFonts w:ascii="Arial" w:hAnsi="Arial" w:cs="Arial"/>
                          <w:b/>
                        </w:rPr>
                      </w:pPr>
                      <w:proofErr w:type="gramStart"/>
                      <w:r w:rsidRPr="008A35E0">
                        <w:rPr>
                          <w:rFonts w:ascii="Arial" w:hAnsi="Arial" w:cs="Arial"/>
                          <w:b/>
                        </w:rPr>
                        <w:t>aldehyde</w:t>
                      </w:r>
                      <w:proofErr w:type="gramEnd"/>
                    </w:p>
                  </w:txbxContent>
                </v:textbox>
              </v:shape>
            </w:pict>
          </mc:Fallback>
        </mc:AlternateContent>
      </w:r>
      <w:r w:rsidRPr="008A35E0">
        <w:rPr>
          <w:rFonts w:ascii="Arial" w:hAnsi="Arial" w:cs="Arial"/>
          <w:b/>
          <w:noProof/>
        </w:rPr>
        <mc:AlternateContent>
          <mc:Choice Requires="wps">
            <w:drawing>
              <wp:anchor distT="0" distB="0" distL="114300" distR="114300" simplePos="0" relativeHeight="251662336" behindDoc="0" locked="0" layoutInCell="1" allowOverlap="1" wp14:anchorId="2F38765B" wp14:editId="24215B46">
                <wp:simplePos x="0" y="0"/>
                <wp:positionH relativeFrom="column">
                  <wp:posOffset>-595901</wp:posOffset>
                </wp:positionH>
                <wp:positionV relativeFrom="paragraph">
                  <wp:posOffset>2628986</wp:posOffset>
                </wp:positionV>
                <wp:extent cx="2374265" cy="698642"/>
                <wp:effectExtent l="0" t="0" r="0" b="635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98642"/>
                        </a:xfrm>
                        <a:prstGeom prst="rect">
                          <a:avLst/>
                        </a:prstGeom>
                        <a:noFill/>
                        <a:ln w="9525">
                          <a:noFill/>
                          <a:miter lim="800000"/>
                          <a:headEnd/>
                          <a:tailEnd/>
                        </a:ln>
                      </wps:spPr>
                      <wps:txbx>
                        <w:txbxContent>
                          <w:p w:rsidR="00330CF1" w:rsidRPr="008A35E0" w:rsidRDefault="00330CF1" w:rsidP="008A35E0">
                            <w:pPr>
                              <w:jc w:val="center"/>
                              <w:rPr>
                                <w:rFonts w:ascii="Arial" w:hAnsi="Arial" w:cs="Arial"/>
                                <w:b/>
                              </w:rPr>
                            </w:pPr>
                            <w:r>
                              <w:rPr>
                                <w:rFonts w:ascii="Arial" w:hAnsi="Arial" w:cs="Arial"/>
                                <w:b/>
                              </w:rPr>
                              <w:t>p</w:t>
                            </w:r>
                            <w:r w:rsidRPr="008A35E0">
                              <w:rPr>
                                <w:rFonts w:ascii="Arial" w:hAnsi="Arial" w:cs="Arial"/>
                                <w:b/>
                              </w:rPr>
                              <w:t>yridine</w:t>
                            </w:r>
                          </w:p>
                          <w:p w:rsidR="00330CF1" w:rsidRPr="008A35E0" w:rsidRDefault="00330CF1" w:rsidP="008A35E0">
                            <w:pPr>
                              <w:jc w:val="center"/>
                              <w:rPr>
                                <w:rFonts w:ascii="Arial" w:hAnsi="Arial" w:cs="Arial"/>
                                <w:b/>
                              </w:rPr>
                            </w:pPr>
                            <w:r w:rsidRPr="008A35E0">
                              <w:rPr>
                                <w:rFonts w:ascii="Arial" w:hAnsi="Arial" w:cs="Arial"/>
                                <w:b/>
                              </w:rPr>
                              <w:t xml:space="preserve">or </w:t>
                            </w:r>
                            <w:r>
                              <w:rPr>
                                <w:rFonts w:ascii="Arial" w:hAnsi="Arial" w:cs="Arial"/>
                                <w:b/>
                              </w:rPr>
                              <w:t>p</w:t>
                            </w:r>
                            <w:r w:rsidRPr="008A35E0">
                              <w:rPr>
                                <w:rFonts w:ascii="Arial" w:hAnsi="Arial" w:cs="Arial"/>
                                <w:b/>
                              </w:rPr>
                              <w:t>yrazine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9" type="#_x0000_t202" style="position:absolute;left:0;text-align:left;margin-left:-46.9pt;margin-top:207pt;width:186.95pt;height:55pt;z-index:25166233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" filled="f" stroked="f">
                <v:textbox>
                  <w:txbxContent>
                    <w:p w:rsidR="00330CF1" w:rsidRPr="008A35E0" w:rsidRDefault="00330CF1" w:rsidP="008A35E0">
                      <w:pPr>
                        <w:jc w:val="center"/>
                        <w:rPr>
                          <w:rFonts w:ascii="Arial" w:hAnsi="Arial" w:cs="Arial"/>
                          <w:b/>
                        </w:rPr>
                      </w:pPr>
                      <w:proofErr w:type="gramStart"/>
                      <w:r>
                        <w:rPr>
                          <w:rFonts w:ascii="Arial" w:hAnsi="Arial" w:cs="Arial"/>
                          <w:b/>
                        </w:rPr>
                        <w:t>p</w:t>
                      </w:r>
                      <w:r w:rsidRPr="008A35E0">
                        <w:rPr>
                          <w:rFonts w:ascii="Arial" w:hAnsi="Arial" w:cs="Arial"/>
                          <w:b/>
                        </w:rPr>
                        <w:t>yridine</w:t>
                      </w:r>
                      <w:proofErr w:type="gramEnd"/>
                    </w:p>
                    <w:p w:rsidR="00330CF1" w:rsidRPr="008A35E0" w:rsidRDefault="00330CF1" w:rsidP="008A35E0">
                      <w:pPr>
                        <w:jc w:val="center"/>
                        <w:rPr>
                          <w:rFonts w:ascii="Arial" w:hAnsi="Arial" w:cs="Arial"/>
                          <w:b/>
                        </w:rPr>
                      </w:pPr>
                      <w:proofErr w:type="gramStart"/>
                      <w:r w:rsidRPr="008A35E0">
                        <w:rPr>
                          <w:rFonts w:ascii="Arial" w:hAnsi="Arial" w:cs="Arial"/>
                          <w:b/>
                        </w:rPr>
                        <w:t>or</w:t>
                      </w:r>
                      <w:proofErr w:type="gramEnd"/>
                      <w:r w:rsidRPr="008A35E0">
                        <w:rPr>
                          <w:rFonts w:ascii="Arial" w:hAnsi="Arial" w:cs="Arial"/>
                          <w:b/>
                        </w:rPr>
                        <w:t xml:space="preserve"> </w:t>
                      </w:r>
                      <w:r>
                        <w:rPr>
                          <w:rFonts w:ascii="Arial" w:hAnsi="Arial" w:cs="Arial"/>
                          <w:b/>
                        </w:rPr>
                        <w:t>p</w:t>
                      </w:r>
                      <w:r w:rsidRPr="008A35E0">
                        <w:rPr>
                          <w:rFonts w:ascii="Arial" w:hAnsi="Arial" w:cs="Arial"/>
                          <w:b/>
                        </w:rPr>
                        <w:t>yrazine</w:t>
                      </w:r>
                    </w:p>
                  </w:txbxContent>
                </v:textbox>
              </v:shape>
            </w:pict>
          </mc:Fallback>
        </mc:AlternateContent>
      </w:r>
      <w:r w:rsidRPr="008A35E0">
        <w:rPr>
          <w:rFonts w:ascii="Arial" w:hAnsi="Arial" w:cs="Arial"/>
          <w:b/>
          <w:noProof/>
        </w:rPr>
        <mc:AlternateContent>
          <mc:Choice Requires="wps">
            <w:drawing>
              <wp:anchor distT="0" distB="0" distL="114300" distR="114300" simplePos="0" relativeHeight="251661312" behindDoc="0" locked="0" layoutInCell="1" allowOverlap="1" wp14:anchorId="2EB75A95" wp14:editId="4B1ACAEA">
                <wp:simplePos x="0" y="0"/>
                <wp:positionH relativeFrom="column">
                  <wp:posOffset>2034283</wp:posOffset>
                </wp:positionH>
                <wp:positionV relativeFrom="paragraph">
                  <wp:posOffset>882380</wp:posOffset>
                </wp:positionV>
                <wp:extent cx="1427480" cy="359346"/>
                <wp:effectExtent l="0" t="0" r="0"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359346"/>
                        </a:xfrm>
                        <a:prstGeom prst="rect">
                          <a:avLst/>
                        </a:prstGeom>
                        <a:noFill/>
                        <a:ln w="9525">
                          <a:noFill/>
                          <a:miter lim="800000"/>
                          <a:headEnd/>
                          <a:tailEnd/>
                        </a:ln>
                      </wps:spPr>
                      <wps:txbx>
                        <w:txbxContent>
                          <w:p w:rsidR="00330CF1" w:rsidRPr="008A35E0" w:rsidRDefault="00330CF1">
                            <w:pPr>
                              <w:rPr>
                                <w:rFonts w:ascii="Arial" w:hAnsi="Arial" w:cs="Arial"/>
                                <w:b/>
                                <w:sz w:val="20"/>
                                <w:szCs w:val="20"/>
                              </w:rPr>
                            </w:pPr>
                            <w:r w:rsidRPr="008A35E0">
                              <w:rPr>
                                <w:rFonts w:ascii="Lucida Sans Unicode" w:hAnsi="Lucida Sans Unicode" w:cs="Lucida Sans Unicode"/>
                                <w:b/>
                                <w:sz w:val="20"/>
                                <w:szCs w:val="20"/>
                              </w:rPr>
                              <w:t xml:space="preserve">α </w:t>
                            </w:r>
                            <w:r w:rsidRPr="008A35E0">
                              <w:rPr>
                                <w:rFonts w:ascii="Arial" w:hAnsi="Arial" w:cs="Arial"/>
                                <w:b/>
                                <w:sz w:val="20"/>
                                <w:szCs w:val="20"/>
                              </w:rPr>
                              <w:t>Amino Acid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60.2pt;margin-top:69.5pt;width:112.4pt;height:2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" filled="f" stroked="f">
                <v:textbox>
                  <w:txbxContent>
                    <w:p w:rsidR="00330CF1" w:rsidRPr="008A35E0" w:rsidRDefault="00330CF1">
                      <w:pPr>
                        <w:rPr>
                          <w:rFonts w:ascii="Arial" w:hAnsi="Arial" w:cs="Arial"/>
                          <w:b/>
                          <w:sz w:val="20"/>
                          <w:szCs w:val="20"/>
                        </w:rPr>
                      </w:pPr>
                      <w:proofErr w:type="gramStart"/>
                      <w:r w:rsidRPr="008A35E0">
                        <w:rPr>
                          <w:rFonts w:ascii="Lucida Sans Unicode" w:hAnsi="Lucida Sans Unicode" w:cs="Lucida Sans Unicode"/>
                          <w:b/>
                          <w:sz w:val="20"/>
                          <w:szCs w:val="20"/>
                        </w:rPr>
                        <w:t>α</w:t>
                      </w:r>
                      <w:proofErr w:type="gramEnd"/>
                      <w:r w:rsidRPr="008A35E0">
                        <w:rPr>
                          <w:rFonts w:ascii="Lucida Sans Unicode" w:hAnsi="Lucida Sans Unicode" w:cs="Lucida Sans Unicode"/>
                          <w:b/>
                          <w:sz w:val="20"/>
                          <w:szCs w:val="20"/>
                        </w:rPr>
                        <w:t xml:space="preserve"> </w:t>
                      </w:r>
                      <w:r w:rsidRPr="008A35E0">
                        <w:rPr>
                          <w:rFonts w:ascii="Arial" w:hAnsi="Arial" w:cs="Arial"/>
                          <w:b/>
                          <w:sz w:val="20"/>
                          <w:szCs w:val="20"/>
                        </w:rPr>
                        <w:t>Amino Acid</w:t>
                      </w:r>
                    </w:p>
                  </w:txbxContent>
                </v:textbox>
              </v:shape>
            </w:pict>
          </mc:Fallback>
        </mc:AlternateContent>
      </w:r>
      <w:r w:rsidRPr="00A050C5">
        <w:rPr>
          <w:rFonts w:ascii="Arial" w:hAnsi="Arial" w:cs="Arial"/>
          <w:b/>
          <w:noProof/>
        </w:rPr>
        <mc:AlternateContent>
          <mc:Choice Requires="wps">
            <w:drawing>
              <wp:anchor distT="0" distB="0" distL="114300" distR="114300" simplePos="0" relativeHeight="251660288" behindDoc="0" locked="0" layoutInCell="1" allowOverlap="1" wp14:anchorId="5DE7431B" wp14:editId="0C064352">
                <wp:simplePos x="0" y="0"/>
                <wp:positionH relativeFrom="column">
                  <wp:posOffset>462337</wp:posOffset>
                </wp:positionH>
                <wp:positionV relativeFrom="paragraph">
                  <wp:posOffset>789911</wp:posOffset>
                </wp:positionV>
                <wp:extent cx="791110" cy="3082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110" cy="308225"/>
                        </a:xfrm>
                        <a:prstGeom prst="rect">
                          <a:avLst/>
                        </a:prstGeom>
                        <a:noFill/>
                        <a:ln w="9525">
                          <a:noFill/>
                          <a:miter lim="800000"/>
                          <a:headEnd/>
                          <a:tailEnd/>
                        </a:ln>
                      </wps:spPr>
                      <wps:txbx>
                        <w:txbxContent>
                          <w:p w:rsidR="00330CF1" w:rsidRPr="00A050C5" w:rsidRDefault="00330CF1">
                            <w:pPr>
                              <w:rPr>
                                <w:rFonts w:ascii="Arial" w:hAnsi="Arial" w:cs="Arial"/>
                                <w:b/>
                              </w:rPr>
                            </w:pPr>
                            <w:r>
                              <w:rPr>
                                <w:rFonts w:ascii="Arial" w:hAnsi="Arial" w:cs="Arial"/>
                                <w:b/>
                              </w:rPr>
                              <w:t>Hexose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36.4pt;margin-top:62.2pt;width:62.3pt;height:2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" filled="f" stroked="f">
                <v:textbox>
                  <w:txbxContent>
                    <w:p w:rsidR="00330CF1" w:rsidRPr="00A050C5" w:rsidRDefault="00330CF1">
                      <w:pPr>
                        <w:rPr>
                          <w:rFonts w:ascii="Arial" w:hAnsi="Arial" w:cs="Arial"/>
                          <w:b/>
                        </w:rPr>
                      </w:pPr>
                      <w:r>
                        <w:rPr>
                          <w:rFonts w:ascii="Arial" w:hAnsi="Arial" w:cs="Arial"/>
                          <w:b/>
                        </w:rPr>
                        <w:t>Hexose</w:t>
                      </w:r>
                    </w:p>
                  </w:txbxContent>
                </v:textbox>
              </v:shape>
            </w:pict>
          </mc:Fallback>
        </mc:AlternateContent>
      </w:r>
      <w:r>
        <w:rPr>
          <w:noProof/>
        </w:rPr>
        <w:drawing>
          <wp:inline distT="0" distB="0" distL="0" distR="0" wp14:anchorId="67515277" wp14:editId="35D5897B">
            <wp:extent cx="5863141" cy="5517222"/>
            <wp:effectExtent l="0" t="0" r="4445"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65399" cy="5519347"/>
                    </a:xfrm>
                    <a:prstGeom prst="rect">
                      <a:avLst/>
                    </a:prstGeom>
                  </pic:spPr>
                </pic:pic>
              </a:graphicData>
            </a:graphic>
          </wp:inline>
        </w:drawing>
      </w:r>
    </w:p>
    <w:p w:rsidR="00330CF1" w:rsidRDefault="00330CF1" w:rsidP="00EA3A00">
      <w:pPr>
        <w:autoSpaceDE w:val="0"/>
        <w:autoSpaceDN w:val="0"/>
        <w:adjustRightInd w:val="0"/>
        <w:jc w:val="center"/>
        <w:rPr>
          <w:rFonts w:ascii="Arial" w:hAnsi="Arial" w:cs="Arial"/>
          <w:b/>
        </w:rPr>
      </w:pPr>
      <w:r w:rsidRPr="00D76588">
        <w:rPr>
          <w:rFonts w:ascii="Arial" w:hAnsi="Arial" w:cs="Arial"/>
          <w:b/>
          <w:noProof/>
        </w:rPr>
        <mc:AlternateContent>
          <mc:Choice Requires="wps">
            <w:drawing>
              <wp:anchor distT="0" distB="0" distL="114300" distR="114300" simplePos="0" relativeHeight="251666432" behindDoc="0" locked="0" layoutInCell="1" allowOverlap="1" wp14:anchorId="5C07FCE3" wp14:editId="397D7C10">
                <wp:simplePos x="0" y="0"/>
                <wp:positionH relativeFrom="column">
                  <wp:posOffset>3688422</wp:posOffset>
                </wp:positionH>
                <wp:positionV relativeFrom="paragraph">
                  <wp:posOffset>19692</wp:posOffset>
                </wp:positionV>
                <wp:extent cx="2374265" cy="513708"/>
                <wp:effectExtent l="0" t="0" r="0" b="127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13708"/>
                        </a:xfrm>
                        <a:prstGeom prst="rect">
                          <a:avLst/>
                        </a:prstGeom>
                        <a:noFill/>
                        <a:ln w="9525">
                          <a:noFill/>
                          <a:miter lim="800000"/>
                          <a:headEnd/>
                          <a:tailEnd/>
                        </a:ln>
                      </wps:spPr>
                      <wps:txbx>
                        <w:txbxContent>
                          <w:p w:rsidR="00330CF1" w:rsidRPr="00D76588" w:rsidRDefault="00330CF1" w:rsidP="00D76588">
                            <w:pPr>
                              <w:jc w:val="center"/>
                              <w:rPr>
                                <w:rFonts w:ascii="Arial" w:hAnsi="Arial" w:cs="Arial"/>
                                <w:b/>
                              </w:rPr>
                            </w:pPr>
                            <w:r w:rsidRPr="00D76588">
                              <w:rPr>
                                <w:rFonts w:ascii="Arial" w:hAnsi="Arial" w:cs="Arial"/>
                                <w:b/>
                              </w:rPr>
                              <w:t>IQ compound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42" type="#_x0000_t202" style="position:absolute;left:0;text-align:left;margin-left:290.45pt;margin-top:1.55pt;width:186.95pt;height:40.45pt;z-index:25166643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" filled="f" stroked="f">
                <v:textbox>
                  <w:txbxContent>
                    <w:p w:rsidR="00330CF1" w:rsidRPr="00D76588" w:rsidRDefault="00330CF1" w:rsidP="00D76588">
                      <w:pPr>
                        <w:jc w:val="center"/>
                        <w:rPr>
                          <w:rFonts w:ascii="Arial" w:hAnsi="Arial" w:cs="Arial"/>
                          <w:b/>
                        </w:rPr>
                      </w:pPr>
                      <w:r w:rsidRPr="00D76588">
                        <w:rPr>
                          <w:rFonts w:ascii="Arial" w:hAnsi="Arial" w:cs="Arial"/>
                          <w:b/>
                        </w:rPr>
                        <w:t>IQ compound</w:t>
                      </w:r>
                    </w:p>
                  </w:txbxContent>
                </v:textbox>
              </v:shape>
            </w:pict>
          </mc:Fallback>
        </mc:AlternateContent>
      </w:r>
      <w:r w:rsidRPr="00D76588">
        <w:rPr>
          <w:rFonts w:ascii="Arial" w:hAnsi="Arial" w:cs="Arial"/>
          <w:b/>
          <w:noProof/>
        </w:rPr>
        <mc:AlternateContent>
          <mc:Choice Requires="wps">
            <w:drawing>
              <wp:anchor distT="0" distB="0" distL="114300" distR="114300" simplePos="0" relativeHeight="251665408" behindDoc="0" locked="0" layoutInCell="1" allowOverlap="1" wp14:anchorId="1E0D455C" wp14:editId="7E2AA233">
                <wp:simplePos x="0" y="0"/>
                <wp:positionH relativeFrom="column">
                  <wp:posOffset>544053</wp:posOffset>
                </wp:positionH>
                <wp:positionV relativeFrom="paragraph">
                  <wp:posOffset>71284</wp:posOffset>
                </wp:positionV>
                <wp:extent cx="2374265" cy="534256"/>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34256"/>
                        </a:xfrm>
                        <a:prstGeom prst="rect">
                          <a:avLst/>
                        </a:prstGeom>
                        <a:noFill/>
                        <a:ln w="9525">
                          <a:noFill/>
                          <a:miter lim="800000"/>
                          <a:headEnd/>
                          <a:tailEnd/>
                        </a:ln>
                      </wps:spPr>
                      <wps:txbx>
                        <w:txbxContent>
                          <w:p w:rsidR="00330CF1" w:rsidRPr="00D76588" w:rsidRDefault="00330CF1" w:rsidP="00D76588">
                            <w:pPr>
                              <w:jc w:val="center"/>
                              <w:rPr>
                                <w:rFonts w:ascii="Arial" w:hAnsi="Arial" w:cs="Arial"/>
                                <w:b/>
                              </w:rPr>
                            </w:pPr>
                            <w:r w:rsidRPr="00D76588">
                              <w:rPr>
                                <w:rFonts w:ascii="Arial" w:hAnsi="Arial" w:cs="Arial"/>
                                <w:b/>
                              </w:rPr>
                              <w:t>creatinine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43" type="#_x0000_t202" style="position:absolute;left:0;text-align:left;margin-left:42.85pt;margin-top:5.6pt;width:186.95pt;height:42.05pt;z-index:25166540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" filled="f" stroked="f">
                <v:textbox>
                  <w:txbxContent>
                    <w:p w:rsidR="00330CF1" w:rsidRPr="00D76588" w:rsidRDefault="00330CF1" w:rsidP="00D76588">
                      <w:pPr>
                        <w:jc w:val="center"/>
                        <w:rPr>
                          <w:rFonts w:ascii="Arial" w:hAnsi="Arial" w:cs="Arial"/>
                          <w:b/>
                        </w:rPr>
                      </w:pPr>
                      <w:proofErr w:type="gramStart"/>
                      <w:r w:rsidRPr="00D76588">
                        <w:rPr>
                          <w:rFonts w:ascii="Arial" w:hAnsi="Arial" w:cs="Arial"/>
                          <w:b/>
                        </w:rPr>
                        <w:t>creatinine</w:t>
                      </w:r>
                      <w:proofErr w:type="gramEnd"/>
                    </w:p>
                  </w:txbxContent>
                </v:textbox>
              </v:shape>
            </w:pict>
          </mc:Fallback>
        </mc:AlternateContent>
      </w:r>
    </w:p>
    <w:p w:rsidR="00330CF1" w:rsidRDefault="00330CF1" w:rsidP="00927FF7">
      <w:pPr>
        <w:autoSpaceDE w:val="0"/>
        <w:autoSpaceDN w:val="0"/>
        <w:adjustRightInd w:val="0"/>
        <w:jc w:val="center"/>
        <w:rPr>
          <w:rFonts w:ascii="Arial" w:hAnsi="Arial" w:cs="Arial"/>
          <w:b/>
        </w:rPr>
      </w:pPr>
    </w:p>
    <w:p w:rsidR="00330CF1" w:rsidRDefault="00330CF1" w:rsidP="00EA3A00">
      <w:pPr>
        <w:autoSpaceDE w:val="0"/>
        <w:autoSpaceDN w:val="0"/>
        <w:adjustRightInd w:val="0"/>
        <w:jc w:val="center"/>
        <w:rPr>
          <w:rFonts w:ascii="Arial" w:hAnsi="Arial" w:cs="Arial"/>
          <w:b/>
        </w:rPr>
      </w:pPr>
    </w:p>
    <w:p w:rsidR="00330CF1" w:rsidRPr="00844809" w:rsidRDefault="00330CF1" w:rsidP="00681100">
      <w:pPr>
        <w:autoSpaceDE w:val="0"/>
        <w:autoSpaceDN w:val="0"/>
        <w:adjustRightInd w:val="0"/>
        <w:rPr>
          <w:rFonts w:ascii="Arial" w:hAnsi="Arial" w:cs="Arial"/>
          <w:b/>
        </w:rPr>
      </w:pPr>
    </w:p>
    <w:p w:rsidR="00330CF1" w:rsidRDefault="00330CF1" w:rsidP="00927FF7">
      <w:pPr>
        <w:autoSpaceDE w:val="0"/>
        <w:autoSpaceDN w:val="0"/>
        <w:adjustRightInd w:val="0"/>
        <w:rPr>
          <w:rFonts w:ascii="Arial" w:eastAsiaTheme="minorEastAsia" w:hAnsi="Arial" w:cs="Arial"/>
          <w:color w:val="000000" w:themeColor="text1"/>
          <w:kern w:val="24"/>
        </w:rPr>
      </w:pPr>
      <w:r w:rsidRPr="00B51DF6">
        <w:rPr>
          <w:rFonts w:ascii="Arial" w:eastAsiaTheme="minorEastAsia" w:hAnsi="Arial" w:cs="Arial"/>
          <w:b/>
          <w:color w:val="000000" w:themeColor="text1"/>
          <w:kern w:val="24"/>
        </w:rPr>
        <w:t>Figure 1.11</w:t>
      </w:r>
      <w:r>
        <w:rPr>
          <w:rFonts w:ascii="Arial" w:eastAsiaTheme="minorEastAsia" w:hAnsi="Arial" w:cs="Arial"/>
          <w:color w:val="000000" w:themeColor="text1"/>
          <w:kern w:val="24"/>
        </w:rPr>
        <w:t xml:space="preserve"> Proposed f</w:t>
      </w:r>
      <w:r w:rsidRPr="00B51DF6">
        <w:rPr>
          <w:rFonts w:ascii="Arial" w:eastAsiaTheme="minorEastAsia" w:hAnsi="Arial" w:cs="Arial"/>
          <w:color w:val="000000" w:themeColor="text1"/>
          <w:kern w:val="24"/>
        </w:rPr>
        <w:t>ormation</w:t>
      </w:r>
      <w:r>
        <w:rPr>
          <w:rFonts w:ascii="Arial" w:eastAsiaTheme="minorEastAsia" w:hAnsi="Arial" w:cs="Arial"/>
          <w:color w:val="000000" w:themeColor="text1"/>
          <w:kern w:val="24"/>
        </w:rPr>
        <w:t xml:space="preserve"> of heterocyclic amines (IQ) compounds from Maillard reaction products (pyridines and pyrazines) and creatinine.  W, X, and Y may be hydrogen or methyl groups; Z may be CH or N.</w:t>
      </w:r>
    </w:p>
    <w:p w:rsidR="00330CF1" w:rsidRPr="001C129A" w:rsidRDefault="00330CF1" w:rsidP="00B51DF6">
      <w:pPr>
        <w:pStyle w:val="NormalWeb"/>
        <w:spacing w:before="0" w:beforeAutospacing="0" w:after="0" w:afterAutospacing="0"/>
        <w:rPr>
          <w:rFonts w:ascii="Arial" w:hAnsi="Arial" w:cs="Arial"/>
          <w:b/>
        </w:rPr>
      </w:pPr>
      <w:r w:rsidRPr="004E3CA6">
        <w:rPr>
          <w:rFonts w:ascii="Arial" w:eastAsiaTheme="minorEastAsia" w:hAnsi="Arial" w:cs="Arial"/>
          <w:b/>
          <w:i/>
          <w:color w:val="000000" w:themeColor="text1"/>
          <w:kern w:val="24"/>
        </w:rPr>
        <w:t>Source:</w:t>
      </w:r>
      <w:r>
        <w:rPr>
          <w:rFonts w:ascii="Arial" w:eastAsiaTheme="minorEastAsia" w:hAnsi="Arial" w:cs="Arial"/>
          <w:b/>
          <w:color w:val="000000" w:themeColor="text1"/>
          <w:kern w:val="24"/>
        </w:rPr>
        <w:t xml:space="preserve"> </w:t>
      </w:r>
      <w:r>
        <w:rPr>
          <w:rFonts w:ascii="Arial" w:hAnsi="Arial" w:cs="Arial"/>
        </w:rPr>
        <w:t xml:space="preserve">From Jagerstadt, M; Skog, K. </w:t>
      </w:r>
      <w:r>
        <w:rPr>
          <w:rFonts w:ascii="Arial" w:hAnsi="Arial" w:cs="Arial"/>
          <w:i/>
        </w:rPr>
        <w:t xml:space="preserve">Formation of meat mutagens. </w:t>
      </w:r>
      <w:r>
        <w:rPr>
          <w:rFonts w:ascii="Arial" w:hAnsi="Arial" w:cs="Arial"/>
        </w:rPr>
        <w:t xml:space="preserve">In </w:t>
      </w:r>
      <w:r>
        <w:rPr>
          <w:rFonts w:ascii="Arial" w:hAnsi="Arial" w:cs="Arial"/>
          <w:i/>
        </w:rPr>
        <w:t xml:space="preserve">Nutritional and Toxicological Consequences of Food Processing; </w:t>
      </w:r>
      <w:r>
        <w:rPr>
          <w:rFonts w:ascii="Arial" w:hAnsi="Arial" w:cs="Arial"/>
        </w:rPr>
        <w:t>Friedman, M., Ed.; Plenum: New York, 1991; p. 86.</w:t>
      </w:r>
      <w:r w:rsidRPr="001C129A">
        <w:rPr>
          <w:rFonts w:ascii="Arial" w:hAnsi="Arial" w:cs="Arial"/>
          <w:b/>
        </w:rPr>
        <w:t xml:space="preserve">   </w:t>
      </w:r>
    </w:p>
    <w:p w:rsidR="00330CF1" w:rsidRPr="00261260" w:rsidRDefault="00330CF1" w:rsidP="00B51DF6">
      <w:pPr>
        <w:autoSpaceDE w:val="0"/>
        <w:autoSpaceDN w:val="0"/>
        <w:adjustRightInd w:val="0"/>
        <w:jc w:val="center"/>
        <w:rPr>
          <w:rFonts w:ascii="Arial" w:hAnsi="Arial" w:cs="Arial"/>
          <w:b/>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r>
        <w:rPr>
          <w:rFonts w:ascii="Arial" w:hAnsi="Arial" w:cs="Arial"/>
        </w:rPr>
        <w:lastRenderedPageBreak/>
        <w:t xml:space="preserve">      Oxidation in food processing can be caused by a number of different oxidants including oxygen in the presence of catalytic metal ions, photo-oxidation due to light sensitive pigments, and enzymes such as polyphenol oxidases or lipid peroxides.</w:t>
      </w:r>
      <w:r>
        <w:rPr>
          <w:rFonts w:ascii="Arial" w:hAnsi="Arial" w:cs="Arial"/>
          <w:noProof/>
        </w:rPr>
        <w:t>[222]</w:t>
      </w:r>
      <w:r>
        <w:rPr>
          <w:rFonts w:ascii="Arial" w:hAnsi="Arial" w:cs="Arial"/>
        </w:rPr>
        <w:t xml:space="preserve">  Sterilization of packaging by hydrogen peroxide can cause oxidation of proteins.  Unsaturated lipids can undergo oxidation in the presence of heat, light, or catalysts to form hydroperoxides, aldehydes, ketones, and carboxylic and polymerization products.</w:t>
      </w:r>
      <w:r>
        <w:rPr>
          <w:rFonts w:ascii="Arial" w:hAnsi="Arial" w:cs="Arial"/>
          <w:noProof/>
        </w:rPr>
        <w:t>[9]</w:t>
      </w:r>
      <w:r>
        <w:rPr>
          <w:rFonts w:ascii="Arial" w:hAnsi="Arial" w:cs="Arial"/>
        </w:rPr>
        <w:t xml:space="preserve">  Hydroperoxides can oxidize methionine, cysteine and tryptophan while the aldehydes and ketones can react with lysine residues.  Methionine is considered the 1</w:t>
      </w:r>
      <w:r w:rsidRPr="00A6454F">
        <w:rPr>
          <w:rFonts w:ascii="Arial" w:hAnsi="Arial" w:cs="Arial"/>
          <w:vertAlign w:val="superscript"/>
        </w:rPr>
        <w:t>st</w:t>
      </w:r>
      <w:r>
        <w:rPr>
          <w:rFonts w:ascii="Arial" w:hAnsi="Arial" w:cs="Arial"/>
        </w:rPr>
        <w:t xml:space="preserve"> limiting amino acid in processed cat foods while tryptophan is a limiting amino acid in corn based diets.</w:t>
      </w:r>
      <w:r>
        <w:rPr>
          <w:rFonts w:ascii="Arial" w:hAnsi="Arial" w:cs="Arial"/>
          <w:noProof/>
        </w:rPr>
        <w:t>[12]</w:t>
      </w:r>
      <w:r>
        <w:rPr>
          <w:rFonts w:ascii="Arial" w:hAnsi="Arial" w:cs="Arial"/>
        </w:rPr>
        <w:t xml:space="preserve">  Figure 1.12 diagrams oxidation of methionine, cysteine and cystine.  The first product of methionine oxidation is methionine sulfoxide and further oxidation forms methionine sulfone.</w:t>
      </w:r>
      <w:r>
        <w:rPr>
          <w:rFonts w:ascii="Arial" w:hAnsi="Arial" w:cs="Arial"/>
          <w:noProof/>
        </w:rPr>
        <w:t>[222]</w:t>
      </w:r>
      <w:r>
        <w:rPr>
          <w:rFonts w:ascii="Arial" w:hAnsi="Arial" w:cs="Arial"/>
        </w:rPr>
        <w:t xml:space="preserve">  Methionine and cysteine becomes biologically unavailable once they are oxidized to sulfones.</w:t>
      </w:r>
      <w:r>
        <w:rPr>
          <w:rFonts w:ascii="Arial" w:hAnsi="Arial" w:cs="Arial"/>
          <w:noProof/>
        </w:rPr>
        <w:t>[222]</w:t>
      </w:r>
      <w:r>
        <w:rPr>
          <w:rFonts w:ascii="Arial" w:hAnsi="Arial" w:cs="Arial"/>
        </w:rPr>
        <w:t xml:space="preserve">  </w:t>
      </w:r>
    </w:p>
    <w:p w:rsidR="00330CF1" w:rsidRDefault="00330CF1" w:rsidP="00681100">
      <w:pPr>
        <w:autoSpaceDE w:val="0"/>
        <w:autoSpaceDN w:val="0"/>
        <w:adjustRightInd w:val="0"/>
        <w:rPr>
          <w:rFonts w:ascii="Arial" w:hAnsi="Arial" w:cs="Arial"/>
        </w:rPr>
      </w:pPr>
      <w:r>
        <w:rPr>
          <w:rFonts w:ascii="Arial" w:hAnsi="Arial" w:cs="Arial"/>
        </w:rPr>
        <w:t xml:space="preserve">     </w:t>
      </w:r>
    </w:p>
    <w:p w:rsidR="00330CF1" w:rsidRDefault="00330CF1" w:rsidP="00681100">
      <w:pPr>
        <w:autoSpaceDE w:val="0"/>
        <w:autoSpaceDN w:val="0"/>
        <w:adjustRightInd w:val="0"/>
        <w:rPr>
          <w:rFonts w:ascii="Arial" w:hAnsi="Arial" w:cs="Arial"/>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C7710E">
      <w:pPr>
        <w:autoSpaceDE w:val="0"/>
        <w:autoSpaceDN w:val="0"/>
        <w:adjustRightInd w:val="0"/>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noProof/>
        </w:rPr>
      </w:pPr>
    </w:p>
    <w:p w:rsidR="00330CF1" w:rsidRDefault="00330CF1" w:rsidP="00EA3A00">
      <w:pPr>
        <w:autoSpaceDE w:val="0"/>
        <w:autoSpaceDN w:val="0"/>
        <w:adjustRightInd w:val="0"/>
        <w:jc w:val="center"/>
        <w:rPr>
          <w:rFonts w:ascii="Arial" w:hAnsi="Arial" w:cs="Arial"/>
          <w:b/>
        </w:rPr>
      </w:pPr>
      <w:r>
        <w:rPr>
          <w:noProof/>
        </w:rPr>
        <w:lastRenderedPageBreak/>
        <w:drawing>
          <wp:inline distT="0" distB="0" distL="0" distR="0" wp14:anchorId="449D7F2E" wp14:editId="6924DCE7">
            <wp:extent cx="5486400" cy="2061611"/>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86400" cy="2061611"/>
                    </a:xfrm>
                    <a:prstGeom prst="rect">
                      <a:avLst/>
                    </a:prstGeom>
                  </pic:spPr>
                </pic:pic>
              </a:graphicData>
            </a:graphic>
          </wp:inline>
        </w:drawing>
      </w:r>
    </w:p>
    <w:p w:rsidR="00330CF1" w:rsidRDefault="00330CF1" w:rsidP="00EA3A00">
      <w:pPr>
        <w:autoSpaceDE w:val="0"/>
        <w:autoSpaceDN w:val="0"/>
        <w:adjustRightInd w:val="0"/>
        <w:jc w:val="center"/>
        <w:rPr>
          <w:rFonts w:ascii="Arial" w:hAnsi="Arial" w:cs="Arial"/>
          <w:b/>
        </w:rPr>
      </w:pPr>
      <w:r w:rsidRPr="00834F3C">
        <w:rPr>
          <w:rFonts w:ascii="Arial" w:hAnsi="Arial" w:cs="Arial"/>
          <w:b/>
          <w:noProof/>
        </w:rPr>
        <mc:AlternateContent>
          <mc:Choice Requires="wps">
            <w:drawing>
              <wp:anchor distT="0" distB="0" distL="114300" distR="114300" simplePos="0" relativeHeight="251680768" behindDoc="0" locked="0" layoutInCell="1" allowOverlap="1" wp14:anchorId="463B77EA" wp14:editId="7274185B">
                <wp:simplePos x="0" y="0"/>
                <wp:positionH relativeFrom="column">
                  <wp:posOffset>3837305</wp:posOffset>
                </wp:positionH>
                <wp:positionV relativeFrom="paragraph">
                  <wp:posOffset>113665</wp:posOffset>
                </wp:positionV>
                <wp:extent cx="2374265" cy="1403985"/>
                <wp:effectExtent l="0" t="0" r="0" b="0"/>
                <wp:wrapNone/>
                <wp:docPr id="20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834F3C" w:rsidRDefault="00330CF1" w:rsidP="00834F3C">
                            <w:pPr>
                              <w:jc w:val="center"/>
                              <w:rPr>
                                <w:rFonts w:ascii="Arial" w:hAnsi="Arial" w:cs="Arial"/>
                                <w:b/>
                              </w:rPr>
                            </w:pPr>
                            <w:r w:rsidRPr="00834F3C">
                              <w:rPr>
                                <w:rFonts w:ascii="Arial" w:hAnsi="Arial" w:cs="Arial"/>
                                <w:b/>
                              </w:rPr>
                              <w:t>Methionine sulfone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4" type="#_x0000_t202" style="position:absolute;left:0;text-align:left;margin-left:302.15pt;margin-top:8.95pt;width:186.95pt;height:110.55pt;z-index:25168076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" filled="f" stroked="f">
                <v:textbox style="mso-fit-shape-to-text:t">
                  <w:txbxContent>
                    <w:p w:rsidR="00330CF1" w:rsidRPr="00834F3C" w:rsidRDefault="00330CF1" w:rsidP="00834F3C">
                      <w:pPr>
                        <w:jc w:val="center"/>
                        <w:rPr>
                          <w:rFonts w:ascii="Arial" w:hAnsi="Arial" w:cs="Arial"/>
                          <w:b/>
                        </w:rPr>
                      </w:pPr>
                      <w:r w:rsidRPr="00834F3C">
                        <w:rPr>
                          <w:rFonts w:ascii="Arial" w:hAnsi="Arial" w:cs="Arial"/>
                          <w:b/>
                        </w:rPr>
                        <w:t xml:space="preserve">Methionine </w:t>
                      </w:r>
                      <w:proofErr w:type="spellStart"/>
                      <w:r w:rsidRPr="00834F3C">
                        <w:rPr>
                          <w:rFonts w:ascii="Arial" w:hAnsi="Arial" w:cs="Arial"/>
                          <w:b/>
                        </w:rPr>
                        <w:t>sulfone</w:t>
                      </w:r>
                      <w:proofErr w:type="spellEnd"/>
                    </w:p>
                  </w:txbxContent>
                </v:textbox>
              </v:shape>
            </w:pict>
          </mc:Fallback>
        </mc:AlternateContent>
      </w:r>
      <w:r w:rsidRPr="00834F3C">
        <w:rPr>
          <w:rFonts w:ascii="Arial" w:hAnsi="Arial" w:cs="Arial"/>
          <w:b/>
          <w:noProof/>
        </w:rPr>
        <mc:AlternateContent>
          <mc:Choice Requires="wps">
            <w:drawing>
              <wp:anchor distT="0" distB="0" distL="114300" distR="114300" simplePos="0" relativeHeight="251679744" behindDoc="0" locked="0" layoutInCell="1" allowOverlap="1" wp14:anchorId="6AD75EC8" wp14:editId="635C04EE">
                <wp:simplePos x="0" y="0"/>
                <wp:positionH relativeFrom="column">
                  <wp:posOffset>1802765</wp:posOffset>
                </wp:positionH>
                <wp:positionV relativeFrom="paragraph">
                  <wp:posOffset>124560</wp:posOffset>
                </wp:positionV>
                <wp:extent cx="2374265" cy="1403985"/>
                <wp:effectExtent l="0" t="0" r="0" b="0"/>
                <wp:wrapNone/>
                <wp:docPr id="20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834F3C" w:rsidRDefault="00330CF1" w:rsidP="00834F3C">
                            <w:pPr>
                              <w:jc w:val="center"/>
                              <w:rPr>
                                <w:rFonts w:ascii="Arial" w:hAnsi="Arial" w:cs="Arial"/>
                                <w:b/>
                              </w:rPr>
                            </w:pPr>
                            <w:r w:rsidRPr="00834F3C">
                              <w:rPr>
                                <w:rFonts w:ascii="Arial" w:hAnsi="Arial" w:cs="Arial"/>
                                <w:b/>
                              </w:rPr>
                              <w:t>Methionine sulfoxide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5" type="#_x0000_t202" style="position:absolute;left:0;text-align:left;margin-left:141.95pt;margin-top:9.8pt;width:186.95pt;height:110.55pt;z-index:2516797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" filled="f" stroked="f">
                <v:textbox style="mso-fit-shape-to-text:t">
                  <w:txbxContent>
                    <w:p w:rsidR="00330CF1" w:rsidRPr="00834F3C" w:rsidRDefault="00330CF1" w:rsidP="00834F3C">
                      <w:pPr>
                        <w:jc w:val="center"/>
                        <w:rPr>
                          <w:rFonts w:ascii="Arial" w:hAnsi="Arial" w:cs="Arial"/>
                          <w:b/>
                        </w:rPr>
                      </w:pPr>
                      <w:r w:rsidRPr="00834F3C">
                        <w:rPr>
                          <w:rFonts w:ascii="Arial" w:hAnsi="Arial" w:cs="Arial"/>
                          <w:b/>
                        </w:rPr>
                        <w:t xml:space="preserve">Methionine </w:t>
                      </w:r>
                      <w:proofErr w:type="spellStart"/>
                      <w:r w:rsidRPr="00834F3C">
                        <w:rPr>
                          <w:rFonts w:ascii="Arial" w:hAnsi="Arial" w:cs="Arial"/>
                          <w:b/>
                        </w:rPr>
                        <w:t>sulfoxide</w:t>
                      </w:r>
                      <w:proofErr w:type="spellEnd"/>
                    </w:p>
                  </w:txbxContent>
                </v:textbox>
              </v:shape>
            </w:pict>
          </mc:Fallback>
        </mc:AlternateContent>
      </w:r>
      <w:r w:rsidRPr="00834F3C">
        <w:rPr>
          <w:rFonts w:ascii="Arial" w:hAnsi="Arial" w:cs="Arial"/>
          <w:b/>
          <w:noProof/>
        </w:rPr>
        <mc:AlternateContent>
          <mc:Choice Requires="wps">
            <w:drawing>
              <wp:anchor distT="0" distB="0" distL="114300" distR="114300" simplePos="0" relativeHeight="251678720" behindDoc="0" locked="0" layoutInCell="1" allowOverlap="1" wp14:anchorId="5C361C6A" wp14:editId="22ECF550">
                <wp:simplePos x="0" y="0"/>
                <wp:positionH relativeFrom="column">
                  <wp:posOffset>-344170</wp:posOffset>
                </wp:positionH>
                <wp:positionV relativeFrom="paragraph">
                  <wp:posOffset>114286</wp:posOffset>
                </wp:positionV>
                <wp:extent cx="2374265" cy="1403985"/>
                <wp:effectExtent l="0" t="0" r="0" b="0"/>
                <wp:wrapNone/>
                <wp:docPr id="20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834F3C" w:rsidRDefault="00330CF1" w:rsidP="00834F3C">
                            <w:pPr>
                              <w:jc w:val="center"/>
                              <w:rPr>
                                <w:rFonts w:ascii="Arial" w:hAnsi="Arial" w:cs="Arial"/>
                                <w:b/>
                              </w:rPr>
                            </w:pPr>
                            <w:r w:rsidRPr="00834F3C">
                              <w:rPr>
                                <w:rFonts w:ascii="Arial" w:hAnsi="Arial" w:cs="Arial"/>
                                <w:b/>
                              </w:rPr>
                              <w:t>Methionine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6" type="#_x0000_t202" style="position:absolute;left:0;text-align:left;margin-left:-27.1pt;margin-top:9pt;width:186.95pt;height:110.55pt;z-index:2516787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" filled="f" stroked="f">
                <v:textbox style="mso-fit-shape-to-text:t">
                  <w:txbxContent>
                    <w:p w:rsidR="00330CF1" w:rsidRPr="00834F3C" w:rsidRDefault="00330CF1" w:rsidP="00834F3C">
                      <w:pPr>
                        <w:jc w:val="center"/>
                        <w:rPr>
                          <w:rFonts w:ascii="Arial" w:hAnsi="Arial" w:cs="Arial"/>
                          <w:b/>
                        </w:rPr>
                      </w:pPr>
                      <w:r w:rsidRPr="00834F3C">
                        <w:rPr>
                          <w:rFonts w:ascii="Arial" w:hAnsi="Arial" w:cs="Arial"/>
                          <w:b/>
                        </w:rPr>
                        <w:t>Methionine</w:t>
                      </w:r>
                    </w:p>
                  </w:txbxContent>
                </v:textbox>
              </v:shape>
            </w:pict>
          </mc:Fallback>
        </mc:AlternateContent>
      </w:r>
    </w:p>
    <w:p w:rsidR="00330CF1" w:rsidRDefault="00330CF1" w:rsidP="00EA3A00">
      <w:pPr>
        <w:autoSpaceDE w:val="0"/>
        <w:autoSpaceDN w:val="0"/>
        <w:adjustRightInd w:val="0"/>
        <w:jc w:val="center"/>
        <w:rPr>
          <w:rFonts w:ascii="Arial" w:hAnsi="Arial" w:cs="Arial"/>
          <w:b/>
        </w:rPr>
      </w:pPr>
    </w:p>
    <w:p w:rsidR="00330CF1" w:rsidRDefault="00330CF1" w:rsidP="00EA3A00">
      <w:pPr>
        <w:autoSpaceDE w:val="0"/>
        <w:autoSpaceDN w:val="0"/>
        <w:adjustRightInd w:val="0"/>
        <w:jc w:val="center"/>
        <w:rPr>
          <w:rFonts w:ascii="Arial" w:hAnsi="Arial" w:cs="Arial"/>
          <w:b/>
        </w:rPr>
      </w:pPr>
    </w:p>
    <w:p w:rsidR="00330CF1" w:rsidRDefault="00330CF1" w:rsidP="00C974E5">
      <w:pPr>
        <w:autoSpaceDE w:val="0"/>
        <w:autoSpaceDN w:val="0"/>
        <w:adjustRightInd w:val="0"/>
        <w:rPr>
          <w:rFonts w:ascii="Arial" w:hAnsi="Arial" w:cs="Arial"/>
          <w:b/>
        </w:rPr>
      </w:pPr>
    </w:p>
    <w:p w:rsidR="00330CF1" w:rsidRDefault="00330CF1" w:rsidP="00EA3A00">
      <w:pPr>
        <w:autoSpaceDE w:val="0"/>
        <w:autoSpaceDN w:val="0"/>
        <w:adjustRightInd w:val="0"/>
        <w:jc w:val="center"/>
        <w:rPr>
          <w:rFonts w:ascii="Arial" w:hAnsi="Arial" w:cs="Arial"/>
          <w:b/>
        </w:rPr>
      </w:pPr>
      <w:r w:rsidRPr="00A558DB">
        <w:rPr>
          <w:rFonts w:ascii="Arial" w:hAnsi="Arial" w:cs="Arial"/>
          <w:b/>
          <w:noProof/>
        </w:rPr>
        <mc:AlternateContent>
          <mc:Choice Requires="wps">
            <w:drawing>
              <wp:anchor distT="0" distB="0" distL="114300" distR="114300" simplePos="0" relativeHeight="251687936" behindDoc="0" locked="0" layoutInCell="1" allowOverlap="1" wp14:anchorId="778BB9A1" wp14:editId="465D3ED6">
                <wp:simplePos x="0" y="0"/>
                <wp:positionH relativeFrom="column">
                  <wp:posOffset>3909695</wp:posOffset>
                </wp:positionH>
                <wp:positionV relativeFrom="paragraph">
                  <wp:posOffset>1213856</wp:posOffset>
                </wp:positionV>
                <wp:extent cx="2374265" cy="1403985"/>
                <wp:effectExtent l="0" t="0" r="0" b="0"/>
                <wp:wrapNone/>
                <wp:docPr id="20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A558DB" w:rsidRDefault="00330CF1" w:rsidP="00A558DB">
                            <w:pPr>
                              <w:jc w:val="center"/>
                              <w:rPr>
                                <w:rFonts w:ascii="Arial" w:hAnsi="Arial" w:cs="Arial"/>
                                <w:b/>
                                <w:sz w:val="20"/>
                                <w:szCs w:val="20"/>
                              </w:rPr>
                            </w:pPr>
                            <w:r w:rsidRPr="00A558DB">
                              <w:rPr>
                                <w:rFonts w:ascii="Arial" w:hAnsi="Arial" w:cs="Arial"/>
                                <w:b/>
                                <w:sz w:val="20"/>
                                <w:szCs w:val="20"/>
                              </w:rPr>
                              <w:t>Cystine mono- or</w:t>
                            </w:r>
                          </w:p>
                          <w:p w:rsidR="00330CF1" w:rsidRPr="00A558DB" w:rsidRDefault="00330CF1" w:rsidP="00A558DB">
                            <w:pPr>
                              <w:jc w:val="center"/>
                              <w:rPr>
                                <w:rFonts w:ascii="Arial" w:hAnsi="Arial" w:cs="Arial"/>
                                <w:b/>
                                <w:sz w:val="20"/>
                                <w:szCs w:val="20"/>
                              </w:rPr>
                            </w:pPr>
                            <w:r w:rsidRPr="00A558DB">
                              <w:rPr>
                                <w:rFonts w:ascii="Arial" w:hAnsi="Arial" w:cs="Arial"/>
                                <w:b/>
                                <w:sz w:val="20"/>
                                <w:szCs w:val="20"/>
                              </w:rPr>
                              <w:t>disulfone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7" type="#_x0000_t202" style="position:absolute;left:0;text-align:left;margin-left:307.85pt;margin-top:95.6pt;width:186.95pt;height:110.55pt;z-index:2516879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" filled="f" stroked="f">
                <v:textbox style="mso-fit-shape-to-text:t">
                  <w:txbxContent>
                    <w:p w:rsidR="00330CF1" w:rsidRPr="00A558DB" w:rsidRDefault="00330CF1" w:rsidP="00A558DB">
                      <w:pPr>
                        <w:jc w:val="center"/>
                        <w:rPr>
                          <w:rFonts w:ascii="Arial" w:hAnsi="Arial" w:cs="Arial"/>
                          <w:b/>
                          <w:sz w:val="20"/>
                          <w:szCs w:val="20"/>
                        </w:rPr>
                      </w:pPr>
                      <w:r w:rsidRPr="00A558DB">
                        <w:rPr>
                          <w:rFonts w:ascii="Arial" w:hAnsi="Arial" w:cs="Arial"/>
                          <w:b/>
                          <w:sz w:val="20"/>
                          <w:szCs w:val="20"/>
                        </w:rPr>
                        <w:t>Cystine mono- or</w:t>
                      </w:r>
                    </w:p>
                    <w:p w:rsidR="00330CF1" w:rsidRPr="00A558DB" w:rsidRDefault="00330CF1" w:rsidP="00A558DB">
                      <w:pPr>
                        <w:jc w:val="center"/>
                        <w:rPr>
                          <w:rFonts w:ascii="Arial" w:hAnsi="Arial" w:cs="Arial"/>
                          <w:b/>
                          <w:sz w:val="20"/>
                          <w:szCs w:val="20"/>
                        </w:rPr>
                      </w:pPr>
                      <w:proofErr w:type="spellStart"/>
                      <w:proofErr w:type="gramStart"/>
                      <w:r w:rsidRPr="00A558DB">
                        <w:rPr>
                          <w:rFonts w:ascii="Arial" w:hAnsi="Arial" w:cs="Arial"/>
                          <w:b/>
                          <w:sz w:val="20"/>
                          <w:szCs w:val="20"/>
                        </w:rPr>
                        <w:t>disulfone</w:t>
                      </w:r>
                      <w:proofErr w:type="spellEnd"/>
                      <w:proofErr w:type="gramEnd"/>
                    </w:p>
                  </w:txbxContent>
                </v:textbox>
              </v:shape>
            </w:pict>
          </mc:Fallback>
        </mc:AlternateContent>
      </w:r>
      <w:r w:rsidRPr="00A558DB">
        <w:rPr>
          <w:rFonts w:ascii="Arial" w:hAnsi="Arial" w:cs="Arial"/>
          <w:b/>
          <w:noProof/>
        </w:rPr>
        <mc:AlternateContent>
          <mc:Choice Requires="wps">
            <w:drawing>
              <wp:anchor distT="0" distB="0" distL="114300" distR="114300" simplePos="0" relativeHeight="251686912" behindDoc="0" locked="0" layoutInCell="1" allowOverlap="1" wp14:anchorId="0240806C" wp14:editId="7F8B5931">
                <wp:simplePos x="0" y="0"/>
                <wp:positionH relativeFrom="column">
                  <wp:posOffset>2135505</wp:posOffset>
                </wp:positionH>
                <wp:positionV relativeFrom="paragraph">
                  <wp:posOffset>1198295</wp:posOffset>
                </wp:positionV>
                <wp:extent cx="2374265" cy="1403985"/>
                <wp:effectExtent l="0" t="0" r="0" b="0"/>
                <wp:wrapNone/>
                <wp:docPr id="20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A558DB" w:rsidRDefault="00330CF1" w:rsidP="00A558DB">
                            <w:pPr>
                              <w:jc w:val="center"/>
                              <w:rPr>
                                <w:rFonts w:ascii="Arial" w:hAnsi="Arial" w:cs="Arial"/>
                                <w:b/>
                                <w:sz w:val="20"/>
                                <w:szCs w:val="20"/>
                              </w:rPr>
                            </w:pPr>
                            <w:r w:rsidRPr="00A558DB">
                              <w:rPr>
                                <w:rFonts w:ascii="Arial" w:hAnsi="Arial" w:cs="Arial"/>
                                <w:b/>
                                <w:sz w:val="20"/>
                                <w:szCs w:val="20"/>
                              </w:rPr>
                              <w:t>Cystine mono- or</w:t>
                            </w:r>
                          </w:p>
                          <w:p w:rsidR="00330CF1" w:rsidRPr="00A558DB" w:rsidRDefault="00330CF1" w:rsidP="00A558DB">
                            <w:pPr>
                              <w:jc w:val="center"/>
                              <w:rPr>
                                <w:rFonts w:ascii="Arial" w:hAnsi="Arial" w:cs="Arial"/>
                                <w:b/>
                                <w:sz w:val="20"/>
                                <w:szCs w:val="20"/>
                              </w:rPr>
                            </w:pPr>
                            <w:r w:rsidRPr="00A558DB">
                              <w:rPr>
                                <w:rFonts w:ascii="Arial" w:hAnsi="Arial" w:cs="Arial"/>
                                <w:b/>
                                <w:sz w:val="20"/>
                                <w:szCs w:val="20"/>
                              </w:rPr>
                              <w:t>disulfoxide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8" type="#_x0000_t202" style="position:absolute;left:0;text-align:left;margin-left:168.15pt;margin-top:94.35pt;width:186.95pt;height:110.55pt;z-index:2516869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" filled="f" stroked="f">
                <v:textbox style="mso-fit-shape-to-text:t">
                  <w:txbxContent>
                    <w:p w:rsidR="00330CF1" w:rsidRPr="00A558DB" w:rsidRDefault="00330CF1" w:rsidP="00A558DB">
                      <w:pPr>
                        <w:jc w:val="center"/>
                        <w:rPr>
                          <w:rFonts w:ascii="Arial" w:hAnsi="Arial" w:cs="Arial"/>
                          <w:b/>
                          <w:sz w:val="20"/>
                          <w:szCs w:val="20"/>
                        </w:rPr>
                      </w:pPr>
                      <w:r w:rsidRPr="00A558DB">
                        <w:rPr>
                          <w:rFonts w:ascii="Arial" w:hAnsi="Arial" w:cs="Arial"/>
                          <w:b/>
                          <w:sz w:val="20"/>
                          <w:szCs w:val="20"/>
                        </w:rPr>
                        <w:t>Cystine mono- or</w:t>
                      </w:r>
                    </w:p>
                    <w:p w:rsidR="00330CF1" w:rsidRPr="00A558DB" w:rsidRDefault="00330CF1" w:rsidP="00A558DB">
                      <w:pPr>
                        <w:jc w:val="center"/>
                        <w:rPr>
                          <w:rFonts w:ascii="Arial" w:hAnsi="Arial" w:cs="Arial"/>
                          <w:b/>
                          <w:sz w:val="20"/>
                          <w:szCs w:val="20"/>
                        </w:rPr>
                      </w:pPr>
                      <w:proofErr w:type="gramStart"/>
                      <w:r w:rsidRPr="00A558DB">
                        <w:rPr>
                          <w:rFonts w:ascii="Arial" w:hAnsi="Arial" w:cs="Arial"/>
                          <w:b/>
                          <w:sz w:val="20"/>
                          <w:szCs w:val="20"/>
                        </w:rPr>
                        <w:t>disulfoxide</w:t>
                      </w:r>
                      <w:proofErr w:type="gramEnd"/>
                    </w:p>
                  </w:txbxContent>
                </v:textbox>
              </v:shape>
            </w:pict>
          </mc:Fallback>
        </mc:AlternateContent>
      </w:r>
      <w:r w:rsidRPr="00A558DB">
        <w:rPr>
          <w:rFonts w:ascii="Arial" w:hAnsi="Arial" w:cs="Arial"/>
          <w:b/>
          <w:noProof/>
        </w:rPr>
        <mc:AlternateContent>
          <mc:Choice Requires="wps">
            <w:drawing>
              <wp:anchor distT="0" distB="0" distL="114300" distR="114300" simplePos="0" relativeHeight="251685888" behindDoc="0" locked="0" layoutInCell="1" allowOverlap="1" wp14:anchorId="1FE9A238" wp14:editId="6100FAA9">
                <wp:simplePos x="0" y="0"/>
                <wp:positionH relativeFrom="column">
                  <wp:posOffset>283460</wp:posOffset>
                </wp:positionH>
                <wp:positionV relativeFrom="paragraph">
                  <wp:posOffset>1197610</wp:posOffset>
                </wp:positionV>
                <wp:extent cx="2374265" cy="1403985"/>
                <wp:effectExtent l="0" t="0" r="0" b="1270"/>
                <wp:wrapNone/>
                <wp:docPr id="20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A558DB" w:rsidRDefault="00330CF1" w:rsidP="00A558DB">
                            <w:pPr>
                              <w:jc w:val="center"/>
                              <w:rPr>
                                <w:rFonts w:ascii="Arial" w:hAnsi="Arial" w:cs="Arial"/>
                                <w:b/>
                                <w:sz w:val="20"/>
                                <w:szCs w:val="20"/>
                              </w:rPr>
                            </w:pPr>
                            <w:r w:rsidRPr="00A558DB">
                              <w:rPr>
                                <w:rFonts w:ascii="Arial" w:hAnsi="Arial" w:cs="Arial"/>
                                <w:b/>
                                <w:sz w:val="20"/>
                                <w:szCs w:val="20"/>
                              </w:rPr>
                              <w:t>Cystine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9" type="#_x0000_t202" style="position:absolute;left:0;text-align:left;margin-left:22.3pt;margin-top:94.3pt;width:186.95pt;height:110.55pt;z-index:2516858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" filled="f" stroked="f">
                <v:textbox style="mso-fit-shape-to-text:t">
                  <w:txbxContent>
                    <w:p w:rsidR="00330CF1" w:rsidRPr="00A558DB" w:rsidRDefault="00330CF1" w:rsidP="00A558DB">
                      <w:pPr>
                        <w:jc w:val="center"/>
                        <w:rPr>
                          <w:rFonts w:ascii="Arial" w:hAnsi="Arial" w:cs="Arial"/>
                          <w:b/>
                          <w:sz w:val="20"/>
                          <w:szCs w:val="20"/>
                        </w:rPr>
                      </w:pPr>
                      <w:r w:rsidRPr="00A558DB">
                        <w:rPr>
                          <w:rFonts w:ascii="Arial" w:hAnsi="Arial" w:cs="Arial"/>
                          <w:b/>
                          <w:sz w:val="20"/>
                          <w:szCs w:val="20"/>
                        </w:rPr>
                        <w:t>Cystine</w:t>
                      </w:r>
                    </w:p>
                  </w:txbxContent>
                </v:textbox>
              </v:shape>
            </w:pict>
          </mc:Fallback>
        </mc:AlternateContent>
      </w:r>
      <w:r w:rsidRPr="00834F3C">
        <w:rPr>
          <w:rFonts w:ascii="Arial" w:hAnsi="Arial" w:cs="Arial"/>
          <w:b/>
          <w:noProof/>
        </w:rPr>
        <mc:AlternateContent>
          <mc:Choice Requires="wps">
            <w:drawing>
              <wp:anchor distT="0" distB="0" distL="114300" distR="114300" simplePos="0" relativeHeight="251683840" behindDoc="0" locked="0" layoutInCell="1" allowOverlap="1" wp14:anchorId="7D9D07B2" wp14:editId="0C3D43DC">
                <wp:simplePos x="0" y="0"/>
                <wp:positionH relativeFrom="column">
                  <wp:posOffset>1257514</wp:posOffset>
                </wp:positionH>
                <wp:positionV relativeFrom="paragraph">
                  <wp:posOffset>2562225</wp:posOffset>
                </wp:positionV>
                <wp:extent cx="2374265" cy="1403985"/>
                <wp:effectExtent l="0" t="0" r="0" b="0"/>
                <wp:wrapNone/>
                <wp:docPr id="20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834F3C" w:rsidRDefault="00330CF1" w:rsidP="00834F3C">
                            <w:pPr>
                              <w:jc w:val="center"/>
                              <w:rPr>
                                <w:rFonts w:ascii="Arial" w:hAnsi="Arial" w:cs="Arial"/>
                                <w:b/>
                                <w:sz w:val="20"/>
                                <w:szCs w:val="20"/>
                              </w:rPr>
                            </w:pPr>
                            <w:r w:rsidRPr="00834F3C">
                              <w:rPr>
                                <w:rFonts w:ascii="Arial" w:hAnsi="Arial" w:cs="Arial"/>
                                <w:b/>
                                <w:sz w:val="20"/>
                                <w:szCs w:val="20"/>
                              </w:rPr>
                              <w:t>Cysteine</w:t>
                            </w:r>
                          </w:p>
                          <w:p w:rsidR="00330CF1" w:rsidRPr="00834F3C" w:rsidRDefault="00330CF1" w:rsidP="00834F3C">
                            <w:pPr>
                              <w:jc w:val="center"/>
                              <w:rPr>
                                <w:rFonts w:ascii="Arial" w:hAnsi="Arial" w:cs="Arial"/>
                                <w:b/>
                                <w:sz w:val="20"/>
                                <w:szCs w:val="20"/>
                              </w:rPr>
                            </w:pPr>
                            <w:r w:rsidRPr="00834F3C">
                              <w:rPr>
                                <w:rFonts w:ascii="Arial" w:hAnsi="Arial" w:cs="Arial"/>
                                <w:b/>
                                <w:sz w:val="20"/>
                                <w:szCs w:val="20"/>
                              </w:rPr>
                              <w:t>sulfinic acid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0" type="#_x0000_t202" style="position:absolute;left:0;text-align:left;margin-left:99pt;margin-top:201.75pt;width:186.95pt;height:110.55pt;z-index:2516838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" filled="f" stroked="f">
                <v:textbox style="mso-fit-shape-to-text:t">
                  <w:txbxContent>
                    <w:p w:rsidR="00330CF1" w:rsidRPr="00834F3C" w:rsidRDefault="00330CF1" w:rsidP="00834F3C">
                      <w:pPr>
                        <w:jc w:val="center"/>
                        <w:rPr>
                          <w:rFonts w:ascii="Arial" w:hAnsi="Arial" w:cs="Arial"/>
                          <w:b/>
                          <w:sz w:val="20"/>
                          <w:szCs w:val="20"/>
                        </w:rPr>
                      </w:pPr>
                      <w:r w:rsidRPr="00834F3C">
                        <w:rPr>
                          <w:rFonts w:ascii="Arial" w:hAnsi="Arial" w:cs="Arial"/>
                          <w:b/>
                          <w:sz w:val="20"/>
                          <w:szCs w:val="20"/>
                        </w:rPr>
                        <w:t>Cysteine</w:t>
                      </w:r>
                    </w:p>
                    <w:p w:rsidR="00330CF1" w:rsidRPr="00834F3C" w:rsidRDefault="00330CF1" w:rsidP="00834F3C">
                      <w:pPr>
                        <w:jc w:val="center"/>
                        <w:rPr>
                          <w:rFonts w:ascii="Arial" w:hAnsi="Arial" w:cs="Arial"/>
                          <w:b/>
                          <w:sz w:val="20"/>
                          <w:szCs w:val="20"/>
                        </w:rPr>
                      </w:pPr>
                      <w:proofErr w:type="spellStart"/>
                      <w:proofErr w:type="gramStart"/>
                      <w:r w:rsidRPr="00834F3C">
                        <w:rPr>
                          <w:rFonts w:ascii="Arial" w:hAnsi="Arial" w:cs="Arial"/>
                          <w:b/>
                          <w:sz w:val="20"/>
                          <w:szCs w:val="20"/>
                        </w:rPr>
                        <w:t>sulfinic</w:t>
                      </w:r>
                      <w:proofErr w:type="spellEnd"/>
                      <w:proofErr w:type="gramEnd"/>
                      <w:r w:rsidRPr="00834F3C">
                        <w:rPr>
                          <w:rFonts w:ascii="Arial" w:hAnsi="Arial" w:cs="Arial"/>
                          <w:b/>
                          <w:sz w:val="20"/>
                          <w:szCs w:val="20"/>
                        </w:rPr>
                        <w:t xml:space="preserve"> acid</w:t>
                      </w:r>
                    </w:p>
                  </w:txbxContent>
                </v:textbox>
              </v:shape>
            </w:pict>
          </mc:Fallback>
        </mc:AlternateContent>
      </w:r>
      <w:r w:rsidRPr="00834F3C">
        <w:rPr>
          <w:rFonts w:ascii="Arial" w:hAnsi="Arial" w:cs="Arial"/>
          <w:b/>
          <w:noProof/>
        </w:rPr>
        <mc:AlternateContent>
          <mc:Choice Requires="wps">
            <w:drawing>
              <wp:anchor distT="0" distB="0" distL="114300" distR="114300" simplePos="0" relativeHeight="251681792" behindDoc="0" locked="0" layoutInCell="1" allowOverlap="1" wp14:anchorId="2560FCB4" wp14:editId="14CB5E8F">
                <wp:simplePos x="0" y="0"/>
                <wp:positionH relativeFrom="column">
                  <wp:posOffset>-795669</wp:posOffset>
                </wp:positionH>
                <wp:positionV relativeFrom="paragraph">
                  <wp:posOffset>1827302</wp:posOffset>
                </wp:positionV>
                <wp:extent cx="2374265" cy="1403985"/>
                <wp:effectExtent l="0" t="0" r="0" b="0"/>
                <wp:wrapNone/>
                <wp:docPr id="20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66754C" w:rsidRDefault="00330CF1" w:rsidP="00834F3C">
                            <w:pPr>
                              <w:jc w:val="center"/>
                              <w:rPr>
                                <w:rFonts w:ascii="Arial" w:hAnsi="Arial" w:cs="Arial"/>
                                <w:b/>
                                <w:sz w:val="20"/>
                                <w:szCs w:val="20"/>
                              </w:rPr>
                            </w:pPr>
                            <w:r w:rsidRPr="0066754C">
                              <w:rPr>
                                <w:rFonts w:ascii="Arial" w:hAnsi="Arial" w:cs="Arial"/>
                                <w:b/>
                                <w:sz w:val="20"/>
                                <w:szCs w:val="20"/>
                              </w:rPr>
                              <w:t>Cysteine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1" type="#_x0000_t202" style="position:absolute;left:0;text-align:left;margin-left:-62.65pt;margin-top:143.9pt;width:186.95pt;height:110.55pt;z-index:2516817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" filled="f" stroked="f">
                <v:textbox style="mso-fit-shape-to-text:t">
                  <w:txbxContent>
                    <w:p w:rsidR="00330CF1" w:rsidRPr="0066754C" w:rsidRDefault="00330CF1" w:rsidP="00834F3C">
                      <w:pPr>
                        <w:jc w:val="center"/>
                        <w:rPr>
                          <w:rFonts w:ascii="Arial" w:hAnsi="Arial" w:cs="Arial"/>
                          <w:b/>
                          <w:sz w:val="20"/>
                          <w:szCs w:val="20"/>
                        </w:rPr>
                      </w:pPr>
                      <w:r w:rsidRPr="0066754C">
                        <w:rPr>
                          <w:rFonts w:ascii="Arial" w:hAnsi="Arial" w:cs="Arial"/>
                          <w:b/>
                          <w:sz w:val="20"/>
                          <w:szCs w:val="20"/>
                        </w:rPr>
                        <w:t>Cysteine</w:t>
                      </w:r>
                    </w:p>
                  </w:txbxContent>
                </v:textbox>
              </v:shape>
            </w:pict>
          </mc:Fallback>
        </mc:AlternateContent>
      </w:r>
      <w:r>
        <w:rPr>
          <w:noProof/>
        </w:rPr>
        <w:drawing>
          <wp:inline distT="0" distB="0" distL="0" distR="0" wp14:anchorId="58F74D45" wp14:editId="225C282F">
            <wp:extent cx="5486400" cy="2573472"/>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6400" cy="2573472"/>
                    </a:xfrm>
                    <a:prstGeom prst="rect">
                      <a:avLst/>
                    </a:prstGeom>
                  </pic:spPr>
                </pic:pic>
              </a:graphicData>
            </a:graphic>
          </wp:inline>
        </w:drawing>
      </w:r>
    </w:p>
    <w:p w:rsidR="00330CF1" w:rsidRDefault="00330CF1" w:rsidP="00C7710E">
      <w:pPr>
        <w:autoSpaceDE w:val="0"/>
        <w:autoSpaceDN w:val="0"/>
        <w:adjustRightInd w:val="0"/>
        <w:rPr>
          <w:rFonts w:ascii="Arial" w:hAnsi="Arial" w:cs="Arial"/>
          <w:b/>
        </w:rPr>
      </w:pPr>
      <w:r w:rsidRPr="00A558DB">
        <w:rPr>
          <w:rFonts w:ascii="Arial" w:hAnsi="Arial" w:cs="Arial"/>
          <w:b/>
          <w:noProof/>
        </w:rPr>
        <mc:AlternateContent>
          <mc:Choice Requires="wps">
            <w:drawing>
              <wp:anchor distT="0" distB="0" distL="114300" distR="114300" simplePos="0" relativeHeight="251684864" behindDoc="0" locked="0" layoutInCell="1" allowOverlap="1" wp14:anchorId="447E5DED" wp14:editId="3EE6388C">
                <wp:simplePos x="0" y="0"/>
                <wp:positionH relativeFrom="column">
                  <wp:posOffset>2546350</wp:posOffset>
                </wp:positionH>
                <wp:positionV relativeFrom="paragraph">
                  <wp:posOffset>-635</wp:posOffset>
                </wp:positionV>
                <wp:extent cx="2374265" cy="1403985"/>
                <wp:effectExtent l="0" t="0" r="0" b="0"/>
                <wp:wrapNone/>
                <wp:docPr id="204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A558DB" w:rsidRDefault="00330CF1" w:rsidP="00A558DB">
                            <w:pPr>
                              <w:jc w:val="center"/>
                              <w:rPr>
                                <w:rFonts w:ascii="Arial" w:hAnsi="Arial" w:cs="Arial"/>
                                <w:b/>
                                <w:sz w:val="20"/>
                                <w:szCs w:val="20"/>
                              </w:rPr>
                            </w:pPr>
                            <w:r w:rsidRPr="00A558DB">
                              <w:rPr>
                                <w:rFonts w:ascii="Arial" w:hAnsi="Arial" w:cs="Arial"/>
                                <w:b/>
                                <w:sz w:val="20"/>
                                <w:szCs w:val="20"/>
                              </w:rPr>
                              <w:t>Cysteine</w:t>
                            </w:r>
                          </w:p>
                          <w:p w:rsidR="00330CF1" w:rsidRDefault="00330CF1" w:rsidP="00A558DB">
                            <w:pPr>
                              <w:jc w:val="center"/>
                              <w:rPr>
                                <w:rFonts w:ascii="Arial" w:hAnsi="Arial" w:cs="Arial"/>
                                <w:b/>
                                <w:sz w:val="20"/>
                                <w:szCs w:val="20"/>
                              </w:rPr>
                            </w:pPr>
                            <w:r w:rsidRPr="00A558DB">
                              <w:rPr>
                                <w:rFonts w:ascii="Arial" w:hAnsi="Arial" w:cs="Arial"/>
                                <w:b/>
                                <w:sz w:val="20"/>
                                <w:szCs w:val="20"/>
                              </w:rPr>
                              <w:t>sulfonic acid</w:t>
                            </w:r>
                          </w:p>
                          <w:p w:rsidR="00330CF1" w:rsidRPr="00A558DB" w:rsidRDefault="00330CF1" w:rsidP="00A558DB">
                            <w:pPr>
                              <w:jc w:val="center"/>
                              <w:rPr>
                                <w:rFonts w:ascii="Arial" w:hAnsi="Arial" w:cs="Arial"/>
                                <w:b/>
                                <w:sz w:val="20"/>
                                <w:szCs w:val="20"/>
                              </w:rPr>
                            </w:pPr>
                            <w:r>
                              <w:rPr>
                                <w:rFonts w:ascii="Arial" w:hAnsi="Arial" w:cs="Arial"/>
                                <w:b/>
                                <w:sz w:val="20"/>
                                <w:szCs w:val="20"/>
                              </w:rPr>
                              <w:t>(cysteic acid)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2" type="#_x0000_t202" style="position:absolute;margin-left:200.5pt;margin-top:-.05pt;width:186.95pt;height:110.55pt;z-index:2516848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" filled="f" stroked="f">
                <v:textbox style="mso-fit-shape-to-text:t">
                  <w:txbxContent>
                    <w:p w:rsidR="00330CF1" w:rsidRPr="00A558DB" w:rsidRDefault="00330CF1" w:rsidP="00A558DB">
                      <w:pPr>
                        <w:jc w:val="center"/>
                        <w:rPr>
                          <w:rFonts w:ascii="Arial" w:hAnsi="Arial" w:cs="Arial"/>
                          <w:b/>
                          <w:sz w:val="20"/>
                          <w:szCs w:val="20"/>
                        </w:rPr>
                      </w:pPr>
                      <w:r w:rsidRPr="00A558DB">
                        <w:rPr>
                          <w:rFonts w:ascii="Arial" w:hAnsi="Arial" w:cs="Arial"/>
                          <w:b/>
                          <w:sz w:val="20"/>
                          <w:szCs w:val="20"/>
                        </w:rPr>
                        <w:t>Cysteine</w:t>
                      </w:r>
                    </w:p>
                    <w:p w:rsidR="00330CF1" w:rsidRDefault="00330CF1" w:rsidP="00A558DB">
                      <w:pPr>
                        <w:jc w:val="center"/>
                        <w:rPr>
                          <w:rFonts w:ascii="Arial" w:hAnsi="Arial" w:cs="Arial"/>
                          <w:b/>
                          <w:sz w:val="20"/>
                          <w:szCs w:val="20"/>
                        </w:rPr>
                      </w:pPr>
                      <w:proofErr w:type="gramStart"/>
                      <w:r w:rsidRPr="00A558DB">
                        <w:rPr>
                          <w:rFonts w:ascii="Arial" w:hAnsi="Arial" w:cs="Arial"/>
                          <w:b/>
                          <w:sz w:val="20"/>
                          <w:szCs w:val="20"/>
                        </w:rPr>
                        <w:t>sulfonic</w:t>
                      </w:r>
                      <w:proofErr w:type="gramEnd"/>
                      <w:r w:rsidRPr="00A558DB">
                        <w:rPr>
                          <w:rFonts w:ascii="Arial" w:hAnsi="Arial" w:cs="Arial"/>
                          <w:b/>
                          <w:sz w:val="20"/>
                          <w:szCs w:val="20"/>
                        </w:rPr>
                        <w:t xml:space="preserve"> acid</w:t>
                      </w:r>
                    </w:p>
                    <w:p w:rsidR="00330CF1" w:rsidRPr="00A558DB" w:rsidRDefault="00330CF1" w:rsidP="00A558DB">
                      <w:pPr>
                        <w:jc w:val="center"/>
                        <w:rPr>
                          <w:rFonts w:ascii="Arial" w:hAnsi="Arial" w:cs="Arial"/>
                          <w:b/>
                          <w:sz w:val="20"/>
                          <w:szCs w:val="20"/>
                        </w:rPr>
                      </w:pPr>
                      <w:r>
                        <w:rPr>
                          <w:rFonts w:ascii="Arial" w:hAnsi="Arial" w:cs="Arial"/>
                          <w:b/>
                          <w:sz w:val="20"/>
                          <w:szCs w:val="20"/>
                        </w:rPr>
                        <w:t>(</w:t>
                      </w:r>
                      <w:proofErr w:type="gramStart"/>
                      <w:r>
                        <w:rPr>
                          <w:rFonts w:ascii="Arial" w:hAnsi="Arial" w:cs="Arial"/>
                          <w:b/>
                          <w:sz w:val="20"/>
                          <w:szCs w:val="20"/>
                        </w:rPr>
                        <w:t>cysteic</w:t>
                      </w:r>
                      <w:proofErr w:type="gramEnd"/>
                      <w:r>
                        <w:rPr>
                          <w:rFonts w:ascii="Arial" w:hAnsi="Arial" w:cs="Arial"/>
                          <w:b/>
                          <w:sz w:val="20"/>
                          <w:szCs w:val="20"/>
                        </w:rPr>
                        <w:t xml:space="preserve"> acid)</w:t>
                      </w:r>
                    </w:p>
                  </w:txbxContent>
                </v:textbox>
              </v:shape>
            </w:pict>
          </mc:Fallback>
        </mc:AlternateContent>
      </w:r>
      <w:r w:rsidRPr="00834F3C">
        <w:rPr>
          <w:rFonts w:ascii="Arial" w:hAnsi="Arial" w:cs="Arial"/>
          <w:b/>
          <w:noProof/>
        </w:rPr>
        <mc:AlternateContent>
          <mc:Choice Requires="wps">
            <w:drawing>
              <wp:anchor distT="0" distB="0" distL="114300" distR="114300" simplePos="0" relativeHeight="251682816" behindDoc="0" locked="0" layoutInCell="1" allowOverlap="1" wp14:anchorId="21141878" wp14:editId="1AFB839F">
                <wp:simplePos x="0" y="0"/>
                <wp:positionH relativeFrom="column">
                  <wp:posOffset>-5715</wp:posOffset>
                </wp:positionH>
                <wp:positionV relativeFrom="paragraph">
                  <wp:posOffset>-6985</wp:posOffset>
                </wp:positionV>
                <wp:extent cx="2374265" cy="1403985"/>
                <wp:effectExtent l="0" t="0" r="0" b="0"/>
                <wp:wrapNone/>
                <wp:docPr id="20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834F3C" w:rsidRDefault="00330CF1" w:rsidP="00834F3C">
                            <w:pPr>
                              <w:jc w:val="center"/>
                              <w:rPr>
                                <w:rFonts w:ascii="Arial" w:hAnsi="Arial" w:cs="Arial"/>
                                <w:b/>
                                <w:sz w:val="20"/>
                                <w:szCs w:val="20"/>
                              </w:rPr>
                            </w:pPr>
                            <w:r w:rsidRPr="00834F3C">
                              <w:rPr>
                                <w:rFonts w:ascii="Arial" w:hAnsi="Arial" w:cs="Arial"/>
                                <w:b/>
                                <w:sz w:val="20"/>
                                <w:szCs w:val="20"/>
                              </w:rPr>
                              <w:t>Cysteine</w:t>
                            </w:r>
                          </w:p>
                          <w:p w:rsidR="00330CF1" w:rsidRPr="00834F3C" w:rsidRDefault="00330CF1" w:rsidP="00834F3C">
                            <w:pPr>
                              <w:jc w:val="center"/>
                              <w:rPr>
                                <w:rFonts w:ascii="Arial" w:hAnsi="Arial" w:cs="Arial"/>
                                <w:b/>
                                <w:sz w:val="20"/>
                                <w:szCs w:val="20"/>
                              </w:rPr>
                            </w:pPr>
                            <w:r>
                              <w:rPr>
                                <w:rFonts w:ascii="Arial" w:hAnsi="Arial" w:cs="Arial"/>
                                <w:b/>
                                <w:sz w:val="20"/>
                                <w:szCs w:val="20"/>
                              </w:rPr>
                              <w:t>s</w:t>
                            </w:r>
                            <w:r w:rsidRPr="00834F3C">
                              <w:rPr>
                                <w:rFonts w:ascii="Arial" w:hAnsi="Arial" w:cs="Arial"/>
                                <w:b/>
                                <w:sz w:val="20"/>
                                <w:szCs w:val="20"/>
                              </w:rPr>
                              <w:t>ulfenic acid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3" type="#_x0000_t202" style="position:absolute;margin-left:-.45pt;margin-top:-.55pt;width:186.95pt;height:110.55pt;z-index:2516828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" filled="f" stroked="f">
                <v:textbox style="mso-fit-shape-to-text:t">
                  <w:txbxContent>
                    <w:p w:rsidR="00330CF1" w:rsidRPr="00834F3C" w:rsidRDefault="00330CF1" w:rsidP="00834F3C">
                      <w:pPr>
                        <w:jc w:val="center"/>
                        <w:rPr>
                          <w:rFonts w:ascii="Arial" w:hAnsi="Arial" w:cs="Arial"/>
                          <w:b/>
                          <w:sz w:val="20"/>
                          <w:szCs w:val="20"/>
                        </w:rPr>
                      </w:pPr>
                      <w:r w:rsidRPr="00834F3C">
                        <w:rPr>
                          <w:rFonts w:ascii="Arial" w:hAnsi="Arial" w:cs="Arial"/>
                          <w:b/>
                          <w:sz w:val="20"/>
                          <w:szCs w:val="20"/>
                        </w:rPr>
                        <w:t>Cysteine</w:t>
                      </w:r>
                    </w:p>
                    <w:p w:rsidR="00330CF1" w:rsidRPr="00834F3C" w:rsidRDefault="00330CF1" w:rsidP="00834F3C">
                      <w:pPr>
                        <w:jc w:val="center"/>
                        <w:rPr>
                          <w:rFonts w:ascii="Arial" w:hAnsi="Arial" w:cs="Arial"/>
                          <w:b/>
                          <w:sz w:val="20"/>
                          <w:szCs w:val="20"/>
                        </w:rPr>
                      </w:pPr>
                      <w:proofErr w:type="spellStart"/>
                      <w:proofErr w:type="gramStart"/>
                      <w:r>
                        <w:rPr>
                          <w:rFonts w:ascii="Arial" w:hAnsi="Arial" w:cs="Arial"/>
                          <w:b/>
                          <w:sz w:val="20"/>
                          <w:szCs w:val="20"/>
                        </w:rPr>
                        <w:t>s</w:t>
                      </w:r>
                      <w:r w:rsidRPr="00834F3C">
                        <w:rPr>
                          <w:rFonts w:ascii="Arial" w:hAnsi="Arial" w:cs="Arial"/>
                          <w:b/>
                          <w:sz w:val="20"/>
                          <w:szCs w:val="20"/>
                        </w:rPr>
                        <w:t>ulfenic</w:t>
                      </w:r>
                      <w:proofErr w:type="spellEnd"/>
                      <w:proofErr w:type="gramEnd"/>
                      <w:r w:rsidRPr="00834F3C">
                        <w:rPr>
                          <w:rFonts w:ascii="Arial" w:hAnsi="Arial" w:cs="Arial"/>
                          <w:b/>
                          <w:sz w:val="20"/>
                          <w:szCs w:val="20"/>
                        </w:rPr>
                        <w:t xml:space="preserve"> acid</w:t>
                      </w:r>
                    </w:p>
                  </w:txbxContent>
                </v:textbox>
              </v:shape>
            </w:pict>
          </mc:Fallback>
        </mc:AlternateContent>
      </w:r>
    </w:p>
    <w:p w:rsidR="00330CF1" w:rsidRDefault="00330CF1" w:rsidP="00D53003">
      <w:pPr>
        <w:pStyle w:val="NormalWeb"/>
        <w:spacing w:before="0" w:beforeAutospacing="0" w:after="0" w:afterAutospacing="0"/>
        <w:rPr>
          <w:rFonts w:ascii="Arial" w:hAnsi="Arial" w:cs="Arial"/>
          <w:b/>
        </w:rPr>
      </w:pPr>
    </w:p>
    <w:p w:rsidR="00330CF1" w:rsidRDefault="00330CF1" w:rsidP="00D53003">
      <w:pPr>
        <w:pStyle w:val="NormalWeb"/>
        <w:spacing w:before="0" w:beforeAutospacing="0" w:after="0" w:afterAutospacing="0"/>
        <w:rPr>
          <w:rFonts w:ascii="Arial" w:hAnsi="Arial" w:cs="Arial"/>
          <w:b/>
        </w:rPr>
      </w:pPr>
    </w:p>
    <w:p w:rsidR="00330CF1" w:rsidRDefault="00330CF1" w:rsidP="00D53003">
      <w:pPr>
        <w:pStyle w:val="NormalWeb"/>
        <w:spacing w:before="0" w:beforeAutospacing="0" w:after="0" w:afterAutospacing="0"/>
        <w:rPr>
          <w:rFonts w:ascii="Arial" w:hAnsi="Arial" w:cs="Arial"/>
          <w:b/>
        </w:rPr>
      </w:pPr>
    </w:p>
    <w:p w:rsidR="00330CF1" w:rsidRDefault="00330CF1" w:rsidP="00D53003">
      <w:pPr>
        <w:pStyle w:val="NormalWeb"/>
        <w:spacing w:before="0" w:beforeAutospacing="0" w:after="0" w:afterAutospacing="0"/>
        <w:rPr>
          <w:rFonts w:ascii="Arial" w:eastAsiaTheme="minorEastAsia" w:hAnsi="Arial" w:cs="Arial"/>
          <w:color w:val="000000" w:themeColor="text1"/>
          <w:kern w:val="24"/>
        </w:rPr>
      </w:pPr>
      <w:r w:rsidRPr="00D53003">
        <w:rPr>
          <w:rFonts w:ascii="Arial" w:eastAsiaTheme="minorEastAsia" w:hAnsi="Arial" w:cs="Arial"/>
          <w:b/>
          <w:color w:val="000000" w:themeColor="text1"/>
          <w:kern w:val="24"/>
        </w:rPr>
        <w:t>Figure 1.12</w:t>
      </w:r>
      <w:r w:rsidRPr="00D53003">
        <w:rPr>
          <w:rFonts w:ascii="Arial" w:eastAsiaTheme="minorEastAsia" w:hAnsi="Arial" w:cs="Arial"/>
          <w:color w:val="000000" w:themeColor="text1"/>
          <w:kern w:val="24"/>
        </w:rPr>
        <w:t xml:space="preserve"> Methionine, cysteine, and cystine oxidation.  Methionine is easily oxidized to methionine sulfoxide by various peroxides.  Under strong oxidizing conditions, methionine sulfoxide is further oxidized to methionine sulfone.   At acidic pH, oxidation of cysteine and cystine results in formation of several intermediate oxidation products.  Cystine mono- or disulfone, cysteine sulfinic acid, and cysteic acid are not biologically available.  </w:t>
      </w:r>
    </w:p>
    <w:p w:rsidR="00330CF1" w:rsidRPr="00C7710E" w:rsidRDefault="00330CF1" w:rsidP="00C7710E">
      <w:pPr>
        <w:pStyle w:val="NormalWeb"/>
        <w:spacing w:before="0" w:beforeAutospacing="0" w:after="0" w:afterAutospacing="0"/>
        <w:rPr>
          <w:rFonts w:ascii="Arial" w:hAnsi="Arial" w:cs="Arial"/>
          <w:b/>
        </w:rPr>
      </w:pPr>
      <w:r w:rsidRPr="004E3CA6">
        <w:rPr>
          <w:rFonts w:ascii="Arial" w:eastAsiaTheme="minorEastAsia" w:hAnsi="Arial" w:cs="Arial"/>
          <w:b/>
          <w:i/>
          <w:color w:val="000000" w:themeColor="text1"/>
          <w:kern w:val="24"/>
        </w:rPr>
        <w:t>Source:</w:t>
      </w:r>
      <w:r>
        <w:rPr>
          <w:rFonts w:ascii="Arial" w:eastAsiaTheme="minorEastAsia" w:hAnsi="Arial" w:cs="Arial"/>
          <w:b/>
          <w:color w:val="000000" w:themeColor="text1"/>
          <w:kern w:val="24"/>
        </w:rPr>
        <w:t xml:space="preserve">  </w:t>
      </w:r>
      <w:r>
        <w:rPr>
          <w:rFonts w:ascii="Arial" w:eastAsiaTheme="minorEastAsia" w:hAnsi="Arial" w:cs="Arial"/>
          <w:color w:val="000000" w:themeColor="text1"/>
          <w:kern w:val="24"/>
        </w:rPr>
        <w:t>F</w:t>
      </w:r>
      <w:r>
        <w:rPr>
          <w:rFonts w:ascii="Arial" w:hAnsi="Arial" w:cs="Arial"/>
        </w:rPr>
        <w:t xml:space="preserve">rom Damodaran, S. </w:t>
      </w:r>
      <w:r>
        <w:rPr>
          <w:rFonts w:ascii="Arial" w:hAnsi="Arial" w:cs="Arial"/>
          <w:i/>
        </w:rPr>
        <w:t xml:space="preserve">Amino Acids, Peptides and Proteins </w:t>
      </w:r>
      <w:r>
        <w:rPr>
          <w:rFonts w:ascii="Arial" w:hAnsi="Arial" w:cs="Arial"/>
        </w:rPr>
        <w:t xml:space="preserve">in </w:t>
      </w:r>
      <w:r>
        <w:rPr>
          <w:rFonts w:ascii="Arial" w:hAnsi="Arial" w:cs="Arial"/>
          <w:u w:val="single"/>
        </w:rPr>
        <w:t>Food Chemistry 3</w:t>
      </w:r>
      <w:r w:rsidRPr="00B51DF6">
        <w:rPr>
          <w:rFonts w:ascii="Arial" w:hAnsi="Arial" w:cs="Arial"/>
          <w:u w:val="single"/>
          <w:vertAlign w:val="superscript"/>
        </w:rPr>
        <w:t>rd</w:t>
      </w:r>
      <w:r>
        <w:rPr>
          <w:rFonts w:ascii="Arial" w:hAnsi="Arial" w:cs="Arial"/>
          <w:u w:val="single"/>
        </w:rPr>
        <w:t xml:space="preserve"> Edition</w:t>
      </w:r>
      <w:r>
        <w:rPr>
          <w:rFonts w:ascii="Arial" w:hAnsi="Arial" w:cs="Arial"/>
        </w:rPr>
        <w:t>, O.R.Fennema, Editor.  1996, Marcel Dekker, Inc.: New York, NY p. 410</w:t>
      </w:r>
    </w:p>
    <w:p w:rsidR="00330CF1" w:rsidRDefault="00330CF1" w:rsidP="00D53003">
      <w:pPr>
        <w:autoSpaceDE w:val="0"/>
        <w:autoSpaceDN w:val="0"/>
        <w:adjustRightInd w:val="0"/>
        <w:rPr>
          <w:rFonts w:ascii="Arial" w:hAnsi="Arial" w:cs="Arial"/>
        </w:rPr>
      </w:pPr>
    </w:p>
    <w:p w:rsidR="00330CF1" w:rsidRDefault="00330CF1" w:rsidP="00D53003">
      <w:pPr>
        <w:autoSpaceDE w:val="0"/>
        <w:autoSpaceDN w:val="0"/>
        <w:adjustRightInd w:val="0"/>
        <w:rPr>
          <w:rFonts w:ascii="Arial" w:hAnsi="Arial" w:cs="Arial"/>
        </w:rPr>
      </w:pPr>
    </w:p>
    <w:p w:rsidR="00330CF1" w:rsidRDefault="00330CF1" w:rsidP="00D53003">
      <w:pPr>
        <w:autoSpaceDE w:val="0"/>
        <w:autoSpaceDN w:val="0"/>
        <w:adjustRightInd w:val="0"/>
        <w:rPr>
          <w:rFonts w:ascii="Arial" w:hAnsi="Arial" w:cs="Arial"/>
        </w:rPr>
      </w:pPr>
    </w:p>
    <w:p w:rsidR="00330CF1" w:rsidRDefault="00330CF1" w:rsidP="00D53003">
      <w:pPr>
        <w:autoSpaceDE w:val="0"/>
        <w:autoSpaceDN w:val="0"/>
        <w:adjustRightInd w:val="0"/>
        <w:rPr>
          <w:rFonts w:ascii="Arial" w:hAnsi="Arial" w:cs="Arial"/>
        </w:rPr>
      </w:pPr>
      <w:r>
        <w:rPr>
          <w:rFonts w:ascii="Arial" w:hAnsi="Arial" w:cs="Arial"/>
        </w:rPr>
        <w:lastRenderedPageBreak/>
        <w:t xml:space="preserve">     Tyrosine is also susceptible to oxidation.  Figure 1.13 diagrams oxidation of tyrosine. Exposure of tyrosine to oxidizing agents results in the formation of dityrosine crosslinks.  Exposure of tyrosine to the enzyme polyphenol oxidase results in the hydroxylation of tyrosine to DOPA (dihydroxyphenylalanine) and phenols such as dopaquinones.</w:t>
      </w:r>
      <w:r>
        <w:rPr>
          <w:rFonts w:ascii="Arial" w:hAnsi="Arial" w:cs="Arial"/>
          <w:noProof/>
        </w:rPr>
        <w:t>[224]</w:t>
      </w:r>
      <w:r>
        <w:rPr>
          <w:rFonts w:ascii="Arial" w:hAnsi="Arial" w:cs="Arial"/>
        </w:rPr>
        <w:t xml:space="preserve"> </w:t>
      </w:r>
      <w:r w:rsidRPr="00C974E5">
        <w:rPr>
          <w:rFonts w:ascii="Arial" w:eastAsiaTheme="minorEastAsia" w:hAnsi="Arial" w:cs="Arial"/>
          <w:color w:val="000000" w:themeColor="text1"/>
          <w:kern w:val="24"/>
        </w:rPr>
        <w:t>Quinones can then undergo further oxidation to brown melanin pigments or participate in additional polymerization reactions with protein functional groups to form cross-linked proteins</w:t>
      </w:r>
      <w:r>
        <w:rPr>
          <w:rFonts w:ascii="Arial" w:eastAsiaTheme="minorEastAsia" w:hAnsi="Arial" w:cs="Arial"/>
          <w:color w:val="000000" w:themeColor="text1"/>
          <w:kern w:val="24"/>
        </w:rPr>
        <w:t>.</w:t>
      </w:r>
    </w:p>
    <w:p w:rsidR="00330CF1" w:rsidRDefault="00330CF1" w:rsidP="00433BD1">
      <w:pPr>
        <w:autoSpaceDE w:val="0"/>
        <w:autoSpaceDN w:val="0"/>
        <w:adjustRightInd w:val="0"/>
        <w:rPr>
          <w:rFonts w:ascii="Arial" w:hAnsi="Arial" w:cs="Arial"/>
        </w:rPr>
      </w:pPr>
    </w:p>
    <w:p w:rsidR="00330CF1" w:rsidRDefault="00330CF1" w:rsidP="00D53003">
      <w:pPr>
        <w:autoSpaceDE w:val="0"/>
        <w:autoSpaceDN w:val="0"/>
        <w:adjustRightInd w:val="0"/>
        <w:jc w:val="center"/>
        <w:rPr>
          <w:rFonts w:ascii="Arial" w:hAnsi="Arial" w:cs="Arial"/>
        </w:rPr>
      </w:pPr>
      <w:r w:rsidRPr="00A558DB">
        <w:rPr>
          <w:rFonts w:ascii="Arial" w:hAnsi="Arial" w:cs="Arial"/>
          <w:noProof/>
        </w:rPr>
        <mc:AlternateContent>
          <mc:Choice Requires="wps">
            <w:drawing>
              <wp:anchor distT="0" distB="0" distL="114300" distR="114300" simplePos="0" relativeHeight="251688960" behindDoc="0" locked="0" layoutInCell="1" allowOverlap="1" wp14:anchorId="3DF51DF0" wp14:editId="7F8A5C59">
                <wp:simplePos x="0" y="0"/>
                <wp:positionH relativeFrom="column">
                  <wp:posOffset>405765</wp:posOffset>
                </wp:positionH>
                <wp:positionV relativeFrom="paragraph">
                  <wp:posOffset>2385003</wp:posOffset>
                </wp:positionV>
                <wp:extent cx="2374265" cy="1403985"/>
                <wp:effectExtent l="0" t="0" r="0" b="0"/>
                <wp:wrapNone/>
                <wp:docPr id="20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A558DB" w:rsidRDefault="00330CF1" w:rsidP="00A558DB">
                            <w:pPr>
                              <w:jc w:val="center"/>
                              <w:rPr>
                                <w:rFonts w:ascii="Arial" w:hAnsi="Arial" w:cs="Arial"/>
                                <w:b/>
                              </w:rPr>
                            </w:pPr>
                            <w:r w:rsidRPr="00A558DB">
                              <w:rPr>
                                <w:rFonts w:ascii="Arial" w:hAnsi="Arial" w:cs="Arial"/>
                                <w:b/>
                              </w:rPr>
                              <w:t>Tyrosine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4" type="#_x0000_t202" style="position:absolute;left:0;text-align:left;margin-left:31.95pt;margin-top:187.8pt;width:186.95pt;height:110.55pt;z-index:2516889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" filled="f" stroked="f">
                <v:textbox style="mso-fit-shape-to-text:t">
                  <w:txbxContent>
                    <w:p w:rsidR="00330CF1" w:rsidRPr="00A558DB" w:rsidRDefault="00330CF1" w:rsidP="00A558DB">
                      <w:pPr>
                        <w:jc w:val="center"/>
                        <w:rPr>
                          <w:rFonts w:ascii="Arial" w:hAnsi="Arial" w:cs="Arial"/>
                          <w:b/>
                        </w:rPr>
                      </w:pPr>
                      <w:r w:rsidRPr="00A558DB">
                        <w:rPr>
                          <w:rFonts w:ascii="Arial" w:hAnsi="Arial" w:cs="Arial"/>
                          <w:b/>
                        </w:rPr>
                        <w:t>Tyrosine</w:t>
                      </w:r>
                    </w:p>
                  </w:txbxContent>
                </v:textbox>
              </v:shape>
            </w:pict>
          </mc:Fallback>
        </mc:AlternateContent>
      </w:r>
      <w:r>
        <w:rPr>
          <w:noProof/>
        </w:rPr>
        <w:drawing>
          <wp:inline distT="0" distB="0" distL="0" distR="0" wp14:anchorId="7A05AC34" wp14:editId="46AC3A0E">
            <wp:extent cx="3276600" cy="2657958"/>
            <wp:effectExtent l="0" t="0" r="0" b="9525"/>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76600" cy="2657958"/>
                    </a:xfrm>
                    <a:prstGeom prst="rect">
                      <a:avLst/>
                    </a:prstGeom>
                  </pic:spPr>
                </pic:pic>
              </a:graphicData>
            </a:graphic>
          </wp:inline>
        </w:drawing>
      </w:r>
    </w:p>
    <w:p w:rsidR="00330CF1" w:rsidRDefault="00330CF1" w:rsidP="00D53003">
      <w:pPr>
        <w:autoSpaceDE w:val="0"/>
        <w:autoSpaceDN w:val="0"/>
        <w:adjustRightInd w:val="0"/>
        <w:jc w:val="center"/>
        <w:rPr>
          <w:rFonts w:ascii="Arial" w:hAnsi="Arial" w:cs="Arial"/>
        </w:rPr>
      </w:pPr>
      <w:r w:rsidRPr="00A558DB">
        <w:rPr>
          <w:rFonts w:ascii="Arial" w:hAnsi="Arial" w:cs="Arial"/>
          <w:noProof/>
        </w:rPr>
        <mc:AlternateContent>
          <mc:Choice Requires="wps">
            <w:drawing>
              <wp:anchor distT="0" distB="0" distL="114300" distR="114300" simplePos="0" relativeHeight="251689984" behindDoc="0" locked="0" layoutInCell="1" allowOverlap="1" wp14:anchorId="583C0BF8" wp14:editId="12A3FD9E">
                <wp:simplePos x="0" y="0"/>
                <wp:positionH relativeFrom="column">
                  <wp:posOffset>3067050</wp:posOffset>
                </wp:positionH>
                <wp:positionV relativeFrom="paragraph">
                  <wp:posOffset>585</wp:posOffset>
                </wp:positionV>
                <wp:extent cx="2374265" cy="1403985"/>
                <wp:effectExtent l="0" t="0" r="0" b="0"/>
                <wp:wrapNone/>
                <wp:docPr id="20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A558DB" w:rsidRDefault="00330CF1" w:rsidP="00A558DB">
                            <w:pPr>
                              <w:jc w:val="center"/>
                              <w:rPr>
                                <w:rFonts w:ascii="Arial" w:hAnsi="Arial" w:cs="Arial"/>
                                <w:b/>
                              </w:rPr>
                            </w:pPr>
                            <w:r w:rsidRPr="00A558DB">
                              <w:rPr>
                                <w:rFonts w:ascii="Arial" w:hAnsi="Arial" w:cs="Arial"/>
                                <w:b/>
                              </w:rPr>
                              <w:t>Dityrosine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5" type="#_x0000_t202" style="position:absolute;left:0;text-align:left;margin-left:241.5pt;margin-top:.05pt;width:186.95pt;height:110.55pt;z-index:2516899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" filled="f" stroked="f">
                <v:textbox style="mso-fit-shape-to-text:t">
                  <w:txbxContent>
                    <w:p w:rsidR="00330CF1" w:rsidRPr="00A558DB" w:rsidRDefault="00330CF1" w:rsidP="00A558DB">
                      <w:pPr>
                        <w:jc w:val="center"/>
                        <w:rPr>
                          <w:rFonts w:ascii="Arial" w:hAnsi="Arial" w:cs="Arial"/>
                          <w:b/>
                        </w:rPr>
                      </w:pPr>
                      <w:r w:rsidRPr="00A558DB">
                        <w:rPr>
                          <w:rFonts w:ascii="Arial" w:hAnsi="Arial" w:cs="Arial"/>
                          <w:b/>
                        </w:rPr>
                        <w:t>Dityrosine</w:t>
                      </w:r>
                    </w:p>
                  </w:txbxContent>
                </v:textbox>
              </v:shape>
            </w:pict>
          </mc:Fallback>
        </mc:AlternateContent>
      </w:r>
    </w:p>
    <w:p w:rsidR="00330CF1" w:rsidRDefault="00330CF1" w:rsidP="00D53003">
      <w:pPr>
        <w:autoSpaceDE w:val="0"/>
        <w:autoSpaceDN w:val="0"/>
        <w:adjustRightInd w:val="0"/>
        <w:jc w:val="center"/>
        <w:rPr>
          <w:rFonts w:ascii="Arial" w:hAnsi="Arial" w:cs="Arial"/>
        </w:rPr>
      </w:pPr>
    </w:p>
    <w:p w:rsidR="00330CF1" w:rsidRDefault="00330CF1" w:rsidP="00D53003">
      <w:pPr>
        <w:autoSpaceDE w:val="0"/>
        <w:autoSpaceDN w:val="0"/>
        <w:adjustRightInd w:val="0"/>
        <w:jc w:val="center"/>
        <w:rPr>
          <w:rFonts w:ascii="Arial" w:hAnsi="Arial" w:cs="Arial"/>
        </w:rPr>
      </w:pPr>
    </w:p>
    <w:p w:rsidR="00330CF1" w:rsidRDefault="00330CF1" w:rsidP="00D53003">
      <w:pPr>
        <w:autoSpaceDE w:val="0"/>
        <w:autoSpaceDN w:val="0"/>
        <w:adjustRightInd w:val="0"/>
        <w:jc w:val="center"/>
        <w:rPr>
          <w:rFonts w:ascii="Arial" w:hAnsi="Arial" w:cs="Arial"/>
        </w:rPr>
      </w:pPr>
      <w:r>
        <w:rPr>
          <w:noProof/>
        </w:rPr>
        <w:drawing>
          <wp:inline distT="0" distB="0" distL="0" distR="0" wp14:anchorId="384545AE" wp14:editId="548EEF4A">
            <wp:extent cx="5486400" cy="1497037"/>
            <wp:effectExtent l="0" t="0" r="0" b="8255"/>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86400" cy="1497037"/>
                    </a:xfrm>
                    <a:prstGeom prst="rect">
                      <a:avLst/>
                    </a:prstGeom>
                  </pic:spPr>
                </pic:pic>
              </a:graphicData>
            </a:graphic>
          </wp:inline>
        </w:drawing>
      </w:r>
    </w:p>
    <w:p w:rsidR="00330CF1" w:rsidRDefault="00330CF1" w:rsidP="00D53003">
      <w:pPr>
        <w:autoSpaceDE w:val="0"/>
        <w:autoSpaceDN w:val="0"/>
        <w:adjustRightInd w:val="0"/>
        <w:jc w:val="center"/>
        <w:rPr>
          <w:rFonts w:ascii="Arial" w:hAnsi="Arial" w:cs="Arial"/>
        </w:rPr>
      </w:pPr>
      <w:r w:rsidRPr="00A558DB">
        <w:rPr>
          <w:rFonts w:ascii="Arial" w:hAnsi="Arial" w:cs="Arial"/>
          <w:noProof/>
        </w:rPr>
        <mc:AlternateContent>
          <mc:Choice Requires="wps">
            <w:drawing>
              <wp:anchor distT="0" distB="0" distL="114300" distR="114300" simplePos="0" relativeHeight="251693056" behindDoc="0" locked="0" layoutInCell="1" allowOverlap="1" wp14:anchorId="0A7EC3E0" wp14:editId="3C2D219F">
                <wp:simplePos x="0" y="0"/>
                <wp:positionH relativeFrom="column">
                  <wp:posOffset>4006979</wp:posOffset>
                </wp:positionH>
                <wp:positionV relativeFrom="paragraph">
                  <wp:posOffset>70207</wp:posOffset>
                </wp:positionV>
                <wp:extent cx="2374265" cy="1403985"/>
                <wp:effectExtent l="0" t="0" r="0" b="0"/>
                <wp:wrapNone/>
                <wp:docPr id="20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A558DB" w:rsidRDefault="00330CF1" w:rsidP="00A558DB">
                            <w:pPr>
                              <w:jc w:val="center"/>
                              <w:rPr>
                                <w:rFonts w:ascii="Arial" w:hAnsi="Arial" w:cs="Arial"/>
                                <w:b/>
                              </w:rPr>
                            </w:pPr>
                            <w:r w:rsidRPr="00A558DB">
                              <w:rPr>
                                <w:rFonts w:ascii="Arial" w:hAnsi="Arial" w:cs="Arial"/>
                                <w:b/>
                              </w:rPr>
                              <w:t>dopaquinone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6" type="#_x0000_t202" style="position:absolute;left:0;text-align:left;margin-left:315.5pt;margin-top:5.55pt;width:186.95pt;height:110.55pt;z-index:2516930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" filled="f" stroked="f">
                <v:textbox style="mso-fit-shape-to-text:t">
                  <w:txbxContent>
                    <w:p w:rsidR="00330CF1" w:rsidRPr="00A558DB" w:rsidRDefault="00330CF1" w:rsidP="00A558DB">
                      <w:pPr>
                        <w:jc w:val="center"/>
                        <w:rPr>
                          <w:rFonts w:ascii="Arial" w:hAnsi="Arial" w:cs="Arial"/>
                          <w:b/>
                        </w:rPr>
                      </w:pPr>
                      <w:proofErr w:type="gramStart"/>
                      <w:r w:rsidRPr="00A558DB">
                        <w:rPr>
                          <w:rFonts w:ascii="Arial" w:hAnsi="Arial" w:cs="Arial"/>
                          <w:b/>
                        </w:rPr>
                        <w:t>dopaquinone</w:t>
                      </w:r>
                      <w:proofErr w:type="gramEnd"/>
                    </w:p>
                  </w:txbxContent>
                </v:textbox>
              </v:shape>
            </w:pict>
          </mc:Fallback>
        </mc:AlternateContent>
      </w:r>
      <w:r w:rsidRPr="00A558DB">
        <w:rPr>
          <w:rFonts w:ascii="Arial" w:hAnsi="Arial" w:cs="Arial"/>
          <w:noProof/>
        </w:rPr>
        <mc:AlternateContent>
          <mc:Choice Requires="wps">
            <w:drawing>
              <wp:anchor distT="0" distB="0" distL="114300" distR="114300" simplePos="0" relativeHeight="251692032" behindDoc="0" locked="0" layoutInCell="1" allowOverlap="1" wp14:anchorId="2A6FA1E9" wp14:editId="17A3369F">
                <wp:simplePos x="0" y="0"/>
                <wp:positionH relativeFrom="column">
                  <wp:posOffset>2101215</wp:posOffset>
                </wp:positionH>
                <wp:positionV relativeFrom="paragraph">
                  <wp:posOffset>62280</wp:posOffset>
                </wp:positionV>
                <wp:extent cx="2374265" cy="1403985"/>
                <wp:effectExtent l="0" t="0" r="0" b="0"/>
                <wp:wrapNone/>
                <wp:docPr id="20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A558DB" w:rsidRDefault="00330CF1" w:rsidP="00A558DB">
                            <w:pPr>
                              <w:jc w:val="center"/>
                              <w:rPr>
                                <w:rFonts w:ascii="Arial" w:hAnsi="Arial" w:cs="Arial"/>
                                <w:b/>
                              </w:rPr>
                            </w:pPr>
                            <w:r w:rsidRPr="00A558DB">
                              <w:rPr>
                                <w:rFonts w:ascii="Arial" w:hAnsi="Arial" w:cs="Arial"/>
                                <w:b/>
                              </w:rPr>
                              <w:t>DOPA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7" type="#_x0000_t202" style="position:absolute;left:0;text-align:left;margin-left:165.45pt;margin-top:4.9pt;width:186.95pt;height:110.55pt;z-index:2516920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" filled="f" stroked="f">
                <v:textbox style="mso-fit-shape-to-text:t">
                  <w:txbxContent>
                    <w:p w:rsidR="00330CF1" w:rsidRPr="00A558DB" w:rsidRDefault="00330CF1" w:rsidP="00A558DB">
                      <w:pPr>
                        <w:jc w:val="center"/>
                        <w:rPr>
                          <w:rFonts w:ascii="Arial" w:hAnsi="Arial" w:cs="Arial"/>
                          <w:b/>
                        </w:rPr>
                      </w:pPr>
                      <w:r w:rsidRPr="00A558DB">
                        <w:rPr>
                          <w:rFonts w:ascii="Arial" w:hAnsi="Arial" w:cs="Arial"/>
                          <w:b/>
                        </w:rPr>
                        <w:t>DOPA</w:t>
                      </w:r>
                    </w:p>
                  </w:txbxContent>
                </v:textbox>
              </v:shape>
            </w:pict>
          </mc:Fallback>
        </mc:AlternateContent>
      </w:r>
      <w:r w:rsidRPr="00A558DB">
        <w:rPr>
          <w:rFonts w:ascii="Arial" w:hAnsi="Arial" w:cs="Arial"/>
          <w:noProof/>
        </w:rPr>
        <mc:AlternateContent>
          <mc:Choice Requires="wps">
            <w:drawing>
              <wp:anchor distT="0" distB="0" distL="114300" distR="114300" simplePos="0" relativeHeight="251691008" behindDoc="0" locked="0" layoutInCell="1" allowOverlap="1" wp14:anchorId="6B733678" wp14:editId="3DFD8916">
                <wp:simplePos x="0" y="0"/>
                <wp:positionH relativeFrom="column">
                  <wp:posOffset>220345</wp:posOffset>
                </wp:positionH>
                <wp:positionV relativeFrom="paragraph">
                  <wp:posOffset>62230</wp:posOffset>
                </wp:positionV>
                <wp:extent cx="2374265" cy="1403985"/>
                <wp:effectExtent l="0" t="0" r="0" b="0"/>
                <wp:wrapNone/>
                <wp:docPr id="20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A558DB" w:rsidRDefault="00330CF1" w:rsidP="00A558DB">
                            <w:pPr>
                              <w:jc w:val="center"/>
                              <w:rPr>
                                <w:rFonts w:ascii="Arial" w:hAnsi="Arial" w:cs="Arial"/>
                                <w:b/>
                              </w:rPr>
                            </w:pPr>
                            <w:r w:rsidRPr="00A558DB">
                              <w:rPr>
                                <w:rFonts w:ascii="Arial" w:hAnsi="Arial" w:cs="Arial"/>
                                <w:b/>
                              </w:rPr>
                              <w:t>Tyrosine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8" type="#_x0000_t202" style="position:absolute;left:0;text-align:left;margin-left:17.35pt;margin-top:4.9pt;width:186.95pt;height:110.55pt;z-index:2516910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" filled="f" stroked="f">
                <v:textbox style="mso-fit-shape-to-text:t">
                  <w:txbxContent>
                    <w:p w:rsidR="00330CF1" w:rsidRPr="00A558DB" w:rsidRDefault="00330CF1" w:rsidP="00A558DB">
                      <w:pPr>
                        <w:jc w:val="center"/>
                        <w:rPr>
                          <w:rFonts w:ascii="Arial" w:hAnsi="Arial" w:cs="Arial"/>
                          <w:b/>
                        </w:rPr>
                      </w:pPr>
                      <w:r w:rsidRPr="00A558DB">
                        <w:rPr>
                          <w:rFonts w:ascii="Arial" w:hAnsi="Arial" w:cs="Arial"/>
                          <w:b/>
                        </w:rPr>
                        <w:t>Tyrosine</w:t>
                      </w:r>
                    </w:p>
                  </w:txbxContent>
                </v:textbox>
              </v:shape>
            </w:pict>
          </mc:Fallback>
        </mc:AlternateContent>
      </w:r>
    </w:p>
    <w:p w:rsidR="00330CF1" w:rsidRDefault="00330CF1" w:rsidP="00D53003">
      <w:pPr>
        <w:autoSpaceDE w:val="0"/>
        <w:autoSpaceDN w:val="0"/>
        <w:adjustRightInd w:val="0"/>
        <w:jc w:val="center"/>
        <w:rPr>
          <w:rFonts w:ascii="Arial" w:hAnsi="Arial" w:cs="Arial"/>
        </w:rPr>
      </w:pPr>
    </w:p>
    <w:p w:rsidR="00330CF1" w:rsidRDefault="00330CF1" w:rsidP="00D53003">
      <w:pPr>
        <w:autoSpaceDE w:val="0"/>
        <w:autoSpaceDN w:val="0"/>
        <w:adjustRightInd w:val="0"/>
        <w:jc w:val="center"/>
        <w:rPr>
          <w:rFonts w:ascii="Arial" w:hAnsi="Arial" w:cs="Arial"/>
        </w:rPr>
      </w:pPr>
    </w:p>
    <w:p w:rsidR="00330CF1" w:rsidRDefault="00330CF1" w:rsidP="00C974E5">
      <w:pPr>
        <w:autoSpaceDE w:val="0"/>
        <w:autoSpaceDN w:val="0"/>
        <w:adjustRightInd w:val="0"/>
        <w:rPr>
          <w:rFonts w:ascii="Arial" w:eastAsiaTheme="minorEastAsia" w:hAnsi="Arial" w:cs="Arial"/>
          <w:color w:val="000000" w:themeColor="text1"/>
          <w:kern w:val="24"/>
        </w:rPr>
      </w:pPr>
      <w:r w:rsidRPr="00DD35B8">
        <w:rPr>
          <w:rFonts w:ascii="Arial" w:eastAsiaTheme="minorEastAsia" w:hAnsi="Arial" w:cs="Arial"/>
          <w:b/>
        </w:rPr>
        <w:t>Figure 1.13</w:t>
      </w:r>
      <w:r w:rsidRPr="00BD171C">
        <w:rPr>
          <w:rFonts w:ascii="Arial" w:eastAsiaTheme="minorEastAsia" w:hAnsi="Arial" w:cs="Arial"/>
        </w:rPr>
        <w:t xml:space="preserve"> Tyrosine oxidation.  a) Exposure of tyrosine to H2O2 or peroxidases results in oxidation of tyrosine to dityrosine. b) The enzyme polyphenol oxidase catalyzes two</w:t>
      </w:r>
      <w:r w:rsidRPr="00C974E5">
        <w:rPr>
          <w:rFonts w:ascii="Arial" w:eastAsiaTheme="minorEastAsia" w:hAnsi="Arial" w:cs="Arial"/>
          <w:color w:val="000000" w:themeColor="text1"/>
          <w:kern w:val="24"/>
        </w:rPr>
        <w:t xml:space="preserve"> reactions- hydroxylation of tyrosine to dihydroxyphenylalanine (DOPA) and </w:t>
      </w:r>
      <w:r>
        <w:rPr>
          <w:rFonts w:ascii="Arial" w:eastAsiaTheme="minorEastAsia" w:hAnsi="Arial" w:cs="Arial"/>
          <w:color w:val="000000" w:themeColor="text1"/>
          <w:kern w:val="24"/>
        </w:rPr>
        <w:t>oxidation of DOPA to quinones.</w:t>
      </w:r>
    </w:p>
    <w:p w:rsidR="00330CF1" w:rsidRPr="00B51DF6" w:rsidRDefault="00330CF1" w:rsidP="00C7710E">
      <w:pPr>
        <w:pStyle w:val="NormalWeb"/>
        <w:spacing w:before="0" w:beforeAutospacing="0" w:after="0" w:afterAutospacing="0"/>
        <w:rPr>
          <w:rFonts w:ascii="Arial" w:hAnsi="Arial" w:cs="Arial"/>
          <w:b/>
        </w:rPr>
      </w:pPr>
      <w:r w:rsidRPr="004E3CA6">
        <w:rPr>
          <w:rFonts w:ascii="Arial" w:eastAsiaTheme="minorEastAsia" w:hAnsi="Arial" w:cs="Arial"/>
          <w:b/>
          <w:i/>
          <w:color w:val="000000" w:themeColor="text1"/>
          <w:kern w:val="24"/>
        </w:rPr>
        <w:t>Sources</w:t>
      </w:r>
      <w:r w:rsidRPr="004E3CA6">
        <w:rPr>
          <w:rFonts w:ascii="Arial" w:eastAsiaTheme="minorEastAsia" w:hAnsi="Arial" w:cs="Arial"/>
          <w:i/>
          <w:color w:val="000000" w:themeColor="text1"/>
          <w:kern w:val="24"/>
        </w:rPr>
        <w:t>:</w:t>
      </w:r>
      <w:r>
        <w:rPr>
          <w:rFonts w:ascii="Arial" w:eastAsiaTheme="minorEastAsia" w:hAnsi="Arial" w:cs="Arial"/>
          <w:color w:val="000000" w:themeColor="text1"/>
          <w:kern w:val="24"/>
        </w:rPr>
        <w:t xml:space="preserve"> Adapted from </w:t>
      </w:r>
      <w:r>
        <w:rPr>
          <w:rFonts w:ascii="Arial" w:hAnsi="Arial" w:cs="Arial"/>
        </w:rPr>
        <w:t xml:space="preserve">Damodaran, S. </w:t>
      </w:r>
      <w:r>
        <w:rPr>
          <w:rFonts w:ascii="Arial" w:hAnsi="Arial" w:cs="Arial"/>
          <w:i/>
        </w:rPr>
        <w:t xml:space="preserve">Amino Acids, Peptides and Proteins </w:t>
      </w:r>
      <w:r>
        <w:rPr>
          <w:rFonts w:ascii="Arial" w:hAnsi="Arial" w:cs="Arial"/>
        </w:rPr>
        <w:t xml:space="preserve">in </w:t>
      </w:r>
      <w:r>
        <w:rPr>
          <w:rFonts w:ascii="Arial" w:hAnsi="Arial" w:cs="Arial"/>
          <w:u w:val="single"/>
        </w:rPr>
        <w:t>Food Chemistry 3</w:t>
      </w:r>
      <w:r w:rsidRPr="00B51DF6">
        <w:rPr>
          <w:rFonts w:ascii="Arial" w:hAnsi="Arial" w:cs="Arial"/>
          <w:u w:val="single"/>
          <w:vertAlign w:val="superscript"/>
        </w:rPr>
        <w:t>rd</w:t>
      </w:r>
      <w:r>
        <w:rPr>
          <w:rFonts w:ascii="Arial" w:hAnsi="Arial" w:cs="Arial"/>
          <w:u w:val="single"/>
        </w:rPr>
        <w:t xml:space="preserve"> Edition</w:t>
      </w:r>
      <w:r>
        <w:rPr>
          <w:rFonts w:ascii="Arial" w:hAnsi="Arial" w:cs="Arial"/>
        </w:rPr>
        <w:t xml:space="preserve">, O.R.Fennema, Editor.  1996, Marcel Dekker, Inc.: New York, NY p. 412.  And  Friedman, M. </w:t>
      </w:r>
      <w:r>
        <w:rPr>
          <w:rFonts w:ascii="Arial" w:hAnsi="Arial" w:cs="Arial"/>
          <w:i/>
        </w:rPr>
        <w:t xml:space="preserve">Food Browning and Its Prevention: An Overview. </w:t>
      </w:r>
      <w:r>
        <w:rPr>
          <w:rFonts w:ascii="Arial" w:hAnsi="Arial" w:cs="Arial"/>
        </w:rPr>
        <w:t>J. Agric Food Chem. 1996. 44(3): p. 638.</w:t>
      </w:r>
      <w:r w:rsidRPr="001C129A">
        <w:rPr>
          <w:rFonts w:ascii="Arial" w:hAnsi="Arial" w:cs="Arial"/>
          <w:b/>
        </w:rPr>
        <w:t xml:space="preserve">   </w:t>
      </w:r>
    </w:p>
    <w:p w:rsidR="00330CF1" w:rsidRDefault="00330CF1" w:rsidP="00D53003">
      <w:pPr>
        <w:rPr>
          <w:rFonts w:ascii="Arial" w:hAnsi="Arial" w:cs="Arial"/>
        </w:rPr>
      </w:pPr>
      <w:r>
        <w:rPr>
          <w:rFonts w:ascii="Arial" w:hAnsi="Arial" w:cs="Arial"/>
        </w:rPr>
        <w:lastRenderedPageBreak/>
        <w:t xml:space="preserve">     Tryptophan is particularly reactive under processing conditions due to the indole ring.</w:t>
      </w:r>
      <w:r>
        <w:rPr>
          <w:rFonts w:ascii="Arial" w:hAnsi="Arial" w:cs="Arial"/>
          <w:noProof/>
        </w:rPr>
        <w:t>[235]</w:t>
      </w:r>
      <w:r>
        <w:rPr>
          <w:rFonts w:ascii="Arial" w:hAnsi="Arial" w:cs="Arial"/>
        </w:rPr>
        <w:t xml:space="preserve">  Figure 1.14 illustrates oxidation of tryptophan and its derivatives formed during processing.  The indole ring is susceptible to oxidative cleavage and substitution, reaction with aldehydes, and formation of heterocyclic amines.</w:t>
      </w:r>
      <w:r>
        <w:rPr>
          <w:rFonts w:ascii="Arial" w:hAnsi="Arial" w:cs="Arial"/>
          <w:noProof/>
        </w:rPr>
        <w:t>[235]</w:t>
      </w:r>
      <w:r>
        <w:rPr>
          <w:rFonts w:ascii="Arial" w:hAnsi="Arial" w:cs="Arial"/>
        </w:rPr>
        <w:t xml:space="preserve">  Under acidic, mild oxidizing conditions it is oxidized to beta-oxyindolyalanine.</w:t>
      </w:r>
      <w:r>
        <w:rPr>
          <w:rFonts w:ascii="Arial" w:hAnsi="Arial" w:cs="Arial"/>
          <w:noProof/>
        </w:rPr>
        <w:t>[222]</w:t>
      </w:r>
      <w:r>
        <w:rPr>
          <w:rFonts w:ascii="Arial" w:hAnsi="Arial" w:cs="Arial"/>
        </w:rPr>
        <w:t xml:space="preserve">  Under more severe oxidizing conditions such as peroxidized lipids or hydrogen peroxide, it is oxidized to N-formylkynurenine and kynurenine.</w:t>
      </w:r>
      <w:r>
        <w:rPr>
          <w:rFonts w:ascii="Arial" w:hAnsi="Arial" w:cs="Arial"/>
          <w:noProof/>
        </w:rPr>
        <w:t>[222]</w:t>
      </w:r>
      <w:r>
        <w:rPr>
          <w:rFonts w:ascii="Arial" w:hAnsi="Arial" w:cs="Arial"/>
        </w:rPr>
        <w:t xml:space="preserve">  Tryptophan can also condense with aldehydes and cyclize to form dihydro-beta carboline.</w:t>
      </w:r>
      <w:r>
        <w:rPr>
          <w:rFonts w:ascii="Arial" w:hAnsi="Arial" w:cs="Arial"/>
          <w:noProof/>
        </w:rPr>
        <w:t>[235]</w:t>
      </w:r>
      <w:r>
        <w:rPr>
          <w:rFonts w:ascii="Arial" w:hAnsi="Arial" w:cs="Arial"/>
        </w:rPr>
        <w:t xml:space="preserve">  Maillard reactions can also occur between the aldehydes formed during free-radical degradation.  Kynurenine is a known carcinogen in animals, while carbolines show significant mutagenic activity and hepatocarcinogenicity.</w:t>
      </w:r>
      <w:r>
        <w:rPr>
          <w:rFonts w:ascii="Arial" w:hAnsi="Arial" w:cs="Arial"/>
          <w:noProof/>
        </w:rPr>
        <w:t>[235]</w:t>
      </w:r>
      <w:r>
        <w:rPr>
          <w:rFonts w:ascii="Arial" w:hAnsi="Arial" w:cs="Arial"/>
        </w:rPr>
        <w:t xml:space="preserve">  Many commercial cat foods are acidic and subject to oxidation with the potential for oxidative compounds to form.</w:t>
      </w:r>
    </w:p>
    <w:p w:rsidR="00330CF1" w:rsidRDefault="00330CF1" w:rsidP="00EA3A00">
      <w:pPr>
        <w:autoSpaceDE w:val="0"/>
        <w:autoSpaceDN w:val="0"/>
        <w:adjustRightInd w:val="0"/>
        <w:jc w:val="center"/>
        <w:rPr>
          <w:rFonts w:ascii="Arial" w:hAnsi="Arial" w:cs="Arial"/>
          <w:b/>
        </w:rPr>
      </w:pPr>
    </w:p>
    <w:p w:rsidR="00330CF1" w:rsidRDefault="00330CF1" w:rsidP="00EA3A00">
      <w:pPr>
        <w:autoSpaceDE w:val="0"/>
        <w:autoSpaceDN w:val="0"/>
        <w:adjustRightInd w:val="0"/>
        <w:jc w:val="center"/>
        <w:rPr>
          <w:rFonts w:ascii="Arial" w:hAnsi="Arial" w:cs="Arial"/>
          <w:b/>
        </w:rPr>
      </w:pPr>
      <w:r w:rsidRPr="003730F4">
        <w:rPr>
          <w:rFonts w:ascii="Arial" w:hAnsi="Arial" w:cs="Arial"/>
          <w:b/>
          <w:noProof/>
        </w:rPr>
        <mc:AlternateContent>
          <mc:Choice Requires="wps">
            <w:drawing>
              <wp:anchor distT="0" distB="0" distL="114300" distR="114300" simplePos="0" relativeHeight="251696128" behindDoc="0" locked="0" layoutInCell="1" allowOverlap="1" wp14:anchorId="4280F59F" wp14:editId="685BAC6D">
                <wp:simplePos x="0" y="0"/>
                <wp:positionH relativeFrom="column">
                  <wp:posOffset>1536065</wp:posOffset>
                </wp:positionH>
                <wp:positionV relativeFrom="paragraph">
                  <wp:posOffset>3408680</wp:posOffset>
                </wp:positionV>
                <wp:extent cx="2374265" cy="1403985"/>
                <wp:effectExtent l="0" t="0" r="0" b="0"/>
                <wp:wrapNone/>
                <wp:docPr id="205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3730F4" w:rsidRDefault="00330CF1" w:rsidP="003730F4">
                            <w:pPr>
                              <w:jc w:val="center"/>
                              <w:rPr>
                                <w:rFonts w:ascii="Arial" w:hAnsi="Arial" w:cs="Arial"/>
                                <w:b/>
                              </w:rPr>
                            </w:pPr>
                            <w:r w:rsidRPr="003730F4">
                              <w:rPr>
                                <w:rFonts w:ascii="Arial" w:hAnsi="Arial" w:cs="Arial"/>
                                <w:b/>
                              </w:rPr>
                              <w:t>N-formylkynurenine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9" type="#_x0000_t202" style="position:absolute;left:0;text-align:left;margin-left:120.95pt;margin-top:268.4pt;width:186.95pt;height:110.55pt;z-index:2516961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" filled="f" stroked="f">
                <v:textbox style="mso-fit-shape-to-text:t">
                  <w:txbxContent>
                    <w:p w:rsidR="00330CF1" w:rsidRPr="003730F4" w:rsidRDefault="00330CF1" w:rsidP="003730F4">
                      <w:pPr>
                        <w:jc w:val="center"/>
                        <w:rPr>
                          <w:rFonts w:ascii="Arial" w:hAnsi="Arial" w:cs="Arial"/>
                          <w:b/>
                        </w:rPr>
                      </w:pPr>
                      <w:r w:rsidRPr="003730F4">
                        <w:rPr>
                          <w:rFonts w:ascii="Arial" w:hAnsi="Arial" w:cs="Arial"/>
                          <w:b/>
                        </w:rPr>
                        <w:t>N-formylkynurenine</w:t>
                      </w:r>
                    </w:p>
                  </w:txbxContent>
                </v:textbox>
              </v:shape>
            </w:pict>
          </mc:Fallback>
        </mc:AlternateContent>
      </w:r>
      <w:r w:rsidRPr="003730F4">
        <w:rPr>
          <w:rFonts w:ascii="Arial" w:hAnsi="Arial" w:cs="Arial"/>
          <w:b/>
          <w:noProof/>
        </w:rPr>
        <mc:AlternateContent>
          <mc:Choice Requires="wps">
            <w:drawing>
              <wp:anchor distT="0" distB="0" distL="114300" distR="114300" simplePos="0" relativeHeight="251695104" behindDoc="0" locked="0" layoutInCell="1" allowOverlap="1" wp14:anchorId="1FF2BF5F" wp14:editId="3EA456F6">
                <wp:simplePos x="0" y="0"/>
                <wp:positionH relativeFrom="column">
                  <wp:posOffset>1725373</wp:posOffset>
                </wp:positionH>
                <wp:positionV relativeFrom="paragraph">
                  <wp:posOffset>1293724</wp:posOffset>
                </wp:positionV>
                <wp:extent cx="2374265" cy="1403985"/>
                <wp:effectExtent l="0" t="0" r="0" b="0"/>
                <wp:wrapNone/>
                <wp:docPr id="205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3730F4" w:rsidRDefault="00330CF1" w:rsidP="003730F4">
                            <w:pPr>
                              <w:jc w:val="center"/>
                              <w:rPr>
                                <w:rFonts w:ascii="Arial" w:hAnsi="Arial" w:cs="Arial"/>
                                <w:b/>
                              </w:rPr>
                            </w:pPr>
                            <w:r w:rsidRPr="003730F4">
                              <w:rPr>
                                <w:rFonts w:ascii="Arial" w:hAnsi="Arial" w:cs="Arial"/>
                                <w:b/>
                              </w:rPr>
                              <w:t>β-Oxyindolylalanine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0" type="#_x0000_t202" style="position:absolute;left:0;text-align:left;margin-left:135.85pt;margin-top:101.85pt;width:186.95pt;height:110.55pt;z-index:2516951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" filled="f" stroked="f">
                <v:textbox style="mso-fit-shape-to-text:t">
                  <w:txbxContent>
                    <w:p w:rsidR="00330CF1" w:rsidRPr="003730F4" w:rsidRDefault="00330CF1" w:rsidP="003730F4">
                      <w:pPr>
                        <w:jc w:val="center"/>
                        <w:rPr>
                          <w:rFonts w:ascii="Arial" w:hAnsi="Arial" w:cs="Arial"/>
                          <w:b/>
                        </w:rPr>
                      </w:pPr>
                      <w:proofErr w:type="gramStart"/>
                      <w:r w:rsidRPr="003730F4">
                        <w:rPr>
                          <w:rFonts w:ascii="Arial" w:hAnsi="Arial" w:cs="Arial"/>
                          <w:b/>
                        </w:rPr>
                        <w:t>β-</w:t>
                      </w:r>
                      <w:proofErr w:type="spellStart"/>
                      <w:r w:rsidRPr="003730F4">
                        <w:rPr>
                          <w:rFonts w:ascii="Arial" w:hAnsi="Arial" w:cs="Arial"/>
                          <w:b/>
                        </w:rPr>
                        <w:t>Oxyindolylalanine</w:t>
                      </w:r>
                      <w:proofErr w:type="spellEnd"/>
                      <w:proofErr w:type="gramEnd"/>
                    </w:p>
                  </w:txbxContent>
                </v:textbox>
              </v:shape>
            </w:pict>
          </mc:Fallback>
        </mc:AlternateContent>
      </w:r>
      <w:r w:rsidRPr="003730F4">
        <w:rPr>
          <w:rFonts w:ascii="Arial" w:hAnsi="Arial" w:cs="Arial"/>
          <w:b/>
          <w:noProof/>
        </w:rPr>
        <mc:AlternateContent>
          <mc:Choice Requires="wps">
            <w:drawing>
              <wp:anchor distT="0" distB="0" distL="114300" distR="114300" simplePos="0" relativeHeight="251694080" behindDoc="0" locked="0" layoutInCell="1" allowOverlap="1" wp14:anchorId="41A8DEBA" wp14:editId="06756ABA">
                <wp:simplePos x="0" y="0"/>
                <wp:positionH relativeFrom="column">
                  <wp:posOffset>-487045</wp:posOffset>
                </wp:positionH>
                <wp:positionV relativeFrom="paragraph">
                  <wp:posOffset>2763356</wp:posOffset>
                </wp:positionV>
                <wp:extent cx="2374265" cy="1403985"/>
                <wp:effectExtent l="0" t="0" r="0" b="0"/>
                <wp:wrapNone/>
                <wp:docPr id="20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30CF1" w:rsidRPr="003730F4" w:rsidRDefault="00330CF1" w:rsidP="003730F4">
                            <w:pPr>
                              <w:jc w:val="center"/>
                              <w:rPr>
                                <w:rFonts w:ascii="Arial" w:hAnsi="Arial" w:cs="Arial"/>
                                <w:b/>
                              </w:rPr>
                            </w:pPr>
                            <w:r w:rsidRPr="003730F4">
                              <w:rPr>
                                <w:rFonts w:ascii="Arial" w:hAnsi="Arial" w:cs="Arial"/>
                                <w:b/>
                              </w:rPr>
                              <w:t>Tryptophan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1" type="#_x0000_t202" style="position:absolute;left:0;text-align:left;margin-left:-38.35pt;margin-top:217.6pt;width:186.95pt;height:110.55pt;z-index:2516940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" filled="f" stroked="f">
                <v:textbox style="mso-fit-shape-to-text:t">
                  <w:txbxContent>
                    <w:p w:rsidR="00330CF1" w:rsidRPr="003730F4" w:rsidRDefault="00330CF1" w:rsidP="003730F4">
                      <w:pPr>
                        <w:jc w:val="center"/>
                        <w:rPr>
                          <w:rFonts w:ascii="Arial" w:hAnsi="Arial" w:cs="Arial"/>
                          <w:b/>
                        </w:rPr>
                      </w:pPr>
                      <w:r w:rsidRPr="003730F4">
                        <w:rPr>
                          <w:rFonts w:ascii="Arial" w:hAnsi="Arial" w:cs="Arial"/>
                          <w:b/>
                        </w:rPr>
                        <w:t>Tryptophan</w:t>
                      </w:r>
                    </w:p>
                  </w:txbxContent>
                </v:textbox>
              </v:shape>
            </w:pict>
          </mc:Fallback>
        </mc:AlternateContent>
      </w:r>
      <w:r>
        <w:rPr>
          <w:noProof/>
        </w:rPr>
        <w:drawing>
          <wp:inline distT="0" distB="0" distL="0" distR="0" wp14:anchorId="618C1D49" wp14:editId="574C70CE">
            <wp:extent cx="5486400" cy="345694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86400" cy="3456940"/>
                    </a:xfrm>
                    <a:prstGeom prst="rect">
                      <a:avLst/>
                    </a:prstGeom>
                  </pic:spPr>
                </pic:pic>
              </a:graphicData>
            </a:graphic>
          </wp:inline>
        </w:drawing>
      </w:r>
    </w:p>
    <w:p w:rsidR="00330CF1" w:rsidRDefault="00330CF1" w:rsidP="00EA3A00">
      <w:pPr>
        <w:autoSpaceDE w:val="0"/>
        <w:autoSpaceDN w:val="0"/>
        <w:adjustRightInd w:val="0"/>
        <w:jc w:val="center"/>
        <w:rPr>
          <w:rFonts w:ascii="Arial" w:hAnsi="Arial" w:cs="Arial"/>
          <w:b/>
        </w:rPr>
      </w:pPr>
      <w:r w:rsidRPr="003730F4">
        <w:rPr>
          <w:rFonts w:ascii="Arial" w:hAnsi="Arial" w:cs="Arial"/>
          <w:b/>
          <w:noProof/>
        </w:rPr>
        <mc:AlternateContent>
          <mc:Choice Requires="wps">
            <w:drawing>
              <wp:anchor distT="0" distB="0" distL="114300" distR="114300" simplePos="0" relativeHeight="251697152" behindDoc="0" locked="0" layoutInCell="1" allowOverlap="1" wp14:anchorId="2A906F45" wp14:editId="02097B25">
                <wp:simplePos x="0" y="0"/>
                <wp:positionH relativeFrom="column">
                  <wp:posOffset>3657600</wp:posOffset>
                </wp:positionH>
                <wp:positionV relativeFrom="paragraph">
                  <wp:posOffset>29081</wp:posOffset>
                </wp:positionV>
                <wp:extent cx="2374265" cy="380143"/>
                <wp:effectExtent l="0" t="0" r="0" b="1270"/>
                <wp:wrapNone/>
                <wp:docPr id="20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80143"/>
                        </a:xfrm>
                        <a:prstGeom prst="rect">
                          <a:avLst/>
                        </a:prstGeom>
                        <a:noFill/>
                        <a:ln w="9525">
                          <a:noFill/>
                          <a:miter lim="800000"/>
                          <a:headEnd/>
                          <a:tailEnd/>
                        </a:ln>
                      </wps:spPr>
                      <wps:txbx>
                        <w:txbxContent>
                          <w:p w:rsidR="00330CF1" w:rsidRPr="003730F4" w:rsidRDefault="00330CF1" w:rsidP="003730F4">
                            <w:pPr>
                              <w:jc w:val="center"/>
                              <w:rPr>
                                <w:rFonts w:ascii="Arial" w:hAnsi="Arial" w:cs="Arial"/>
                                <w:b/>
                              </w:rPr>
                            </w:pPr>
                            <w:r w:rsidRPr="003730F4">
                              <w:rPr>
                                <w:rFonts w:ascii="Arial" w:hAnsi="Arial" w:cs="Arial"/>
                                <w:b/>
                              </w:rPr>
                              <w:t>Kynurenine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62" type="#_x0000_t202" style="position:absolute;left:0;text-align:left;margin-left:4in;margin-top:2.3pt;width:186.95pt;height:29.95pt;z-index:25169715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" filled="f" stroked="f">
                <v:textbox>
                  <w:txbxContent>
                    <w:p w:rsidR="00330CF1" w:rsidRPr="003730F4" w:rsidRDefault="00330CF1" w:rsidP="003730F4">
                      <w:pPr>
                        <w:jc w:val="center"/>
                        <w:rPr>
                          <w:rFonts w:ascii="Arial" w:hAnsi="Arial" w:cs="Arial"/>
                          <w:b/>
                        </w:rPr>
                      </w:pPr>
                      <w:r w:rsidRPr="003730F4">
                        <w:rPr>
                          <w:rFonts w:ascii="Arial" w:hAnsi="Arial" w:cs="Arial"/>
                          <w:b/>
                        </w:rPr>
                        <w:t>Kynurenine</w:t>
                      </w:r>
                    </w:p>
                  </w:txbxContent>
                </v:textbox>
              </v:shape>
            </w:pict>
          </mc:Fallback>
        </mc:AlternateContent>
      </w:r>
    </w:p>
    <w:p w:rsidR="00330CF1" w:rsidRDefault="00330CF1" w:rsidP="00EA3A00">
      <w:pPr>
        <w:autoSpaceDE w:val="0"/>
        <w:autoSpaceDN w:val="0"/>
        <w:adjustRightInd w:val="0"/>
        <w:jc w:val="center"/>
        <w:rPr>
          <w:rFonts w:ascii="Arial" w:hAnsi="Arial" w:cs="Arial"/>
          <w:b/>
        </w:rPr>
      </w:pPr>
    </w:p>
    <w:p w:rsidR="00330CF1" w:rsidRDefault="00330CF1" w:rsidP="00EA3A00">
      <w:pPr>
        <w:autoSpaceDE w:val="0"/>
        <w:autoSpaceDN w:val="0"/>
        <w:adjustRightInd w:val="0"/>
        <w:jc w:val="center"/>
        <w:rPr>
          <w:rFonts w:ascii="Arial" w:hAnsi="Arial" w:cs="Arial"/>
          <w:b/>
        </w:rPr>
      </w:pPr>
    </w:p>
    <w:p w:rsidR="00330CF1" w:rsidRPr="00C7710E" w:rsidRDefault="00330CF1" w:rsidP="00C974E5">
      <w:pPr>
        <w:pStyle w:val="NormalWeb"/>
        <w:spacing w:before="0" w:beforeAutospacing="0" w:after="0" w:afterAutospacing="0"/>
        <w:rPr>
          <w:rFonts w:ascii="Arial" w:eastAsiaTheme="minorEastAsia" w:hAnsi="Arial" w:cs="Arial"/>
          <w:color w:val="000000" w:themeColor="text1"/>
          <w:kern w:val="24"/>
        </w:rPr>
      </w:pPr>
      <w:r w:rsidRPr="00C7710E">
        <w:rPr>
          <w:rFonts w:ascii="Arial" w:eastAsiaTheme="minorEastAsia" w:hAnsi="Arial" w:cs="Arial"/>
          <w:b/>
          <w:color w:val="000000" w:themeColor="text1"/>
          <w:kern w:val="24"/>
        </w:rPr>
        <w:t>Figure 1.14</w:t>
      </w:r>
      <w:r>
        <w:rPr>
          <w:rFonts w:ascii="Arial" w:eastAsiaTheme="minorEastAsia" w:hAnsi="Arial" w:cs="Arial"/>
          <w:color w:val="000000" w:themeColor="text1"/>
          <w:kern w:val="24"/>
        </w:rPr>
        <w:t xml:space="preserve"> </w:t>
      </w:r>
      <w:r w:rsidRPr="00C7710E">
        <w:rPr>
          <w:rFonts w:ascii="Arial" w:eastAsiaTheme="minorEastAsia" w:hAnsi="Arial" w:cs="Arial"/>
          <w:color w:val="000000" w:themeColor="text1"/>
          <w:kern w:val="24"/>
        </w:rPr>
        <w:t xml:space="preserve">Tryptophan derivatives from </w:t>
      </w:r>
      <w:r>
        <w:rPr>
          <w:rFonts w:ascii="Arial" w:eastAsiaTheme="minorEastAsia" w:hAnsi="Arial" w:cs="Arial"/>
          <w:color w:val="000000" w:themeColor="text1"/>
          <w:kern w:val="24"/>
        </w:rPr>
        <w:t xml:space="preserve">food </w:t>
      </w:r>
      <w:r w:rsidRPr="00C7710E">
        <w:rPr>
          <w:rFonts w:ascii="Arial" w:eastAsiaTheme="minorEastAsia" w:hAnsi="Arial" w:cs="Arial"/>
          <w:color w:val="000000" w:themeColor="text1"/>
          <w:kern w:val="24"/>
        </w:rPr>
        <w:t xml:space="preserve">processing.  Under mild oxidizing conditions, tryptophan is oxidized to </w:t>
      </w:r>
      <w:r w:rsidRPr="00C7710E">
        <w:rPr>
          <w:rFonts w:ascii="Arial" w:eastAsiaTheme="minorEastAsia" w:hAnsi="Arial" w:cs="Arial"/>
          <w:color w:val="000000" w:themeColor="text1"/>
          <w:kern w:val="24"/>
          <w:lang w:val="el-GR"/>
        </w:rPr>
        <w:t>β</w:t>
      </w:r>
      <w:r w:rsidRPr="00C7710E">
        <w:rPr>
          <w:rFonts w:ascii="Arial" w:eastAsiaTheme="minorEastAsia" w:hAnsi="Arial" w:cs="Arial"/>
          <w:color w:val="000000" w:themeColor="text1"/>
          <w:kern w:val="24"/>
        </w:rPr>
        <w:t xml:space="preserve">-Oxyindolylalanine.  Under more severe oxidizing conditions, tryptophan is oxidized to N-formylkynurenine and kynurenine. </w:t>
      </w:r>
    </w:p>
    <w:p w:rsidR="00330CF1" w:rsidRDefault="00330CF1" w:rsidP="00C974E5">
      <w:pPr>
        <w:pStyle w:val="NormalWeb"/>
        <w:spacing w:before="0" w:beforeAutospacing="0" w:after="0" w:afterAutospacing="0"/>
        <w:rPr>
          <w:rFonts w:ascii="Arial" w:hAnsi="Arial" w:cs="Arial"/>
        </w:rPr>
      </w:pPr>
      <w:r w:rsidRPr="004E3CA6">
        <w:rPr>
          <w:rFonts w:ascii="Arial" w:eastAsiaTheme="minorEastAsia" w:hAnsi="Arial" w:cs="Arial"/>
          <w:b/>
          <w:i/>
          <w:color w:val="000000" w:themeColor="text1"/>
          <w:kern w:val="24"/>
        </w:rPr>
        <w:t>Source:</w:t>
      </w:r>
      <w:r w:rsidRPr="00C7710E">
        <w:rPr>
          <w:rFonts w:ascii="Arial" w:eastAsiaTheme="minorEastAsia" w:hAnsi="Arial" w:cs="Arial"/>
          <w:b/>
          <w:color w:val="000000" w:themeColor="text1"/>
          <w:kern w:val="24"/>
        </w:rPr>
        <w:t xml:space="preserve"> </w:t>
      </w:r>
      <w:r>
        <w:rPr>
          <w:rFonts w:ascii="Arial" w:hAnsi="Arial" w:cs="Arial"/>
        </w:rPr>
        <w:t xml:space="preserve">From Damodaran, S. </w:t>
      </w:r>
      <w:r>
        <w:rPr>
          <w:rFonts w:ascii="Arial" w:hAnsi="Arial" w:cs="Arial"/>
          <w:i/>
        </w:rPr>
        <w:t xml:space="preserve">Amino Acids, Peptides and Proteins </w:t>
      </w:r>
      <w:r>
        <w:rPr>
          <w:rFonts w:ascii="Arial" w:hAnsi="Arial" w:cs="Arial"/>
        </w:rPr>
        <w:t xml:space="preserve">in </w:t>
      </w:r>
      <w:r>
        <w:rPr>
          <w:rFonts w:ascii="Arial" w:hAnsi="Arial" w:cs="Arial"/>
          <w:u w:val="single"/>
        </w:rPr>
        <w:t>Food Chemistry 3</w:t>
      </w:r>
      <w:r w:rsidRPr="00B51DF6">
        <w:rPr>
          <w:rFonts w:ascii="Arial" w:hAnsi="Arial" w:cs="Arial"/>
          <w:u w:val="single"/>
          <w:vertAlign w:val="superscript"/>
        </w:rPr>
        <w:t>rd</w:t>
      </w:r>
      <w:r>
        <w:rPr>
          <w:rFonts w:ascii="Arial" w:hAnsi="Arial" w:cs="Arial"/>
          <w:u w:val="single"/>
        </w:rPr>
        <w:t xml:space="preserve"> Edition</w:t>
      </w:r>
      <w:r>
        <w:rPr>
          <w:rFonts w:ascii="Arial" w:hAnsi="Arial" w:cs="Arial"/>
        </w:rPr>
        <w:t>, O.R.Fennema, Editor.  1996, Marcel Dekker, Inc.: New York, NY p. 410.</w:t>
      </w:r>
    </w:p>
    <w:p w:rsidR="00330CF1" w:rsidRDefault="00330CF1" w:rsidP="00C974E5">
      <w:pPr>
        <w:pStyle w:val="NormalWeb"/>
        <w:spacing w:before="0" w:beforeAutospacing="0" w:after="0" w:afterAutospacing="0"/>
        <w:rPr>
          <w:rFonts w:ascii="Arial" w:hAnsi="Arial" w:cs="Arial"/>
        </w:rPr>
      </w:pPr>
    </w:p>
    <w:p w:rsidR="00330CF1" w:rsidRDefault="00330CF1" w:rsidP="00C974E5">
      <w:pPr>
        <w:pStyle w:val="NormalWeb"/>
        <w:spacing w:before="0" w:beforeAutospacing="0" w:after="0" w:afterAutospacing="0"/>
        <w:rPr>
          <w:rFonts w:ascii="Arial" w:eastAsiaTheme="minorEastAsia" w:hAnsi="Arial" w:cs="Arial"/>
          <w:b/>
          <w:color w:val="000000" w:themeColor="text1"/>
          <w:kern w:val="24"/>
        </w:rPr>
      </w:pPr>
      <w:r w:rsidRPr="00C7710E">
        <w:rPr>
          <w:rFonts w:ascii="Arial" w:eastAsiaTheme="minorEastAsia" w:hAnsi="Arial" w:cs="Arial"/>
          <w:b/>
          <w:color w:val="000000" w:themeColor="text1"/>
          <w:kern w:val="24"/>
        </w:rPr>
        <w:t xml:space="preserve"> </w:t>
      </w:r>
    </w:p>
    <w:p w:rsidR="00330CF1" w:rsidRDefault="00330CF1" w:rsidP="00C974E5">
      <w:pPr>
        <w:pStyle w:val="NormalWeb"/>
        <w:spacing w:before="0" w:beforeAutospacing="0" w:after="0" w:afterAutospacing="0"/>
        <w:rPr>
          <w:rFonts w:ascii="Arial" w:eastAsiaTheme="minorEastAsia" w:hAnsi="Arial" w:cs="Arial"/>
          <w:b/>
          <w:color w:val="000000" w:themeColor="text1"/>
          <w:kern w:val="24"/>
        </w:rPr>
      </w:pPr>
    </w:p>
    <w:p w:rsidR="00330CF1" w:rsidRPr="00C7710E" w:rsidRDefault="00330CF1" w:rsidP="00C974E5">
      <w:pPr>
        <w:pStyle w:val="NormalWeb"/>
        <w:spacing w:before="0" w:beforeAutospacing="0" w:after="0" w:afterAutospacing="0"/>
        <w:rPr>
          <w:rFonts w:ascii="Arial" w:eastAsiaTheme="minorEastAsia" w:hAnsi="Arial" w:cs="Arial"/>
          <w:b/>
          <w:color w:val="000000" w:themeColor="text1"/>
          <w:kern w:val="24"/>
        </w:rPr>
      </w:pPr>
    </w:p>
    <w:p w:rsidR="00330CF1" w:rsidRDefault="00330CF1" w:rsidP="00C974E5">
      <w:pPr>
        <w:pStyle w:val="NormalWeb"/>
        <w:spacing w:before="0" w:beforeAutospacing="0" w:after="0" w:afterAutospacing="0"/>
        <w:rPr>
          <w:rFonts w:ascii="Arial" w:hAnsi="Arial" w:cs="Arial"/>
        </w:rPr>
      </w:pPr>
      <w:r w:rsidRPr="00C03224">
        <w:rPr>
          <w:rFonts w:ascii="Arial" w:hAnsi="Arial" w:cs="Arial"/>
        </w:rPr>
        <w:lastRenderedPageBreak/>
        <w:t>Figure 1.15</w:t>
      </w:r>
      <w:r>
        <w:rPr>
          <w:rFonts w:ascii="Arial" w:hAnsi="Arial" w:cs="Arial"/>
        </w:rPr>
        <w:t xml:space="preserve"> summarizes cross-linking reactions that can occur during food processing.  Any of the amino acids can undergo racemization and both free and bound D-amino acids result in significant decreases in digestibility.</w:t>
      </w:r>
      <w:r>
        <w:rPr>
          <w:rFonts w:ascii="Arial" w:eastAsiaTheme="minorEastAsia" w:hAnsi="Arial" w:cs="Arial"/>
          <w:color w:val="000000" w:themeColor="text1"/>
          <w:kern w:val="24"/>
          <w:sz w:val="28"/>
          <w:szCs w:val="28"/>
        </w:rPr>
        <w:t xml:space="preserve"> </w:t>
      </w:r>
      <w:r>
        <w:rPr>
          <w:rFonts w:ascii="Arial" w:hAnsi="Arial" w:cs="Arial"/>
        </w:rPr>
        <w:t xml:space="preserve">Listed below are the essential amino acids vulnerable to food processing alterations and the potential reactions that can occur.  </w:t>
      </w:r>
    </w:p>
    <w:p w:rsidR="00330CF1" w:rsidRPr="00C974E5" w:rsidRDefault="00330CF1" w:rsidP="00C974E5">
      <w:pPr>
        <w:pStyle w:val="NormalWeb"/>
        <w:spacing w:before="0" w:beforeAutospacing="0" w:after="0" w:afterAutospacing="0"/>
      </w:pPr>
    </w:p>
    <w:p w:rsidR="00330CF1" w:rsidRDefault="00330CF1" w:rsidP="00681100">
      <w:pPr>
        <w:autoSpaceDE w:val="0"/>
        <w:autoSpaceDN w:val="0"/>
        <w:adjustRightInd w:val="0"/>
        <w:rPr>
          <w:rFonts w:ascii="Arial" w:hAnsi="Arial" w:cs="Arial"/>
        </w:rPr>
      </w:pPr>
      <w:r>
        <w:rPr>
          <w:noProof/>
        </w:rPr>
        <w:drawing>
          <wp:inline distT="0" distB="0" distL="0" distR="0" wp14:anchorId="40C5DC16" wp14:editId="019900D4">
            <wp:extent cx="5486400" cy="5024568"/>
            <wp:effectExtent l="0" t="0" r="0" b="508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0" cstate="print">
                      <a:extLst>
                        <a:ext uri="{BEBA8EAE-BF5A-486C-A8C5-ECC9F3942E4B}">
                          <a14:imgProps xmlns:a14="http://schemas.microsoft.com/office/drawing/2010/main">
                            <a14:imgLayer r:embed="rId3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486400" cy="5024568"/>
                    </a:xfrm>
                    <a:prstGeom prst="rect">
                      <a:avLst/>
                    </a:prstGeom>
                  </pic:spPr>
                </pic:pic>
              </a:graphicData>
            </a:graphic>
          </wp:inline>
        </w:drawing>
      </w: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Pr="00A33615" w:rsidRDefault="00330CF1" w:rsidP="00D1754D">
      <w:pPr>
        <w:pStyle w:val="NormalWeb"/>
        <w:spacing w:before="0" w:beforeAutospacing="0" w:after="0" w:afterAutospacing="0"/>
      </w:pPr>
      <w:r w:rsidRPr="00A33615">
        <w:rPr>
          <w:rFonts w:ascii="Arial" w:eastAsiaTheme="minorEastAsia" w:hAnsi="Arial" w:cs="Arial"/>
          <w:b/>
          <w:color w:val="000000" w:themeColor="text1"/>
          <w:kern w:val="24"/>
        </w:rPr>
        <w:t>Figure 1.15</w:t>
      </w:r>
      <w:r>
        <w:rPr>
          <w:rFonts w:ascii="Arial" w:eastAsiaTheme="minorEastAsia" w:hAnsi="Arial" w:cs="Arial"/>
          <w:color w:val="000000" w:themeColor="text1"/>
          <w:kern w:val="24"/>
        </w:rPr>
        <w:t xml:space="preserve">  </w:t>
      </w:r>
      <w:r w:rsidRPr="00A33615">
        <w:rPr>
          <w:rFonts w:ascii="Arial" w:eastAsiaTheme="minorEastAsia" w:hAnsi="Arial" w:cs="Arial"/>
          <w:color w:val="000000" w:themeColor="text1"/>
          <w:kern w:val="24"/>
        </w:rPr>
        <w:t>Summary of crosslinking reactions that can occur during food processing.  Details are given in the text.</w:t>
      </w:r>
    </w:p>
    <w:p w:rsidR="00330CF1" w:rsidRDefault="00330CF1" w:rsidP="00D1754D">
      <w:pPr>
        <w:pStyle w:val="NormalWeb"/>
        <w:spacing w:before="0" w:beforeAutospacing="0" w:after="0" w:afterAutospacing="0"/>
        <w:rPr>
          <w:rFonts w:ascii="Arial" w:eastAsiaTheme="minorEastAsia" w:hAnsi="Arial" w:cs="Arial"/>
          <w:color w:val="000000" w:themeColor="text1"/>
          <w:kern w:val="24"/>
        </w:rPr>
      </w:pPr>
      <w:r w:rsidRPr="004E3CA6">
        <w:rPr>
          <w:rFonts w:ascii="Arial" w:eastAsiaTheme="minorEastAsia" w:hAnsi="Arial" w:cs="Arial"/>
          <w:b/>
          <w:bCs/>
          <w:i/>
          <w:iCs/>
          <w:color w:val="000000" w:themeColor="text1"/>
          <w:kern w:val="24"/>
        </w:rPr>
        <w:t>Source</w:t>
      </w:r>
      <w:r w:rsidRPr="00A33615">
        <w:rPr>
          <w:rFonts w:ascii="Arial" w:eastAsiaTheme="minorEastAsia" w:hAnsi="Arial" w:cs="Arial"/>
          <w:b/>
          <w:bCs/>
          <w:i/>
          <w:iCs/>
          <w:color w:val="000000" w:themeColor="text1"/>
          <w:kern w:val="24"/>
        </w:rPr>
        <w:t xml:space="preserve">:  </w:t>
      </w:r>
      <w:r w:rsidRPr="00A33615">
        <w:rPr>
          <w:rFonts w:ascii="Arial" w:eastAsiaTheme="minorEastAsia" w:hAnsi="Arial" w:cs="Arial"/>
          <w:color w:val="000000" w:themeColor="text1"/>
          <w:kern w:val="24"/>
        </w:rPr>
        <w:t xml:space="preserve">Reprinted with permission from Gerrard, J.A., Protein-protein crosslinking in foods: methods, consequences and applications.  </w:t>
      </w:r>
      <w:r w:rsidRPr="00A33615">
        <w:rPr>
          <w:rFonts w:ascii="Arial" w:eastAsiaTheme="minorEastAsia" w:hAnsi="Arial" w:cs="Arial"/>
          <w:i/>
          <w:iCs/>
          <w:color w:val="000000" w:themeColor="text1"/>
          <w:kern w:val="24"/>
        </w:rPr>
        <w:t>Trends Food Sci Tech</w:t>
      </w:r>
      <w:r w:rsidRPr="00A33615">
        <w:rPr>
          <w:rFonts w:ascii="Arial" w:eastAsiaTheme="minorEastAsia" w:hAnsi="Arial" w:cs="Arial"/>
          <w:color w:val="000000" w:themeColor="text1"/>
          <w:kern w:val="24"/>
        </w:rPr>
        <w:t xml:space="preserve"> 2002: 13; p 392.  </w:t>
      </w:r>
    </w:p>
    <w:p w:rsidR="00330CF1" w:rsidRDefault="00330CF1" w:rsidP="00D1754D">
      <w:pPr>
        <w:pStyle w:val="NormalWeb"/>
        <w:spacing w:before="0" w:beforeAutospacing="0" w:after="0" w:afterAutospacing="0"/>
        <w:rPr>
          <w:rFonts w:ascii="Arial" w:eastAsiaTheme="minorEastAsia" w:hAnsi="Arial" w:cs="Arial"/>
          <w:color w:val="000000" w:themeColor="text1"/>
          <w:kern w:val="24"/>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r w:rsidRPr="009A53A6">
        <w:rPr>
          <w:rFonts w:ascii="Arial" w:hAnsi="Arial" w:cs="Arial"/>
          <w:u w:val="single"/>
        </w:rPr>
        <w:t>Lysine</w:t>
      </w:r>
      <w:r w:rsidRPr="00E36871">
        <w:rPr>
          <w:rFonts w:ascii="Arial" w:hAnsi="Arial" w:cs="Arial"/>
        </w:rPr>
        <w:t>: Chemical modifications during food processing are dominated by reactions of lysine.  Lysine is the most chemically reactive of the amino acids with its ε-amino group</w:t>
      </w:r>
      <w:r>
        <w:rPr>
          <w:rFonts w:ascii="Arial" w:hAnsi="Arial" w:cs="Arial"/>
        </w:rPr>
        <w:t xml:space="preserve"> particularly vulnerable to damage.  Heating in the absence of fats and carbohydrates can lead to reaction of lysine residues with amide side chains forming the isopeptides glutamyl-lysine and aspartyl-lysine, either free or protein-bound.  The major cause of lysine degradation in processing is the Maillard reaction i.e. reaction of the amino group with carbonyl groups of sugars and fatty acids.  Testing of lysine availability after processing in pet foods has been found to be significantly reduced.</w:t>
      </w:r>
      <w:r>
        <w:rPr>
          <w:rFonts w:ascii="Arial" w:hAnsi="Arial" w:cs="Arial"/>
          <w:noProof/>
        </w:rPr>
        <w:t>[208, 236]</w:t>
      </w:r>
      <w:r>
        <w:rPr>
          <w:rFonts w:ascii="Arial" w:hAnsi="Arial" w:cs="Arial"/>
        </w:rPr>
        <w:t xml:space="preserve">  Lysine also forms cross-linked proteins such as lysinoalanine.</w:t>
      </w:r>
    </w:p>
    <w:p w:rsidR="00330CF1" w:rsidRDefault="00330CF1" w:rsidP="00681100">
      <w:pPr>
        <w:autoSpaceDE w:val="0"/>
        <w:autoSpaceDN w:val="0"/>
        <w:adjustRightInd w:val="0"/>
        <w:rPr>
          <w:rFonts w:ascii="Arial" w:hAnsi="Arial" w:cs="Arial"/>
        </w:rPr>
      </w:pPr>
      <w:r w:rsidRPr="00892D1D">
        <w:rPr>
          <w:rFonts w:ascii="Arial" w:hAnsi="Arial" w:cs="Arial"/>
          <w:u w:val="single"/>
        </w:rPr>
        <w:t>Arginine</w:t>
      </w:r>
      <w:r>
        <w:rPr>
          <w:rFonts w:ascii="Arial" w:hAnsi="Arial" w:cs="Arial"/>
          <w:u w:val="single"/>
        </w:rPr>
        <w:t xml:space="preserve"> and Histidine</w:t>
      </w:r>
      <w:r>
        <w:rPr>
          <w:rFonts w:ascii="Arial" w:hAnsi="Arial" w:cs="Arial"/>
        </w:rPr>
        <w:t xml:space="preserve">:  Arginine can undergo Maillard reactions and arginine and histidine can undergo formation of cross-linked dehydro residues.  </w:t>
      </w:r>
    </w:p>
    <w:p w:rsidR="00330CF1" w:rsidRDefault="00330CF1" w:rsidP="00681100">
      <w:pPr>
        <w:autoSpaceDE w:val="0"/>
        <w:autoSpaceDN w:val="0"/>
        <w:adjustRightInd w:val="0"/>
        <w:rPr>
          <w:rFonts w:ascii="Arial" w:hAnsi="Arial" w:cs="Arial"/>
        </w:rPr>
      </w:pPr>
      <w:r w:rsidRPr="00892D1D">
        <w:rPr>
          <w:rFonts w:ascii="Arial" w:hAnsi="Arial" w:cs="Arial"/>
          <w:u w:val="single"/>
        </w:rPr>
        <w:t>Methionine</w:t>
      </w:r>
      <w:r>
        <w:rPr>
          <w:rFonts w:ascii="Arial" w:hAnsi="Arial" w:cs="Arial"/>
        </w:rPr>
        <w:t>: Methionine is principally subject to oxidation in food processing forming methionine sulfoxide and methionine sulfone.  In one study, methionine bioavailability was reduced by 25% in heat processed casein compared to raw casein.</w:t>
      </w:r>
      <w:r>
        <w:rPr>
          <w:rFonts w:ascii="Arial" w:hAnsi="Arial" w:cs="Arial"/>
          <w:noProof/>
        </w:rPr>
        <w:t>[237]</w:t>
      </w:r>
      <w:r>
        <w:rPr>
          <w:rFonts w:ascii="Arial" w:hAnsi="Arial" w:cs="Arial"/>
        </w:rPr>
        <w:t xml:space="preserve">  </w:t>
      </w:r>
    </w:p>
    <w:p w:rsidR="00330CF1" w:rsidRDefault="00330CF1" w:rsidP="00681100">
      <w:pPr>
        <w:autoSpaceDE w:val="0"/>
        <w:autoSpaceDN w:val="0"/>
        <w:adjustRightInd w:val="0"/>
        <w:rPr>
          <w:rFonts w:ascii="Arial" w:hAnsi="Arial" w:cs="Arial"/>
        </w:rPr>
      </w:pPr>
      <w:r w:rsidRPr="00892D1D">
        <w:rPr>
          <w:rFonts w:ascii="Arial" w:hAnsi="Arial" w:cs="Arial"/>
          <w:u w:val="single"/>
        </w:rPr>
        <w:t>Cysteine</w:t>
      </w:r>
      <w:r>
        <w:rPr>
          <w:rFonts w:ascii="Arial" w:hAnsi="Arial" w:cs="Arial"/>
        </w:rPr>
        <w:t xml:space="preserve">: Cysteine can be oxidized to disulfoxides and disulfones.  Cysteine and cystine can undergo elimination to form cross-linked dehydro residues.  </w:t>
      </w:r>
    </w:p>
    <w:p w:rsidR="00330CF1" w:rsidRDefault="00330CF1" w:rsidP="00681100">
      <w:pPr>
        <w:autoSpaceDE w:val="0"/>
        <w:autoSpaceDN w:val="0"/>
        <w:adjustRightInd w:val="0"/>
        <w:rPr>
          <w:rFonts w:ascii="Arial" w:hAnsi="Arial" w:cs="Arial"/>
        </w:rPr>
      </w:pPr>
      <w:r w:rsidRPr="00892D1D">
        <w:rPr>
          <w:rFonts w:ascii="Arial" w:hAnsi="Arial" w:cs="Arial"/>
          <w:u w:val="single"/>
        </w:rPr>
        <w:t>Tryptophan</w:t>
      </w:r>
      <w:r>
        <w:rPr>
          <w:rFonts w:ascii="Arial" w:hAnsi="Arial" w:cs="Arial"/>
        </w:rPr>
        <w:t xml:space="preserve">: Tryptophan can undergo oxidation to form carcinogenic carbolines and nitroso compounds.  It can also under Maillard reactions with aldehydes.  </w:t>
      </w:r>
    </w:p>
    <w:p w:rsidR="00330CF1" w:rsidRDefault="00330CF1" w:rsidP="00681100">
      <w:pPr>
        <w:autoSpaceDE w:val="0"/>
        <w:autoSpaceDN w:val="0"/>
        <w:adjustRightInd w:val="0"/>
        <w:rPr>
          <w:rFonts w:ascii="Arial" w:hAnsi="Arial" w:cs="Arial"/>
        </w:rPr>
      </w:pPr>
      <w:r w:rsidRPr="00CB688A">
        <w:rPr>
          <w:rFonts w:ascii="Arial" w:hAnsi="Arial" w:cs="Arial"/>
          <w:u w:val="single"/>
        </w:rPr>
        <w:t>Serine and Threonine</w:t>
      </w:r>
      <w:r>
        <w:rPr>
          <w:rFonts w:ascii="Arial" w:hAnsi="Arial" w:cs="Arial"/>
        </w:rPr>
        <w:t xml:space="preserve">: Phospho-serine/threonine can undergo elimination reactions to form a methyldehydroalanine with subsequent cross link formation.  </w:t>
      </w:r>
    </w:p>
    <w:p w:rsidR="00330CF1" w:rsidRDefault="00330CF1" w:rsidP="00681100">
      <w:pPr>
        <w:autoSpaceDE w:val="0"/>
        <w:autoSpaceDN w:val="0"/>
        <w:adjustRightInd w:val="0"/>
        <w:rPr>
          <w:rFonts w:ascii="Arial" w:hAnsi="Arial" w:cs="Arial"/>
        </w:rPr>
      </w:pPr>
      <w:r>
        <w:rPr>
          <w:rFonts w:ascii="Arial" w:hAnsi="Arial" w:cs="Arial"/>
          <w:u w:val="single"/>
        </w:rPr>
        <w:t>Taurine</w:t>
      </w:r>
      <w:r>
        <w:rPr>
          <w:rFonts w:ascii="Arial" w:hAnsi="Arial" w:cs="Arial"/>
        </w:rPr>
        <w:t>: The amount of taurine retained after processing depends on the method of food preparation.  Taurine is water-soluble and most of the taurine contained in tissues will be released into water if exposed.</w:t>
      </w:r>
      <w:r>
        <w:rPr>
          <w:rFonts w:ascii="Arial" w:hAnsi="Arial" w:cs="Arial"/>
          <w:noProof/>
        </w:rPr>
        <w:t>[238]</w:t>
      </w:r>
      <w:r>
        <w:rPr>
          <w:rFonts w:ascii="Arial" w:hAnsi="Arial" w:cs="Arial"/>
        </w:rPr>
        <w:t xml:space="preserve">  Taurine losses from processing, in order of least to greatest is: fried with juices retained &lt; frying without juices retained &lt; baking or boiling.</w:t>
      </w:r>
      <w:r>
        <w:rPr>
          <w:rFonts w:ascii="Arial" w:hAnsi="Arial" w:cs="Arial"/>
          <w:noProof/>
        </w:rPr>
        <w:t>[238]</w:t>
      </w:r>
      <w:r>
        <w:rPr>
          <w:rFonts w:ascii="Arial" w:hAnsi="Arial" w:cs="Arial"/>
        </w:rPr>
        <w:t xml:space="preserve">  Boiling results in the greatest taurine loss because the food is surrounded by water with resultant leeching.</w:t>
      </w:r>
      <w:r>
        <w:rPr>
          <w:rFonts w:ascii="Arial" w:hAnsi="Arial" w:cs="Arial"/>
          <w:noProof/>
        </w:rPr>
        <w:t>[238]</w:t>
      </w:r>
      <w:r>
        <w:rPr>
          <w:rFonts w:ascii="Arial" w:hAnsi="Arial" w:cs="Arial"/>
        </w:rPr>
        <w:t xml:space="preserve">  A significant loss of bioavailable taurine occurs secondary to the presence of Maillard reaction products within food.  Cats fed heat-processed diets were found to have depletion of plasma and whole blood taurine due to increased microbial fecal cholyltaurine hydrolase activity resulting in increased taurine deconjugation and excretion.</w:t>
      </w:r>
      <w:r>
        <w:rPr>
          <w:rFonts w:ascii="Arial" w:hAnsi="Arial" w:cs="Arial"/>
          <w:noProof/>
        </w:rPr>
        <w:t>[239]</w:t>
      </w:r>
      <w:r>
        <w:rPr>
          <w:rFonts w:ascii="Arial" w:hAnsi="Arial" w:cs="Arial"/>
        </w:rPr>
        <w:t xml:space="preserve">  Giving antibiotics reversed these findings indicating that Maillard reaction products promote an enteric flora that favors degradation of conjugated taurine with decreases in taurine recycling and increase loss in the feces.</w:t>
      </w:r>
      <w:r>
        <w:rPr>
          <w:rFonts w:ascii="Arial" w:hAnsi="Arial" w:cs="Arial"/>
          <w:noProof/>
        </w:rPr>
        <w:t>[10]</w:t>
      </w:r>
    </w:p>
    <w:p w:rsidR="00330CF1" w:rsidRDefault="00330CF1" w:rsidP="00681100">
      <w:pPr>
        <w:autoSpaceDE w:val="0"/>
        <w:autoSpaceDN w:val="0"/>
        <w:adjustRightInd w:val="0"/>
        <w:rPr>
          <w:rFonts w:ascii="Arial" w:hAnsi="Arial" w:cs="Arial"/>
        </w:rPr>
      </w:pPr>
    </w:p>
    <w:p w:rsidR="00330CF1" w:rsidRDefault="00330CF1" w:rsidP="00A33615">
      <w:pPr>
        <w:pStyle w:val="NormalWeb"/>
        <w:spacing w:before="0" w:beforeAutospacing="0" w:after="0" w:afterAutospacing="0"/>
        <w:rPr>
          <w:rFonts w:ascii="Arial" w:eastAsiaTheme="minorEastAsia" w:hAnsi="Arial" w:cs="Arial"/>
          <w:color w:val="000000" w:themeColor="text1"/>
          <w:kern w:val="24"/>
        </w:rPr>
      </w:pPr>
      <w:bookmarkStart w:id="21" w:name="_Toc305485848"/>
    </w:p>
    <w:p w:rsidR="00330CF1" w:rsidRPr="00A33615" w:rsidRDefault="00330CF1" w:rsidP="00A33615">
      <w:pPr>
        <w:pStyle w:val="NormalWeb"/>
        <w:spacing w:before="0" w:beforeAutospacing="0" w:after="0" w:afterAutospacing="0"/>
        <w:rPr>
          <w:rFonts w:ascii="Arial" w:hAnsi="Arial" w:cs="Arial"/>
          <w:b/>
          <w:i/>
        </w:rPr>
      </w:pPr>
      <w:r w:rsidRPr="00A33615">
        <w:rPr>
          <w:rFonts w:ascii="Arial" w:hAnsi="Arial" w:cs="Arial"/>
          <w:b/>
          <w:i/>
        </w:rPr>
        <w:t xml:space="preserve">Effects of </w:t>
      </w:r>
      <w:r>
        <w:rPr>
          <w:rFonts w:ascii="Arial" w:hAnsi="Arial" w:cs="Arial"/>
          <w:b/>
          <w:i/>
        </w:rPr>
        <w:t>p</w:t>
      </w:r>
      <w:r w:rsidRPr="00A33615">
        <w:rPr>
          <w:rFonts w:ascii="Arial" w:hAnsi="Arial" w:cs="Arial"/>
          <w:b/>
          <w:i/>
        </w:rPr>
        <w:t xml:space="preserve">rocessing on </w:t>
      </w:r>
      <w:r>
        <w:rPr>
          <w:rFonts w:ascii="Arial" w:hAnsi="Arial" w:cs="Arial"/>
          <w:b/>
          <w:i/>
        </w:rPr>
        <w:t>v</w:t>
      </w:r>
      <w:r w:rsidRPr="00A33615">
        <w:rPr>
          <w:rFonts w:ascii="Arial" w:hAnsi="Arial" w:cs="Arial"/>
          <w:b/>
          <w:i/>
        </w:rPr>
        <w:t>itamins</w:t>
      </w:r>
      <w:bookmarkEnd w:id="21"/>
      <w:r w:rsidRPr="00A33615">
        <w:rPr>
          <w:rFonts w:ascii="Arial" w:hAnsi="Arial" w:cs="Arial"/>
          <w:b/>
          <w:i/>
        </w:rPr>
        <w:t xml:space="preserve"> </w:t>
      </w:r>
    </w:p>
    <w:p w:rsidR="00330CF1" w:rsidRDefault="00330CF1" w:rsidP="00681100">
      <w:pPr>
        <w:autoSpaceDE w:val="0"/>
        <w:autoSpaceDN w:val="0"/>
        <w:adjustRightInd w:val="0"/>
        <w:rPr>
          <w:rFonts w:ascii="Arial" w:hAnsi="Arial" w:cs="Arial"/>
          <w:b/>
          <w:i/>
        </w:rPr>
      </w:pPr>
    </w:p>
    <w:p w:rsidR="00330CF1" w:rsidRDefault="00330CF1" w:rsidP="00681100">
      <w:pPr>
        <w:autoSpaceDE w:val="0"/>
        <w:autoSpaceDN w:val="0"/>
        <w:adjustRightInd w:val="0"/>
        <w:rPr>
          <w:rFonts w:ascii="Arial" w:hAnsi="Arial" w:cs="Arial"/>
        </w:rPr>
      </w:pPr>
      <w:r>
        <w:rPr>
          <w:rFonts w:ascii="Arial" w:hAnsi="Arial" w:cs="Arial"/>
        </w:rPr>
        <w:t xml:space="preserve">     There are 13 recognized vitamins divided into 2 categories based on their solubility characteristics.  These include 4 fat soluble vitamins and 9 water soluble vitamins.  Table 1.8 lists the vitamins and some commonly used synonyms.  With the exception of Vitamin C in most mammals, vitamins are essential in the diet and have important metabolic functions.  These include acting as 1-coenzymes or their precursors (thiamine, riboflavin, niacin, biotin, pantothenic acid, pyrixidol, cobalamin and folate), 2- antioxidants (Vitamin C and E, carotenoids), 3- factors in gene regulation (Vitamin A, D), </w:t>
      </w:r>
      <w:r>
        <w:rPr>
          <w:rFonts w:ascii="Arial" w:hAnsi="Arial" w:cs="Arial"/>
        </w:rPr>
        <w:lastRenderedPageBreak/>
        <w:t xml:space="preserve">4- specialized functions such as Vitamin A in vision, and Vitamin K in specific carboxylation reactions.  Processing causes variable losses of vitamins depending on the temperature, presence of oxygen, light, moisture, pH and duration of heat. </w:t>
      </w:r>
    </w:p>
    <w:p w:rsidR="00330CF1" w:rsidRPr="00E36871" w:rsidRDefault="00330CF1" w:rsidP="00A33615">
      <w:pPr>
        <w:rPr>
          <w:rFonts w:ascii="Arial" w:hAnsi="Arial" w:cs="Arial"/>
        </w:rPr>
      </w:pPr>
      <w:r>
        <w:rPr>
          <w:rFonts w:ascii="Arial" w:hAnsi="Arial" w:cs="Arial"/>
        </w:rPr>
        <w:t xml:space="preserve">     Vitamin A is a group of unsaturated hydrocarbons including retinol and related compounds (retinal and retinoic acid) and carotenoids.  Retinol and carotenoids are sensitive to oxidation and loss of activity is usually associated with oxidation and isomerization.</w:t>
      </w:r>
      <w:r>
        <w:rPr>
          <w:rFonts w:ascii="Arial" w:hAnsi="Arial" w:cs="Arial"/>
          <w:noProof/>
        </w:rPr>
        <w:t>[240]</w:t>
      </w:r>
      <w:r>
        <w:rPr>
          <w:rFonts w:ascii="Arial" w:hAnsi="Arial" w:cs="Arial"/>
        </w:rPr>
        <w:t xml:space="preserve">  Factors that promote oxidation of unsaturated fatty acids enhance degradation of Vitamin A, either by direct effects of oxidation or indirectly via the formation of free radicals.  Retinoids and carotenoids are fairly stable during thermal </w:t>
      </w:r>
      <w:r w:rsidRPr="00E36871">
        <w:rPr>
          <w:rFonts w:ascii="Arial" w:hAnsi="Arial" w:cs="Arial"/>
        </w:rPr>
        <w:t>processing, but can be inactivated by light or acid.</w:t>
      </w:r>
      <w:r>
        <w:rPr>
          <w:rFonts w:ascii="Arial" w:hAnsi="Arial" w:cs="Arial"/>
          <w:noProof/>
        </w:rPr>
        <w:t>[240, 241]</w:t>
      </w:r>
      <w:r w:rsidRPr="00E36871">
        <w:rPr>
          <w:rFonts w:ascii="Arial" w:hAnsi="Arial" w:cs="Arial"/>
        </w:rPr>
        <w:t xml:space="preserve">  Studies have shown losses of retinol in processing range</w:t>
      </w:r>
      <w:r>
        <w:rPr>
          <w:rFonts w:ascii="Arial" w:hAnsi="Arial" w:cs="Arial"/>
        </w:rPr>
        <w:t>d</w:t>
      </w:r>
      <w:r w:rsidRPr="00E36871">
        <w:rPr>
          <w:rFonts w:ascii="Arial" w:hAnsi="Arial" w:cs="Arial"/>
        </w:rPr>
        <w:t xml:space="preserve"> from 5-43%.</w:t>
      </w:r>
      <w:r>
        <w:rPr>
          <w:rFonts w:ascii="Arial" w:hAnsi="Arial" w:cs="Arial"/>
          <w:noProof/>
        </w:rPr>
        <w:t>[242, 243]</w:t>
      </w:r>
      <w:r w:rsidRPr="00E36871">
        <w:rPr>
          <w:rFonts w:ascii="Arial" w:hAnsi="Arial" w:cs="Arial"/>
        </w:rPr>
        <w:t xml:space="preserve">  The loss of β-caro</w:t>
      </w:r>
      <w:r>
        <w:rPr>
          <w:rFonts w:ascii="Arial" w:hAnsi="Arial" w:cs="Arial"/>
        </w:rPr>
        <w:t>tene in cooked vegetables ranged</w:t>
      </w:r>
      <w:r w:rsidRPr="00E36871">
        <w:rPr>
          <w:rFonts w:ascii="Arial" w:hAnsi="Arial" w:cs="Arial"/>
        </w:rPr>
        <w:t xml:space="preserve"> from 10-59%.</w:t>
      </w:r>
      <w:r>
        <w:rPr>
          <w:rFonts w:ascii="Arial" w:hAnsi="Arial" w:cs="Arial"/>
          <w:noProof/>
        </w:rPr>
        <w:t>[244]</w:t>
      </w:r>
      <w:r w:rsidRPr="00E36871">
        <w:rPr>
          <w:rFonts w:ascii="Arial" w:hAnsi="Arial" w:cs="Arial"/>
        </w:rPr>
        <w:t xml:space="preserve">  </w:t>
      </w:r>
    </w:p>
    <w:p w:rsidR="00330CF1" w:rsidRDefault="00330CF1" w:rsidP="00A33615">
      <w:pPr>
        <w:autoSpaceDE w:val="0"/>
        <w:autoSpaceDN w:val="0"/>
        <w:adjustRightInd w:val="0"/>
        <w:rPr>
          <w:rFonts w:ascii="Arial" w:hAnsi="Arial" w:cs="Arial"/>
        </w:rPr>
      </w:pPr>
      <w:r>
        <w:rPr>
          <w:rFonts w:ascii="Arial" w:hAnsi="Arial" w:cs="Arial"/>
        </w:rPr>
        <w:t xml:space="preserve">     Vitamin D is relatively stable during processing.  Like other unsaturated fat-soluble components, Vitamin D is susceptible to oxidation, isomerization, and degradation by light.</w:t>
      </w:r>
      <w:r>
        <w:rPr>
          <w:rFonts w:ascii="Arial" w:hAnsi="Arial" w:cs="Arial"/>
          <w:noProof/>
        </w:rPr>
        <w:t>[240, 241]</w:t>
      </w:r>
      <w:r>
        <w:rPr>
          <w:rFonts w:ascii="Arial" w:hAnsi="Arial" w:cs="Arial"/>
        </w:rPr>
        <w:t xml:space="preserve">  The level of fat in the food matrix will affect its retention.  A high fat content results in greater Vitamin D loss due to fat dripping off.  Bennick reported losses of vitamin D in cooked beef ranging from 35-40%.</w:t>
      </w:r>
      <w:r>
        <w:rPr>
          <w:rFonts w:ascii="Arial" w:hAnsi="Arial" w:cs="Arial"/>
          <w:noProof/>
        </w:rPr>
        <w:t>[245]</w:t>
      </w:r>
      <w:r>
        <w:rPr>
          <w:rFonts w:ascii="Arial" w:hAnsi="Arial" w:cs="Arial"/>
        </w:rPr>
        <w:t xml:space="preserve"> </w:t>
      </w:r>
    </w:p>
    <w:p w:rsidR="00330CF1" w:rsidRDefault="00330CF1" w:rsidP="00681100">
      <w:pPr>
        <w:autoSpaceDE w:val="0"/>
        <w:autoSpaceDN w:val="0"/>
        <w:adjustRightInd w:val="0"/>
        <w:rPr>
          <w:rFonts w:ascii="Arial" w:hAnsi="Arial" w:cs="Arial"/>
        </w:rPr>
      </w:pPr>
      <w:r>
        <w:rPr>
          <w:rFonts w:ascii="Arial" w:hAnsi="Arial" w:cs="Arial"/>
        </w:rPr>
        <w:t xml:space="preserve">     Vitamin E is the generic term for tocopherols and tocotrienols.  When not esterified to other compounds, they function </w:t>
      </w:r>
      <w:r w:rsidRPr="00320D16">
        <w:rPr>
          <w:rFonts w:ascii="Arial" w:hAnsi="Arial" w:cs="Arial"/>
        </w:rPr>
        <w:t xml:space="preserve">mainly as </w:t>
      </w:r>
      <w:r>
        <w:rPr>
          <w:rFonts w:ascii="Arial" w:hAnsi="Arial" w:cs="Arial"/>
        </w:rPr>
        <w:t>antioxidants.  Tocopherols are relatively stable to heat in the absence of oxygen, but will degrade in oxygen or in the presence of fatty acid peroxides.</w:t>
      </w:r>
      <w:r>
        <w:rPr>
          <w:rFonts w:ascii="Arial" w:hAnsi="Arial" w:cs="Arial"/>
          <w:noProof/>
        </w:rPr>
        <w:t>[241, 246]</w:t>
      </w:r>
      <w:r>
        <w:rPr>
          <w:rFonts w:ascii="Arial" w:hAnsi="Arial" w:cs="Arial"/>
        </w:rPr>
        <w:t xml:space="preserve">  Bennick observed losses of 33-44% during heat treatment of beef while Leskova found losses of 20-60% in processed meat.</w:t>
      </w:r>
      <w:r>
        <w:rPr>
          <w:rFonts w:ascii="Arial" w:hAnsi="Arial" w:cs="Arial"/>
          <w:noProof/>
        </w:rPr>
        <w:t>[243, 245]</w:t>
      </w:r>
    </w:p>
    <w:p w:rsidR="00330CF1" w:rsidRDefault="00330CF1" w:rsidP="00A33615">
      <w:pPr>
        <w:autoSpaceDE w:val="0"/>
        <w:autoSpaceDN w:val="0"/>
        <w:adjustRightInd w:val="0"/>
        <w:rPr>
          <w:rFonts w:ascii="Arial" w:hAnsi="Arial" w:cs="Arial"/>
        </w:rPr>
      </w:pPr>
      <w:r>
        <w:rPr>
          <w:rFonts w:ascii="Arial" w:hAnsi="Arial" w:cs="Arial"/>
        </w:rPr>
        <w:t xml:space="preserve">     The various forms of Vitamin K are relatively stable to heat and are retained after most cooking processes.  Vitamin K can be destroyed by sunlight and decomposed by alkaline treatment.</w:t>
      </w:r>
      <w:r>
        <w:rPr>
          <w:rFonts w:ascii="Arial" w:hAnsi="Arial" w:cs="Arial"/>
          <w:noProof/>
        </w:rPr>
        <w:t>[243]</w:t>
      </w:r>
      <w:r>
        <w:rPr>
          <w:rFonts w:ascii="Arial" w:hAnsi="Arial" w:cs="Arial"/>
        </w:rPr>
        <w:t xml:space="preserve">  Vitamin K is slowly degraded by atmospheric oxygen. </w:t>
      </w:r>
      <w:r>
        <w:rPr>
          <w:rFonts w:ascii="Arial" w:hAnsi="Arial" w:cs="Arial"/>
          <w:noProof/>
        </w:rPr>
        <w:t>[241]</w:t>
      </w:r>
    </w:p>
    <w:p w:rsidR="00330CF1" w:rsidRDefault="00330CF1" w:rsidP="00A33615">
      <w:pPr>
        <w:autoSpaceDE w:val="0"/>
        <w:autoSpaceDN w:val="0"/>
        <w:adjustRightInd w:val="0"/>
        <w:rPr>
          <w:rFonts w:ascii="Arial" w:hAnsi="Arial" w:cs="Arial"/>
        </w:rPr>
      </w:pPr>
      <w:r>
        <w:rPr>
          <w:rFonts w:ascii="Arial" w:hAnsi="Arial" w:cs="Arial"/>
        </w:rPr>
        <w:t xml:space="preserve">     In general, heating in water will lead to large losses of the water-soluble vitamins due to leaching into the aqeous fluid.  Losses depend on the degree of heat and surface area exposed to water.  Because of its high solubility in water, Vitamin C or ascorbic acid can have significant losses from leaching.  The loss of Vitamin C in vegetables during processing ranges from 1% (steaming) up to 75% (boiling) due to leaching.</w:t>
      </w:r>
      <w:r>
        <w:rPr>
          <w:rFonts w:ascii="Arial" w:hAnsi="Arial" w:cs="Arial"/>
          <w:noProof/>
        </w:rPr>
        <w:t>[243]</w:t>
      </w:r>
      <w:r>
        <w:rPr>
          <w:rFonts w:ascii="Arial" w:hAnsi="Arial" w:cs="Arial"/>
        </w:rPr>
        <w:t xml:space="preserve">  Ascorbic acid, being an intracellular antioxidant, can readily lose an electron and be subject to oxidation.  Trace metals, acting as catalysts for formation of oxygen radicals, increase the degradation of Vitamin C.  Copper (Cu</w:t>
      </w:r>
      <w:r>
        <w:rPr>
          <w:rFonts w:ascii="Arial" w:hAnsi="Arial" w:cs="Arial"/>
          <w:vertAlign w:val="superscript"/>
        </w:rPr>
        <w:t>+2</w:t>
      </w:r>
      <w:r>
        <w:rPr>
          <w:rFonts w:ascii="Arial" w:hAnsi="Arial" w:cs="Arial"/>
        </w:rPr>
        <w:t xml:space="preserve"> ) is the strongest free radical generator followed by  iron (Fe</w:t>
      </w:r>
      <w:r>
        <w:rPr>
          <w:rFonts w:ascii="Arial" w:hAnsi="Arial" w:cs="Arial"/>
          <w:vertAlign w:val="superscript"/>
        </w:rPr>
        <w:t>+3)</w:t>
      </w:r>
      <w:r>
        <w:rPr>
          <w:rFonts w:ascii="Arial" w:hAnsi="Arial" w:cs="Arial"/>
        </w:rPr>
        <w:t>, and  zinc (Cu</w:t>
      </w:r>
      <w:r>
        <w:rPr>
          <w:rFonts w:ascii="Arial" w:hAnsi="Arial" w:cs="Arial"/>
          <w:vertAlign w:val="superscript"/>
        </w:rPr>
        <w:t>+2</w:t>
      </w:r>
      <w:r>
        <w:rPr>
          <w:rFonts w:ascii="Arial" w:hAnsi="Arial" w:cs="Arial"/>
        </w:rPr>
        <w:t xml:space="preserve"> &gt; Fe</w:t>
      </w:r>
      <w:r w:rsidRPr="00636CD0">
        <w:rPr>
          <w:rFonts w:ascii="Arial" w:hAnsi="Arial" w:cs="Arial"/>
          <w:vertAlign w:val="superscript"/>
        </w:rPr>
        <w:t>+3</w:t>
      </w:r>
      <w:r>
        <w:rPr>
          <w:rFonts w:ascii="Arial" w:hAnsi="Arial" w:cs="Arial"/>
        </w:rPr>
        <w:t xml:space="preserve"> &gt; </w:t>
      </w:r>
      <w:r w:rsidRPr="00636CD0">
        <w:rPr>
          <w:rFonts w:ascii="Arial" w:hAnsi="Arial" w:cs="Arial"/>
        </w:rPr>
        <w:t>Fe</w:t>
      </w:r>
      <w:r>
        <w:rPr>
          <w:rFonts w:ascii="Arial" w:hAnsi="Arial" w:cs="Arial"/>
          <w:vertAlign w:val="superscript"/>
        </w:rPr>
        <w:t>+2</w:t>
      </w:r>
      <w:r>
        <w:rPr>
          <w:rFonts w:ascii="Arial" w:hAnsi="Arial" w:cs="Arial"/>
        </w:rPr>
        <w:t xml:space="preserve"> &gt; Zn</w:t>
      </w:r>
      <w:r>
        <w:rPr>
          <w:rFonts w:ascii="Arial" w:hAnsi="Arial" w:cs="Arial"/>
          <w:vertAlign w:val="superscript"/>
        </w:rPr>
        <w:t>+2</w:t>
      </w:r>
      <w:r>
        <w:rPr>
          <w:rFonts w:ascii="Arial" w:hAnsi="Arial" w:cs="Arial"/>
        </w:rPr>
        <w:t>).</w:t>
      </w:r>
      <w:r>
        <w:rPr>
          <w:rFonts w:ascii="Arial" w:hAnsi="Arial" w:cs="Arial"/>
          <w:noProof/>
        </w:rPr>
        <w:t>[241]</w:t>
      </w:r>
      <w:r>
        <w:rPr>
          <w:rFonts w:ascii="Arial" w:hAnsi="Arial" w:cs="Arial"/>
        </w:rPr>
        <w:t xml:space="preserve">  Copper levels as low as 0.85 ppm are sufficient to catalyze oxidation, resulting in subsequent vitamin loss.</w:t>
      </w:r>
      <w:r>
        <w:rPr>
          <w:rFonts w:ascii="Arial" w:hAnsi="Arial" w:cs="Arial"/>
          <w:noProof/>
        </w:rPr>
        <w:t>[241]</w:t>
      </w:r>
      <w:r>
        <w:rPr>
          <w:rFonts w:ascii="Arial" w:hAnsi="Arial" w:cs="Arial"/>
        </w:rPr>
        <w:t xml:space="preserve">  While cats do not have an absolute requirement for Vitamin C, it is still an important antioxidant and be conditional in animals that do not have an absolute dietary requirement. </w:t>
      </w:r>
    </w:p>
    <w:p w:rsidR="00330CF1" w:rsidRDefault="00330CF1" w:rsidP="00A33615">
      <w:pPr>
        <w:autoSpaceDE w:val="0"/>
        <w:autoSpaceDN w:val="0"/>
        <w:adjustRightInd w:val="0"/>
        <w:rPr>
          <w:rFonts w:ascii="Arial" w:hAnsi="Arial" w:cs="Arial"/>
        </w:rPr>
      </w:pPr>
    </w:p>
    <w:p w:rsidR="00330CF1" w:rsidRDefault="00330CF1" w:rsidP="00A33615">
      <w:pPr>
        <w:autoSpaceDE w:val="0"/>
        <w:autoSpaceDN w:val="0"/>
        <w:adjustRightInd w:val="0"/>
        <w:rPr>
          <w:rFonts w:ascii="Arial" w:hAnsi="Arial" w:cs="Arial"/>
        </w:rPr>
      </w:pPr>
    </w:p>
    <w:p w:rsidR="00330CF1" w:rsidRDefault="00330CF1" w:rsidP="00A33615">
      <w:pPr>
        <w:autoSpaceDE w:val="0"/>
        <w:autoSpaceDN w:val="0"/>
        <w:adjustRightInd w:val="0"/>
        <w:rPr>
          <w:rFonts w:ascii="Arial" w:hAnsi="Arial" w:cs="Arial"/>
        </w:rPr>
      </w:pPr>
    </w:p>
    <w:p w:rsidR="00330CF1" w:rsidRDefault="00330CF1" w:rsidP="00A33615">
      <w:pPr>
        <w:autoSpaceDE w:val="0"/>
        <w:autoSpaceDN w:val="0"/>
        <w:adjustRightInd w:val="0"/>
        <w:rPr>
          <w:rFonts w:ascii="Arial" w:hAnsi="Arial" w:cs="Arial"/>
        </w:rPr>
      </w:pPr>
    </w:p>
    <w:p w:rsidR="00330CF1" w:rsidRDefault="00330CF1" w:rsidP="00A33615">
      <w:pPr>
        <w:autoSpaceDE w:val="0"/>
        <w:autoSpaceDN w:val="0"/>
        <w:adjustRightInd w:val="0"/>
        <w:rPr>
          <w:rFonts w:ascii="Arial" w:hAnsi="Arial" w:cs="Arial"/>
        </w:rPr>
      </w:pPr>
    </w:p>
    <w:p w:rsidR="00330CF1" w:rsidRDefault="00330CF1" w:rsidP="00A33615">
      <w:pPr>
        <w:autoSpaceDE w:val="0"/>
        <w:autoSpaceDN w:val="0"/>
        <w:adjustRightInd w:val="0"/>
        <w:rPr>
          <w:rFonts w:ascii="Arial" w:hAnsi="Arial" w:cs="Arial"/>
        </w:rPr>
      </w:pPr>
    </w:p>
    <w:p w:rsidR="00330CF1" w:rsidRDefault="00330CF1" w:rsidP="00A33615">
      <w:pPr>
        <w:autoSpaceDE w:val="0"/>
        <w:autoSpaceDN w:val="0"/>
        <w:adjustRightInd w:val="0"/>
        <w:rPr>
          <w:rFonts w:ascii="Arial" w:hAnsi="Arial" w:cs="Arial"/>
        </w:rPr>
      </w:pPr>
    </w:p>
    <w:p w:rsidR="00330CF1" w:rsidRDefault="00330CF1" w:rsidP="000D141B">
      <w:pPr>
        <w:autoSpaceDE w:val="0"/>
        <w:autoSpaceDN w:val="0"/>
        <w:adjustRightInd w:val="0"/>
        <w:rPr>
          <w:rFonts w:ascii="Arial" w:hAnsi="Arial" w:cs="Arial"/>
        </w:rPr>
      </w:pPr>
      <w:r w:rsidRPr="00C565E8">
        <w:rPr>
          <w:rFonts w:ascii="Arial" w:hAnsi="Arial" w:cs="Arial"/>
          <w:b/>
        </w:rPr>
        <w:lastRenderedPageBreak/>
        <w:t>Table 1.8</w:t>
      </w:r>
      <w:r>
        <w:rPr>
          <w:rFonts w:ascii="Arial" w:hAnsi="Arial" w:cs="Arial"/>
        </w:rPr>
        <w:t xml:space="preserve"> Vitamins and commonly used synonyms</w:t>
      </w:r>
    </w:p>
    <w:p w:rsidR="00330CF1" w:rsidRDefault="00330CF1" w:rsidP="00A33615">
      <w:pPr>
        <w:autoSpaceDE w:val="0"/>
        <w:autoSpaceDN w:val="0"/>
        <w:adjustRightInd w:val="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5850"/>
      </w:tblGrid>
      <w:tr w:rsidR="00330CF1" w:rsidRPr="009A53A6" w:rsidTr="00512D85">
        <w:tc>
          <w:tcPr>
            <w:tcW w:w="2628" w:type="dxa"/>
          </w:tcPr>
          <w:p w:rsidR="00330CF1" w:rsidRPr="009A53A6" w:rsidRDefault="00330CF1" w:rsidP="00512D85">
            <w:pPr>
              <w:autoSpaceDE w:val="0"/>
              <w:autoSpaceDN w:val="0"/>
              <w:adjustRightInd w:val="0"/>
              <w:rPr>
                <w:rFonts w:ascii="Arial" w:hAnsi="Arial" w:cs="Arial"/>
                <w:b/>
              </w:rPr>
            </w:pPr>
            <w:r w:rsidRPr="009A53A6">
              <w:rPr>
                <w:rFonts w:ascii="Arial" w:hAnsi="Arial" w:cs="Arial"/>
                <w:b/>
              </w:rPr>
              <w:t>Vitamin Group</w:t>
            </w:r>
          </w:p>
        </w:tc>
        <w:tc>
          <w:tcPr>
            <w:tcW w:w="5850" w:type="dxa"/>
          </w:tcPr>
          <w:p w:rsidR="00330CF1" w:rsidRPr="009A53A6" w:rsidRDefault="00330CF1" w:rsidP="00512D85">
            <w:pPr>
              <w:autoSpaceDE w:val="0"/>
              <w:autoSpaceDN w:val="0"/>
              <w:adjustRightInd w:val="0"/>
              <w:rPr>
                <w:rFonts w:ascii="Arial" w:hAnsi="Arial" w:cs="Arial"/>
                <w:b/>
              </w:rPr>
            </w:pPr>
            <w:r w:rsidRPr="009A53A6">
              <w:rPr>
                <w:rFonts w:ascii="Arial" w:hAnsi="Arial" w:cs="Arial"/>
                <w:b/>
              </w:rPr>
              <w:t>Synonyms</w:t>
            </w:r>
          </w:p>
        </w:tc>
      </w:tr>
      <w:tr w:rsidR="00330CF1" w:rsidRPr="003A301D" w:rsidTr="00512D85">
        <w:trPr>
          <w:trHeight w:val="215"/>
        </w:trPr>
        <w:tc>
          <w:tcPr>
            <w:tcW w:w="2628" w:type="dxa"/>
          </w:tcPr>
          <w:p w:rsidR="00330CF1" w:rsidRPr="003A301D" w:rsidRDefault="00330CF1" w:rsidP="00512D85">
            <w:pPr>
              <w:autoSpaceDE w:val="0"/>
              <w:autoSpaceDN w:val="0"/>
              <w:adjustRightInd w:val="0"/>
              <w:rPr>
                <w:rFonts w:ascii="Arial" w:hAnsi="Arial" w:cs="Arial"/>
                <w:b/>
              </w:rPr>
            </w:pPr>
            <w:r w:rsidRPr="003A301D">
              <w:rPr>
                <w:rFonts w:ascii="Arial" w:hAnsi="Arial" w:cs="Arial"/>
                <w:b/>
              </w:rPr>
              <w:t>Fat-soluble</w:t>
            </w:r>
          </w:p>
        </w:tc>
        <w:tc>
          <w:tcPr>
            <w:tcW w:w="5850" w:type="dxa"/>
          </w:tcPr>
          <w:p w:rsidR="00330CF1" w:rsidRPr="003A301D" w:rsidRDefault="00330CF1" w:rsidP="00512D85">
            <w:pPr>
              <w:autoSpaceDE w:val="0"/>
              <w:autoSpaceDN w:val="0"/>
              <w:adjustRightInd w:val="0"/>
              <w:rPr>
                <w:rFonts w:ascii="Arial" w:hAnsi="Arial" w:cs="Arial"/>
              </w:rPr>
            </w:pP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Vitamin A</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Retinol</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Retinal</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Retinoic Acid</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Pr>
                <w:rFonts w:ascii="Arial" w:hAnsi="Arial" w:cs="Arial"/>
              </w:rPr>
              <w:t>ProVitamin A</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α,β,γ-Carotene</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Vitamin D</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Ergocalciferol (D</w:t>
            </w:r>
            <w:r w:rsidRPr="003A301D">
              <w:rPr>
                <w:rFonts w:ascii="Arial" w:hAnsi="Arial" w:cs="Arial"/>
                <w:vertAlign w:val="subscript"/>
              </w:rPr>
              <w:t>2</w:t>
            </w:r>
            <w:r w:rsidRPr="003A301D">
              <w:rPr>
                <w:rFonts w:ascii="Arial" w:hAnsi="Arial" w:cs="Arial"/>
              </w:rPr>
              <w:t>)</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Cholecalciferol (D</w:t>
            </w:r>
            <w:r w:rsidRPr="003A301D">
              <w:rPr>
                <w:rFonts w:ascii="Arial" w:hAnsi="Arial" w:cs="Arial"/>
                <w:vertAlign w:val="subscript"/>
              </w:rPr>
              <w:t>3</w:t>
            </w:r>
            <w:r w:rsidRPr="003A301D">
              <w:rPr>
                <w:rFonts w:ascii="Arial" w:hAnsi="Arial" w:cs="Arial"/>
              </w:rPr>
              <w:t>)</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Vitamin E</w:t>
            </w:r>
          </w:p>
        </w:tc>
        <w:tc>
          <w:tcPr>
            <w:tcW w:w="5850" w:type="dxa"/>
          </w:tcPr>
          <w:p w:rsidR="00330CF1" w:rsidRPr="00E11C2E" w:rsidRDefault="00330CF1" w:rsidP="00512D85">
            <w:pPr>
              <w:autoSpaceDE w:val="0"/>
              <w:autoSpaceDN w:val="0"/>
              <w:adjustRightInd w:val="0"/>
              <w:rPr>
                <w:rFonts w:ascii="Arial" w:hAnsi="Arial" w:cs="Arial"/>
              </w:rPr>
            </w:pPr>
            <w:r w:rsidRPr="00E11C2E">
              <w:rPr>
                <w:rFonts w:ascii="Arial" w:hAnsi="Arial" w:cs="Arial"/>
              </w:rPr>
              <w:t>α,β,γ,δ-Tocopherols</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E11C2E" w:rsidRDefault="00330CF1" w:rsidP="00512D85">
            <w:pPr>
              <w:autoSpaceDE w:val="0"/>
              <w:autoSpaceDN w:val="0"/>
              <w:adjustRightInd w:val="0"/>
              <w:rPr>
                <w:rFonts w:ascii="Arial" w:hAnsi="Arial" w:cs="Arial"/>
              </w:rPr>
            </w:pPr>
            <w:r w:rsidRPr="00E11C2E">
              <w:rPr>
                <w:rFonts w:ascii="Arial" w:hAnsi="Arial" w:cs="Arial"/>
              </w:rPr>
              <w:t>α,β,γ,δ-Tocotrienols</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 xml:space="preserve">Vitamin K </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Phylloquinone (K</w:t>
            </w:r>
            <w:r w:rsidRPr="003A301D">
              <w:rPr>
                <w:rFonts w:ascii="Arial" w:hAnsi="Arial" w:cs="Arial"/>
                <w:vertAlign w:val="subscript"/>
              </w:rPr>
              <w:t>1</w:t>
            </w:r>
            <w:r w:rsidRPr="003A301D">
              <w:rPr>
                <w:rFonts w:ascii="Arial" w:hAnsi="Arial" w:cs="Arial"/>
              </w:rPr>
              <w:t>)</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Menaquinone (K</w:t>
            </w:r>
            <w:r w:rsidRPr="003A301D">
              <w:rPr>
                <w:rFonts w:ascii="Arial" w:hAnsi="Arial" w:cs="Arial"/>
                <w:vertAlign w:val="subscript"/>
              </w:rPr>
              <w:t>2</w:t>
            </w:r>
            <w:r w:rsidRPr="003A301D">
              <w:rPr>
                <w:rFonts w:ascii="Arial" w:hAnsi="Arial" w:cs="Arial"/>
              </w:rPr>
              <w:t>)</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Menadione (K</w:t>
            </w:r>
            <w:r w:rsidRPr="003A301D">
              <w:rPr>
                <w:rFonts w:ascii="Arial" w:hAnsi="Arial" w:cs="Arial"/>
                <w:vertAlign w:val="subscript"/>
              </w:rPr>
              <w:t>3</w:t>
            </w:r>
            <w:r w:rsidRPr="003A301D">
              <w:rPr>
                <w:rFonts w:ascii="Arial" w:hAnsi="Arial" w:cs="Arial"/>
              </w:rPr>
              <w:t>)</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b/>
              </w:rPr>
            </w:pPr>
            <w:r w:rsidRPr="003A301D">
              <w:rPr>
                <w:rFonts w:ascii="Arial" w:hAnsi="Arial" w:cs="Arial"/>
                <w:b/>
              </w:rPr>
              <w:t>Water-soluble</w:t>
            </w:r>
          </w:p>
        </w:tc>
        <w:tc>
          <w:tcPr>
            <w:tcW w:w="5850" w:type="dxa"/>
          </w:tcPr>
          <w:p w:rsidR="00330CF1" w:rsidRPr="003A301D" w:rsidRDefault="00330CF1" w:rsidP="00512D85">
            <w:pPr>
              <w:autoSpaceDE w:val="0"/>
              <w:autoSpaceDN w:val="0"/>
              <w:adjustRightInd w:val="0"/>
              <w:rPr>
                <w:rFonts w:ascii="Arial" w:hAnsi="Arial" w:cs="Arial"/>
              </w:rPr>
            </w:pP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Vitamin C</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 xml:space="preserve">Ascorbic acid </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Dehydroascorbic acid</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i/>
              </w:rPr>
            </w:pPr>
            <w:r w:rsidRPr="003A301D">
              <w:rPr>
                <w:rFonts w:ascii="Arial" w:hAnsi="Arial" w:cs="Arial"/>
                <w:i/>
              </w:rPr>
              <w:t>B-Complex</w:t>
            </w:r>
          </w:p>
        </w:tc>
        <w:tc>
          <w:tcPr>
            <w:tcW w:w="5850" w:type="dxa"/>
          </w:tcPr>
          <w:p w:rsidR="00330CF1" w:rsidRPr="003A301D" w:rsidRDefault="00330CF1" w:rsidP="00512D85">
            <w:pPr>
              <w:autoSpaceDE w:val="0"/>
              <w:autoSpaceDN w:val="0"/>
              <w:adjustRightInd w:val="0"/>
              <w:rPr>
                <w:rFonts w:ascii="Arial" w:hAnsi="Arial" w:cs="Arial"/>
              </w:rPr>
            </w:pP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Vitamin B</w:t>
            </w:r>
            <w:r w:rsidRPr="003A301D">
              <w:rPr>
                <w:rFonts w:ascii="Arial" w:hAnsi="Arial" w:cs="Arial"/>
                <w:vertAlign w:val="subscript"/>
              </w:rPr>
              <w:t>1</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Thiamin</w:t>
            </w:r>
            <w:r>
              <w:rPr>
                <w:rFonts w:ascii="Arial" w:hAnsi="Arial" w:cs="Arial"/>
              </w:rPr>
              <w:t>e</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Vitamin B</w:t>
            </w:r>
            <w:r w:rsidRPr="003A301D">
              <w:rPr>
                <w:rFonts w:ascii="Arial" w:hAnsi="Arial" w:cs="Arial"/>
                <w:vertAlign w:val="subscript"/>
              </w:rPr>
              <w:t>2</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Riboflavin</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Vitamin B</w:t>
            </w:r>
            <w:r w:rsidRPr="003A301D">
              <w:rPr>
                <w:rFonts w:ascii="Arial" w:hAnsi="Arial" w:cs="Arial"/>
                <w:vertAlign w:val="subscript"/>
              </w:rPr>
              <w:t>3</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Niacin</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Nicotinic acid</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Nicotinamide</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vertAlign w:val="subscript"/>
              </w:rPr>
            </w:pPr>
            <w:r w:rsidRPr="003A301D">
              <w:rPr>
                <w:rFonts w:ascii="Arial" w:hAnsi="Arial" w:cs="Arial"/>
              </w:rPr>
              <w:t>Vitamin B</w:t>
            </w:r>
            <w:r w:rsidRPr="003A301D">
              <w:rPr>
                <w:rFonts w:ascii="Arial" w:hAnsi="Arial" w:cs="Arial"/>
                <w:vertAlign w:val="subscript"/>
              </w:rPr>
              <w:t>5</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Pantothenic acid</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Vitamin B</w:t>
            </w:r>
            <w:r w:rsidRPr="003A301D">
              <w:rPr>
                <w:rFonts w:ascii="Arial" w:hAnsi="Arial" w:cs="Arial"/>
                <w:vertAlign w:val="subscript"/>
              </w:rPr>
              <w:t>6</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Pyridoxine</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Pyridoxal</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r>
              <w:rPr>
                <w:rFonts w:ascii="Arial" w:hAnsi="Arial" w:cs="Arial"/>
              </w:rPr>
              <w:t>Pyr</w:t>
            </w:r>
            <w:r w:rsidRPr="003A301D">
              <w:rPr>
                <w:rFonts w:ascii="Arial" w:hAnsi="Arial" w:cs="Arial"/>
              </w:rPr>
              <w:t>idoxamine</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vertAlign w:val="subscript"/>
              </w:rPr>
            </w:pPr>
            <w:r w:rsidRPr="003A301D">
              <w:rPr>
                <w:rFonts w:ascii="Arial" w:hAnsi="Arial" w:cs="Arial"/>
              </w:rPr>
              <w:t>Vitamin B</w:t>
            </w:r>
            <w:r w:rsidRPr="003A301D">
              <w:rPr>
                <w:rFonts w:ascii="Arial" w:hAnsi="Arial" w:cs="Arial"/>
                <w:vertAlign w:val="subscript"/>
              </w:rPr>
              <w:t>12</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Cobalamin</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Cyanocobalamin</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Folate</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Folate, Folic acid</w:t>
            </w:r>
          </w:p>
        </w:tc>
      </w:tr>
      <w:tr w:rsidR="00330CF1" w:rsidRPr="003A301D" w:rsidTr="00512D85">
        <w:tc>
          <w:tcPr>
            <w:tcW w:w="2628"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Biotin</w:t>
            </w:r>
          </w:p>
        </w:tc>
        <w:tc>
          <w:tcPr>
            <w:tcW w:w="5850" w:type="dxa"/>
          </w:tcPr>
          <w:p w:rsidR="00330CF1" w:rsidRPr="003A301D" w:rsidRDefault="00330CF1" w:rsidP="00512D85">
            <w:pPr>
              <w:autoSpaceDE w:val="0"/>
              <w:autoSpaceDN w:val="0"/>
              <w:adjustRightInd w:val="0"/>
              <w:rPr>
                <w:rFonts w:ascii="Arial" w:hAnsi="Arial" w:cs="Arial"/>
              </w:rPr>
            </w:pPr>
            <w:r w:rsidRPr="003A301D">
              <w:rPr>
                <w:rFonts w:ascii="Arial" w:hAnsi="Arial" w:cs="Arial"/>
              </w:rPr>
              <w:t>Biotin</w:t>
            </w:r>
          </w:p>
        </w:tc>
      </w:tr>
    </w:tbl>
    <w:p w:rsidR="00330CF1" w:rsidRPr="00C6416C" w:rsidRDefault="00330CF1" w:rsidP="00A33615">
      <w:pPr>
        <w:autoSpaceDE w:val="0"/>
        <w:autoSpaceDN w:val="0"/>
        <w:adjustRightInd w:val="0"/>
        <w:rPr>
          <w:rFonts w:ascii="Arial" w:hAnsi="Arial" w:cs="Arial"/>
        </w:rPr>
      </w:pPr>
    </w:p>
    <w:p w:rsidR="00330CF1" w:rsidRPr="006443CA" w:rsidRDefault="00330CF1" w:rsidP="00A33615">
      <w:pPr>
        <w:autoSpaceDE w:val="0"/>
        <w:autoSpaceDN w:val="0"/>
        <w:adjustRightInd w:val="0"/>
        <w:rPr>
          <w:rFonts w:ascii="Arial" w:hAnsi="Arial" w:cs="Arial"/>
        </w:rPr>
      </w:pPr>
    </w:p>
    <w:p w:rsidR="00330CF1" w:rsidRDefault="00330CF1" w:rsidP="00E06E0D">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r>
        <w:rPr>
          <w:rFonts w:ascii="Arial" w:hAnsi="Arial" w:cs="Arial"/>
        </w:rPr>
        <w:t xml:space="preserve">     Thiamine is one of the least stable of the water-soluble B-vitamins.  Thiamine degradation during processing is primarily due to splitting of its methylene bridge resulting in pyrimidine and thiazole.</w:t>
      </w:r>
      <w:r>
        <w:rPr>
          <w:rFonts w:ascii="Arial" w:hAnsi="Arial" w:cs="Arial"/>
          <w:noProof/>
        </w:rPr>
        <w:t>[247]</w:t>
      </w:r>
      <w:r>
        <w:rPr>
          <w:rFonts w:ascii="Arial" w:hAnsi="Arial" w:cs="Arial"/>
        </w:rPr>
        <w:t xml:space="preserve">  This reaction is influenced by oxidation-reduction, inorganic bases (sulfites and bisulfites), metals, and thiaminases.</w:t>
      </w:r>
      <w:r>
        <w:rPr>
          <w:rFonts w:ascii="Arial" w:hAnsi="Arial" w:cs="Arial"/>
          <w:noProof/>
        </w:rPr>
        <w:t>[247]</w:t>
      </w:r>
      <w:r>
        <w:rPr>
          <w:rFonts w:ascii="Arial" w:hAnsi="Arial" w:cs="Arial"/>
        </w:rPr>
        <w:t xml:space="preserve"> Leskova found losses of thiamine in meat ranged from 15-80% during processing.</w:t>
      </w:r>
      <w:r>
        <w:rPr>
          <w:rFonts w:ascii="Arial" w:hAnsi="Arial" w:cs="Arial"/>
          <w:noProof/>
        </w:rPr>
        <w:t>[243]</w:t>
      </w:r>
      <w:r>
        <w:rPr>
          <w:rFonts w:ascii="Arial" w:hAnsi="Arial" w:cs="Arial"/>
        </w:rPr>
        <w:t xml:space="preserve">  Losses during heat treatment of meat (frying, braising, cooking, roasting) varied significantly depending on the water and fat content.  Large losses of thiamine can occur secondary to leaching into the surrounding media during heating.</w:t>
      </w:r>
      <w:r>
        <w:rPr>
          <w:rFonts w:ascii="Arial" w:hAnsi="Arial" w:cs="Arial"/>
          <w:noProof/>
        </w:rPr>
        <w:t>[243]</w:t>
      </w:r>
      <w:r>
        <w:rPr>
          <w:rFonts w:ascii="Arial" w:hAnsi="Arial" w:cs="Arial"/>
        </w:rPr>
        <w:t xml:space="preserve">  </w:t>
      </w:r>
      <w:r>
        <w:rPr>
          <w:rFonts w:ascii="Arial" w:hAnsi="Arial" w:cs="Arial"/>
        </w:rPr>
        <w:lastRenderedPageBreak/>
        <w:t>Conversely, higher fat content may act as a protective mechanism.  Rhee found that thiamine retention was higher in ground beef with higher fat content secondary to less water loss during cooking.</w:t>
      </w:r>
      <w:r>
        <w:rPr>
          <w:rFonts w:ascii="Arial" w:hAnsi="Arial" w:cs="Arial"/>
          <w:noProof/>
        </w:rPr>
        <w:t>[248]</w:t>
      </w:r>
      <w:r>
        <w:rPr>
          <w:rFonts w:ascii="Arial" w:hAnsi="Arial" w:cs="Arial"/>
        </w:rPr>
        <w:t xml:space="preserve">  Thiamine losses can be seen in processed meat where sulphites and bisulphites are used as preservatives.</w:t>
      </w:r>
      <w:r>
        <w:rPr>
          <w:rFonts w:ascii="Arial" w:hAnsi="Arial" w:cs="Arial"/>
          <w:noProof/>
        </w:rPr>
        <w:t>[241]</w:t>
      </w:r>
      <w:r>
        <w:rPr>
          <w:rFonts w:ascii="Arial" w:hAnsi="Arial" w:cs="Arial"/>
        </w:rPr>
        <w:t xml:space="preserve">  Ingestion of certain raw fish and shellfish can result in thiamine deficiency due to the presence of thiaminases.  In these cases, heat processing improves bioavailability as thiaminases are destroyed by cooking.</w:t>
      </w:r>
      <w:r>
        <w:rPr>
          <w:rFonts w:ascii="Arial" w:hAnsi="Arial" w:cs="Arial"/>
          <w:noProof/>
        </w:rPr>
        <w:t>[249]</w:t>
      </w:r>
    </w:p>
    <w:p w:rsidR="00330CF1" w:rsidRDefault="00330CF1" w:rsidP="00681100">
      <w:pPr>
        <w:autoSpaceDE w:val="0"/>
        <w:autoSpaceDN w:val="0"/>
        <w:adjustRightInd w:val="0"/>
        <w:rPr>
          <w:rFonts w:ascii="Arial" w:hAnsi="Arial" w:cs="Arial"/>
        </w:rPr>
      </w:pPr>
      <w:r>
        <w:rPr>
          <w:rFonts w:ascii="Arial" w:hAnsi="Arial" w:cs="Arial"/>
        </w:rPr>
        <w:t xml:space="preserve">     </w:t>
      </w:r>
      <w:r w:rsidRPr="00E36871">
        <w:rPr>
          <w:rFonts w:ascii="Arial" w:hAnsi="Arial" w:cs="Arial"/>
        </w:rPr>
        <w:t>Riboflavin is resistant to dry heat, acid solutions and oxygen, but sensitive to light.</w:t>
      </w:r>
      <w:r>
        <w:rPr>
          <w:rFonts w:ascii="Arial" w:hAnsi="Arial" w:cs="Arial"/>
          <w:noProof/>
        </w:rPr>
        <w:t>[241]</w:t>
      </w:r>
      <w:r w:rsidRPr="00E36871">
        <w:rPr>
          <w:rFonts w:ascii="Arial" w:hAnsi="Arial" w:cs="Arial"/>
        </w:rPr>
        <w:t xml:space="preserve"> </w:t>
      </w:r>
      <w:r>
        <w:rPr>
          <w:rFonts w:ascii="Arial" w:hAnsi="Arial" w:cs="Arial"/>
        </w:rPr>
        <w:t xml:space="preserve"> </w:t>
      </w:r>
      <w:r w:rsidRPr="00E36871">
        <w:rPr>
          <w:rFonts w:ascii="Arial" w:hAnsi="Arial" w:cs="Arial"/>
        </w:rPr>
        <w:t>The mechanism of degradation of riboflavin is photochemical</w:t>
      </w:r>
      <w:r>
        <w:rPr>
          <w:rFonts w:ascii="Arial" w:hAnsi="Arial" w:cs="Arial"/>
        </w:rPr>
        <w:t>,</w:t>
      </w:r>
      <w:r w:rsidRPr="00E36871">
        <w:rPr>
          <w:rFonts w:ascii="Arial" w:hAnsi="Arial" w:cs="Arial"/>
        </w:rPr>
        <w:t xml:space="preserve"> producing lumiflavin, lumichrome and various free radicals.</w:t>
      </w:r>
      <w:r>
        <w:rPr>
          <w:rFonts w:ascii="Arial" w:hAnsi="Arial" w:cs="Arial"/>
          <w:noProof/>
        </w:rPr>
        <w:t>[240]</w:t>
      </w:r>
      <w:r w:rsidRPr="00E36871">
        <w:rPr>
          <w:rFonts w:ascii="Arial" w:hAnsi="Arial" w:cs="Arial"/>
        </w:rPr>
        <w:t xml:space="preserve"> </w:t>
      </w:r>
      <w:r>
        <w:rPr>
          <w:rFonts w:ascii="Arial" w:hAnsi="Arial" w:cs="Arial"/>
        </w:rPr>
        <w:t xml:space="preserve"> </w:t>
      </w:r>
      <w:r w:rsidRPr="00E36871">
        <w:rPr>
          <w:rFonts w:ascii="Arial" w:hAnsi="Arial" w:cs="Arial"/>
        </w:rPr>
        <w:t>Riboflavin is a photosensitizer with excitation and degradation in the 420 to 560 µm wavelength range.</w:t>
      </w:r>
      <w:r>
        <w:rPr>
          <w:rFonts w:ascii="Arial" w:hAnsi="Arial" w:cs="Arial"/>
          <w:noProof/>
        </w:rPr>
        <w:t>[241]</w:t>
      </w:r>
      <w:r>
        <w:rPr>
          <w:rFonts w:ascii="Arial" w:hAnsi="Arial" w:cs="Arial"/>
        </w:rPr>
        <w:t xml:space="preserve"> </w:t>
      </w:r>
      <w:r w:rsidRPr="00E36871">
        <w:rPr>
          <w:rFonts w:ascii="Arial" w:hAnsi="Arial" w:cs="Arial"/>
        </w:rPr>
        <w:t xml:space="preserve"> Milk exposed</w:t>
      </w:r>
      <w:r>
        <w:rPr>
          <w:rFonts w:ascii="Arial" w:hAnsi="Arial" w:cs="Arial"/>
        </w:rPr>
        <w:t xml:space="preserve"> to light lost between 20-80% of its riboflavin content in 2 hours.</w:t>
      </w:r>
      <w:r>
        <w:rPr>
          <w:rFonts w:ascii="Arial" w:hAnsi="Arial" w:cs="Arial"/>
          <w:noProof/>
        </w:rPr>
        <w:t>[241]</w:t>
      </w:r>
      <w:r>
        <w:rPr>
          <w:rFonts w:ascii="Arial" w:hAnsi="Arial" w:cs="Arial"/>
        </w:rPr>
        <w:t xml:space="preserve"> Products packaged in transparent packaging can also result in riboflavin degradation. Woodcock found that pasta samples exposed to sunlight lost 57-64% of their riboflavin content within 2 days.</w:t>
      </w:r>
      <w:r>
        <w:rPr>
          <w:rFonts w:ascii="Arial" w:hAnsi="Arial" w:cs="Arial"/>
          <w:noProof/>
        </w:rPr>
        <w:t>[250]</w:t>
      </w:r>
      <w:r>
        <w:rPr>
          <w:rFonts w:ascii="Arial" w:hAnsi="Arial" w:cs="Arial"/>
        </w:rPr>
        <w:t xml:space="preserve">  Leaching into aqueous medium results in relatively small losses of riboflavin.  Leskova found 18% losses in meat when exposed to lengthy boiling.</w:t>
      </w:r>
      <w:r>
        <w:rPr>
          <w:rFonts w:ascii="Arial" w:hAnsi="Arial" w:cs="Arial"/>
          <w:noProof/>
        </w:rPr>
        <w:t>[243]</w:t>
      </w:r>
    </w:p>
    <w:p w:rsidR="00330CF1" w:rsidRDefault="00330CF1" w:rsidP="00681100">
      <w:pPr>
        <w:autoSpaceDE w:val="0"/>
        <w:autoSpaceDN w:val="0"/>
        <w:adjustRightInd w:val="0"/>
        <w:rPr>
          <w:rFonts w:ascii="Arial" w:hAnsi="Arial" w:cs="Arial"/>
        </w:rPr>
      </w:pPr>
      <w:r>
        <w:rPr>
          <w:rFonts w:ascii="Arial" w:hAnsi="Arial" w:cs="Arial"/>
        </w:rPr>
        <w:t xml:space="preserve">     Niacin is a fairly stable water-soluble vitamin.  Niacin is not affected by light and is stable during heating.</w:t>
      </w:r>
      <w:r>
        <w:rPr>
          <w:rFonts w:ascii="Arial" w:hAnsi="Arial" w:cs="Arial"/>
          <w:noProof/>
        </w:rPr>
        <w:t>[240]</w:t>
      </w:r>
      <w:r>
        <w:rPr>
          <w:rFonts w:ascii="Arial" w:hAnsi="Arial" w:cs="Arial"/>
        </w:rPr>
        <w:t xml:space="preserve">  Losses of niacin are caused mainly by leaching into cooking water.  Retention of niacin in meats and legumes was found to be in the range of 45-90% with processing.</w:t>
      </w:r>
      <w:r>
        <w:rPr>
          <w:rFonts w:ascii="Arial" w:hAnsi="Arial" w:cs="Arial"/>
          <w:noProof/>
        </w:rPr>
        <w:t>[243]</w:t>
      </w:r>
      <w:r>
        <w:rPr>
          <w:rFonts w:ascii="Arial" w:hAnsi="Arial" w:cs="Arial"/>
        </w:rPr>
        <w:t xml:space="preserve">  Niacin complexes with carbohydrates, proteins and phenols in certain cereal products, making it biologically unavailable.</w:t>
      </w:r>
      <w:r>
        <w:rPr>
          <w:rFonts w:ascii="Arial" w:hAnsi="Arial" w:cs="Arial"/>
          <w:noProof/>
        </w:rPr>
        <w:t>[240]</w:t>
      </w:r>
      <w:r>
        <w:rPr>
          <w:rFonts w:ascii="Arial" w:hAnsi="Arial" w:cs="Arial"/>
        </w:rPr>
        <w:t xml:space="preserve">  Alkaline treatment releases bound niacin making it available.</w:t>
      </w:r>
      <w:r>
        <w:rPr>
          <w:rFonts w:ascii="Arial" w:hAnsi="Arial" w:cs="Arial"/>
          <w:noProof/>
        </w:rPr>
        <w:t>[241]</w:t>
      </w:r>
    </w:p>
    <w:p w:rsidR="00330CF1" w:rsidRDefault="00330CF1" w:rsidP="00681100">
      <w:pPr>
        <w:autoSpaceDE w:val="0"/>
        <w:autoSpaceDN w:val="0"/>
        <w:adjustRightInd w:val="0"/>
        <w:rPr>
          <w:rFonts w:ascii="Arial" w:hAnsi="Arial" w:cs="Arial"/>
        </w:rPr>
      </w:pPr>
      <w:r>
        <w:rPr>
          <w:rFonts w:ascii="Arial" w:hAnsi="Arial" w:cs="Arial"/>
        </w:rPr>
        <w:t xml:space="preserve">     Pantothenic acid is widely distributed in plant and animal sources and can be found existing in food in both the free form and as part of the compounds acyl carrier protein (ACP) and coenzyme A (CoA).  Losses in thermal processing are proportional to the severity of treatment and the extent of leaching.</w:t>
      </w:r>
      <w:r>
        <w:rPr>
          <w:rFonts w:ascii="Arial" w:hAnsi="Arial" w:cs="Arial"/>
          <w:noProof/>
        </w:rPr>
        <w:t>[240]</w:t>
      </w:r>
      <w:r>
        <w:rPr>
          <w:rFonts w:ascii="Arial" w:hAnsi="Arial" w:cs="Arial"/>
        </w:rPr>
        <w:t xml:space="preserve">  In canned foods of animal origin, losses ranged from 20-25%, and in canned vegetables from 46-78%.</w:t>
      </w:r>
      <w:r>
        <w:rPr>
          <w:rFonts w:ascii="Arial" w:hAnsi="Arial" w:cs="Arial"/>
          <w:noProof/>
        </w:rPr>
        <w:t>[251]</w:t>
      </w:r>
      <w:r>
        <w:rPr>
          <w:rFonts w:ascii="Arial" w:hAnsi="Arial" w:cs="Arial"/>
        </w:rPr>
        <w:t xml:space="preserve">  Losses are attributed to release of bound form, hydrolytic cleavage and subsequent leaching into water.</w:t>
      </w:r>
      <w:r>
        <w:rPr>
          <w:rFonts w:ascii="Arial" w:hAnsi="Arial" w:cs="Arial"/>
          <w:noProof/>
        </w:rPr>
        <w:t>[241]</w:t>
      </w:r>
    </w:p>
    <w:p w:rsidR="00330CF1" w:rsidRDefault="00330CF1" w:rsidP="00681100">
      <w:pPr>
        <w:autoSpaceDE w:val="0"/>
        <w:autoSpaceDN w:val="0"/>
        <w:adjustRightInd w:val="0"/>
        <w:rPr>
          <w:rFonts w:ascii="Arial" w:hAnsi="Arial" w:cs="Arial"/>
        </w:rPr>
      </w:pPr>
      <w:r>
        <w:rPr>
          <w:rFonts w:ascii="Arial" w:hAnsi="Arial" w:cs="Arial"/>
        </w:rPr>
        <w:t xml:space="preserve">     Biologically active forms of Vitamin B6 include pyridoxal, pyridoxamine and pyridoxine.  All three forms function as coenzymes in over 100 enzymatic reactions involving metabolism of amino acids, carbohydrates, and lipids.</w:t>
      </w:r>
      <w:r>
        <w:rPr>
          <w:rFonts w:ascii="Arial" w:hAnsi="Arial" w:cs="Arial"/>
          <w:noProof/>
        </w:rPr>
        <w:t>[240]</w:t>
      </w:r>
      <w:r>
        <w:rPr>
          <w:rFonts w:ascii="Arial" w:hAnsi="Arial" w:cs="Arial"/>
        </w:rPr>
        <w:t xml:space="preserve">  Nearly half of these reactions involve transamination of amino acids.</w:t>
      </w:r>
      <w:r>
        <w:rPr>
          <w:rFonts w:ascii="Arial" w:hAnsi="Arial" w:cs="Arial"/>
          <w:noProof/>
        </w:rPr>
        <w:t>[12]</w:t>
      </w:r>
      <w:r>
        <w:rPr>
          <w:rFonts w:ascii="Arial" w:hAnsi="Arial" w:cs="Arial"/>
        </w:rPr>
        <w:t xml:space="preserve">  Pyridoxine is found primarily in vegetables, legumes, grains and cereals, whereas pyridoxal and pyridoxamine are found in meats, poultry, fish and dairy products.  The rate of degradation of Vitamin B6 is dependent on the form of the vitamin, temperature, pH and presence of reactive compounds within the matrix.</w:t>
      </w:r>
      <w:r>
        <w:rPr>
          <w:rFonts w:ascii="Arial" w:hAnsi="Arial" w:cs="Arial"/>
          <w:noProof/>
        </w:rPr>
        <w:t>[240]</w:t>
      </w:r>
      <w:r>
        <w:rPr>
          <w:rFonts w:ascii="Arial" w:hAnsi="Arial" w:cs="Arial"/>
        </w:rPr>
        <w:t xml:space="preserve">  Pyridoxine has greater </w:t>
      </w:r>
      <w:r w:rsidRPr="007404CF">
        <w:rPr>
          <w:rFonts w:ascii="Arial" w:hAnsi="Arial" w:cs="Arial"/>
        </w:rPr>
        <w:t>stability with processing than either pyridoxal or pyridoxamine.</w:t>
      </w:r>
      <w:r>
        <w:rPr>
          <w:rFonts w:ascii="Arial" w:hAnsi="Arial" w:cs="Arial"/>
          <w:noProof/>
        </w:rPr>
        <w:t>[252]</w:t>
      </w:r>
      <w:r w:rsidRPr="007404CF">
        <w:rPr>
          <w:rFonts w:ascii="Arial" w:hAnsi="Arial" w:cs="Arial"/>
        </w:rPr>
        <w:t xml:space="preserve">  Pyridoxal can bind to lysyl ε-amino groups and protein sulfhydryl groups resulting in reduced activity.</w:t>
      </w:r>
      <w:r>
        <w:rPr>
          <w:rFonts w:ascii="Arial" w:hAnsi="Arial" w:cs="Arial"/>
          <w:noProof/>
        </w:rPr>
        <w:t>[240]</w:t>
      </w:r>
      <w:r>
        <w:rPr>
          <w:rFonts w:ascii="Arial" w:hAnsi="Arial" w:cs="Arial"/>
        </w:rPr>
        <w:t xml:space="preserve">  Vitamin B6 </w:t>
      </w:r>
      <w:r>
        <w:rPr>
          <w:rFonts w:ascii="Arial" w:hAnsi="Arial" w:cs="Arial"/>
          <w:vertAlign w:val="subscript"/>
        </w:rPr>
        <w:t xml:space="preserve"> </w:t>
      </w:r>
      <w:r>
        <w:rPr>
          <w:rFonts w:ascii="Arial" w:hAnsi="Arial" w:cs="Arial"/>
        </w:rPr>
        <w:t>can also be converted to biologically inactive compounds by reactions with free radicals generated during degradation of amino acids.</w:t>
      </w:r>
      <w:r>
        <w:rPr>
          <w:rFonts w:ascii="Arial" w:hAnsi="Arial" w:cs="Arial"/>
          <w:noProof/>
        </w:rPr>
        <w:t>[240]</w:t>
      </w:r>
      <w:r>
        <w:rPr>
          <w:rFonts w:ascii="Arial" w:hAnsi="Arial" w:cs="Arial"/>
        </w:rPr>
        <w:t xml:space="preserve"> Overall losses of 20-60% were found in canned meats while canned vegetables resulted in losses of 20-40%.</w:t>
      </w:r>
      <w:r>
        <w:rPr>
          <w:rFonts w:ascii="Arial" w:hAnsi="Arial" w:cs="Arial"/>
          <w:noProof/>
        </w:rPr>
        <w:t>[241]</w:t>
      </w:r>
    </w:p>
    <w:p w:rsidR="00330CF1" w:rsidRDefault="00330CF1" w:rsidP="00681100">
      <w:pPr>
        <w:autoSpaceDE w:val="0"/>
        <w:autoSpaceDN w:val="0"/>
        <w:adjustRightInd w:val="0"/>
        <w:rPr>
          <w:rFonts w:ascii="Arial" w:hAnsi="Arial" w:cs="Arial"/>
        </w:rPr>
      </w:pPr>
      <w:r>
        <w:rPr>
          <w:rFonts w:ascii="Arial" w:hAnsi="Arial" w:cs="Arial"/>
        </w:rPr>
        <w:t xml:space="preserve">     Vitamin B12 or cobalamin is</w:t>
      </w:r>
      <w:r>
        <w:rPr>
          <w:rFonts w:ascii="Arial" w:hAnsi="Arial" w:cs="Arial"/>
          <w:vertAlign w:val="subscript"/>
        </w:rPr>
        <w:t xml:space="preserve"> </w:t>
      </w:r>
      <w:r>
        <w:rPr>
          <w:rFonts w:ascii="Arial" w:hAnsi="Arial" w:cs="Arial"/>
        </w:rPr>
        <w:t>generally considered to be stable under most food processing conditions, but like all water-soluble vitamins, it can be subject to large losses through leaching into cooking water.</w:t>
      </w:r>
      <w:r>
        <w:rPr>
          <w:rFonts w:ascii="Arial" w:hAnsi="Arial" w:cs="Arial"/>
          <w:noProof/>
        </w:rPr>
        <w:t>[241]</w:t>
      </w:r>
      <w:r>
        <w:rPr>
          <w:rFonts w:ascii="Arial" w:hAnsi="Arial" w:cs="Arial"/>
        </w:rPr>
        <w:t xml:space="preserve">  Cobalamin can be decomposed by </w:t>
      </w:r>
      <w:r>
        <w:rPr>
          <w:rFonts w:ascii="Arial" w:hAnsi="Arial" w:cs="Arial"/>
        </w:rPr>
        <w:lastRenderedPageBreak/>
        <w:t>oxidation and is sensitive to light and ultraviolet radiation.</w:t>
      </w:r>
      <w:r>
        <w:rPr>
          <w:rFonts w:ascii="Arial" w:hAnsi="Arial" w:cs="Arial"/>
          <w:noProof/>
        </w:rPr>
        <w:t>[241]</w:t>
      </w:r>
      <w:r>
        <w:rPr>
          <w:rFonts w:ascii="Arial" w:hAnsi="Arial" w:cs="Arial"/>
        </w:rPr>
        <w:t xml:space="preserve">  Rhee found losses up to 33% in beef, lamb and pork</w:t>
      </w:r>
      <w:r>
        <w:rPr>
          <w:rFonts w:ascii="Arial" w:hAnsi="Arial" w:cs="Arial"/>
          <w:vertAlign w:val="subscript"/>
        </w:rPr>
        <w:t xml:space="preserve"> </w:t>
      </w:r>
      <w:r>
        <w:rPr>
          <w:rFonts w:ascii="Arial" w:hAnsi="Arial" w:cs="Arial"/>
        </w:rPr>
        <w:t>at temperatures of 150° Celsius for 6.5 minutes.</w:t>
      </w:r>
      <w:r>
        <w:rPr>
          <w:rFonts w:ascii="Arial" w:hAnsi="Arial" w:cs="Arial"/>
          <w:noProof/>
        </w:rPr>
        <w:t>[248]</w:t>
      </w:r>
      <w:r>
        <w:rPr>
          <w:rFonts w:ascii="Arial" w:hAnsi="Arial" w:cs="Arial"/>
        </w:rPr>
        <w:t xml:space="preserve"> </w:t>
      </w:r>
    </w:p>
    <w:p w:rsidR="00330CF1" w:rsidRDefault="00330CF1" w:rsidP="00681100">
      <w:pPr>
        <w:autoSpaceDE w:val="0"/>
        <w:autoSpaceDN w:val="0"/>
        <w:adjustRightInd w:val="0"/>
        <w:rPr>
          <w:rFonts w:ascii="Arial" w:hAnsi="Arial" w:cs="Arial"/>
        </w:rPr>
      </w:pPr>
      <w:r>
        <w:rPr>
          <w:rFonts w:ascii="Arial" w:hAnsi="Arial" w:cs="Arial"/>
        </w:rPr>
        <w:t xml:space="preserve">     Folic acid and folates are a group of compounds consisting of glutamic acid coupled to para-aminobenzoic acid, which in turn is linked to hydroxypteridine. Folates serve as donors and acceptors of one-carbon units in amino acid and nucleotide metabolism.</w:t>
      </w:r>
      <w:r>
        <w:rPr>
          <w:rFonts w:ascii="Arial" w:hAnsi="Arial" w:cs="Arial"/>
          <w:noProof/>
        </w:rPr>
        <w:t>[12]</w:t>
      </w:r>
      <w:r>
        <w:rPr>
          <w:rFonts w:ascii="Arial" w:hAnsi="Arial" w:cs="Arial"/>
        </w:rPr>
        <w:t xml:space="preserve">  Naturally occuring folate forms a number of derivatives which contain one or more linked molecules of glutamate.  Folic acid synthesized for food fortification contains only one glutamate group.  Monoglutamate folic acid has good retention during processing and storage of fortified foods.  In contrast, large losses of naturally occuring folate can occur with processing.  Folates are susceptible to oxidative degradation and leaching into aqueous cooking media.</w:t>
      </w:r>
      <w:r>
        <w:rPr>
          <w:rFonts w:ascii="Arial" w:hAnsi="Arial" w:cs="Arial"/>
          <w:noProof/>
        </w:rPr>
        <w:t>[240, 243]</w:t>
      </w:r>
      <w:r>
        <w:rPr>
          <w:rFonts w:ascii="Arial" w:hAnsi="Arial" w:cs="Arial"/>
        </w:rPr>
        <w:t xml:space="preserve">  Folates found in animal tissues had losses of between 20-45%.  Processing of vegetables lost up to 56% of folate activity.</w:t>
      </w:r>
      <w:r>
        <w:rPr>
          <w:rFonts w:ascii="Arial" w:hAnsi="Arial" w:cs="Arial"/>
          <w:noProof/>
        </w:rPr>
        <w:t>[243, 253]</w:t>
      </w:r>
      <w:r>
        <w:rPr>
          <w:rFonts w:ascii="Arial" w:hAnsi="Arial" w:cs="Arial"/>
        </w:rPr>
        <w:t xml:space="preserve">  The presence of reducing agents in the thermal processing can reduce folate losses while the presence of metals can increase folate losses secondary to oxidation.</w:t>
      </w:r>
      <w:r>
        <w:rPr>
          <w:rFonts w:ascii="Arial" w:hAnsi="Arial" w:cs="Arial"/>
          <w:noProof/>
        </w:rPr>
        <w:t>[243]</w:t>
      </w:r>
    </w:p>
    <w:p w:rsidR="00330CF1" w:rsidRDefault="00330CF1" w:rsidP="00681100">
      <w:pPr>
        <w:autoSpaceDE w:val="0"/>
        <w:autoSpaceDN w:val="0"/>
        <w:adjustRightInd w:val="0"/>
        <w:rPr>
          <w:rFonts w:ascii="Arial" w:hAnsi="Arial" w:cs="Arial"/>
        </w:rPr>
      </w:pPr>
      <w:r>
        <w:rPr>
          <w:rFonts w:ascii="Arial" w:hAnsi="Arial" w:cs="Arial"/>
        </w:rPr>
        <w:t xml:space="preserve">     Biotin is generally regarded as having good stability, being stable in oxygen, heat and light.  Biotin can be destroyed by heating in strong acid or alkaline solutions due to hydrolysis of the amide bond of the biotin ring.</w:t>
      </w:r>
      <w:r>
        <w:rPr>
          <w:rFonts w:ascii="Arial" w:hAnsi="Arial" w:cs="Arial"/>
          <w:noProof/>
        </w:rPr>
        <w:t>[240]</w:t>
      </w:r>
      <w:r>
        <w:rPr>
          <w:rFonts w:ascii="Arial" w:hAnsi="Arial" w:cs="Arial"/>
        </w:rPr>
        <w:t xml:space="preserve">  Dietary biotin generally exists bound to proteins requiring extraction by enzymes or acid hydrolysis.  Only the free form is water extractable thus explaining why biotin retention is higher than the other water-soluble vitamins.</w:t>
      </w:r>
      <w:r>
        <w:rPr>
          <w:rFonts w:ascii="Arial" w:hAnsi="Arial" w:cs="Arial"/>
          <w:noProof/>
        </w:rPr>
        <w:t>[243]</w:t>
      </w:r>
      <w:r>
        <w:rPr>
          <w:rFonts w:ascii="Arial" w:hAnsi="Arial" w:cs="Arial"/>
        </w:rPr>
        <w:t xml:space="preserve">  Avidin, a protein found in raw egg albumen, binds biotin and makes it unavailable.</w:t>
      </w:r>
      <w:r>
        <w:rPr>
          <w:rFonts w:ascii="Arial" w:hAnsi="Arial" w:cs="Arial"/>
          <w:noProof/>
        </w:rPr>
        <w:t>[240]</w:t>
      </w:r>
      <w:r>
        <w:rPr>
          <w:rFonts w:ascii="Arial" w:hAnsi="Arial" w:cs="Arial"/>
        </w:rPr>
        <w:t xml:space="preserve">  In general, average biotin losses during heat treatment were 20% in meat, 10-15% in milk, 15% in legumes and 30% in fruits and vegetables.</w:t>
      </w:r>
      <w:r>
        <w:rPr>
          <w:rFonts w:ascii="Arial" w:hAnsi="Arial" w:cs="Arial"/>
          <w:noProof/>
        </w:rPr>
        <w:t>[243]</w:t>
      </w:r>
      <w:r>
        <w:rPr>
          <w:rFonts w:ascii="Arial" w:hAnsi="Arial" w:cs="Arial"/>
        </w:rPr>
        <w:t xml:space="preserve">  Deficiencies of biotin rarely occur in dogs and cats unless they are consuming a diet with raw egg whites.</w:t>
      </w:r>
      <w:r>
        <w:rPr>
          <w:rFonts w:ascii="Arial" w:hAnsi="Arial" w:cs="Arial"/>
          <w:noProof/>
        </w:rPr>
        <w:t>[12]</w:t>
      </w:r>
      <w:r>
        <w:rPr>
          <w:rFonts w:ascii="Arial" w:hAnsi="Arial" w:cs="Arial"/>
        </w:rPr>
        <w:t xml:space="preserve"> </w:t>
      </w:r>
    </w:p>
    <w:p w:rsidR="00330CF1" w:rsidRDefault="00330CF1" w:rsidP="00681100">
      <w:pPr>
        <w:autoSpaceDE w:val="0"/>
        <w:autoSpaceDN w:val="0"/>
        <w:adjustRightInd w:val="0"/>
        <w:rPr>
          <w:rFonts w:ascii="Arial" w:hAnsi="Arial" w:cs="Arial"/>
        </w:rPr>
      </w:pPr>
      <w:r>
        <w:rPr>
          <w:rFonts w:ascii="Arial" w:hAnsi="Arial" w:cs="Arial"/>
        </w:rPr>
        <w:t xml:space="preserve">     </w:t>
      </w:r>
      <w:r w:rsidRPr="00E36871">
        <w:rPr>
          <w:rFonts w:ascii="Arial" w:hAnsi="Arial" w:cs="Arial"/>
        </w:rPr>
        <w:t>As a consequence of expected losses during processing, pet food manufacturers commonly add vitamin supplementation to their formulas.  In a study examining losses of vitamins in commercial pet food processing, significant losses of Vitamin A,</w:t>
      </w:r>
      <w:r>
        <w:rPr>
          <w:rFonts w:ascii="Arial" w:hAnsi="Arial" w:cs="Arial"/>
        </w:rPr>
        <w:t xml:space="preserve"> β-carotene, Vitamin C, thiamine</w:t>
      </w:r>
      <w:r w:rsidRPr="00E36871">
        <w:rPr>
          <w:rFonts w:ascii="Arial" w:hAnsi="Arial" w:cs="Arial"/>
        </w:rPr>
        <w:t xml:space="preserve"> and pyridoxine were found.</w:t>
      </w:r>
      <w:r>
        <w:rPr>
          <w:rFonts w:ascii="Arial" w:hAnsi="Arial" w:cs="Arial"/>
          <w:noProof/>
        </w:rPr>
        <w:t>[234]</w:t>
      </w:r>
      <w:r w:rsidRPr="00E36871">
        <w:rPr>
          <w:rFonts w:ascii="Arial" w:hAnsi="Arial" w:cs="Arial"/>
        </w:rPr>
        <w:t xml:space="preserve">  Table 1.9 lists the</w:t>
      </w:r>
      <w:r>
        <w:rPr>
          <w:rFonts w:ascii="Arial" w:hAnsi="Arial" w:cs="Arial"/>
        </w:rPr>
        <w:t xml:space="preserve"> vitamin losses found during processing and storage of cat foods.  Vitamin A, carotenoids, Vitamin E, thiamine, folate and pyridoxine in dry cat foods showed losses of between 9.6-26.3%.  Canned processing resulted in losses of cobalamin, thiamine, pyridoxine, Vitamin C and beta-carotene.  Significant losses also occurred during storage.</w:t>
      </w:r>
      <w:r>
        <w:rPr>
          <w:rFonts w:ascii="Arial" w:hAnsi="Arial" w:cs="Arial"/>
          <w:noProof/>
        </w:rPr>
        <w:t>[234]</w:t>
      </w:r>
      <w:r>
        <w:rPr>
          <w:rFonts w:ascii="Arial" w:hAnsi="Arial" w:cs="Arial"/>
        </w:rPr>
        <w:t xml:space="preserve">  Manufacturers typically add sufficient vitamins to account for such processing and storage losses. </w:t>
      </w:r>
    </w:p>
    <w:p w:rsidR="00330CF1" w:rsidRDefault="00330CF1" w:rsidP="00681100">
      <w:pPr>
        <w:autoSpaceDE w:val="0"/>
        <w:autoSpaceDN w:val="0"/>
        <w:adjustRightInd w:val="0"/>
        <w:rPr>
          <w:rFonts w:ascii="Arial" w:hAnsi="Arial" w:cs="Arial"/>
        </w:rPr>
      </w:pPr>
      <w:r>
        <w:rPr>
          <w:rFonts w:ascii="Arial" w:hAnsi="Arial" w:cs="Arial"/>
        </w:rPr>
        <w:t xml:space="preserve">     Potential processing losses and reduction in bioavailability become a more significant issue when the diet recipient is fed one source or type of food such as infant formula or commercial pet foods.  Subsequent to supplementation, numerous reports have been described of thiamine deficiency in cats fed commercial cat foods.</w:t>
      </w:r>
      <w:r>
        <w:rPr>
          <w:rFonts w:ascii="Arial" w:hAnsi="Arial" w:cs="Arial"/>
          <w:noProof/>
        </w:rPr>
        <w:t>[254-257]</w:t>
      </w: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681100">
      <w:pPr>
        <w:autoSpaceDE w:val="0"/>
        <w:autoSpaceDN w:val="0"/>
        <w:adjustRightInd w:val="0"/>
        <w:rPr>
          <w:rFonts w:ascii="Arial" w:hAnsi="Arial" w:cs="Arial"/>
        </w:rPr>
      </w:pPr>
    </w:p>
    <w:p w:rsidR="00330CF1" w:rsidRDefault="00330CF1" w:rsidP="000D141B">
      <w:pPr>
        <w:autoSpaceDE w:val="0"/>
        <w:autoSpaceDN w:val="0"/>
        <w:adjustRightInd w:val="0"/>
        <w:rPr>
          <w:rFonts w:ascii="Arial" w:hAnsi="Arial" w:cs="Arial"/>
        </w:rPr>
      </w:pPr>
      <w:r w:rsidRPr="009B6429">
        <w:rPr>
          <w:rFonts w:ascii="Arial" w:hAnsi="Arial" w:cs="Arial"/>
          <w:b/>
        </w:rPr>
        <w:lastRenderedPageBreak/>
        <w:t>Table 1.9</w:t>
      </w:r>
      <w:r>
        <w:rPr>
          <w:rFonts w:ascii="Arial" w:hAnsi="Arial" w:cs="Arial"/>
        </w:rPr>
        <w:t xml:space="preserve"> Vitamin losses during processing and storage of cat foods.</w:t>
      </w:r>
    </w:p>
    <w:p w:rsidR="00330CF1" w:rsidRDefault="00330CF1" w:rsidP="00EA3A00">
      <w:pPr>
        <w:autoSpaceDE w:val="0"/>
        <w:autoSpaceDN w:val="0"/>
        <w:adjustRightInd w:val="0"/>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771"/>
        <w:gridCol w:w="1771"/>
        <w:gridCol w:w="1771"/>
        <w:gridCol w:w="1772"/>
      </w:tblGrid>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p>
        </w:tc>
        <w:tc>
          <w:tcPr>
            <w:tcW w:w="3542" w:type="dxa"/>
            <w:gridSpan w:val="2"/>
          </w:tcPr>
          <w:p w:rsidR="00330CF1" w:rsidRPr="00652417" w:rsidRDefault="00330CF1" w:rsidP="00652417">
            <w:pPr>
              <w:autoSpaceDE w:val="0"/>
              <w:autoSpaceDN w:val="0"/>
              <w:adjustRightInd w:val="0"/>
              <w:jc w:val="center"/>
              <w:rPr>
                <w:rFonts w:ascii="Arial" w:hAnsi="Arial" w:cs="Arial"/>
                <w:b/>
              </w:rPr>
            </w:pPr>
            <w:r w:rsidRPr="00652417">
              <w:rPr>
                <w:rFonts w:ascii="Arial" w:hAnsi="Arial" w:cs="Arial"/>
                <w:b/>
              </w:rPr>
              <w:t>Dry cat food</w:t>
            </w:r>
          </w:p>
        </w:tc>
        <w:tc>
          <w:tcPr>
            <w:tcW w:w="3543" w:type="dxa"/>
            <w:gridSpan w:val="2"/>
          </w:tcPr>
          <w:p w:rsidR="00330CF1" w:rsidRPr="00652417" w:rsidRDefault="00330CF1" w:rsidP="00652417">
            <w:pPr>
              <w:autoSpaceDE w:val="0"/>
              <w:autoSpaceDN w:val="0"/>
              <w:adjustRightInd w:val="0"/>
              <w:jc w:val="center"/>
              <w:rPr>
                <w:rFonts w:ascii="Arial" w:hAnsi="Arial" w:cs="Arial"/>
                <w:b/>
              </w:rPr>
            </w:pPr>
            <w:r w:rsidRPr="00652417">
              <w:rPr>
                <w:rFonts w:ascii="Arial" w:hAnsi="Arial" w:cs="Arial"/>
                <w:b/>
              </w:rPr>
              <w:t>Moist cat food</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b/>
              </w:rPr>
            </w:pPr>
            <w:r w:rsidRPr="00652417">
              <w:rPr>
                <w:rFonts w:ascii="Arial" w:hAnsi="Arial" w:cs="Arial"/>
                <w:b/>
              </w:rPr>
              <w:t>Vitamin</w:t>
            </w:r>
          </w:p>
        </w:tc>
        <w:tc>
          <w:tcPr>
            <w:tcW w:w="1771" w:type="dxa"/>
          </w:tcPr>
          <w:p w:rsidR="00330CF1" w:rsidRPr="00652417" w:rsidRDefault="00330CF1" w:rsidP="00652417">
            <w:pPr>
              <w:autoSpaceDE w:val="0"/>
              <w:autoSpaceDN w:val="0"/>
              <w:adjustRightInd w:val="0"/>
              <w:jc w:val="center"/>
              <w:rPr>
                <w:rFonts w:ascii="Arial" w:hAnsi="Arial" w:cs="Arial"/>
                <w:b/>
              </w:rPr>
            </w:pPr>
            <w:r w:rsidRPr="00652417">
              <w:rPr>
                <w:rFonts w:ascii="Arial" w:hAnsi="Arial" w:cs="Arial"/>
                <w:b/>
              </w:rPr>
              <w:t>Processing**</w:t>
            </w:r>
          </w:p>
        </w:tc>
        <w:tc>
          <w:tcPr>
            <w:tcW w:w="1771" w:type="dxa"/>
          </w:tcPr>
          <w:p w:rsidR="00330CF1" w:rsidRPr="00652417" w:rsidRDefault="00330CF1" w:rsidP="00652417">
            <w:pPr>
              <w:autoSpaceDE w:val="0"/>
              <w:autoSpaceDN w:val="0"/>
              <w:adjustRightInd w:val="0"/>
              <w:jc w:val="center"/>
              <w:rPr>
                <w:rFonts w:ascii="Arial" w:hAnsi="Arial" w:cs="Arial"/>
                <w:b/>
              </w:rPr>
            </w:pPr>
            <w:r w:rsidRPr="00652417">
              <w:rPr>
                <w:rFonts w:ascii="Arial" w:hAnsi="Arial" w:cs="Arial"/>
                <w:b/>
              </w:rPr>
              <w:t>Storage***</w:t>
            </w:r>
          </w:p>
        </w:tc>
        <w:tc>
          <w:tcPr>
            <w:tcW w:w="1771" w:type="dxa"/>
          </w:tcPr>
          <w:p w:rsidR="00330CF1" w:rsidRPr="00652417" w:rsidRDefault="00330CF1" w:rsidP="00652417">
            <w:pPr>
              <w:autoSpaceDE w:val="0"/>
              <w:autoSpaceDN w:val="0"/>
              <w:adjustRightInd w:val="0"/>
              <w:jc w:val="center"/>
              <w:rPr>
                <w:rFonts w:ascii="Arial" w:hAnsi="Arial" w:cs="Arial"/>
                <w:b/>
              </w:rPr>
            </w:pPr>
            <w:r w:rsidRPr="00652417">
              <w:rPr>
                <w:rFonts w:ascii="Arial" w:hAnsi="Arial" w:cs="Arial"/>
                <w:b/>
              </w:rPr>
              <w:t>Processing**</w:t>
            </w:r>
          </w:p>
        </w:tc>
        <w:tc>
          <w:tcPr>
            <w:tcW w:w="1772" w:type="dxa"/>
          </w:tcPr>
          <w:p w:rsidR="00330CF1" w:rsidRPr="00652417" w:rsidRDefault="00330CF1" w:rsidP="00652417">
            <w:pPr>
              <w:autoSpaceDE w:val="0"/>
              <w:autoSpaceDN w:val="0"/>
              <w:adjustRightInd w:val="0"/>
              <w:jc w:val="center"/>
              <w:rPr>
                <w:rFonts w:ascii="Arial" w:hAnsi="Arial" w:cs="Arial"/>
                <w:b/>
              </w:rPr>
            </w:pPr>
            <w:r w:rsidRPr="00652417">
              <w:rPr>
                <w:rFonts w:ascii="Arial" w:hAnsi="Arial" w:cs="Arial"/>
                <w:b/>
              </w:rPr>
              <w:t>Storage***</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Arial" w:hAnsi="Arial" w:cs="Arial"/>
              </w:rPr>
              <w:t>Vitamin A</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26.3</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Lucida Sans Unicode" w:hAnsi="Lucida Sans Unicode" w:cs="Lucida Sans Unicode"/>
              </w:rPr>
              <w:t>Β</w:t>
            </w:r>
            <w:r w:rsidRPr="00652417">
              <w:rPr>
                <w:rFonts w:ascii="Arial" w:hAnsi="Arial" w:cs="Arial"/>
              </w:rPr>
              <w:t>-carotene</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19.7</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43.7</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Arial" w:hAnsi="Arial" w:cs="Arial"/>
              </w:rPr>
              <w:t>Vitamin E</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20.6</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31.6</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9.2</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Arial" w:hAnsi="Arial" w:cs="Arial"/>
              </w:rPr>
              <w:t>Vitamin C</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12.4</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100.0</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Arial" w:hAnsi="Arial" w:cs="Arial"/>
              </w:rPr>
              <w:t>Thiamin</w:t>
            </w:r>
            <w:r>
              <w:rPr>
                <w:rFonts w:ascii="Arial" w:hAnsi="Arial" w:cs="Arial"/>
              </w:rPr>
              <w:t>e</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11.8</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34.2</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51.7</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Arial" w:hAnsi="Arial" w:cs="Arial"/>
              </w:rPr>
              <w:t>Riboflavin</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21.2</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38.0</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Arial" w:hAnsi="Arial" w:cs="Arial"/>
              </w:rPr>
              <w:t>Niacin</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3.3</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20.0</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31.7</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Arial" w:hAnsi="Arial" w:cs="Arial"/>
              </w:rPr>
              <w:t xml:space="preserve">Pantothenic acid </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4.8</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Arial" w:hAnsi="Arial" w:cs="Arial"/>
              </w:rPr>
              <w:t>Pyridoxine</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11.5</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10.0</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18.5</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Arial" w:hAnsi="Arial" w:cs="Arial"/>
              </w:rPr>
              <w:t>Cobalamin</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38.0</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5.7</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11.3</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Arial" w:hAnsi="Arial" w:cs="Arial"/>
              </w:rPr>
              <w:t>Folic Acid</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9.6</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23.1</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20.0</w:t>
            </w:r>
          </w:p>
        </w:tc>
      </w:tr>
      <w:tr w:rsidR="00330CF1" w:rsidRPr="00652417" w:rsidTr="00652417">
        <w:tc>
          <w:tcPr>
            <w:tcW w:w="1771" w:type="dxa"/>
          </w:tcPr>
          <w:p w:rsidR="00330CF1" w:rsidRPr="00652417" w:rsidRDefault="00330CF1" w:rsidP="00652417">
            <w:pPr>
              <w:autoSpaceDE w:val="0"/>
              <w:autoSpaceDN w:val="0"/>
              <w:adjustRightInd w:val="0"/>
              <w:rPr>
                <w:rFonts w:ascii="Arial" w:hAnsi="Arial" w:cs="Arial"/>
              </w:rPr>
            </w:pPr>
            <w:r w:rsidRPr="00652417">
              <w:rPr>
                <w:rFonts w:ascii="Arial" w:hAnsi="Arial" w:cs="Arial"/>
              </w:rPr>
              <w:t>Biotin</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1"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c>
          <w:tcPr>
            <w:tcW w:w="1772" w:type="dxa"/>
          </w:tcPr>
          <w:p w:rsidR="00330CF1" w:rsidRPr="00652417" w:rsidRDefault="00330CF1" w:rsidP="00652417">
            <w:pPr>
              <w:autoSpaceDE w:val="0"/>
              <w:autoSpaceDN w:val="0"/>
              <w:adjustRightInd w:val="0"/>
              <w:jc w:val="center"/>
              <w:rPr>
                <w:rFonts w:ascii="Arial" w:hAnsi="Arial" w:cs="Arial"/>
              </w:rPr>
            </w:pPr>
            <w:r w:rsidRPr="00652417">
              <w:rPr>
                <w:rFonts w:ascii="Arial" w:hAnsi="Arial" w:cs="Arial"/>
              </w:rPr>
              <w:t>0.0</w:t>
            </w:r>
          </w:p>
        </w:tc>
      </w:tr>
    </w:tbl>
    <w:p w:rsidR="00330CF1" w:rsidRDefault="00330CF1" w:rsidP="00274CC2">
      <w:pPr>
        <w:autoSpaceDE w:val="0"/>
        <w:autoSpaceDN w:val="0"/>
        <w:adjustRightInd w:val="0"/>
        <w:rPr>
          <w:rFonts w:ascii="Arial" w:hAnsi="Arial" w:cs="Arial"/>
        </w:rPr>
      </w:pPr>
      <w:r>
        <w:rPr>
          <w:rFonts w:ascii="Arial" w:hAnsi="Arial" w:cs="Arial"/>
        </w:rPr>
        <w:t>NOTE: ** % of vitamin loss during processing, *** % of vitamin loss during 18 months of storage.</w:t>
      </w:r>
    </w:p>
    <w:p w:rsidR="00330CF1" w:rsidRPr="00687D55" w:rsidRDefault="00330CF1" w:rsidP="00274CC2">
      <w:pPr>
        <w:autoSpaceDE w:val="0"/>
        <w:autoSpaceDN w:val="0"/>
        <w:adjustRightInd w:val="0"/>
        <w:rPr>
          <w:rFonts w:ascii="Arial" w:hAnsi="Arial" w:cs="Arial"/>
        </w:rPr>
      </w:pPr>
      <w:r w:rsidRPr="007B6AB1">
        <w:rPr>
          <w:rFonts w:ascii="Arial" w:hAnsi="Arial" w:cs="Arial"/>
          <w:b/>
          <w:i/>
        </w:rPr>
        <w:t>Source</w:t>
      </w:r>
      <w:r>
        <w:rPr>
          <w:rFonts w:ascii="Arial" w:hAnsi="Arial" w:cs="Arial"/>
        </w:rPr>
        <w:t xml:space="preserve">: Adapted from Cowell, CS, et al., Making Commercial Pet Foods. In: </w:t>
      </w:r>
      <w:r>
        <w:rPr>
          <w:rFonts w:ascii="Arial" w:hAnsi="Arial" w:cs="Arial"/>
          <w:u w:val="single"/>
        </w:rPr>
        <w:t>Small Animal Clinical Nutrition, 4</w:t>
      </w:r>
      <w:r w:rsidRPr="00687D55">
        <w:rPr>
          <w:rFonts w:ascii="Arial" w:hAnsi="Arial" w:cs="Arial"/>
          <w:u w:val="single"/>
          <w:vertAlign w:val="superscript"/>
        </w:rPr>
        <w:t>th</w:t>
      </w:r>
      <w:r>
        <w:rPr>
          <w:rFonts w:ascii="Arial" w:hAnsi="Arial" w:cs="Arial"/>
          <w:u w:val="single"/>
        </w:rPr>
        <w:t xml:space="preserve"> Edition</w:t>
      </w:r>
      <w:r>
        <w:rPr>
          <w:rFonts w:ascii="Arial" w:hAnsi="Arial" w:cs="Arial"/>
        </w:rPr>
        <w:t xml:space="preserve">. Topeka: Mark Morris Institute, 2000, p. 133. </w:t>
      </w:r>
    </w:p>
    <w:p w:rsidR="00330CF1" w:rsidRDefault="00330CF1" w:rsidP="00C7710E">
      <w:pPr>
        <w:autoSpaceDE w:val="0"/>
        <w:autoSpaceDN w:val="0"/>
        <w:adjustRightInd w:val="0"/>
        <w:rPr>
          <w:rFonts w:ascii="Arial" w:hAnsi="Arial" w:cs="Arial"/>
        </w:rPr>
      </w:pPr>
      <w:r>
        <w:rPr>
          <w:rFonts w:ascii="Arial" w:hAnsi="Arial" w:cs="Arial"/>
        </w:rPr>
        <w:t xml:space="preserve">     </w:t>
      </w:r>
      <w:bookmarkStart w:id="22" w:name="_Toc305485849"/>
    </w:p>
    <w:p w:rsidR="00330CF1" w:rsidRDefault="00330CF1" w:rsidP="00C7710E">
      <w:pPr>
        <w:autoSpaceDE w:val="0"/>
        <w:autoSpaceDN w:val="0"/>
        <w:adjustRightInd w:val="0"/>
        <w:rPr>
          <w:rFonts w:ascii="Arial" w:hAnsi="Arial" w:cs="Arial"/>
        </w:rPr>
      </w:pPr>
    </w:p>
    <w:p w:rsidR="00330CF1" w:rsidRPr="00C7710E" w:rsidRDefault="00330CF1" w:rsidP="00C7710E">
      <w:pPr>
        <w:autoSpaceDE w:val="0"/>
        <w:autoSpaceDN w:val="0"/>
        <w:adjustRightInd w:val="0"/>
        <w:rPr>
          <w:rFonts w:ascii="Arial" w:hAnsi="Arial" w:cs="Arial"/>
        </w:rPr>
      </w:pPr>
    </w:p>
    <w:p w:rsidR="00330CF1" w:rsidRPr="000E28C8" w:rsidRDefault="00330CF1" w:rsidP="000578A6">
      <w:pPr>
        <w:pStyle w:val="Heading2"/>
      </w:pPr>
      <w:r w:rsidRPr="000E28C8">
        <w:t>Probiotics in Cats</w:t>
      </w:r>
      <w:bookmarkEnd w:id="22"/>
    </w:p>
    <w:p w:rsidR="00330CF1" w:rsidRDefault="00330CF1" w:rsidP="006C3FEB">
      <w:pPr>
        <w:numPr>
          <w:ilvl w:val="12"/>
          <w:numId w:val="0"/>
        </w:numPr>
        <w:jc w:val="center"/>
        <w:rPr>
          <w:rFonts w:ascii="Arial" w:hAnsi="Arial" w:cs="Arial"/>
          <w:b/>
          <w:bCs/>
        </w:rPr>
      </w:pPr>
    </w:p>
    <w:p w:rsidR="00330CF1" w:rsidRDefault="00330CF1" w:rsidP="006B0033">
      <w:pPr>
        <w:numPr>
          <w:ilvl w:val="12"/>
          <w:numId w:val="0"/>
        </w:numPr>
        <w:rPr>
          <w:rFonts w:ascii="Arial" w:hAnsi="Arial" w:cs="Arial"/>
          <w:bCs/>
        </w:rPr>
      </w:pPr>
    </w:p>
    <w:p w:rsidR="00330CF1" w:rsidRDefault="00330CF1" w:rsidP="006B0033">
      <w:pPr>
        <w:numPr>
          <w:ilvl w:val="12"/>
          <w:numId w:val="0"/>
        </w:numPr>
        <w:rPr>
          <w:rFonts w:ascii="Arial" w:hAnsi="Arial" w:cs="Arial"/>
          <w:bCs/>
        </w:rPr>
      </w:pPr>
      <w:r>
        <w:rPr>
          <w:rFonts w:ascii="Arial" w:hAnsi="Arial" w:cs="Arial"/>
          <w:bCs/>
        </w:rPr>
        <w:t xml:space="preserve">     Probiotics are defined as “non-pathogenic microorganisms which, when ingested exert a positive influence on host health or physiology.”</w:t>
      </w:r>
      <w:r>
        <w:rPr>
          <w:rFonts w:ascii="Arial" w:hAnsi="Arial" w:cs="Arial"/>
          <w:bCs/>
          <w:noProof/>
        </w:rPr>
        <w:t>[258]</w:t>
      </w:r>
      <w:r>
        <w:rPr>
          <w:rFonts w:ascii="Arial" w:hAnsi="Arial" w:cs="Arial"/>
          <w:bCs/>
        </w:rPr>
        <w:t xml:space="preserve">  Clinically in human beings, probiotic efficacy has been shown in the treatment for inflammatory bowel diseases, diarrhea, irritable bowel syndrome, gluten intolerance, gastroenteritis, allergy, and colon cancer.</w:t>
      </w:r>
      <w:r>
        <w:rPr>
          <w:rFonts w:ascii="Arial" w:hAnsi="Arial" w:cs="Arial"/>
          <w:bCs/>
          <w:noProof/>
        </w:rPr>
        <w:t>[259]</w:t>
      </w:r>
      <w:r>
        <w:rPr>
          <w:rFonts w:ascii="Arial" w:hAnsi="Arial" w:cs="Arial"/>
          <w:bCs/>
        </w:rPr>
        <w:t xml:space="preserve">  To qualify as a probiotic, microorganisms need to meet certain criteria including:</w:t>
      </w:r>
      <w:r>
        <w:rPr>
          <w:rFonts w:ascii="Arial" w:hAnsi="Arial" w:cs="Arial"/>
          <w:bCs/>
          <w:noProof/>
        </w:rPr>
        <w:t>[260]</w:t>
      </w:r>
      <w:r>
        <w:rPr>
          <w:rFonts w:ascii="Arial" w:hAnsi="Arial" w:cs="Arial"/>
          <w:bCs/>
        </w:rPr>
        <w:t xml:space="preserve">  </w:t>
      </w:r>
    </w:p>
    <w:p w:rsidR="00330CF1" w:rsidRDefault="00330CF1" w:rsidP="000A17F3">
      <w:pPr>
        <w:numPr>
          <w:ilvl w:val="0"/>
          <w:numId w:val="3"/>
        </w:numPr>
        <w:rPr>
          <w:rFonts w:ascii="Arial" w:hAnsi="Arial" w:cs="Arial"/>
          <w:bCs/>
        </w:rPr>
      </w:pPr>
      <w:r>
        <w:rPr>
          <w:rFonts w:ascii="Arial" w:hAnsi="Arial" w:cs="Arial"/>
          <w:bCs/>
        </w:rPr>
        <w:t>Species identification at the genus, species, and strain level</w:t>
      </w:r>
    </w:p>
    <w:p w:rsidR="00330CF1" w:rsidRDefault="00330CF1" w:rsidP="000A17F3">
      <w:pPr>
        <w:numPr>
          <w:ilvl w:val="0"/>
          <w:numId w:val="3"/>
        </w:numPr>
        <w:rPr>
          <w:rFonts w:ascii="Arial" w:hAnsi="Arial" w:cs="Arial"/>
          <w:bCs/>
        </w:rPr>
      </w:pPr>
      <w:r>
        <w:rPr>
          <w:rFonts w:ascii="Arial" w:hAnsi="Arial" w:cs="Arial"/>
          <w:bCs/>
        </w:rPr>
        <w:t>Nonpathogenic</w:t>
      </w:r>
    </w:p>
    <w:p w:rsidR="00330CF1" w:rsidRDefault="00330CF1" w:rsidP="000A17F3">
      <w:pPr>
        <w:numPr>
          <w:ilvl w:val="0"/>
          <w:numId w:val="3"/>
        </w:numPr>
        <w:rPr>
          <w:rFonts w:ascii="Arial" w:hAnsi="Arial" w:cs="Arial"/>
          <w:bCs/>
        </w:rPr>
      </w:pPr>
      <w:r>
        <w:rPr>
          <w:rFonts w:ascii="Arial" w:hAnsi="Arial" w:cs="Arial"/>
          <w:bCs/>
        </w:rPr>
        <w:t>Not carry transferable antibiotic-resistance genes</w:t>
      </w:r>
    </w:p>
    <w:p w:rsidR="00330CF1" w:rsidRDefault="00330CF1" w:rsidP="000A17F3">
      <w:pPr>
        <w:numPr>
          <w:ilvl w:val="0"/>
          <w:numId w:val="3"/>
        </w:numPr>
        <w:rPr>
          <w:rFonts w:ascii="Arial" w:hAnsi="Arial" w:cs="Arial"/>
          <w:bCs/>
        </w:rPr>
      </w:pPr>
      <w:r>
        <w:rPr>
          <w:rFonts w:ascii="Arial" w:hAnsi="Arial" w:cs="Arial"/>
          <w:bCs/>
        </w:rPr>
        <w:t>Susceptible to antibiotics</w:t>
      </w:r>
    </w:p>
    <w:p w:rsidR="00330CF1" w:rsidRDefault="00330CF1" w:rsidP="000A17F3">
      <w:pPr>
        <w:numPr>
          <w:ilvl w:val="0"/>
          <w:numId w:val="3"/>
        </w:numPr>
        <w:rPr>
          <w:rFonts w:ascii="Arial" w:hAnsi="Arial" w:cs="Arial"/>
          <w:bCs/>
        </w:rPr>
      </w:pPr>
      <w:r>
        <w:rPr>
          <w:rFonts w:ascii="Arial" w:hAnsi="Arial" w:cs="Arial"/>
          <w:bCs/>
        </w:rPr>
        <w:t>Able to survive intestinal transit, i.e. acid and bile tolerant</w:t>
      </w:r>
    </w:p>
    <w:p w:rsidR="00330CF1" w:rsidRDefault="00330CF1" w:rsidP="000A17F3">
      <w:pPr>
        <w:numPr>
          <w:ilvl w:val="0"/>
          <w:numId w:val="3"/>
        </w:numPr>
        <w:rPr>
          <w:rFonts w:ascii="Arial" w:hAnsi="Arial" w:cs="Arial"/>
          <w:bCs/>
        </w:rPr>
      </w:pPr>
      <w:r>
        <w:rPr>
          <w:rFonts w:ascii="Arial" w:hAnsi="Arial" w:cs="Arial"/>
          <w:bCs/>
        </w:rPr>
        <w:t>Able to adhere to mucosal surfaces</w:t>
      </w:r>
    </w:p>
    <w:p w:rsidR="00330CF1" w:rsidRDefault="00330CF1" w:rsidP="000A17F3">
      <w:pPr>
        <w:numPr>
          <w:ilvl w:val="0"/>
          <w:numId w:val="3"/>
        </w:numPr>
        <w:rPr>
          <w:rFonts w:ascii="Arial" w:hAnsi="Arial" w:cs="Arial"/>
          <w:bCs/>
        </w:rPr>
      </w:pPr>
      <w:r>
        <w:rPr>
          <w:rFonts w:ascii="Arial" w:hAnsi="Arial" w:cs="Arial"/>
          <w:bCs/>
        </w:rPr>
        <w:t>Able to colonize the intestine (at least temporarily)</w:t>
      </w:r>
    </w:p>
    <w:p w:rsidR="00330CF1" w:rsidRDefault="00330CF1" w:rsidP="000A17F3">
      <w:pPr>
        <w:numPr>
          <w:ilvl w:val="0"/>
          <w:numId w:val="3"/>
        </w:numPr>
        <w:rPr>
          <w:rFonts w:ascii="Arial" w:hAnsi="Arial" w:cs="Arial"/>
          <w:bCs/>
        </w:rPr>
      </w:pPr>
      <w:r>
        <w:rPr>
          <w:rFonts w:ascii="Arial" w:hAnsi="Arial" w:cs="Arial"/>
          <w:bCs/>
        </w:rPr>
        <w:t>Produce clinically documented and validated health effects</w:t>
      </w:r>
    </w:p>
    <w:p w:rsidR="00330CF1" w:rsidRDefault="00330CF1" w:rsidP="000A17F3">
      <w:pPr>
        <w:numPr>
          <w:ilvl w:val="0"/>
          <w:numId w:val="3"/>
        </w:numPr>
        <w:rPr>
          <w:rFonts w:ascii="Arial" w:hAnsi="Arial" w:cs="Arial"/>
          <w:bCs/>
        </w:rPr>
      </w:pPr>
      <w:r>
        <w:rPr>
          <w:rFonts w:ascii="Arial" w:hAnsi="Arial" w:cs="Arial"/>
          <w:bCs/>
        </w:rPr>
        <w:t>Stability during processing and storage.</w:t>
      </w:r>
    </w:p>
    <w:p w:rsidR="00330CF1" w:rsidRDefault="00330CF1" w:rsidP="00B8560D">
      <w:pPr>
        <w:rPr>
          <w:rFonts w:ascii="Arial" w:hAnsi="Arial" w:cs="Arial"/>
          <w:bCs/>
        </w:rPr>
      </w:pPr>
      <w:r>
        <w:rPr>
          <w:rFonts w:ascii="Arial" w:hAnsi="Arial" w:cs="Arial"/>
          <w:bCs/>
        </w:rPr>
        <w:lastRenderedPageBreak/>
        <w:t xml:space="preserve">Bacteria that meet these criteria are generally lactic acid bacteria, most commonly </w:t>
      </w:r>
      <w:r w:rsidRPr="00121A76">
        <w:rPr>
          <w:rFonts w:ascii="Arial" w:hAnsi="Arial" w:cs="Arial"/>
          <w:bCs/>
          <w:i/>
        </w:rPr>
        <w:t>Lactobacillus</w:t>
      </w:r>
      <w:r>
        <w:rPr>
          <w:rFonts w:ascii="Arial" w:hAnsi="Arial" w:cs="Arial"/>
          <w:bCs/>
        </w:rPr>
        <w:t xml:space="preserve"> and </w:t>
      </w:r>
      <w:r w:rsidRPr="00121A76">
        <w:rPr>
          <w:rFonts w:ascii="Arial" w:hAnsi="Arial" w:cs="Arial"/>
          <w:bCs/>
          <w:i/>
        </w:rPr>
        <w:t>Bifidobacterium</w:t>
      </w:r>
      <w:r>
        <w:rPr>
          <w:rFonts w:ascii="Arial" w:hAnsi="Arial" w:cs="Arial"/>
          <w:bCs/>
        </w:rPr>
        <w:t xml:space="preserve"> species, but </w:t>
      </w:r>
      <w:r>
        <w:rPr>
          <w:rFonts w:ascii="Arial" w:hAnsi="Arial" w:cs="Arial"/>
          <w:bCs/>
          <w:i/>
        </w:rPr>
        <w:t>L</w:t>
      </w:r>
      <w:r w:rsidRPr="00885937">
        <w:rPr>
          <w:rFonts w:ascii="Arial" w:hAnsi="Arial" w:cs="Arial"/>
          <w:bCs/>
          <w:i/>
        </w:rPr>
        <w:t>actoc</w:t>
      </w:r>
      <w:r>
        <w:rPr>
          <w:rFonts w:ascii="Arial" w:hAnsi="Arial" w:cs="Arial"/>
          <w:bCs/>
          <w:i/>
        </w:rPr>
        <w:t>oc</w:t>
      </w:r>
      <w:r w:rsidRPr="00885937">
        <w:rPr>
          <w:rFonts w:ascii="Arial" w:hAnsi="Arial" w:cs="Arial"/>
          <w:bCs/>
          <w:i/>
        </w:rPr>
        <w:t>cus</w:t>
      </w:r>
      <w:r>
        <w:rPr>
          <w:rFonts w:ascii="Arial" w:hAnsi="Arial" w:cs="Arial"/>
          <w:bCs/>
        </w:rPr>
        <w:t xml:space="preserve">, </w:t>
      </w:r>
      <w:r w:rsidRPr="00885937">
        <w:rPr>
          <w:rFonts w:ascii="Arial" w:hAnsi="Arial" w:cs="Arial"/>
          <w:bCs/>
          <w:i/>
        </w:rPr>
        <w:t>Streptococcus</w:t>
      </w:r>
      <w:r>
        <w:rPr>
          <w:rFonts w:ascii="Arial" w:hAnsi="Arial" w:cs="Arial"/>
          <w:bCs/>
        </w:rPr>
        <w:t xml:space="preserve"> and </w:t>
      </w:r>
      <w:r w:rsidRPr="00885937">
        <w:rPr>
          <w:rFonts w:ascii="Arial" w:hAnsi="Arial" w:cs="Arial"/>
          <w:bCs/>
          <w:i/>
        </w:rPr>
        <w:t>Enterococcus</w:t>
      </w:r>
      <w:r>
        <w:rPr>
          <w:rFonts w:ascii="Arial" w:hAnsi="Arial" w:cs="Arial"/>
          <w:bCs/>
        </w:rPr>
        <w:t xml:space="preserve"> , as well as some nonpathogenic strains of </w:t>
      </w:r>
      <w:r w:rsidRPr="00885937">
        <w:rPr>
          <w:rFonts w:ascii="Arial" w:hAnsi="Arial" w:cs="Arial"/>
          <w:bCs/>
          <w:i/>
        </w:rPr>
        <w:t>E.</w:t>
      </w:r>
      <w:r>
        <w:rPr>
          <w:rFonts w:ascii="Arial" w:hAnsi="Arial" w:cs="Arial"/>
          <w:bCs/>
        </w:rPr>
        <w:t xml:space="preserve"> </w:t>
      </w:r>
      <w:r w:rsidRPr="00885937">
        <w:rPr>
          <w:rFonts w:ascii="Arial" w:hAnsi="Arial" w:cs="Arial"/>
          <w:bCs/>
          <w:i/>
        </w:rPr>
        <w:t xml:space="preserve">coli </w:t>
      </w:r>
      <w:r>
        <w:rPr>
          <w:rFonts w:ascii="Arial" w:hAnsi="Arial" w:cs="Arial"/>
          <w:bCs/>
        </w:rPr>
        <w:t>and certain yeast strains also qualify.</w:t>
      </w:r>
      <w:r>
        <w:rPr>
          <w:rFonts w:ascii="Arial" w:hAnsi="Arial" w:cs="Arial"/>
          <w:bCs/>
          <w:noProof/>
        </w:rPr>
        <w:t>[260]</w:t>
      </w:r>
      <w:r>
        <w:rPr>
          <w:rFonts w:ascii="Arial" w:hAnsi="Arial" w:cs="Arial"/>
          <w:bCs/>
        </w:rPr>
        <w:t xml:space="preserve"> </w:t>
      </w:r>
    </w:p>
    <w:p w:rsidR="00330CF1" w:rsidRDefault="00330CF1" w:rsidP="00B8560D">
      <w:pPr>
        <w:rPr>
          <w:rFonts w:ascii="Arial" w:hAnsi="Arial" w:cs="Arial"/>
          <w:bCs/>
        </w:rPr>
      </w:pPr>
      <w:r>
        <w:rPr>
          <w:rFonts w:ascii="Arial" w:hAnsi="Arial" w:cs="Arial"/>
          <w:bCs/>
        </w:rPr>
        <w:t xml:space="preserve">     As described earlier, the gastrointestinal microbiome is a complex ecosystem with hundreds of bacterial species, many yet to be identified.  </w:t>
      </w:r>
      <w:r w:rsidRPr="00320D16">
        <w:rPr>
          <w:rFonts w:ascii="Arial" w:hAnsi="Arial" w:cs="Arial"/>
          <w:bCs/>
        </w:rPr>
        <w:t>Substantial variation exists at the genus and species level between individuals.</w:t>
      </w:r>
      <w:r>
        <w:rPr>
          <w:rFonts w:ascii="Arial" w:hAnsi="Arial" w:cs="Arial"/>
          <w:bCs/>
          <w:noProof/>
        </w:rPr>
        <w:t>[261]</w:t>
      </w:r>
      <w:r>
        <w:rPr>
          <w:rFonts w:ascii="Arial" w:hAnsi="Arial" w:cs="Arial"/>
          <w:bCs/>
        </w:rPr>
        <w:t xml:space="preserve">  Responses to probiotics are influenced by an individual’s specific commensal microflora.  To complicate matters further, effects of probiotics are known to be strain specific.</w:t>
      </w:r>
      <w:r>
        <w:rPr>
          <w:rFonts w:ascii="Arial" w:hAnsi="Arial" w:cs="Arial"/>
          <w:bCs/>
          <w:noProof/>
        </w:rPr>
        <w:t>[262]</w:t>
      </w:r>
      <w:r>
        <w:rPr>
          <w:rFonts w:ascii="Arial" w:hAnsi="Arial" w:cs="Arial"/>
          <w:bCs/>
        </w:rPr>
        <w:t xml:space="preserve">  Despite the difficulty in defining a healthy intestinal microbiota, there are studies indicating differences in gut microbiota composition between individuals with certain intestinal or immune-mediated diseases and healthy controls.</w:t>
      </w:r>
      <w:r>
        <w:rPr>
          <w:rFonts w:ascii="Arial" w:hAnsi="Arial" w:cs="Arial"/>
          <w:bCs/>
          <w:noProof/>
        </w:rPr>
        <w:t>[263, 264]</w:t>
      </w:r>
      <w:r>
        <w:rPr>
          <w:rFonts w:ascii="Arial" w:hAnsi="Arial" w:cs="Arial"/>
          <w:bCs/>
        </w:rPr>
        <w:t xml:space="preserve">  Studies from both </w:t>
      </w:r>
      <w:r w:rsidRPr="00861CA6">
        <w:rPr>
          <w:rFonts w:ascii="Arial" w:hAnsi="Arial" w:cs="Arial"/>
          <w:bCs/>
          <w:i/>
        </w:rPr>
        <w:t>in vitro</w:t>
      </w:r>
      <w:r>
        <w:rPr>
          <w:rFonts w:ascii="Arial" w:hAnsi="Arial" w:cs="Arial"/>
          <w:bCs/>
        </w:rPr>
        <w:t xml:space="preserve"> and </w:t>
      </w:r>
      <w:r w:rsidRPr="00861CA6">
        <w:rPr>
          <w:rFonts w:ascii="Arial" w:hAnsi="Arial" w:cs="Arial"/>
          <w:bCs/>
          <w:i/>
        </w:rPr>
        <w:t>in vivo</w:t>
      </w:r>
      <w:r>
        <w:rPr>
          <w:rFonts w:ascii="Arial" w:hAnsi="Arial" w:cs="Arial"/>
          <w:bCs/>
        </w:rPr>
        <w:t xml:space="preserve"> have shown that probiotics produce specific enzymes and metabolites that directly regulate the intestinal microbial environment and modulate intestinal epithelial cell or immune cell responses.</w:t>
      </w:r>
      <w:r>
        <w:rPr>
          <w:rFonts w:ascii="Arial" w:hAnsi="Arial" w:cs="Arial"/>
          <w:bCs/>
          <w:noProof/>
        </w:rPr>
        <w:t>[260, 265]</w:t>
      </w:r>
      <w:r>
        <w:rPr>
          <w:rFonts w:ascii="Arial" w:hAnsi="Arial" w:cs="Arial"/>
          <w:bCs/>
        </w:rPr>
        <w:t xml:space="preserve">  These effects include maintaining microbial balance, inducing protective responses from intestinal epithelial cells and regulating immune function.</w:t>
      </w:r>
      <w:r>
        <w:rPr>
          <w:rFonts w:ascii="Arial" w:hAnsi="Arial" w:cs="Arial"/>
          <w:bCs/>
          <w:noProof/>
        </w:rPr>
        <w:t>[260, 265]</w:t>
      </w:r>
      <w:r>
        <w:rPr>
          <w:rFonts w:ascii="Arial" w:hAnsi="Arial" w:cs="Arial"/>
          <w:bCs/>
        </w:rPr>
        <w:t xml:space="preserve"> </w:t>
      </w:r>
    </w:p>
    <w:p w:rsidR="00330CF1" w:rsidRDefault="00330CF1" w:rsidP="00B8560D">
      <w:pPr>
        <w:rPr>
          <w:rFonts w:ascii="Arial" w:hAnsi="Arial" w:cs="Arial"/>
          <w:bCs/>
        </w:rPr>
      </w:pPr>
      <w:r>
        <w:rPr>
          <w:rFonts w:ascii="Arial" w:hAnsi="Arial" w:cs="Arial"/>
          <w:bCs/>
        </w:rPr>
        <w:t xml:space="preserve">     Probiotics have known activity against several pathogens, including pathogenic </w:t>
      </w:r>
      <w:r w:rsidRPr="008525ED">
        <w:rPr>
          <w:rFonts w:ascii="Arial" w:hAnsi="Arial" w:cs="Arial"/>
          <w:bCs/>
          <w:i/>
        </w:rPr>
        <w:t>E.coli</w:t>
      </w:r>
      <w:r>
        <w:rPr>
          <w:rFonts w:ascii="Arial" w:hAnsi="Arial" w:cs="Arial"/>
          <w:bCs/>
        </w:rPr>
        <w:t xml:space="preserve">, </w:t>
      </w:r>
      <w:r w:rsidRPr="008525ED">
        <w:rPr>
          <w:rFonts w:ascii="Arial" w:hAnsi="Arial" w:cs="Arial"/>
          <w:bCs/>
          <w:i/>
        </w:rPr>
        <w:t>Salmonella</w:t>
      </w:r>
      <w:r>
        <w:rPr>
          <w:rFonts w:ascii="Arial" w:hAnsi="Arial" w:cs="Arial"/>
          <w:bCs/>
        </w:rPr>
        <w:t xml:space="preserve"> spp., </w:t>
      </w:r>
      <w:r w:rsidRPr="008525ED">
        <w:rPr>
          <w:rFonts w:ascii="Arial" w:hAnsi="Arial" w:cs="Arial"/>
          <w:bCs/>
          <w:i/>
        </w:rPr>
        <w:t>H</w:t>
      </w:r>
      <w:r>
        <w:rPr>
          <w:rFonts w:ascii="Arial" w:hAnsi="Arial" w:cs="Arial"/>
          <w:bCs/>
          <w:i/>
        </w:rPr>
        <w:t xml:space="preserve">elicobacter </w:t>
      </w:r>
      <w:r w:rsidRPr="008525ED">
        <w:rPr>
          <w:rFonts w:ascii="Arial" w:hAnsi="Arial" w:cs="Arial"/>
          <w:bCs/>
          <w:i/>
        </w:rPr>
        <w:t>pylori</w:t>
      </w:r>
      <w:r>
        <w:rPr>
          <w:rFonts w:ascii="Arial" w:hAnsi="Arial" w:cs="Arial"/>
          <w:bCs/>
        </w:rPr>
        <w:t xml:space="preserve"> and rotavirus.</w:t>
      </w:r>
      <w:r>
        <w:rPr>
          <w:rFonts w:ascii="Arial" w:hAnsi="Arial" w:cs="Arial"/>
          <w:bCs/>
          <w:noProof/>
        </w:rPr>
        <w:t>[266]</w:t>
      </w:r>
      <w:r>
        <w:rPr>
          <w:rFonts w:ascii="Arial" w:hAnsi="Arial" w:cs="Arial"/>
          <w:bCs/>
        </w:rPr>
        <w:t xml:space="preserve">  At least 2 mechanisms of action are involved in maintenance of microbial balance: production of antimicrobial substances and competitive inhibition of pathogen and toxin adherence to the intestinal epithelium.</w:t>
      </w:r>
      <w:r>
        <w:rPr>
          <w:rFonts w:ascii="Arial" w:hAnsi="Arial" w:cs="Arial"/>
          <w:bCs/>
          <w:noProof/>
        </w:rPr>
        <w:t>[265]</w:t>
      </w:r>
      <w:r>
        <w:rPr>
          <w:rFonts w:ascii="Arial" w:hAnsi="Arial" w:cs="Arial"/>
          <w:bCs/>
        </w:rPr>
        <w:t xml:space="preserve">  Lactobacilli produce small antimicrobial peptides called bacteriocins.</w:t>
      </w:r>
      <w:r>
        <w:rPr>
          <w:rFonts w:ascii="Arial" w:hAnsi="Arial" w:cs="Arial"/>
          <w:bCs/>
          <w:noProof/>
        </w:rPr>
        <w:t>[267]</w:t>
      </w:r>
      <w:r>
        <w:rPr>
          <w:rFonts w:ascii="Arial" w:hAnsi="Arial" w:cs="Arial"/>
          <w:bCs/>
        </w:rPr>
        <w:t xml:space="preserve">  They have a relatively narrow spectrum of activity and are generally toxic to other Gram-positive bacteria including </w:t>
      </w:r>
      <w:r w:rsidRPr="00C069F5">
        <w:rPr>
          <w:rFonts w:ascii="Arial" w:hAnsi="Arial" w:cs="Arial"/>
          <w:bCs/>
          <w:i/>
        </w:rPr>
        <w:t>Streptococcus</w:t>
      </w:r>
      <w:r>
        <w:rPr>
          <w:rFonts w:ascii="Arial" w:hAnsi="Arial" w:cs="Arial"/>
          <w:bCs/>
        </w:rPr>
        <w:t xml:space="preserve"> spp., </w:t>
      </w:r>
      <w:r w:rsidRPr="00C069F5">
        <w:rPr>
          <w:rFonts w:ascii="Arial" w:hAnsi="Arial" w:cs="Arial"/>
          <w:bCs/>
          <w:i/>
        </w:rPr>
        <w:t>Staphylococcus</w:t>
      </w:r>
      <w:r>
        <w:rPr>
          <w:rFonts w:ascii="Arial" w:hAnsi="Arial" w:cs="Arial"/>
          <w:bCs/>
          <w:i/>
        </w:rPr>
        <w:t xml:space="preserve"> </w:t>
      </w:r>
      <w:r>
        <w:rPr>
          <w:rFonts w:ascii="Arial" w:hAnsi="Arial" w:cs="Arial"/>
          <w:bCs/>
        </w:rPr>
        <w:t xml:space="preserve">spp., </w:t>
      </w:r>
      <w:r w:rsidRPr="00C069F5">
        <w:rPr>
          <w:rFonts w:ascii="Arial" w:hAnsi="Arial" w:cs="Arial"/>
          <w:bCs/>
          <w:i/>
        </w:rPr>
        <w:t>Listeria</w:t>
      </w:r>
      <w:r>
        <w:rPr>
          <w:rFonts w:ascii="Arial" w:hAnsi="Arial" w:cs="Arial"/>
          <w:bCs/>
          <w:i/>
        </w:rPr>
        <w:t xml:space="preserve"> </w:t>
      </w:r>
      <w:r>
        <w:rPr>
          <w:rFonts w:ascii="Arial" w:hAnsi="Arial" w:cs="Arial"/>
          <w:bCs/>
        </w:rPr>
        <w:t xml:space="preserve">spp. and </w:t>
      </w:r>
      <w:r w:rsidRPr="00C069F5">
        <w:rPr>
          <w:rFonts w:ascii="Arial" w:hAnsi="Arial" w:cs="Arial"/>
          <w:bCs/>
          <w:i/>
        </w:rPr>
        <w:t>Mycobacteria</w:t>
      </w:r>
      <w:r>
        <w:rPr>
          <w:rFonts w:ascii="Arial" w:hAnsi="Arial" w:cs="Arial"/>
          <w:bCs/>
        </w:rPr>
        <w:t xml:space="preserve">.  Their primary mechanism of action is pore formation in the cytoplasmic membrane, disrupting cell integrity.  Several strains of </w:t>
      </w:r>
      <w:r w:rsidRPr="00C069F5">
        <w:rPr>
          <w:rFonts w:ascii="Arial" w:hAnsi="Arial" w:cs="Arial"/>
          <w:bCs/>
          <w:i/>
        </w:rPr>
        <w:t xml:space="preserve">Bifidobacteria </w:t>
      </w:r>
      <w:r>
        <w:rPr>
          <w:rFonts w:ascii="Arial" w:hAnsi="Arial" w:cs="Arial"/>
          <w:bCs/>
        </w:rPr>
        <w:t>also produce bacteriocin-like compounds toxic to both Gram-positive and Gram-negative.</w:t>
      </w:r>
      <w:r>
        <w:rPr>
          <w:rFonts w:ascii="Arial" w:hAnsi="Arial" w:cs="Arial"/>
          <w:bCs/>
          <w:noProof/>
        </w:rPr>
        <w:t>[268]</w:t>
      </w:r>
      <w:r>
        <w:rPr>
          <w:rFonts w:ascii="Arial" w:hAnsi="Arial" w:cs="Arial"/>
          <w:bCs/>
        </w:rPr>
        <w:t xml:space="preserve">  </w:t>
      </w:r>
    </w:p>
    <w:p w:rsidR="00330CF1" w:rsidRDefault="00330CF1" w:rsidP="00B8560D">
      <w:pPr>
        <w:rPr>
          <w:rFonts w:ascii="Arial" w:hAnsi="Arial" w:cs="Arial"/>
          <w:bCs/>
        </w:rPr>
      </w:pPr>
      <w:r>
        <w:rPr>
          <w:rFonts w:ascii="Arial" w:hAnsi="Arial" w:cs="Arial"/>
          <w:bCs/>
        </w:rPr>
        <w:t xml:space="preserve">     Probiotic bacteria, including </w:t>
      </w:r>
      <w:r w:rsidRPr="00C069F5">
        <w:rPr>
          <w:rFonts w:ascii="Arial" w:hAnsi="Arial" w:cs="Arial"/>
          <w:bCs/>
          <w:i/>
        </w:rPr>
        <w:t>Lactobacillus</w:t>
      </w:r>
      <w:r>
        <w:rPr>
          <w:rFonts w:ascii="Arial" w:hAnsi="Arial" w:cs="Arial"/>
          <w:bCs/>
        </w:rPr>
        <w:t xml:space="preserve"> spp. and </w:t>
      </w:r>
      <w:r>
        <w:rPr>
          <w:rFonts w:ascii="Arial" w:hAnsi="Arial" w:cs="Arial"/>
          <w:bCs/>
          <w:i/>
        </w:rPr>
        <w:t>Bifidobacterium</w:t>
      </w:r>
      <w:r>
        <w:rPr>
          <w:rFonts w:ascii="Arial" w:hAnsi="Arial" w:cs="Arial"/>
          <w:bCs/>
        </w:rPr>
        <w:t xml:space="preserve"> spp.</w:t>
      </w:r>
      <w:r>
        <w:rPr>
          <w:rFonts w:ascii="Arial" w:hAnsi="Arial" w:cs="Arial"/>
          <w:bCs/>
          <w:i/>
        </w:rPr>
        <w:t>,</w:t>
      </w:r>
      <w:r>
        <w:rPr>
          <w:rFonts w:ascii="Arial" w:hAnsi="Arial" w:cs="Arial"/>
          <w:bCs/>
        </w:rPr>
        <w:t xml:space="preserve"> produce acetic, lactic and propionic acid.</w:t>
      </w:r>
      <w:r>
        <w:rPr>
          <w:rFonts w:ascii="Arial" w:hAnsi="Arial" w:cs="Arial"/>
          <w:bCs/>
          <w:noProof/>
        </w:rPr>
        <w:t>[265]</w:t>
      </w:r>
      <w:r>
        <w:rPr>
          <w:rFonts w:ascii="Arial" w:hAnsi="Arial" w:cs="Arial"/>
          <w:bCs/>
        </w:rPr>
        <w:t xml:space="preserve">  These acids decrease local pH leading to growth inhibition of a wide range of gram-negative bacteria.  One study found that lactic acid or low pH acted by increasing the permeability of bacterial outer membranes to other antimicrobial substances.</w:t>
      </w:r>
      <w:r>
        <w:rPr>
          <w:rFonts w:ascii="Arial" w:hAnsi="Arial" w:cs="Arial"/>
          <w:bCs/>
          <w:noProof/>
        </w:rPr>
        <w:t>[269]</w:t>
      </w:r>
      <w:r>
        <w:rPr>
          <w:rFonts w:ascii="Arial" w:hAnsi="Arial" w:cs="Arial"/>
          <w:bCs/>
        </w:rPr>
        <w:t xml:space="preserve">  Probiotics also decrease adhesion of both pathogens and their toxins to the intestinal epithelium through competition for attachment sites.  In some cases, probiotics can displace pathogenic bacteria even after the pathogens have attached to intestinal epithelial cells prior to treatment.  These effects are primarily achieved by blockage of carbohydrate binding sites for the pathogens or toxin on the epithelial cells.</w:t>
      </w:r>
      <w:r>
        <w:rPr>
          <w:rFonts w:ascii="Arial" w:hAnsi="Arial" w:cs="Arial"/>
          <w:bCs/>
          <w:noProof/>
        </w:rPr>
        <w:t>[270-273]</w:t>
      </w:r>
    </w:p>
    <w:p w:rsidR="00330CF1" w:rsidRDefault="00330CF1" w:rsidP="00C37BE0">
      <w:pPr>
        <w:rPr>
          <w:rFonts w:ascii="Arial" w:hAnsi="Arial" w:cs="Arial"/>
          <w:bCs/>
        </w:rPr>
      </w:pPr>
      <w:r>
        <w:rPr>
          <w:rFonts w:ascii="Arial" w:hAnsi="Arial" w:cs="Arial"/>
          <w:bCs/>
        </w:rPr>
        <w:t xml:space="preserve">     The intestinal epithelium is the first line of defense and forms a physiological barrier against pathogenic substances in the intestinal lumen.  Probiotics stimulate intestinal epithelial cell responses including restitution of damaged epithelial barrier, and production of antibacterial substances and cell-protective proteins in cell cultures.  </w:t>
      </w:r>
      <w:r>
        <w:rPr>
          <w:rFonts w:ascii="Arial" w:hAnsi="Arial" w:cs="Arial"/>
          <w:bCs/>
          <w:noProof/>
        </w:rPr>
        <w:t>[265]</w:t>
      </w:r>
      <w:r>
        <w:rPr>
          <w:rFonts w:ascii="Arial" w:hAnsi="Arial" w:cs="Arial"/>
          <w:bCs/>
        </w:rPr>
        <w:t xml:space="preserve"> An effective epithelial barrier system requires tight junctions between cells.  In mice, </w:t>
      </w:r>
    </w:p>
    <w:p w:rsidR="00330CF1" w:rsidRDefault="00330CF1" w:rsidP="00C37BE0">
      <w:pPr>
        <w:rPr>
          <w:rFonts w:ascii="Arial" w:hAnsi="Arial" w:cs="Arial"/>
          <w:bCs/>
        </w:rPr>
      </w:pPr>
    </w:p>
    <w:p w:rsidR="00330CF1" w:rsidRDefault="00330CF1" w:rsidP="00C37BE0">
      <w:pPr>
        <w:rPr>
          <w:rFonts w:ascii="Arial" w:hAnsi="Arial" w:cs="Arial"/>
          <w:bCs/>
        </w:rPr>
      </w:pPr>
      <w:r>
        <w:rPr>
          <w:rFonts w:ascii="Arial" w:hAnsi="Arial" w:cs="Arial"/>
          <w:bCs/>
        </w:rPr>
        <w:lastRenderedPageBreak/>
        <w:t>VSL#3</w:t>
      </w:r>
      <w:r>
        <w:rPr>
          <w:rFonts w:ascii="Arial" w:hAnsi="Arial" w:cs="Arial"/>
          <w:bCs/>
          <w:vertAlign w:val="superscript"/>
        </w:rPr>
        <w:t>1</w:t>
      </w:r>
      <w:r>
        <w:rPr>
          <w:rFonts w:ascii="Arial" w:hAnsi="Arial" w:cs="Arial"/>
          <w:bCs/>
        </w:rPr>
        <w:t xml:space="preserve">, a commercial probiotic mixture of 8 bacterial strains, inhibited enteropathogenic </w:t>
      </w:r>
      <w:r w:rsidRPr="00C069F5">
        <w:rPr>
          <w:rFonts w:ascii="Arial" w:hAnsi="Arial" w:cs="Arial"/>
          <w:bCs/>
          <w:i/>
        </w:rPr>
        <w:t>E.coli</w:t>
      </w:r>
      <w:r>
        <w:rPr>
          <w:rFonts w:ascii="Arial" w:hAnsi="Arial" w:cs="Arial"/>
          <w:bCs/>
        </w:rPr>
        <w:t xml:space="preserve">-induced increases in paracellular permeability and prevented </w:t>
      </w:r>
      <w:r w:rsidRPr="00C069F5">
        <w:rPr>
          <w:rFonts w:ascii="Arial" w:hAnsi="Arial" w:cs="Arial"/>
          <w:bCs/>
          <w:i/>
        </w:rPr>
        <w:t>Salmonella</w:t>
      </w:r>
      <w:r>
        <w:rPr>
          <w:rFonts w:ascii="Arial" w:hAnsi="Arial" w:cs="Arial"/>
          <w:bCs/>
        </w:rPr>
        <w:t xml:space="preserve">-induced tight junction dissolution by  junctional protein redistribution </w:t>
      </w:r>
      <w:r>
        <w:rPr>
          <w:rFonts w:ascii="Arial" w:hAnsi="Arial" w:cs="Arial"/>
          <w:bCs/>
          <w:noProof/>
        </w:rPr>
        <w:t>[265]</w:t>
      </w:r>
      <w:r>
        <w:rPr>
          <w:rFonts w:ascii="Arial" w:hAnsi="Arial" w:cs="Arial"/>
          <w:bCs/>
        </w:rPr>
        <w:t xml:space="preserve"> Probiotics have also been shown to enhance barrier function through upregulation of secretory IgA levels. </w:t>
      </w:r>
      <w:r>
        <w:rPr>
          <w:rFonts w:ascii="Arial" w:hAnsi="Arial" w:cs="Arial"/>
          <w:bCs/>
          <w:noProof/>
        </w:rPr>
        <w:t>[274]</w:t>
      </w:r>
      <w:r>
        <w:rPr>
          <w:rFonts w:ascii="Arial" w:hAnsi="Arial" w:cs="Arial"/>
          <w:bCs/>
        </w:rPr>
        <w:t xml:space="preserve">  Heat-shock proteins are constitutively expressed in epithelial cells and induced by stress to maintain intestinal homeostasis and defense.  Heat shock proteins, also called molecular chaperones are defined as a “protein that binds to and stabilizes another</w:t>
      </w:r>
      <w:r w:rsidRPr="007B7A0A">
        <w:rPr>
          <w:rFonts w:ascii="Fd95188-Identity-H" w:hAnsi="Fd95188-Identity-H" w:cs="Fd95188-Identity-H"/>
          <w:sz w:val="17"/>
          <w:szCs w:val="17"/>
        </w:rPr>
        <w:t xml:space="preserve"> </w:t>
      </w:r>
      <w:r w:rsidRPr="007B7A0A">
        <w:rPr>
          <w:rFonts w:ascii="Arial" w:hAnsi="Arial" w:cs="Arial"/>
        </w:rPr>
        <w:t>protein-and by contro</w:t>
      </w:r>
      <w:r>
        <w:rPr>
          <w:rFonts w:ascii="Arial" w:hAnsi="Arial" w:cs="Arial"/>
        </w:rPr>
        <w:t xml:space="preserve">lled binding and release of the </w:t>
      </w:r>
      <w:r w:rsidRPr="007B7A0A">
        <w:rPr>
          <w:rFonts w:ascii="Arial" w:hAnsi="Arial" w:cs="Arial"/>
        </w:rPr>
        <w:t xml:space="preserve">substrate protein, facilitates its correct fate </w:t>
      </w:r>
      <w:r w:rsidRPr="00C37BE0">
        <w:rPr>
          <w:rFonts w:ascii="Arial" w:hAnsi="Arial" w:cs="Arial"/>
          <w:i/>
        </w:rPr>
        <w:t>in vivo</w:t>
      </w:r>
      <w:r>
        <w:rPr>
          <w:rFonts w:ascii="Arial" w:hAnsi="Arial" w:cs="Arial"/>
        </w:rPr>
        <w:t xml:space="preserve">: be it folding, </w:t>
      </w:r>
      <w:r w:rsidRPr="007B7A0A">
        <w:rPr>
          <w:rFonts w:ascii="Arial" w:hAnsi="Arial" w:cs="Arial"/>
        </w:rPr>
        <w:t>assembly, transport to a particular subcell</w:t>
      </w:r>
      <w:r>
        <w:rPr>
          <w:rFonts w:ascii="Arial" w:hAnsi="Arial" w:cs="Arial"/>
        </w:rPr>
        <w:t xml:space="preserve">ular compartment, or controlled </w:t>
      </w:r>
      <w:r w:rsidRPr="007B7A0A">
        <w:rPr>
          <w:rFonts w:ascii="Arial" w:hAnsi="Arial" w:cs="Arial"/>
        </w:rPr>
        <w:t>switching between active/inactive conformations</w:t>
      </w:r>
      <w:r>
        <w:rPr>
          <w:rFonts w:ascii="Arial" w:hAnsi="Arial" w:cs="Arial"/>
        </w:rPr>
        <w:t>.”</w:t>
      </w:r>
      <w:r>
        <w:rPr>
          <w:rFonts w:ascii="Arial" w:hAnsi="Arial" w:cs="Arial"/>
          <w:noProof/>
        </w:rPr>
        <w:t>[275]</w:t>
      </w:r>
      <w:r>
        <w:rPr>
          <w:rFonts w:ascii="Arial" w:hAnsi="Arial" w:cs="Arial"/>
        </w:rPr>
        <w:t xml:space="preserve">  </w:t>
      </w:r>
      <w:r>
        <w:rPr>
          <w:rFonts w:ascii="Arial" w:hAnsi="Arial" w:cs="Arial"/>
          <w:bCs/>
        </w:rPr>
        <w:t xml:space="preserve">Soluble factors present in </w:t>
      </w:r>
      <w:r w:rsidRPr="003A50F5">
        <w:rPr>
          <w:rFonts w:ascii="Arial" w:hAnsi="Arial" w:cs="Arial"/>
          <w:bCs/>
          <w:i/>
        </w:rPr>
        <w:t>Lactobacillus rhamnosus</w:t>
      </w:r>
      <w:r>
        <w:rPr>
          <w:rFonts w:ascii="Arial" w:hAnsi="Arial" w:cs="Arial"/>
          <w:bCs/>
        </w:rPr>
        <w:t xml:space="preserve"> culture supernatant were found to induce heat shock protein synthesis in intestinal epithelial cells. </w:t>
      </w:r>
      <w:r>
        <w:rPr>
          <w:rFonts w:ascii="Arial" w:hAnsi="Arial" w:cs="Arial"/>
          <w:bCs/>
          <w:noProof/>
        </w:rPr>
        <w:t>[276]</w:t>
      </w:r>
      <w:r>
        <w:rPr>
          <w:rFonts w:ascii="Arial" w:hAnsi="Arial" w:cs="Arial"/>
          <w:bCs/>
        </w:rPr>
        <w:t xml:space="preserve"> </w:t>
      </w:r>
    </w:p>
    <w:p w:rsidR="00330CF1" w:rsidRDefault="00330CF1" w:rsidP="00B8560D">
      <w:pPr>
        <w:rPr>
          <w:rFonts w:ascii="Arial" w:hAnsi="Arial" w:cs="Arial"/>
          <w:bCs/>
        </w:rPr>
      </w:pPr>
      <w:r>
        <w:rPr>
          <w:rFonts w:ascii="Arial" w:hAnsi="Arial" w:cs="Arial"/>
          <w:bCs/>
        </w:rPr>
        <w:t xml:space="preserve">     </w:t>
      </w:r>
      <w:r w:rsidRPr="00E36871">
        <w:rPr>
          <w:rFonts w:ascii="Arial" w:hAnsi="Arial" w:cs="Arial"/>
        </w:rPr>
        <w:t>Activation of nuclear factor kappa beta (NF-Kβ) play</w:t>
      </w:r>
      <w:r>
        <w:rPr>
          <w:rFonts w:ascii="Arial" w:hAnsi="Arial" w:cs="Arial"/>
        </w:rPr>
        <w:t>s</w:t>
      </w:r>
      <w:r w:rsidRPr="00E36871">
        <w:rPr>
          <w:rFonts w:ascii="Arial" w:hAnsi="Arial" w:cs="Arial"/>
        </w:rPr>
        <w:t xml:space="preserve"> an important role in intestinal inflammation.</w:t>
      </w:r>
      <w:r>
        <w:rPr>
          <w:rFonts w:ascii="Arial" w:hAnsi="Arial" w:cs="Arial"/>
          <w:noProof/>
        </w:rPr>
        <w:t>[277]</w:t>
      </w:r>
      <w:r>
        <w:rPr>
          <w:rFonts w:ascii="Arial" w:hAnsi="Arial" w:cs="Arial"/>
        </w:rPr>
        <w:t xml:space="preserve">  </w:t>
      </w:r>
      <w:r w:rsidRPr="00E36871">
        <w:rPr>
          <w:rFonts w:ascii="Arial" w:hAnsi="Arial" w:cs="Arial"/>
        </w:rPr>
        <w:t>NF-Kβ</w:t>
      </w:r>
      <w:r>
        <w:rPr>
          <w:rFonts w:ascii="Arial" w:hAnsi="Arial" w:cs="Arial"/>
        </w:rPr>
        <w:t xml:space="preserve">, </w:t>
      </w:r>
      <w:r w:rsidRPr="00E36871">
        <w:rPr>
          <w:rFonts w:ascii="Arial" w:hAnsi="Arial" w:cs="Arial"/>
        </w:rPr>
        <w:t>a transcription factor in the cytosol which upon stimulation, translocates into the nucleus</w:t>
      </w:r>
      <w:r>
        <w:rPr>
          <w:rFonts w:ascii="Arial" w:hAnsi="Arial" w:cs="Arial"/>
        </w:rPr>
        <w:t>,</w:t>
      </w:r>
      <w:r w:rsidRPr="00E36871">
        <w:rPr>
          <w:rFonts w:ascii="Arial" w:hAnsi="Arial" w:cs="Arial"/>
        </w:rPr>
        <w:t xml:space="preserve"> activates numerous genes associated with inflammation.</w:t>
      </w:r>
      <w:r>
        <w:rPr>
          <w:rFonts w:ascii="Arial" w:hAnsi="Arial" w:cs="Arial"/>
          <w:noProof/>
        </w:rPr>
        <w:t>[277]</w:t>
      </w:r>
      <w:r w:rsidRPr="00E36871">
        <w:rPr>
          <w:rFonts w:ascii="Arial" w:hAnsi="Arial" w:cs="Arial"/>
        </w:rPr>
        <w:t xml:space="preserve">  Inducers of NF-Kβ include TNF-α, IL-1, lipopolysaccharide, and oxidative stress. </w:t>
      </w:r>
      <w:r>
        <w:rPr>
          <w:rFonts w:ascii="Arial" w:hAnsi="Arial" w:cs="Arial"/>
        </w:rPr>
        <w:t xml:space="preserve"> </w:t>
      </w:r>
      <w:r w:rsidRPr="00E36871">
        <w:rPr>
          <w:rFonts w:ascii="Arial" w:hAnsi="Arial" w:cs="Arial"/>
        </w:rPr>
        <w:t>In turn, NF-Kβ activates numerous genes associated with inflammation.</w:t>
      </w:r>
      <w:r>
        <w:rPr>
          <w:rFonts w:ascii="Arial" w:hAnsi="Arial" w:cs="Arial"/>
          <w:noProof/>
        </w:rPr>
        <w:t>[277]</w:t>
      </w:r>
      <w:r w:rsidRPr="00E36871">
        <w:rPr>
          <w:rFonts w:ascii="Arial" w:hAnsi="Arial" w:cs="Arial"/>
        </w:rPr>
        <w:t xml:space="preserve"> </w:t>
      </w:r>
      <w:r>
        <w:rPr>
          <w:rFonts w:ascii="Arial" w:hAnsi="Arial" w:cs="Arial"/>
        </w:rPr>
        <w:t xml:space="preserve"> </w:t>
      </w:r>
      <w:r w:rsidRPr="00E36871">
        <w:rPr>
          <w:rFonts w:ascii="Arial" w:hAnsi="Arial" w:cs="Arial"/>
        </w:rPr>
        <w:t>Probiotics inhibit NF-Kβ induction resulting in reduced levels of pro-inflammatory cytokines and chemokines by intestinal epithelial cells.</w:t>
      </w:r>
      <w:r>
        <w:rPr>
          <w:rFonts w:ascii="Arial" w:hAnsi="Arial" w:cs="Arial"/>
          <w:noProof/>
        </w:rPr>
        <w:t>[278]</w:t>
      </w:r>
      <w:r w:rsidRPr="00E36871">
        <w:rPr>
          <w:rFonts w:ascii="Arial" w:hAnsi="Arial" w:cs="Arial"/>
        </w:rPr>
        <w:t xml:space="preserve"> </w:t>
      </w:r>
      <w:r>
        <w:rPr>
          <w:rFonts w:ascii="Arial" w:hAnsi="Arial" w:cs="Arial"/>
        </w:rPr>
        <w:t xml:space="preserve"> </w:t>
      </w:r>
      <w:r w:rsidRPr="00E36871">
        <w:rPr>
          <w:rFonts w:ascii="Arial" w:hAnsi="Arial" w:cs="Arial"/>
        </w:rPr>
        <w:t>Lactic acid bacteria also induce significant levels of IL-10, an</w:t>
      </w:r>
      <w:r>
        <w:rPr>
          <w:rFonts w:ascii="Arial" w:hAnsi="Arial" w:cs="Arial"/>
          <w:bCs/>
        </w:rPr>
        <w:t xml:space="preserve"> inhibitor of pro-inflammatory cytokines.</w:t>
      </w:r>
      <w:r>
        <w:rPr>
          <w:rFonts w:ascii="Arial" w:hAnsi="Arial" w:cs="Arial"/>
          <w:bCs/>
          <w:noProof/>
        </w:rPr>
        <w:t>[279]</w:t>
      </w:r>
    </w:p>
    <w:p w:rsidR="00330CF1" w:rsidRDefault="00330CF1" w:rsidP="00E57890">
      <w:pPr>
        <w:rPr>
          <w:rFonts w:ascii="Arial" w:hAnsi="Arial" w:cs="Arial"/>
          <w:bCs/>
        </w:rPr>
      </w:pPr>
      <w:r>
        <w:rPr>
          <w:rFonts w:ascii="Arial" w:hAnsi="Arial" w:cs="Arial"/>
          <w:bCs/>
        </w:rPr>
        <w:t xml:space="preserve">     Mammalian toll-like receptors (TLRs) and nod-like receptors (NODs) comprise a large family of surface and intracellular proteins used in the detection of specific microbial components from bacteria, fungi, protozoa and viruses.</w:t>
      </w:r>
      <w:r>
        <w:rPr>
          <w:rFonts w:ascii="Arial" w:hAnsi="Arial" w:cs="Arial"/>
          <w:bCs/>
          <w:noProof/>
        </w:rPr>
        <w:t>[280, 281]</w:t>
      </w:r>
      <w:r>
        <w:rPr>
          <w:rFonts w:ascii="Arial" w:hAnsi="Arial" w:cs="Arial"/>
          <w:bCs/>
        </w:rPr>
        <w:t xml:space="preserve"> These proteins enable the host to detect the presence of infection and to signal an appropriate immune response.  Components recognized as ‘ligands’ for TLR’s and NOD’s include lipids, lipoproteins, proteins, and nucleic acids from a wide range of microbes, both pathogenic and commensal.</w:t>
      </w:r>
      <w:r>
        <w:rPr>
          <w:rFonts w:ascii="Arial" w:hAnsi="Arial" w:cs="Arial"/>
          <w:bCs/>
          <w:noProof/>
        </w:rPr>
        <w:t>[280, 281]</w:t>
      </w:r>
      <w:r>
        <w:rPr>
          <w:rFonts w:ascii="Arial" w:hAnsi="Arial" w:cs="Arial"/>
          <w:bCs/>
        </w:rPr>
        <w:t xml:space="preserve">  Probiotic bacteria, similar to pathogenic bacteria are ligands for TLR’s and NOD’s.  The ability of the immune system to distinguish pathogenic from commensal bacteria and elicit either an inflammatory response or </w:t>
      </w:r>
      <w:r w:rsidRPr="00C83FBD">
        <w:rPr>
          <w:rFonts w:ascii="Arial" w:hAnsi="Arial" w:cs="Arial"/>
        </w:rPr>
        <w:t>regulatory response is an area of ongoing research.  Mechanisms that have been proposed in this differentiation include the cellular locations of TLR’s and NOD’s.  Apical but not basolateral stimulation of TLR inhibited NF-Kβ activation in intestinal epithelial cells.</w:t>
      </w:r>
      <w:r>
        <w:rPr>
          <w:rFonts w:ascii="Arial" w:hAnsi="Arial" w:cs="Arial"/>
          <w:noProof/>
        </w:rPr>
        <w:t>[282]</w:t>
      </w:r>
      <w:r w:rsidRPr="00C83FBD">
        <w:rPr>
          <w:rFonts w:ascii="Arial" w:hAnsi="Arial" w:cs="Arial"/>
        </w:rPr>
        <w:t xml:space="preserve">  A second</w:t>
      </w:r>
      <w:r>
        <w:rPr>
          <w:rFonts w:ascii="Arial" w:hAnsi="Arial" w:cs="Arial"/>
        </w:rPr>
        <w:t xml:space="preserve"> mechanism proposed wa</w:t>
      </w:r>
      <w:r w:rsidRPr="00C83FBD">
        <w:rPr>
          <w:rFonts w:ascii="Arial" w:hAnsi="Arial" w:cs="Arial"/>
        </w:rPr>
        <w:t>s probiotics contain components which</w:t>
      </w:r>
      <w:r>
        <w:rPr>
          <w:rFonts w:ascii="Arial" w:hAnsi="Arial" w:cs="Arial"/>
          <w:bCs/>
        </w:rPr>
        <w:t xml:space="preserve"> pathogenic bacteria do not resulting in differential activation of TLRs.</w:t>
      </w:r>
      <w:r>
        <w:rPr>
          <w:rFonts w:ascii="Arial" w:hAnsi="Arial" w:cs="Arial"/>
          <w:bCs/>
          <w:noProof/>
        </w:rPr>
        <w:t>[283]</w:t>
      </w:r>
      <w:r>
        <w:rPr>
          <w:rFonts w:ascii="Arial" w:hAnsi="Arial" w:cs="Arial"/>
          <w:bCs/>
        </w:rPr>
        <w:t xml:space="preserve">  A third mechanism proposed was that probiotic-induced cellular effects may be due to synergistic effects of TLRs, which cannot be or are differentially regulated by pathogenic bacteria.</w:t>
      </w:r>
      <w:r>
        <w:rPr>
          <w:rFonts w:ascii="Arial" w:hAnsi="Arial" w:cs="Arial"/>
          <w:bCs/>
          <w:noProof/>
        </w:rPr>
        <w:t>[284]</w:t>
      </w:r>
      <w:r>
        <w:rPr>
          <w:rFonts w:ascii="Arial" w:hAnsi="Arial" w:cs="Arial"/>
          <w:bCs/>
        </w:rPr>
        <w:t xml:space="preserve">  Synergistic responses have been reported between TLR’s such that </w:t>
      </w:r>
    </w:p>
    <w:p w:rsidR="00330CF1" w:rsidRDefault="00330CF1" w:rsidP="00B8560D">
      <w:pPr>
        <w:rPr>
          <w:rFonts w:ascii="Arial" w:hAnsi="Arial" w:cs="Arial"/>
          <w:bCs/>
        </w:rPr>
      </w:pPr>
      <w:r>
        <w:rPr>
          <w:rFonts w:ascii="Arial" w:hAnsi="Arial" w:cs="Arial"/>
          <w:bCs/>
        </w:rPr>
        <w:t>multiple ligands produced higher levels of cytokines compared to individual TLR activation.</w:t>
      </w:r>
      <w:r>
        <w:rPr>
          <w:rFonts w:ascii="Arial" w:hAnsi="Arial" w:cs="Arial"/>
          <w:bCs/>
          <w:noProof/>
        </w:rPr>
        <w:t>[284]</w:t>
      </w:r>
    </w:p>
    <w:p w:rsidR="00330CF1" w:rsidRDefault="00330CF1" w:rsidP="00B8560D">
      <w:pPr>
        <w:rPr>
          <w:rFonts w:ascii="Arial" w:hAnsi="Arial" w:cs="Arial"/>
          <w:bCs/>
        </w:rPr>
      </w:pPr>
      <w:r>
        <w:rPr>
          <w:rFonts w:ascii="Arial" w:hAnsi="Arial" w:cs="Arial"/>
          <w:bCs/>
        </w:rPr>
        <w:t xml:space="preserve">     </w:t>
      </w:r>
      <w:r w:rsidRPr="008525ED">
        <w:rPr>
          <w:rFonts w:ascii="Arial" w:hAnsi="Arial" w:cs="Arial"/>
          <w:bCs/>
          <w:i/>
        </w:rPr>
        <w:t>Lactobacillus acidophilus</w:t>
      </w:r>
      <w:r>
        <w:rPr>
          <w:rFonts w:ascii="Arial" w:hAnsi="Arial" w:cs="Arial"/>
          <w:bCs/>
        </w:rPr>
        <w:t xml:space="preserve"> has been shown to induce immunostimulatory effects in adult dogs </w:t>
      </w:r>
      <w:r>
        <w:rPr>
          <w:rFonts w:ascii="Arial" w:hAnsi="Arial" w:cs="Arial"/>
          <w:bCs/>
          <w:noProof/>
        </w:rPr>
        <w:t>[285]</w:t>
      </w:r>
      <w:r>
        <w:rPr>
          <w:rFonts w:ascii="Arial" w:hAnsi="Arial" w:cs="Arial"/>
          <w:bCs/>
        </w:rPr>
        <w:t xml:space="preserve">, and </w:t>
      </w:r>
      <w:r w:rsidRPr="008525ED">
        <w:rPr>
          <w:rFonts w:ascii="Arial" w:hAnsi="Arial" w:cs="Arial"/>
          <w:bCs/>
          <w:i/>
        </w:rPr>
        <w:t>Enterococcus faecium</w:t>
      </w:r>
      <w:r>
        <w:rPr>
          <w:rFonts w:ascii="Arial" w:hAnsi="Arial" w:cs="Arial"/>
          <w:bCs/>
        </w:rPr>
        <w:t xml:space="preserve"> was reported to stimulate immune function </w:t>
      </w:r>
    </w:p>
    <w:p w:rsidR="00330CF1" w:rsidRDefault="00330CF1" w:rsidP="00B8560D">
      <w:pPr>
        <w:rPr>
          <w:rFonts w:ascii="Arial" w:hAnsi="Arial" w:cs="Arial"/>
          <w:bCs/>
        </w:rPr>
      </w:pPr>
      <w:r>
        <w:rPr>
          <w:rFonts w:ascii="Arial" w:hAnsi="Arial" w:cs="Arial"/>
          <w:bCs/>
        </w:rPr>
        <w:t>______________________________________________________________________</w:t>
      </w:r>
    </w:p>
    <w:p w:rsidR="00330CF1" w:rsidRPr="004C3C6E" w:rsidRDefault="00330CF1" w:rsidP="00B8560D">
      <w:pPr>
        <w:rPr>
          <w:rFonts w:ascii="Arial" w:hAnsi="Arial" w:cs="Arial"/>
          <w:bCs/>
          <w:sz w:val="20"/>
          <w:szCs w:val="20"/>
        </w:rPr>
      </w:pPr>
      <w:r>
        <w:rPr>
          <w:rFonts w:ascii="Arial" w:hAnsi="Arial" w:cs="Arial"/>
          <w:bCs/>
          <w:vertAlign w:val="superscript"/>
        </w:rPr>
        <w:t>1</w:t>
      </w:r>
      <w:r>
        <w:rPr>
          <w:rFonts w:ascii="Arial" w:hAnsi="Arial" w:cs="Arial"/>
          <w:bCs/>
        </w:rPr>
        <w:t xml:space="preserve">  </w:t>
      </w:r>
      <w:r w:rsidRPr="0016455D">
        <w:rPr>
          <w:rFonts w:ascii="Arial" w:hAnsi="Arial" w:cs="Arial"/>
          <w:sz w:val="20"/>
          <w:szCs w:val="20"/>
        </w:rPr>
        <w:t>VSL#3®, VSL Pharmaceuticals, Inc. Gaithersburg, MD</w:t>
      </w:r>
    </w:p>
    <w:p w:rsidR="00330CF1" w:rsidRDefault="00330CF1" w:rsidP="00B8560D">
      <w:pPr>
        <w:rPr>
          <w:rFonts w:ascii="Arial" w:hAnsi="Arial" w:cs="Arial"/>
          <w:bCs/>
        </w:rPr>
      </w:pPr>
      <w:r>
        <w:rPr>
          <w:rFonts w:ascii="Arial" w:hAnsi="Arial" w:cs="Arial"/>
          <w:bCs/>
        </w:rPr>
        <w:lastRenderedPageBreak/>
        <w:t xml:space="preserve">in young dogs </w:t>
      </w:r>
      <w:r>
        <w:rPr>
          <w:rFonts w:ascii="Arial" w:hAnsi="Arial" w:cs="Arial"/>
          <w:bCs/>
          <w:noProof/>
        </w:rPr>
        <w:t>[286]</w:t>
      </w:r>
      <w:r>
        <w:rPr>
          <w:rFonts w:ascii="Arial" w:hAnsi="Arial" w:cs="Arial"/>
          <w:bCs/>
        </w:rPr>
        <w:t>.  But physiological and dietary differences between dogs and cats do not allow extrapolation of these studies.  Three studies have been reported on cats and probiotics.</w:t>
      </w:r>
      <w:r>
        <w:rPr>
          <w:rFonts w:ascii="Arial" w:hAnsi="Arial" w:cs="Arial"/>
          <w:bCs/>
          <w:noProof/>
        </w:rPr>
        <w:t>[287-289]</w:t>
      </w:r>
      <w:r>
        <w:rPr>
          <w:rFonts w:ascii="Arial" w:hAnsi="Arial" w:cs="Arial"/>
          <w:bCs/>
        </w:rPr>
        <w:t xml:space="preserve">  One study involved supplementation with </w:t>
      </w:r>
      <w:r w:rsidRPr="008525ED">
        <w:rPr>
          <w:rFonts w:ascii="Arial" w:hAnsi="Arial" w:cs="Arial"/>
          <w:bCs/>
          <w:i/>
        </w:rPr>
        <w:t>Lactobacillus acidophilus</w:t>
      </w:r>
      <w:r>
        <w:rPr>
          <w:rFonts w:ascii="Arial" w:hAnsi="Arial" w:cs="Arial"/>
          <w:bCs/>
        </w:rPr>
        <w:t xml:space="preserve"> in adult cats </w:t>
      </w:r>
      <w:r>
        <w:rPr>
          <w:rFonts w:ascii="Arial" w:hAnsi="Arial" w:cs="Arial"/>
          <w:bCs/>
          <w:noProof/>
        </w:rPr>
        <w:t>[287]</w:t>
      </w:r>
      <w:r>
        <w:rPr>
          <w:rFonts w:ascii="Arial" w:hAnsi="Arial" w:cs="Arial"/>
          <w:bCs/>
        </w:rPr>
        <w:t xml:space="preserve">, the other two involved use of </w:t>
      </w:r>
      <w:r w:rsidRPr="008525ED">
        <w:rPr>
          <w:rFonts w:ascii="Arial" w:hAnsi="Arial" w:cs="Arial"/>
          <w:bCs/>
          <w:i/>
        </w:rPr>
        <w:t>Enterococcus faecium</w:t>
      </w:r>
      <w:r>
        <w:rPr>
          <w:rFonts w:ascii="Arial" w:hAnsi="Arial" w:cs="Arial"/>
          <w:bCs/>
        </w:rPr>
        <w:t xml:space="preserve"> (SF68) in kittens and adult cats </w:t>
      </w:r>
      <w:r>
        <w:rPr>
          <w:rFonts w:ascii="Arial" w:hAnsi="Arial" w:cs="Arial"/>
          <w:bCs/>
          <w:noProof/>
        </w:rPr>
        <w:t>[288, 289]</w:t>
      </w:r>
      <w:r>
        <w:rPr>
          <w:rFonts w:ascii="Arial" w:hAnsi="Arial" w:cs="Arial"/>
          <w:bCs/>
        </w:rPr>
        <w:t xml:space="preserve">.  In the </w:t>
      </w:r>
      <w:r w:rsidRPr="008525ED">
        <w:rPr>
          <w:rFonts w:ascii="Arial" w:hAnsi="Arial" w:cs="Arial"/>
          <w:bCs/>
          <w:i/>
        </w:rPr>
        <w:t xml:space="preserve">Lactobacillus </w:t>
      </w:r>
      <w:r>
        <w:rPr>
          <w:rFonts w:ascii="Arial" w:hAnsi="Arial" w:cs="Arial"/>
          <w:bCs/>
        </w:rPr>
        <w:t>study, 15 adult DSH were fed a dry basal diet for 4 weeks, followed by the same diet supplemented with Lactobacillus for 4.5 weeks, and then 5 weeks back on the basal diet.  Weight, food intake, CBC, serum biochemistry, serum immunoglobulins and acute phase proteins were analyzed at the end of each period along with percentage and number of bacteria phagocytized using flow cytometry and overall fecal flora diversity using culture and fluorescent in situ hybridization (FISH) techniques.</w:t>
      </w:r>
      <w:r>
        <w:rPr>
          <w:rFonts w:ascii="Arial" w:hAnsi="Arial" w:cs="Arial"/>
          <w:bCs/>
          <w:noProof/>
        </w:rPr>
        <w:t>[287]</w:t>
      </w:r>
      <w:r>
        <w:rPr>
          <w:rFonts w:ascii="Arial" w:hAnsi="Arial" w:cs="Arial"/>
          <w:bCs/>
        </w:rPr>
        <w:t xml:space="preserve">  The probiotic strain was recovered from the feces of the cats.  There were no significant differences in weight, food intake, serum biochemistry, acute phase proteins, serum immunoglobulins, or percentage of cells undergoing phagocytosis, throughout the 3 periods.  Immunomodulatory effects were small.  These included significant increases in the number of bacteria phagocytized per granulocyte during the probiotic period and an overall decrease in total lymphocyte and increase in eosinophil numbers over the entire study period.  Changes were noted in bacterial diversity during probiotic feeding.  Clostridial numbers were significantly reduced during the probiotic feeding phase but increased again following the cessation of probiotic supplementation.  Coliform and </w:t>
      </w:r>
      <w:r w:rsidRPr="00FC7D96">
        <w:rPr>
          <w:rFonts w:ascii="Arial" w:hAnsi="Arial" w:cs="Arial"/>
          <w:bCs/>
          <w:i/>
        </w:rPr>
        <w:t>Enterococcus</w:t>
      </w:r>
      <w:r>
        <w:rPr>
          <w:rFonts w:ascii="Arial" w:hAnsi="Arial" w:cs="Arial"/>
          <w:bCs/>
          <w:i/>
        </w:rPr>
        <w:t xml:space="preserve"> </w:t>
      </w:r>
      <w:r>
        <w:rPr>
          <w:rFonts w:ascii="Arial" w:hAnsi="Arial" w:cs="Arial"/>
          <w:bCs/>
        </w:rPr>
        <w:t>spp. numbers decreased during the entire course of the study.</w:t>
      </w:r>
      <w:r>
        <w:rPr>
          <w:rFonts w:ascii="Arial" w:hAnsi="Arial" w:cs="Arial"/>
          <w:bCs/>
          <w:noProof/>
        </w:rPr>
        <w:t>[287]</w:t>
      </w:r>
    </w:p>
    <w:p w:rsidR="00330CF1" w:rsidRDefault="00330CF1" w:rsidP="00B8560D">
      <w:pPr>
        <w:rPr>
          <w:rFonts w:ascii="Arial" w:hAnsi="Arial" w:cs="Arial"/>
          <w:bCs/>
        </w:rPr>
      </w:pPr>
      <w:r>
        <w:rPr>
          <w:rFonts w:ascii="Arial" w:hAnsi="Arial" w:cs="Arial"/>
          <w:bCs/>
        </w:rPr>
        <w:t xml:space="preserve">     Two studies, one with kittens and the other with adult cats, have been published examining the effects of the probiotic bacteria </w:t>
      </w:r>
      <w:r w:rsidRPr="008525ED">
        <w:rPr>
          <w:rFonts w:ascii="Arial" w:hAnsi="Arial" w:cs="Arial"/>
          <w:bCs/>
          <w:i/>
        </w:rPr>
        <w:t>Enterococcus faecium</w:t>
      </w:r>
      <w:r>
        <w:rPr>
          <w:rFonts w:ascii="Arial" w:hAnsi="Arial" w:cs="Arial"/>
          <w:bCs/>
        </w:rPr>
        <w:t xml:space="preserve"> SF68 in domestic felines.</w:t>
      </w:r>
      <w:r>
        <w:rPr>
          <w:rFonts w:ascii="Arial" w:hAnsi="Arial" w:cs="Arial"/>
          <w:bCs/>
          <w:noProof/>
        </w:rPr>
        <w:t>[288, 289]</w:t>
      </w:r>
      <w:r>
        <w:rPr>
          <w:rFonts w:ascii="Arial" w:hAnsi="Arial" w:cs="Arial"/>
          <w:bCs/>
        </w:rPr>
        <w:t xml:space="preserve">  </w:t>
      </w:r>
      <w:r w:rsidRPr="004218C0">
        <w:rPr>
          <w:rFonts w:ascii="Arial" w:hAnsi="Arial" w:cs="Arial"/>
          <w:bCs/>
        </w:rPr>
        <w:t xml:space="preserve">The first study had 2 groups </w:t>
      </w:r>
      <w:r>
        <w:rPr>
          <w:rFonts w:ascii="Arial" w:hAnsi="Arial" w:cs="Arial"/>
          <w:bCs/>
        </w:rPr>
        <w:t>of kittens aged 8-28 weeks.</w:t>
      </w:r>
      <w:r>
        <w:rPr>
          <w:rFonts w:ascii="Arial" w:hAnsi="Arial" w:cs="Arial"/>
          <w:bCs/>
          <w:noProof/>
        </w:rPr>
        <w:t>[289]</w:t>
      </w:r>
      <w:r>
        <w:rPr>
          <w:rFonts w:ascii="Arial" w:hAnsi="Arial" w:cs="Arial"/>
          <w:bCs/>
        </w:rPr>
        <w:t xml:space="preserve">  One group was supplemented with </w:t>
      </w:r>
      <w:r>
        <w:rPr>
          <w:rFonts w:ascii="Arial" w:hAnsi="Arial" w:cs="Arial"/>
          <w:bCs/>
          <w:i/>
        </w:rPr>
        <w:t>Enterococcus</w:t>
      </w:r>
      <w:r w:rsidRPr="008525ED">
        <w:rPr>
          <w:rFonts w:ascii="Arial" w:hAnsi="Arial" w:cs="Arial"/>
          <w:bCs/>
          <w:i/>
        </w:rPr>
        <w:t xml:space="preserve"> faecium</w:t>
      </w:r>
      <w:r>
        <w:rPr>
          <w:rFonts w:ascii="Arial" w:hAnsi="Arial" w:cs="Arial"/>
          <w:bCs/>
        </w:rPr>
        <w:t xml:space="preserve"> while the other was the control group.  The kittens were vaccinated for feline herpes virus (FHV), calicivirus and feline panleukopenia virus (FPV) with a modified live combination vaccine</w:t>
      </w:r>
      <w:r>
        <w:rPr>
          <w:rFonts w:ascii="Arial" w:hAnsi="Arial" w:cs="Arial"/>
          <w:bCs/>
          <w:vertAlign w:val="superscript"/>
        </w:rPr>
        <w:t>1</w:t>
      </w:r>
      <w:r>
        <w:rPr>
          <w:rFonts w:ascii="Arial" w:hAnsi="Arial" w:cs="Arial"/>
          <w:bCs/>
        </w:rPr>
        <w:t xml:space="preserve">  at 9 and 13 weeks of age. Weight, complete blood counts, biochemistry panels, urinalyses, serum FHV specific IgG and IgA, CD4/CD8 ratios, cell-mediated responses to concanavalin A, and salivary FHV IgG and IgA were analyzed at 7, 9, 15, 21 and 27 weeks of age.  Fecal ELISA samples were analyzed for </w:t>
      </w:r>
      <w:r>
        <w:rPr>
          <w:rFonts w:ascii="Arial" w:hAnsi="Arial" w:cs="Arial"/>
          <w:bCs/>
          <w:i/>
        </w:rPr>
        <w:t>Clostridium perfringens</w:t>
      </w:r>
      <w:r>
        <w:rPr>
          <w:rFonts w:ascii="Arial" w:hAnsi="Arial" w:cs="Arial"/>
          <w:bCs/>
        </w:rPr>
        <w:t xml:space="preserve"> enterotoxins, </w:t>
      </w:r>
      <w:r>
        <w:rPr>
          <w:rFonts w:ascii="Arial" w:hAnsi="Arial" w:cs="Arial"/>
          <w:bCs/>
          <w:i/>
        </w:rPr>
        <w:t xml:space="preserve">Clostridium difficile </w:t>
      </w:r>
      <w:r>
        <w:rPr>
          <w:rFonts w:ascii="Arial" w:hAnsi="Arial" w:cs="Arial"/>
          <w:bCs/>
        </w:rPr>
        <w:t xml:space="preserve">toxin A or B, and cultures for </w:t>
      </w:r>
      <w:r>
        <w:rPr>
          <w:rFonts w:ascii="Arial" w:hAnsi="Arial" w:cs="Arial"/>
          <w:bCs/>
          <w:i/>
        </w:rPr>
        <w:t xml:space="preserve">Salmonella </w:t>
      </w:r>
      <w:r>
        <w:rPr>
          <w:rFonts w:ascii="Arial" w:hAnsi="Arial" w:cs="Arial"/>
          <w:bCs/>
        </w:rPr>
        <w:t xml:space="preserve">spp and </w:t>
      </w:r>
      <w:r>
        <w:rPr>
          <w:rFonts w:ascii="Arial" w:hAnsi="Arial" w:cs="Arial"/>
          <w:bCs/>
          <w:i/>
        </w:rPr>
        <w:t xml:space="preserve">Campylobacter </w:t>
      </w:r>
      <w:r>
        <w:rPr>
          <w:rFonts w:ascii="Arial" w:hAnsi="Arial" w:cs="Arial"/>
          <w:bCs/>
        </w:rPr>
        <w:t xml:space="preserve">spp. were performed.  Fecal PCR for </w:t>
      </w:r>
      <w:r>
        <w:rPr>
          <w:rFonts w:ascii="Arial" w:hAnsi="Arial" w:cs="Arial"/>
          <w:bCs/>
          <w:i/>
        </w:rPr>
        <w:t>Enterococcus</w:t>
      </w:r>
      <w:r w:rsidRPr="00153AC2">
        <w:rPr>
          <w:rFonts w:ascii="Arial" w:hAnsi="Arial" w:cs="Arial"/>
          <w:bCs/>
          <w:i/>
        </w:rPr>
        <w:t xml:space="preserve"> faecium</w:t>
      </w:r>
      <w:r>
        <w:rPr>
          <w:rFonts w:ascii="Arial" w:hAnsi="Arial" w:cs="Arial"/>
          <w:bCs/>
        </w:rPr>
        <w:t xml:space="preserve"> was also done to determine whether the probiotic bacteria was found in the kitten’s stools.  Feces from seven of the nine treated cats were positive for </w:t>
      </w:r>
      <w:r w:rsidRPr="008525ED">
        <w:rPr>
          <w:rFonts w:ascii="Arial" w:hAnsi="Arial" w:cs="Arial"/>
          <w:bCs/>
          <w:i/>
        </w:rPr>
        <w:t>E. faecium</w:t>
      </w:r>
      <w:r>
        <w:rPr>
          <w:rFonts w:ascii="Arial" w:hAnsi="Arial" w:cs="Arial"/>
          <w:bCs/>
        </w:rPr>
        <w:t xml:space="preserve"> </w:t>
      </w:r>
      <w:r w:rsidRPr="00320D16">
        <w:rPr>
          <w:rFonts w:ascii="Arial" w:hAnsi="Arial" w:cs="Arial"/>
          <w:bCs/>
        </w:rPr>
        <w:t xml:space="preserve">during at </w:t>
      </w:r>
      <w:r>
        <w:rPr>
          <w:rFonts w:ascii="Arial" w:hAnsi="Arial" w:cs="Arial"/>
          <w:bCs/>
        </w:rPr>
        <w:t xml:space="preserve">least one time point during the study.  PCR quantification though does not specify viability. </w:t>
      </w:r>
      <w:r w:rsidRPr="008525ED">
        <w:rPr>
          <w:rFonts w:ascii="Arial" w:hAnsi="Arial" w:cs="Arial"/>
          <w:bCs/>
          <w:i/>
        </w:rPr>
        <w:t>E. faecium</w:t>
      </w:r>
      <w:r>
        <w:rPr>
          <w:rFonts w:ascii="Arial" w:hAnsi="Arial" w:cs="Arial"/>
          <w:bCs/>
        </w:rPr>
        <w:t xml:space="preserve"> was not found in any of the treated cat’s feces one week after supplementation was discontinued (week 28).  Neither </w:t>
      </w:r>
      <w:r w:rsidRPr="008525ED">
        <w:rPr>
          <w:rFonts w:ascii="Arial" w:hAnsi="Arial" w:cs="Arial"/>
          <w:bCs/>
          <w:i/>
        </w:rPr>
        <w:t>Salmonella</w:t>
      </w:r>
      <w:r>
        <w:rPr>
          <w:rFonts w:ascii="Arial" w:hAnsi="Arial" w:cs="Arial"/>
          <w:bCs/>
        </w:rPr>
        <w:t xml:space="preserve"> spp. nor </w:t>
      </w:r>
      <w:r w:rsidRPr="008525ED">
        <w:rPr>
          <w:rFonts w:ascii="Arial" w:hAnsi="Arial" w:cs="Arial"/>
          <w:bCs/>
          <w:i/>
        </w:rPr>
        <w:t>Campylobacter</w:t>
      </w:r>
      <w:r>
        <w:rPr>
          <w:rFonts w:ascii="Arial" w:hAnsi="Arial" w:cs="Arial"/>
          <w:bCs/>
          <w:i/>
        </w:rPr>
        <w:t xml:space="preserve"> </w:t>
      </w:r>
      <w:r>
        <w:rPr>
          <w:rFonts w:ascii="Arial" w:hAnsi="Arial" w:cs="Arial"/>
          <w:bCs/>
        </w:rPr>
        <w:t xml:space="preserve">spp. were detected in any feces, and the numbers of positive samples for </w:t>
      </w:r>
      <w:r w:rsidRPr="008525ED">
        <w:rPr>
          <w:rFonts w:ascii="Arial" w:hAnsi="Arial" w:cs="Arial"/>
          <w:bCs/>
          <w:i/>
        </w:rPr>
        <w:t>C</w:t>
      </w:r>
      <w:r>
        <w:rPr>
          <w:rFonts w:ascii="Arial" w:hAnsi="Arial" w:cs="Arial"/>
          <w:bCs/>
          <w:i/>
        </w:rPr>
        <w:t>lostridium</w:t>
      </w:r>
      <w:r w:rsidRPr="008525ED">
        <w:rPr>
          <w:rFonts w:ascii="Arial" w:hAnsi="Arial" w:cs="Arial"/>
          <w:bCs/>
          <w:i/>
        </w:rPr>
        <w:t xml:space="preserve"> difficile</w:t>
      </w:r>
      <w:r>
        <w:rPr>
          <w:rFonts w:ascii="Arial" w:hAnsi="Arial" w:cs="Arial"/>
          <w:bCs/>
        </w:rPr>
        <w:t xml:space="preserve"> toxin or </w:t>
      </w:r>
      <w:r>
        <w:rPr>
          <w:rFonts w:ascii="Arial" w:hAnsi="Arial" w:cs="Arial"/>
          <w:bCs/>
          <w:i/>
        </w:rPr>
        <w:t>Clostridium</w:t>
      </w:r>
      <w:r w:rsidRPr="008525ED">
        <w:rPr>
          <w:rFonts w:ascii="Arial" w:hAnsi="Arial" w:cs="Arial"/>
          <w:bCs/>
          <w:i/>
        </w:rPr>
        <w:t xml:space="preserve"> perfringens</w:t>
      </w:r>
      <w:r>
        <w:rPr>
          <w:rFonts w:ascii="Arial" w:hAnsi="Arial" w:cs="Arial"/>
          <w:bCs/>
        </w:rPr>
        <w:t xml:space="preserve"> enterotoxin were not significantly different between the 2 groups.</w:t>
      </w:r>
      <w:r>
        <w:rPr>
          <w:rFonts w:ascii="Arial" w:hAnsi="Arial" w:cs="Arial"/>
          <w:bCs/>
          <w:noProof/>
        </w:rPr>
        <w:t>[289]</w:t>
      </w:r>
      <w:r>
        <w:rPr>
          <w:rFonts w:ascii="Arial" w:hAnsi="Arial" w:cs="Arial"/>
          <w:bCs/>
        </w:rPr>
        <w:t xml:space="preserve">  There were no significant differences in any of the above parameters with the exception of significantly increased CD4/CD8 ratios in the kittens fed the probiotic at the end of the study.</w:t>
      </w:r>
      <w:r>
        <w:rPr>
          <w:rFonts w:ascii="Arial" w:hAnsi="Arial" w:cs="Arial"/>
          <w:bCs/>
          <w:noProof/>
        </w:rPr>
        <w:t>[289]</w:t>
      </w:r>
      <w:r>
        <w:rPr>
          <w:rFonts w:ascii="Arial" w:hAnsi="Arial" w:cs="Arial"/>
          <w:bCs/>
        </w:rPr>
        <w:t xml:space="preserve">  Additional cytokine profiles or cell surface marker </w:t>
      </w:r>
    </w:p>
    <w:p w:rsidR="00330CF1" w:rsidRDefault="00330CF1" w:rsidP="00B8560D">
      <w:pPr>
        <w:rPr>
          <w:rFonts w:ascii="Arial" w:hAnsi="Arial" w:cs="Arial"/>
          <w:bCs/>
        </w:rPr>
      </w:pPr>
      <w:r>
        <w:rPr>
          <w:rFonts w:ascii="Arial" w:hAnsi="Arial" w:cs="Arial"/>
          <w:bCs/>
        </w:rPr>
        <w:t>______________________________________________________________________</w:t>
      </w:r>
    </w:p>
    <w:p w:rsidR="00330CF1" w:rsidRPr="00E50713" w:rsidRDefault="00330CF1" w:rsidP="00E50713">
      <w:pPr>
        <w:rPr>
          <w:rFonts w:ascii="Arial" w:hAnsi="Arial" w:cs="Arial"/>
          <w:bCs/>
          <w:sz w:val="20"/>
          <w:szCs w:val="20"/>
        </w:rPr>
      </w:pPr>
      <w:r>
        <w:rPr>
          <w:rFonts w:ascii="Arial" w:hAnsi="Arial" w:cs="Arial"/>
          <w:bCs/>
          <w:sz w:val="20"/>
          <w:szCs w:val="20"/>
        </w:rPr>
        <w:t>1.</w:t>
      </w:r>
      <w:r w:rsidRPr="00E50713">
        <w:rPr>
          <w:rFonts w:ascii="Arial" w:hAnsi="Arial" w:cs="Arial"/>
          <w:bCs/>
          <w:sz w:val="20"/>
          <w:szCs w:val="20"/>
        </w:rPr>
        <w:t>Felocell®, Feline herpesvirus-1, calicivirus, and panleukopenia vaccine, Pfizer Animal Health.  New York, NY</w:t>
      </w:r>
    </w:p>
    <w:p w:rsidR="00330CF1" w:rsidRPr="00E50713" w:rsidRDefault="00330CF1" w:rsidP="00E50713">
      <w:pPr>
        <w:rPr>
          <w:rFonts w:ascii="Arial" w:hAnsi="Arial" w:cs="Arial"/>
          <w:bCs/>
          <w:sz w:val="20"/>
          <w:szCs w:val="20"/>
        </w:rPr>
      </w:pPr>
    </w:p>
    <w:p w:rsidR="00330CF1" w:rsidRDefault="00330CF1" w:rsidP="00B8560D">
      <w:pPr>
        <w:rPr>
          <w:rFonts w:ascii="Arial" w:hAnsi="Arial" w:cs="Arial"/>
          <w:bCs/>
        </w:rPr>
      </w:pPr>
    </w:p>
    <w:p w:rsidR="00330CF1" w:rsidRDefault="00330CF1" w:rsidP="00B8560D">
      <w:pPr>
        <w:rPr>
          <w:rFonts w:ascii="Arial" w:hAnsi="Arial" w:cs="Arial"/>
          <w:bCs/>
        </w:rPr>
      </w:pPr>
      <w:r>
        <w:rPr>
          <w:rFonts w:ascii="Arial" w:hAnsi="Arial" w:cs="Arial"/>
          <w:bCs/>
        </w:rPr>
        <w:t xml:space="preserve">characterizations were not done, so it is uncertain whether a Th1, Th2 or T-regulatory response dominated.  Overall, probiotic supplementation did not change any developmental parameters and did not alter most of the immune parameters measured.  </w:t>
      </w:r>
    </w:p>
    <w:p w:rsidR="00330CF1" w:rsidRDefault="00330CF1" w:rsidP="00B8560D">
      <w:pPr>
        <w:rPr>
          <w:rFonts w:ascii="Arial" w:hAnsi="Arial" w:cs="Arial"/>
          <w:bCs/>
        </w:rPr>
      </w:pPr>
      <w:r>
        <w:rPr>
          <w:rFonts w:ascii="Arial" w:hAnsi="Arial" w:cs="Arial"/>
          <w:bCs/>
        </w:rPr>
        <w:t xml:space="preserve">     The most recent study looking at </w:t>
      </w:r>
      <w:r w:rsidRPr="008525ED">
        <w:rPr>
          <w:rFonts w:ascii="Arial" w:hAnsi="Arial" w:cs="Arial"/>
          <w:bCs/>
          <w:i/>
        </w:rPr>
        <w:t>Enterococcus faecium</w:t>
      </w:r>
      <w:r>
        <w:rPr>
          <w:rFonts w:ascii="Arial" w:hAnsi="Arial" w:cs="Arial"/>
          <w:bCs/>
        </w:rPr>
        <w:t xml:space="preserve"> SF68 in cats was done with adult cats known to be chronic carriers of feline herpesvirus.</w:t>
      </w:r>
      <w:r>
        <w:rPr>
          <w:rFonts w:ascii="Arial" w:hAnsi="Arial" w:cs="Arial"/>
          <w:bCs/>
          <w:noProof/>
        </w:rPr>
        <w:t>[288]</w:t>
      </w:r>
      <w:r>
        <w:rPr>
          <w:rFonts w:ascii="Arial" w:hAnsi="Arial" w:cs="Arial"/>
          <w:bCs/>
        </w:rPr>
        <w:t xml:space="preserve">  In this study, there were 2 groups of 6 cats each with known chronic FHV infections, one group served as the control while the other was supplemented with </w:t>
      </w:r>
      <w:r>
        <w:rPr>
          <w:rFonts w:ascii="Arial" w:hAnsi="Arial" w:cs="Arial"/>
          <w:bCs/>
          <w:i/>
        </w:rPr>
        <w:t xml:space="preserve">Enterococcus faecium </w:t>
      </w:r>
      <w:r>
        <w:rPr>
          <w:rFonts w:ascii="Arial" w:hAnsi="Arial" w:cs="Arial"/>
          <w:bCs/>
        </w:rPr>
        <w:t>SF68.  The cats were group housed for 28 days, individually housed for 28 days and then group housed for an additional 84 days.  On day 56 of the last group housing period, ovariohysterectomy or neutering was performed.  Fecal scoring and clinical signs were monitored daily, and weight weekly.  Serum feline herpes virus (FHV) IgG antibody levels were monitored every 2 weeks and lymphocyte response to concanavalin A or FHV antigens were monitored monthly.  Feces were collected before supplementation and then throughout the study for PCR analysis of qualitative differences in bacterial populations.  All of the cats maintained body weight and had good fecal quality.  Cats in the control group had significantly decreased fecal microbiota diversity.  There were no statistical differences in clinical signs, FHV IgG antibodies, or lymphocytes responses to concanavalin A or FHV antigens between the groups.</w:t>
      </w:r>
      <w:r>
        <w:rPr>
          <w:rFonts w:ascii="Arial" w:hAnsi="Arial" w:cs="Arial"/>
          <w:bCs/>
          <w:noProof/>
        </w:rPr>
        <w:t>[288]</w:t>
      </w:r>
      <w:r>
        <w:rPr>
          <w:rFonts w:ascii="Arial" w:hAnsi="Arial" w:cs="Arial"/>
          <w:bCs/>
        </w:rPr>
        <w:t xml:space="preserve">  There was a trend toward significance in clinical signs between the groups after sterilization, with the supplemented cats having fewer days with signs of conjunctivitis (16.8%) compared to the control cats (30.9%).  Small numbers within all these studies limit drawing firm conclusions regarding a beneficial effect of probiotics to gastrointestinal function and immune status.</w:t>
      </w:r>
    </w:p>
    <w:p w:rsidR="00330CF1" w:rsidRDefault="00330CF1" w:rsidP="00B8560D">
      <w:pPr>
        <w:rPr>
          <w:rFonts w:ascii="Arial" w:hAnsi="Arial" w:cs="Arial"/>
          <w:bCs/>
        </w:rPr>
      </w:pPr>
    </w:p>
    <w:p w:rsidR="00330CF1" w:rsidRDefault="00330CF1" w:rsidP="00B8560D">
      <w:pPr>
        <w:rPr>
          <w:rFonts w:ascii="Arial" w:hAnsi="Arial" w:cs="Arial"/>
          <w:bCs/>
        </w:rPr>
      </w:pPr>
    </w:p>
    <w:p w:rsidR="00330CF1" w:rsidRPr="000E28C8" w:rsidRDefault="00330CF1" w:rsidP="000578A6">
      <w:pPr>
        <w:pStyle w:val="Heading2"/>
      </w:pPr>
      <w:bookmarkStart w:id="23" w:name="_Toc305485850"/>
      <w:r w:rsidRPr="000E28C8">
        <w:t>Hygiene Hypothesis</w:t>
      </w:r>
      <w:bookmarkEnd w:id="23"/>
    </w:p>
    <w:p w:rsidR="00330CF1" w:rsidRDefault="00330CF1" w:rsidP="0016455D">
      <w:pPr>
        <w:rPr>
          <w:rFonts w:ascii="Arial" w:hAnsi="Arial" w:cs="Arial"/>
          <w:b/>
          <w:bCs/>
        </w:rPr>
      </w:pPr>
    </w:p>
    <w:p w:rsidR="00330CF1" w:rsidRDefault="00330CF1" w:rsidP="00C97036">
      <w:pPr>
        <w:rPr>
          <w:rFonts w:ascii="Arial" w:hAnsi="Arial" w:cs="Arial"/>
          <w:bCs/>
        </w:rPr>
      </w:pPr>
      <w:r>
        <w:rPr>
          <w:rFonts w:ascii="Arial" w:hAnsi="Arial" w:cs="Arial"/>
          <w:b/>
          <w:bCs/>
        </w:rPr>
        <w:t xml:space="preserve">     </w:t>
      </w:r>
      <w:r>
        <w:rPr>
          <w:rFonts w:ascii="Arial" w:hAnsi="Arial" w:cs="Arial"/>
          <w:bCs/>
        </w:rPr>
        <w:t>The hygiene hypothesis proposes that the increased incidence of diseases caused by immune dysregulation within the past 50-100 years is attributable to decreased early life exposure to commensal microbes that have been intimately associated with mammals throughout evolutionary history.</w:t>
      </w:r>
      <w:r>
        <w:rPr>
          <w:rFonts w:ascii="Arial" w:hAnsi="Arial" w:cs="Arial"/>
          <w:bCs/>
          <w:noProof/>
        </w:rPr>
        <w:t>[290]</w:t>
      </w:r>
      <w:r>
        <w:rPr>
          <w:rFonts w:ascii="Arial" w:hAnsi="Arial" w:cs="Arial"/>
          <w:bCs/>
        </w:rPr>
        <w:t xml:space="preserve"> </w:t>
      </w:r>
      <w:r>
        <w:rPr>
          <w:rFonts w:ascii="Arial" w:hAnsi="Arial" w:cs="Arial"/>
          <w:bCs/>
          <w:color w:val="FF0000"/>
        </w:rPr>
        <w:t xml:space="preserve"> </w:t>
      </w:r>
      <w:r w:rsidRPr="00585431">
        <w:rPr>
          <w:rFonts w:ascii="Arial" w:hAnsi="Arial" w:cs="Arial"/>
          <w:bCs/>
        </w:rPr>
        <w:t>The</w:t>
      </w:r>
      <w:r>
        <w:rPr>
          <w:rFonts w:ascii="Arial" w:hAnsi="Arial" w:cs="Arial"/>
          <w:bCs/>
        </w:rPr>
        <w:t xml:space="preserve"> hygiene hypothesis was first proposed in the 1960’s when Leibowitz found that the risk of multiple sclerosis was increased in people who spent their childhood with a high level of sanitation.</w:t>
      </w:r>
      <w:r>
        <w:rPr>
          <w:rFonts w:ascii="Arial" w:hAnsi="Arial" w:cs="Arial"/>
          <w:bCs/>
          <w:noProof/>
        </w:rPr>
        <w:t>[291]</w:t>
      </w:r>
      <w:r>
        <w:rPr>
          <w:rFonts w:ascii="Arial" w:hAnsi="Arial" w:cs="Arial"/>
          <w:bCs/>
        </w:rPr>
        <w:t xml:space="preserve">  The 1960’s and 70’s were noted for a rapid rise in atopic diseases in the developed world.</w:t>
      </w:r>
      <w:r>
        <w:rPr>
          <w:rFonts w:ascii="Arial" w:hAnsi="Arial" w:cs="Arial"/>
          <w:bCs/>
          <w:noProof/>
        </w:rPr>
        <w:t>[292]</w:t>
      </w:r>
      <w:r>
        <w:rPr>
          <w:rFonts w:ascii="Arial" w:hAnsi="Arial" w:cs="Arial"/>
          <w:bCs/>
        </w:rPr>
        <w:t xml:space="preserve">  In 1978, Strachan found that the risk of atopic disease was inversely linked to birth order and the size of the family.  He proposed that infections within households in early childhood reduced the risk of allergic disease later in life.</w:t>
      </w:r>
      <w:r>
        <w:rPr>
          <w:rFonts w:ascii="Arial" w:hAnsi="Arial" w:cs="Arial"/>
          <w:bCs/>
          <w:noProof/>
        </w:rPr>
        <w:t>[293]</w:t>
      </w:r>
      <w:r>
        <w:rPr>
          <w:rFonts w:ascii="Arial" w:hAnsi="Arial" w:cs="Arial"/>
          <w:bCs/>
        </w:rPr>
        <w:t xml:space="preserve">  Since then, numerous epidemiologic and experimental studies have sought to clarify and extend the “hygiene hypothesis” to other allergic diseases and autoimmune disorders.</w:t>
      </w:r>
    </w:p>
    <w:p w:rsidR="00330CF1" w:rsidRDefault="00330CF1" w:rsidP="00C97036">
      <w:pPr>
        <w:rPr>
          <w:rFonts w:ascii="Arial" w:hAnsi="Arial" w:cs="Arial"/>
          <w:bCs/>
        </w:rPr>
      </w:pPr>
      <w:r>
        <w:rPr>
          <w:rFonts w:ascii="Arial" w:hAnsi="Arial" w:cs="Arial"/>
          <w:bCs/>
        </w:rPr>
        <w:t xml:space="preserve">     The increased incidence of allergic (asthma, rhinitis, atopic dermatitis) and autoimmune diseases (multiple sclerosis, type-1 diabetes, Crohn’s disease) over the past 50 years has been paired with a decrease in many infectious diseases in </w:t>
      </w:r>
      <w:r>
        <w:rPr>
          <w:rFonts w:ascii="Arial" w:hAnsi="Arial" w:cs="Arial"/>
          <w:bCs/>
        </w:rPr>
        <w:lastRenderedPageBreak/>
        <w:t>developed countries.</w:t>
      </w:r>
      <w:r>
        <w:rPr>
          <w:rFonts w:ascii="Arial" w:hAnsi="Arial" w:cs="Arial"/>
          <w:bCs/>
          <w:noProof/>
        </w:rPr>
        <w:t>[292]</w:t>
      </w:r>
      <w:r>
        <w:rPr>
          <w:rFonts w:ascii="Arial" w:hAnsi="Arial" w:cs="Arial"/>
          <w:bCs/>
        </w:rPr>
        <w:t xml:space="preserve">  Decreases in infectious diseases have been attributed to use of vaccination, antibiotics, improved hygiene and improved socioeconomic conditions.  The inverse relationship between the incidence of infectious diseases and immune disorders is believed to be due to multiple factors including genetic, environmental, interactions between genes and environment, socioeconomic status and early childhood infection.</w:t>
      </w:r>
      <w:r>
        <w:rPr>
          <w:rFonts w:ascii="Arial" w:hAnsi="Arial" w:cs="Arial"/>
          <w:bCs/>
          <w:noProof/>
        </w:rPr>
        <w:t>[292]</w:t>
      </w:r>
      <w:r>
        <w:rPr>
          <w:rFonts w:ascii="Arial" w:hAnsi="Arial" w:cs="Arial"/>
          <w:bCs/>
        </w:rPr>
        <w:t xml:space="preserve">  Allergic disorders arise from excess expression of Th2 </w:t>
      </w:r>
      <w:r w:rsidRPr="00076300">
        <w:rPr>
          <w:rFonts w:ascii="Arial" w:hAnsi="Arial" w:cs="Arial"/>
          <w:bCs/>
        </w:rPr>
        <w:t>cells</w:t>
      </w:r>
      <w:r>
        <w:rPr>
          <w:rFonts w:ascii="Arial" w:hAnsi="Arial" w:cs="Arial"/>
          <w:bCs/>
        </w:rPr>
        <w:t>.  A higher standard of hygiene has resulted in decreased exposure to microorganisms and their products.  These same microorganisms drive T-helper 1 cell responses; therefore, reduced exposure to Th1-stimulating antigens would create a niche for Th2 cells to proliferate since each T-helper arm is inhibitory on the other.</w:t>
      </w:r>
      <w:r>
        <w:rPr>
          <w:rFonts w:ascii="Arial" w:hAnsi="Arial" w:cs="Arial"/>
          <w:bCs/>
          <w:noProof/>
        </w:rPr>
        <w:t>[294-296]</w:t>
      </w:r>
      <w:r>
        <w:rPr>
          <w:rFonts w:ascii="Arial" w:hAnsi="Arial" w:cs="Arial"/>
          <w:bCs/>
        </w:rPr>
        <w:t xml:space="preserve">  The Th1/Th2 imbalance though can not explain a similar dramatic rise in Th1- mediated autoimmune diseases and the fact that helminth infections, which causes a strong Th2 response, are also associated with a significant decrease in atopic disease.</w:t>
      </w:r>
      <w:r>
        <w:rPr>
          <w:rFonts w:ascii="Arial" w:hAnsi="Arial" w:cs="Arial"/>
          <w:bCs/>
          <w:noProof/>
        </w:rPr>
        <w:t>[290]</w:t>
      </w:r>
      <w:r>
        <w:rPr>
          <w:rFonts w:ascii="Arial" w:hAnsi="Arial" w:cs="Arial"/>
          <w:bCs/>
        </w:rPr>
        <w:t xml:space="preserve">  A unifying hypothesis put forth to explain the simultaneous increase in autoimmunity and atopy is defective maturation of regulatory T cells and regulatory antigen presenting cells.</w:t>
      </w:r>
      <w:r>
        <w:rPr>
          <w:rFonts w:ascii="Arial" w:hAnsi="Arial" w:cs="Arial"/>
          <w:bCs/>
          <w:noProof/>
        </w:rPr>
        <w:t>[297]</w:t>
      </w:r>
      <w:r>
        <w:rPr>
          <w:rFonts w:ascii="Arial" w:hAnsi="Arial" w:cs="Arial"/>
          <w:bCs/>
        </w:rPr>
        <w:t xml:space="preserve">  Therefore, rather than a Th1/Th2 imbalance, the crucial factor is disruption in the T-regulatory cell balance.  In the absence of optimal immunoregulation, the individual can develop Th1 or Th2 mediated inflammatory disorders depending on genetic background, and environmental factors such as timing, dose and frequency of exposure to microorganisms or their products.  </w:t>
      </w:r>
    </w:p>
    <w:p w:rsidR="00330CF1" w:rsidRDefault="00330CF1" w:rsidP="00C97036">
      <w:pPr>
        <w:rPr>
          <w:rFonts w:ascii="Arial" w:hAnsi="Arial" w:cs="Arial"/>
          <w:bCs/>
        </w:rPr>
      </w:pPr>
      <w:r>
        <w:rPr>
          <w:rFonts w:ascii="Arial" w:hAnsi="Arial" w:cs="Arial"/>
          <w:bCs/>
        </w:rPr>
        <w:t xml:space="preserve">     The initial observation by Strachan </w:t>
      </w:r>
      <w:r>
        <w:rPr>
          <w:rFonts w:ascii="Arial" w:hAnsi="Arial" w:cs="Arial"/>
          <w:bCs/>
          <w:noProof/>
        </w:rPr>
        <w:t>[293]</w:t>
      </w:r>
      <w:r>
        <w:rPr>
          <w:rFonts w:ascii="Arial" w:hAnsi="Arial" w:cs="Arial"/>
          <w:bCs/>
        </w:rPr>
        <w:t xml:space="preserve"> that there was an inverse correlation between number of older siblings (a marker for increased childhood disease exposure) and prevalence of allergic disease in the developed world has been confirmed by later studies.</w:t>
      </w:r>
      <w:r>
        <w:rPr>
          <w:rFonts w:ascii="Arial" w:hAnsi="Arial" w:cs="Arial"/>
          <w:bCs/>
          <w:noProof/>
        </w:rPr>
        <w:t>[298, 299]</w:t>
      </w:r>
      <w:r>
        <w:rPr>
          <w:rFonts w:ascii="Arial" w:hAnsi="Arial" w:cs="Arial"/>
          <w:bCs/>
        </w:rPr>
        <w:t xml:space="preserve">  Similar effects have been seen for early day-care attendance </w:t>
      </w:r>
      <w:r>
        <w:rPr>
          <w:rFonts w:ascii="Arial" w:hAnsi="Arial" w:cs="Arial"/>
          <w:bCs/>
          <w:noProof/>
        </w:rPr>
        <w:t>[300]</w:t>
      </w:r>
      <w:r>
        <w:rPr>
          <w:rFonts w:ascii="Arial" w:hAnsi="Arial" w:cs="Arial"/>
          <w:bCs/>
        </w:rPr>
        <w:t>, and childhood residence on a farm with associated exposure to livestock, barns and unpasteurized milk.</w:t>
      </w:r>
      <w:r>
        <w:rPr>
          <w:rFonts w:ascii="Arial" w:hAnsi="Arial" w:cs="Arial"/>
          <w:bCs/>
          <w:noProof/>
        </w:rPr>
        <w:t>[301, 302]</w:t>
      </w:r>
      <w:r>
        <w:rPr>
          <w:rFonts w:ascii="Arial" w:hAnsi="Arial" w:cs="Arial"/>
          <w:bCs/>
        </w:rPr>
        <w:t xml:space="preserve">  A cross-sectional study found a significantly inverse relationship between the presence of antibodies to hepatitis A and various measures of atopy.</w:t>
      </w:r>
      <w:r>
        <w:rPr>
          <w:rFonts w:ascii="Arial" w:hAnsi="Arial" w:cs="Arial"/>
          <w:bCs/>
          <w:noProof/>
        </w:rPr>
        <w:t>[299]</w:t>
      </w:r>
      <w:r>
        <w:rPr>
          <w:rFonts w:ascii="Arial" w:hAnsi="Arial" w:cs="Arial"/>
          <w:bCs/>
        </w:rPr>
        <w:t xml:space="preserve">  Hepatitis A exposure in this study was used as a hygiene marker as it provided evidence of risk of exposure to fecal-oral pathogens.   </w:t>
      </w:r>
    </w:p>
    <w:p w:rsidR="00330CF1" w:rsidRDefault="00330CF1" w:rsidP="00C97036">
      <w:pPr>
        <w:rPr>
          <w:rFonts w:ascii="Arial" w:hAnsi="Arial" w:cs="Arial"/>
          <w:bCs/>
        </w:rPr>
      </w:pPr>
      <w:r>
        <w:rPr>
          <w:rFonts w:ascii="Arial" w:hAnsi="Arial" w:cs="Arial"/>
          <w:bCs/>
        </w:rPr>
        <w:t xml:space="preserve">     Generation of a systemic immune response (with the potential for tissue damage and inflammation or tolerance) depends on antigen-presenting cells (APC) acquiring signals from the microenvironment and conveying these to naïve T-cells.  As previously stated, naïve CD4</w:t>
      </w:r>
      <w:r>
        <w:rPr>
          <w:rFonts w:ascii="Arial" w:hAnsi="Arial" w:cs="Arial"/>
          <w:bCs/>
          <w:vertAlign w:val="superscript"/>
        </w:rPr>
        <w:t>+</w:t>
      </w:r>
      <w:r>
        <w:rPr>
          <w:rFonts w:ascii="Arial" w:hAnsi="Arial" w:cs="Arial"/>
          <w:bCs/>
        </w:rPr>
        <w:t xml:space="preserve"> T cells are activated primarily by dendritic cells to differentiate into </w:t>
      </w:r>
      <w:r w:rsidRPr="00F83D41">
        <w:rPr>
          <w:rFonts w:ascii="Arial" w:hAnsi="Arial" w:cs="Arial"/>
          <w:bCs/>
        </w:rPr>
        <w:t>T</w:t>
      </w:r>
      <w:r>
        <w:rPr>
          <w:rFonts w:ascii="Arial" w:hAnsi="Arial" w:cs="Arial"/>
          <w:bCs/>
        </w:rPr>
        <w:t>h</w:t>
      </w:r>
      <w:r w:rsidRPr="00F83D41">
        <w:rPr>
          <w:rFonts w:ascii="Arial" w:hAnsi="Arial" w:cs="Arial"/>
          <w:bCs/>
        </w:rPr>
        <w:t>1</w:t>
      </w:r>
      <w:r>
        <w:rPr>
          <w:rFonts w:ascii="Arial" w:hAnsi="Arial" w:cs="Arial"/>
          <w:bCs/>
        </w:rPr>
        <w:t xml:space="preserve"> or </w:t>
      </w:r>
      <w:r w:rsidRPr="00F83D41">
        <w:rPr>
          <w:rFonts w:ascii="Arial" w:hAnsi="Arial" w:cs="Arial"/>
          <w:bCs/>
        </w:rPr>
        <w:t>T</w:t>
      </w:r>
      <w:r>
        <w:rPr>
          <w:rFonts w:ascii="Arial" w:hAnsi="Arial" w:cs="Arial"/>
          <w:bCs/>
        </w:rPr>
        <w:t>h</w:t>
      </w:r>
      <w:r w:rsidRPr="00F83D41">
        <w:rPr>
          <w:rFonts w:ascii="Arial" w:hAnsi="Arial" w:cs="Arial"/>
          <w:bCs/>
        </w:rPr>
        <w:t>2</w:t>
      </w:r>
      <w:r>
        <w:rPr>
          <w:rFonts w:ascii="Arial" w:hAnsi="Arial" w:cs="Arial"/>
          <w:bCs/>
        </w:rPr>
        <w:t xml:space="preserve"> cells with resulting polarized cytokine production.  APC’s can also induce various subsets of regulatory T cells</w:t>
      </w:r>
      <w:r w:rsidRPr="0069104E">
        <w:rPr>
          <w:rFonts w:ascii="Arial" w:hAnsi="Arial" w:cs="Arial"/>
          <w:bCs/>
        </w:rPr>
        <w:t>.</w:t>
      </w:r>
      <w:r>
        <w:rPr>
          <w:rFonts w:ascii="Arial" w:hAnsi="Arial" w:cs="Arial"/>
          <w:bCs/>
          <w:noProof/>
        </w:rPr>
        <w:t>[303, 304]</w:t>
      </w:r>
      <w:r>
        <w:rPr>
          <w:rFonts w:ascii="Arial" w:hAnsi="Arial" w:cs="Arial"/>
          <w:bCs/>
        </w:rPr>
        <w:t xml:space="preserve">  Experimentally, a study in mice demonstrated that neonatal exposure to killed bacteria changed the pattern of the host’s immune responses to an allergen in adulthood.</w:t>
      </w:r>
      <w:r>
        <w:rPr>
          <w:rFonts w:ascii="Arial" w:hAnsi="Arial" w:cs="Arial"/>
          <w:bCs/>
          <w:noProof/>
        </w:rPr>
        <w:t>[305]</w:t>
      </w:r>
      <w:r>
        <w:rPr>
          <w:rFonts w:ascii="Arial" w:hAnsi="Arial" w:cs="Arial"/>
          <w:bCs/>
        </w:rPr>
        <w:t xml:space="preserve">  This early exposure was shown to inhibit allergic responses in adult life and change allergen driven cytokine profiles with reduced IL-4, IL-5, and IL-13 and significantly higher levels </w:t>
      </w:r>
      <w:r w:rsidRPr="00EE2641">
        <w:rPr>
          <w:rFonts w:ascii="Arial" w:hAnsi="Arial" w:cs="Arial"/>
        </w:rPr>
        <w:t>of IL-12 and IL-10.</w:t>
      </w:r>
      <w:r>
        <w:rPr>
          <w:rFonts w:ascii="Arial" w:hAnsi="Arial" w:cs="Arial"/>
          <w:noProof/>
        </w:rPr>
        <w:t>[305]</w:t>
      </w:r>
      <w:r w:rsidRPr="00EE2641">
        <w:rPr>
          <w:rFonts w:ascii="Arial" w:hAnsi="Arial" w:cs="Arial"/>
        </w:rPr>
        <w:t xml:space="preserve">  Similarly, although helminth infection results in a Th2 bias response, studies hav</w:t>
      </w:r>
      <w:r>
        <w:rPr>
          <w:rFonts w:ascii="Arial" w:hAnsi="Arial" w:cs="Arial"/>
        </w:rPr>
        <w:t>e shown that helminth infection</w:t>
      </w:r>
      <w:r w:rsidRPr="00EE2641">
        <w:rPr>
          <w:rFonts w:ascii="Arial" w:hAnsi="Arial" w:cs="Arial"/>
        </w:rPr>
        <w:t xml:space="preserve"> also result in elevated numbers of the regulatory CD24+CD25+Foxp3+ Tcells along with elevated TGF-β and IL-10.</w:t>
      </w:r>
      <w:r>
        <w:rPr>
          <w:rFonts w:ascii="Arial" w:hAnsi="Arial" w:cs="Arial"/>
          <w:bCs/>
          <w:noProof/>
        </w:rPr>
        <w:t>[306]</w:t>
      </w:r>
      <w:r>
        <w:rPr>
          <w:rFonts w:ascii="Arial" w:hAnsi="Arial" w:cs="Arial"/>
          <w:bCs/>
        </w:rPr>
        <w:t xml:space="preserve">  Restoration of T-regulatory cells was also transferable.  If mesenteric lymph node cells from the exposed mice were transferred to the unexposed mice, T-regulatory cells were generated.</w:t>
      </w:r>
      <w:r>
        <w:rPr>
          <w:rFonts w:ascii="Arial" w:hAnsi="Arial" w:cs="Arial"/>
          <w:bCs/>
          <w:noProof/>
        </w:rPr>
        <w:t>[306]</w:t>
      </w:r>
      <w:r>
        <w:rPr>
          <w:rFonts w:ascii="Arial" w:hAnsi="Arial" w:cs="Arial"/>
          <w:bCs/>
        </w:rPr>
        <w:t xml:space="preserve">   </w:t>
      </w:r>
    </w:p>
    <w:p w:rsidR="00330CF1" w:rsidRDefault="00330CF1" w:rsidP="00C97036">
      <w:pPr>
        <w:rPr>
          <w:rFonts w:ascii="Arial" w:hAnsi="Arial" w:cs="Arial"/>
          <w:bCs/>
        </w:rPr>
      </w:pPr>
      <w:r>
        <w:rPr>
          <w:rFonts w:ascii="Arial" w:hAnsi="Arial" w:cs="Arial"/>
          <w:bCs/>
        </w:rPr>
        <w:lastRenderedPageBreak/>
        <w:t xml:space="preserve">     The relationship between infections and autoimmune disease can also be seen in various animal models.  Autoimmune diseases in susceptible strains of mice occur earlier and at a higher prevalence rate among animals in pathogen-free environments.</w:t>
      </w:r>
      <w:r>
        <w:rPr>
          <w:rFonts w:ascii="Arial" w:hAnsi="Arial" w:cs="Arial"/>
          <w:bCs/>
          <w:noProof/>
        </w:rPr>
        <w:t>[292]</w:t>
      </w:r>
      <w:r>
        <w:rPr>
          <w:rFonts w:ascii="Arial" w:hAnsi="Arial" w:cs="Arial"/>
          <w:bCs/>
        </w:rPr>
        <w:t xml:space="preserve">  Diabetes mellitus can be prevented in susceptible mice by infecting the young mice with mycobacteria, murine hepatitis virus, lactate dehydrogenase virus or schistosoma.</w:t>
      </w:r>
      <w:r>
        <w:rPr>
          <w:rFonts w:ascii="Arial" w:hAnsi="Arial" w:cs="Arial"/>
          <w:bCs/>
          <w:noProof/>
        </w:rPr>
        <w:t>[307-310]</w:t>
      </w:r>
      <w:r>
        <w:rPr>
          <w:rFonts w:ascii="Arial" w:hAnsi="Arial" w:cs="Arial"/>
          <w:bCs/>
        </w:rPr>
        <w:t xml:space="preserve"> </w:t>
      </w:r>
    </w:p>
    <w:p w:rsidR="00330CF1" w:rsidRDefault="00330CF1" w:rsidP="00C97036">
      <w:pPr>
        <w:rPr>
          <w:rFonts w:ascii="Arial" w:hAnsi="Arial" w:cs="Arial"/>
          <w:bCs/>
        </w:rPr>
      </w:pPr>
      <w:r>
        <w:rPr>
          <w:rFonts w:ascii="Arial" w:hAnsi="Arial" w:cs="Arial"/>
          <w:bCs/>
        </w:rPr>
        <w:t xml:space="preserve">     Interactions between the host and bacteria are especially important</w:t>
      </w:r>
      <w:r w:rsidRPr="004558D9">
        <w:rPr>
          <w:rFonts w:ascii="Arial" w:hAnsi="Arial" w:cs="Arial"/>
          <w:bCs/>
        </w:rPr>
        <w:t xml:space="preserve"> </w:t>
      </w:r>
      <w:r>
        <w:rPr>
          <w:rFonts w:ascii="Arial" w:hAnsi="Arial" w:cs="Arial"/>
          <w:bCs/>
        </w:rPr>
        <w:t>in the gastrointestinal tract.  Studies have indicated that priming for aeroallergens may occur in the gut.</w:t>
      </w:r>
      <w:r>
        <w:rPr>
          <w:rFonts w:ascii="Arial" w:hAnsi="Arial" w:cs="Arial"/>
          <w:bCs/>
          <w:noProof/>
        </w:rPr>
        <w:t>[311, 312]</w:t>
      </w:r>
      <w:r>
        <w:rPr>
          <w:rFonts w:ascii="Arial" w:hAnsi="Arial" w:cs="Arial"/>
          <w:bCs/>
        </w:rPr>
        <w:t xml:space="preserve">  Particles and microbes introduced into the nasal cavity are largely found in the gut shortly thereafter.</w:t>
      </w:r>
      <w:r>
        <w:rPr>
          <w:rFonts w:ascii="Arial" w:hAnsi="Arial" w:cs="Arial"/>
          <w:bCs/>
          <w:noProof/>
        </w:rPr>
        <w:t>[313, 314]</w:t>
      </w:r>
      <w:r>
        <w:rPr>
          <w:rFonts w:ascii="Arial" w:hAnsi="Arial" w:cs="Arial"/>
          <w:bCs/>
        </w:rPr>
        <w:t xml:space="preserve">  Antibiotic use during the first 2 years of life was associated with a significant increase in risk of developing allergic disease,</w:t>
      </w:r>
      <w:r>
        <w:rPr>
          <w:rFonts w:ascii="Arial" w:hAnsi="Arial" w:cs="Arial"/>
          <w:bCs/>
          <w:noProof/>
        </w:rPr>
        <w:t>[315, 316]</w:t>
      </w:r>
      <w:r>
        <w:rPr>
          <w:rFonts w:ascii="Arial" w:hAnsi="Arial" w:cs="Arial"/>
          <w:bCs/>
        </w:rPr>
        <w:t xml:space="preserve"> reiterating that alterations in the gut microbiota can play an important role in regulating immune responses in other common mucosal areas of the organism. </w:t>
      </w:r>
    </w:p>
    <w:p w:rsidR="00330CF1" w:rsidRDefault="00330CF1" w:rsidP="00C97036">
      <w:pPr>
        <w:rPr>
          <w:rFonts w:ascii="Arial" w:hAnsi="Arial" w:cs="Arial"/>
          <w:bCs/>
        </w:rPr>
      </w:pPr>
      <w:r>
        <w:rPr>
          <w:rFonts w:ascii="Arial" w:hAnsi="Arial" w:cs="Arial"/>
          <w:bCs/>
        </w:rPr>
        <w:t xml:space="preserve">     The composition of the GI microbiota is different in atopic vs. non-atopic individuals, and in individuals with IBD compared to healthy controls.</w:t>
      </w:r>
      <w:r>
        <w:rPr>
          <w:rFonts w:ascii="Arial" w:hAnsi="Arial" w:cs="Arial"/>
          <w:bCs/>
          <w:noProof/>
        </w:rPr>
        <w:t>[317-319]</w:t>
      </w:r>
      <w:r>
        <w:rPr>
          <w:rFonts w:ascii="Arial" w:hAnsi="Arial" w:cs="Arial"/>
          <w:bCs/>
        </w:rPr>
        <w:t xml:space="preserve">  Generally, allergic children have higher numbers of aerobic microorganisms, particularly coliforms and </w:t>
      </w:r>
      <w:r>
        <w:rPr>
          <w:rFonts w:ascii="Arial" w:hAnsi="Arial" w:cs="Arial"/>
          <w:bCs/>
          <w:i/>
        </w:rPr>
        <w:t xml:space="preserve">Staphylococcus </w:t>
      </w:r>
      <w:r w:rsidRPr="003E0CD2">
        <w:rPr>
          <w:rFonts w:ascii="Arial" w:hAnsi="Arial" w:cs="Arial"/>
          <w:bCs/>
          <w:i/>
        </w:rPr>
        <w:t>aureus</w:t>
      </w:r>
      <w:r w:rsidRPr="00E871F7">
        <w:rPr>
          <w:rFonts w:ascii="Arial" w:hAnsi="Arial" w:cs="Arial"/>
          <w:bCs/>
        </w:rPr>
        <w:t>.</w:t>
      </w:r>
      <w:r>
        <w:rPr>
          <w:rFonts w:ascii="Arial" w:hAnsi="Arial" w:cs="Arial"/>
          <w:bCs/>
          <w:noProof/>
        </w:rPr>
        <w:t>[317]</w:t>
      </w:r>
      <w:r>
        <w:rPr>
          <w:rFonts w:ascii="Arial" w:hAnsi="Arial" w:cs="Arial"/>
          <w:bCs/>
        </w:rPr>
        <w:t xml:space="preserve">  Fluorescent </w:t>
      </w:r>
      <w:r w:rsidRPr="00F83D41">
        <w:rPr>
          <w:rFonts w:ascii="Arial" w:hAnsi="Arial" w:cs="Arial"/>
          <w:bCs/>
        </w:rPr>
        <w:t>in situ</w:t>
      </w:r>
      <w:r>
        <w:rPr>
          <w:rFonts w:ascii="Arial" w:hAnsi="Arial" w:cs="Arial"/>
          <w:bCs/>
        </w:rPr>
        <w:t xml:space="preserve"> hybridization has demonstrated more clostridia and fewer Bifidobacteria in children with atopic dermatitis compared to healthy children.</w:t>
      </w:r>
      <w:r>
        <w:rPr>
          <w:rFonts w:ascii="Arial" w:hAnsi="Arial" w:cs="Arial"/>
          <w:bCs/>
          <w:noProof/>
        </w:rPr>
        <w:t>[318]</w:t>
      </w:r>
      <w:r>
        <w:rPr>
          <w:rFonts w:ascii="Arial" w:hAnsi="Arial" w:cs="Arial"/>
          <w:bCs/>
        </w:rPr>
        <w:t xml:space="preserve">  A substantial proportion of the dominant microbiota in patients with active Crohn’s disease belonged to uncommon phylogenetic groups with reduced stability over time.</w:t>
      </w:r>
      <w:r>
        <w:rPr>
          <w:rFonts w:ascii="Arial" w:hAnsi="Arial" w:cs="Arial"/>
          <w:bCs/>
          <w:noProof/>
        </w:rPr>
        <w:t>[320]</w:t>
      </w:r>
      <w:r>
        <w:rPr>
          <w:rFonts w:ascii="Arial" w:hAnsi="Arial" w:cs="Arial"/>
          <w:bCs/>
        </w:rPr>
        <w:t xml:space="preserve">  The successful use of probiotics in both Th1 and Th2 mediated diseases further support the significant role of gut microbiota in disease modulation.  Ironically, a change or reduction of gut microbiota composition and diversity may have created environmental conditions which favor the development of chronic inflammatory diseases in genetically susceptible individuals.</w:t>
      </w:r>
      <w:r>
        <w:rPr>
          <w:rFonts w:ascii="Arial" w:hAnsi="Arial" w:cs="Arial"/>
          <w:bCs/>
          <w:noProof/>
        </w:rPr>
        <w:t>[321]</w:t>
      </w:r>
      <w:r>
        <w:rPr>
          <w:rFonts w:ascii="Arial" w:hAnsi="Arial" w:cs="Arial"/>
          <w:bCs/>
        </w:rPr>
        <w:t xml:space="preserve">  </w:t>
      </w:r>
    </w:p>
    <w:p w:rsidR="00330CF1" w:rsidRDefault="00330CF1" w:rsidP="001146E7">
      <w:pPr>
        <w:rPr>
          <w:rFonts w:ascii="Arial" w:hAnsi="Arial" w:cs="Arial"/>
          <w:bCs/>
          <w:sz w:val="20"/>
          <w:szCs w:val="20"/>
        </w:rPr>
      </w:pPr>
      <w:r>
        <w:rPr>
          <w:rFonts w:ascii="Arial" w:hAnsi="Arial" w:cs="Arial"/>
          <w:bCs/>
        </w:rPr>
        <w:t xml:space="preserve">     Studies examining microflora in cats fed commercial heat-processed canned foods suggest that canned foods alter the gut microflora compared to cats eating commercial dry foods.</w:t>
      </w:r>
      <w:r>
        <w:rPr>
          <w:rFonts w:ascii="Arial" w:hAnsi="Arial" w:cs="Arial"/>
          <w:bCs/>
          <w:noProof/>
        </w:rPr>
        <w:t>[124]</w:t>
      </w:r>
      <w:r>
        <w:rPr>
          <w:rFonts w:ascii="Arial" w:hAnsi="Arial" w:cs="Arial"/>
          <w:bCs/>
        </w:rPr>
        <w:t xml:space="preserve">  Many feline enthusiasts and veterinarians have suggested that all commercial processing methods and the nutritional profiles of commercial diets alter the feline gut microbiome compared to ancestral diets.  These changes in microbiome may be related to the development or exacerbation of chronic diseases in the cat such as alteration in immune function, allergies, and inflammatory bowel disease.  Future studies to define changes in the microbiome between cats fed commercial cat foods and feral cats fed a wild-type diet may help uncover the role of dietary influence on the long term health and longevity in domestic cats. </w:t>
      </w:r>
    </w:p>
    <w:p w:rsidR="00330CF1" w:rsidRDefault="00330CF1" w:rsidP="001146E7">
      <w:pPr>
        <w:rPr>
          <w:rFonts w:ascii="Arial" w:hAnsi="Arial" w:cs="Arial"/>
        </w:rPr>
      </w:pPr>
    </w:p>
    <w:p w:rsidR="00330CF1" w:rsidRPr="00DB12A0" w:rsidRDefault="00330CF1" w:rsidP="00C97036">
      <w:pPr>
        <w:rPr>
          <w:rFonts w:ascii="Arial" w:hAnsi="Arial" w:cs="Arial"/>
          <w:bCs/>
          <w:sz w:val="20"/>
          <w:szCs w:val="20"/>
        </w:rPr>
      </w:pPr>
    </w:p>
    <w:p w:rsidR="00330CF1" w:rsidRDefault="00330CF1" w:rsidP="00B8560D">
      <w:pPr>
        <w:rPr>
          <w:rFonts w:ascii="Arial" w:hAnsi="Arial" w:cs="Arial"/>
          <w:bCs/>
        </w:rPr>
      </w:pPr>
    </w:p>
    <w:p w:rsidR="00330CF1" w:rsidRDefault="00330CF1" w:rsidP="00B8560D">
      <w:pPr>
        <w:rPr>
          <w:rFonts w:ascii="Arial" w:hAnsi="Arial" w:cs="Arial"/>
          <w:bCs/>
        </w:rPr>
      </w:pPr>
      <w:r>
        <w:rPr>
          <w:rFonts w:ascii="Arial" w:hAnsi="Arial" w:cs="Arial"/>
          <w:bCs/>
        </w:rPr>
        <w:t xml:space="preserve">     </w:t>
      </w:r>
    </w:p>
    <w:p w:rsidR="00330CF1" w:rsidRPr="004F2A9C" w:rsidRDefault="00330CF1" w:rsidP="004F2A9C">
      <w:pPr>
        <w:rPr>
          <w:rFonts w:ascii="Arial" w:hAnsi="Arial" w:cs="Arial"/>
          <w:bCs/>
        </w:rPr>
      </w:pPr>
    </w:p>
    <w:p w:rsidR="00330CF1" w:rsidRDefault="00330CF1">
      <w:pPr>
        <w:numPr>
          <w:ilvl w:val="12"/>
          <w:numId w:val="0"/>
        </w:numPr>
        <w:rPr>
          <w:rFonts w:ascii="Arial" w:hAnsi="Arial" w:cs="Arial"/>
          <w:b/>
          <w:bCs/>
        </w:rPr>
      </w:pPr>
    </w:p>
    <w:p w:rsidR="00330CF1" w:rsidRDefault="00330CF1">
      <w:pPr>
        <w:numPr>
          <w:ilvl w:val="12"/>
          <w:numId w:val="0"/>
        </w:numPr>
        <w:rPr>
          <w:rFonts w:ascii="Arial" w:hAnsi="Arial" w:cs="Arial"/>
          <w:b/>
          <w:bCs/>
        </w:rPr>
      </w:pPr>
    </w:p>
    <w:p w:rsidR="00330CF1" w:rsidRDefault="00330CF1">
      <w:pPr>
        <w:numPr>
          <w:ilvl w:val="12"/>
          <w:numId w:val="0"/>
        </w:numPr>
        <w:rPr>
          <w:rFonts w:ascii="Arial" w:hAnsi="Arial" w:cs="Arial"/>
          <w:b/>
          <w:bCs/>
        </w:rPr>
      </w:pPr>
    </w:p>
    <w:p w:rsidR="00330CF1" w:rsidRDefault="00330CF1">
      <w:pPr>
        <w:numPr>
          <w:ilvl w:val="12"/>
          <w:numId w:val="0"/>
        </w:numPr>
        <w:rPr>
          <w:rFonts w:ascii="Arial" w:hAnsi="Arial" w:cs="Arial"/>
          <w:b/>
          <w:bCs/>
        </w:rPr>
      </w:pPr>
    </w:p>
    <w:p w:rsidR="00330CF1" w:rsidRDefault="00330CF1">
      <w:pPr>
        <w:numPr>
          <w:ilvl w:val="12"/>
          <w:numId w:val="0"/>
        </w:numPr>
        <w:rPr>
          <w:rFonts w:ascii="Arial" w:hAnsi="Arial" w:cs="Arial"/>
          <w:b/>
          <w:bCs/>
        </w:rPr>
      </w:pPr>
    </w:p>
    <w:p w:rsidR="00330CF1" w:rsidRDefault="00330CF1">
      <w:pPr>
        <w:numPr>
          <w:ilvl w:val="12"/>
          <w:numId w:val="0"/>
        </w:numPr>
        <w:rPr>
          <w:rFonts w:ascii="Arial" w:hAnsi="Arial" w:cs="Arial"/>
          <w:b/>
          <w:bCs/>
        </w:rPr>
      </w:pPr>
    </w:p>
    <w:p w:rsidR="00330CF1" w:rsidRDefault="00330CF1">
      <w:pPr>
        <w:numPr>
          <w:ilvl w:val="12"/>
          <w:numId w:val="0"/>
        </w:numPr>
        <w:rPr>
          <w:rFonts w:ascii="Arial" w:hAnsi="Arial" w:cs="Arial"/>
          <w:b/>
          <w:bCs/>
        </w:rPr>
      </w:pPr>
    </w:p>
    <w:p w:rsidR="00330CF1" w:rsidRDefault="00330CF1">
      <w:pPr>
        <w:numPr>
          <w:ilvl w:val="12"/>
          <w:numId w:val="0"/>
        </w:numPr>
        <w:rPr>
          <w:rFonts w:ascii="Arial" w:hAnsi="Arial" w:cs="Arial"/>
          <w:b/>
          <w:bCs/>
        </w:rPr>
      </w:pPr>
    </w:p>
    <w:p w:rsidR="00330CF1" w:rsidRPr="00C67687" w:rsidRDefault="00330CF1" w:rsidP="00C67687">
      <w:pPr>
        <w:pStyle w:val="StyleHeading1Centered"/>
        <w:rPr>
          <w:sz w:val="32"/>
          <w:szCs w:val="32"/>
        </w:rPr>
      </w:pPr>
      <w:bookmarkStart w:id="24" w:name="_Toc305485851"/>
      <w:r w:rsidRPr="00C67687">
        <w:rPr>
          <w:sz w:val="32"/>
          <w:szCs w:val="32"/>
        </w:rPr>
        <w:t>CHAPTER II</w:t>
      </w:r>
      <w:bookmarkEnd w:id="24"/>
    </w:p>
    <w:p w:rsidR="00330CF1" w:rsidRDefault="00330CF1" w:rsidP="00C67687">
      <w:pPr>
        <w:pStyle w:val="StyleHeading1Centered"/>
        <w:rPr>
          <w:sz w:val="32"/>
          <w:szCs w:val="32"/>
        </w:rPr>
      </w:pPr>
      <w:bookmarkStart w:id="25" w:name="_Toc305485852"/>
      <w:r w:rsidRPr="00C67687">
        <w:rPr>
          <w:sz w:val="32"/>
          <w:szCs w:val="32"/>
        </w:rPr>
        <w:t>Evaluat</w:t>
      </w:r>
      <w:r>
        <w:rPr>
          <w:sz w:val="32"/>
          <w:szCs w:val="32"/>
        </w:rPr>
        <w:t>ion of raw vs. Heat Processed Diets on Feline Growth</w:t>
      </w:r>
      <w:bookmarkEnd w:id="25"/>
    </w:p>
    <w:p w:rsidR="00330CF1" w:rsidRDefault="00330CF1" w:rsidP="004E3CA6">
      <w:pPr>
        <w:pStyle w:val="Heading2"/>
      </w:pPr>
      <w:bookmarkStart w:id="26" w:name="_Toc305485853"/>
      <w:r>
        <w:t>Introduction</w:t>
      </w:r>
      <w:bookmarkEnd w:id="26"/>
    </w:p>
    <w:p w:rsidR="00330CF1" w:rsidRDefault="00330CF1" w:rsidP="00931B30">
      <w:pPr>
        <w:rPr>
          <w:rFonts w:ascii="Arial" w:hAnsi="Arial" w:cs="Arial"/>
        </w:rPr>
      </w:pPr>
      <w:r>
        <w:t xml:space="preserve">     </w:t>
      </w:r>
      <w:r w:rsidRPr="003C4077">
        <w:rPr>
          <w:rFonts w:ascii="Arial" w:hAnsi="Arial" w:cs="Arial"/>
        </w:rPr>
        <w:t>Feeding of raw food diets to both cats and dogs has been an area of ongoing controversy and debate between</w:t>
      </w:r>
      <w:r>
        <w:rPr>
          <w:rFonts w:ascii="Arial" w:hAnsi="Arial" w:cs="Arial"/>
        </w:rPr>
        <w:t xml:space="preserve"> veterinarians, breeders,</w:t>
      </w:r>
      <w:r w:rsidRPr="003C4077">
        <w:rPr>
          <w:rFonts w:ascii="Arial" w:hAnsi="Arial" w:cs="Arial"/>
        </w:rPr>
        <w:t xml:space="preserve"> and owners.  Proponents argue that raw meat diets are the ancestral food of dogs and cats and these diets represent the optimal nutritional profile for health and longevi</w:t>
      </w:r>
      <w:r>
        <w:rPr>
          <w:rFonts w:ascii="Arial" w:hAnsi="Arial" w:cs="Arial"/>
        </w:rPr>
        <w:t>ty.  Cats as</w:t>
      </w:r>
      <w:r w:rsidRPr="003C4077">
        <w:rPr>
          <w:rFonts w:ascii="Arial" w:hAnsi="Arial" w:cs="Arial"/>
        </w:rPr>
        <w:t xml:space="preserve"> obligate</w:t>
      </w:r>
      <w:r>
        <w:rPr>
          <w:rFonts w:ascii="Arial" w:hAnsi="Arial" w:cs="Arial"/>
        </w:rPr>
        <w:t xml:space="preserve"> carnivores</w:t>
      </w:r>
      <w:r w:rsidRPr="003C4077">
        <w:rPr>
          <w:rFonts w:ascii="Arial" w:hAnsi="Arial" w:cs="Arial"/>
        </w:rPr>
        <w:t xml:space="preserve"> obtain all their necessary nutrients from animal tissues.  </w:t>
      </w:r>
    </w:p>
    <w:p w:rsidR="00330CF1" w:rsidRPr="003C4077" w:rsidRDefault="00330CF1" w:rsidP="00931B30">
      <w:pPr>
        <w:rPr>
          <w:rFonts w:ascii="Arial" w:hAnsi="Arial" w:cs="Arial"/>
        </w:rPr>
      </w:pPr>
      <w:r w:rsidRPr="003C4077">
        <w:rPr>
          <w:rFonts w:ascii="Arial" w:hAnsi="Arial" w:cs="Arial"/>
        </w:rPr>
        <w:t xml:space="preserve">    </w:t>
      </w:r>
      <w:r>
        <w:rPr>
          <w:rFonts w:ascii="Arial" w:hAnsi="Arial" w:cs="Arial"/>
        </w:rPr>
        <w:t xml:space="preserve"> </w:t>
      </w:r>
      <w:r w:rsidRPr="003C4077">
        <w:rPr>
          <w:rFonts w:ascii="Arial" w:hAnsi="Arial" w:cs="Arial"/>
        </w:rPr>
        <w:t xml:space="preserve">From an historical perspective, feeding of raw meat to </w:t>
      </w:r>
      <w:r>
        <w:rPr>
          <w:rFonts w:ascii="Arial" w:hAnsi="Arial" w:cs="Arial"/>
        </w:rPr>
        <w:t>cats is not a recent phenomenon</w:t>
      </w:r>
      <w:r w:rsidRPr="003C4077">
        <w:rPr>
          <w:rFonts w:ascii="Arial" w:hAnsi="Arial" w:cs="Arial"/>
        </w:rPr>
        <w:t>.  Up until the early 20</w:t>
      </w:r>
      <w:r w:rsidRPr="003C4077">
        <w:rPr>
          <w:rFonts w:ascii="Arial" w:hAnsi="Arial" w:cs="Arial"/>
          <w:vertAlign w:val="superscript"/>
        </w:rPr>
        <w:t>th</w:t>
      </w:r>
      <w:r w:rsidRPr="003C4077">
        <w:rPr>
          <w:rFonts w:ascii="Arial" w:hAnsi="Arial" w:cs="Arial"/>
        </w:rPr>
        <w:t xml:space="preserve"> century, many pet cats were largely self-sufficient and hunted for their food.</w:t>
      </w:r>
      <w:r>
        <w:rPr>
          <w:rFonts w:ascii="Arial" w:hAnsi="Arial" w:cs="Arial"/>
          <w:noProof/>
        </w:rPr>
        <w:t>[1]</w:t>
      </w:r>
      <w:r w:rsidRPr="003C4077">
        <w:rPr>
          <w:rFonts w:ascii="Arial" w:hAnsi="Arial" w:cs="Arial"/>
        </w:rPr>
        <w:t xml:space="preserve">  Selective breeding of cats, primarily for aesthetic appeal, began in the mid-1800’s.</w:t>
      </w:r>
      <w:r>
        <w:rPr>
          <w:rFonts w:ascii="Arial" w:hAnsi="Arial" w:cs="Arial"/>
          <w:noProof/>
        </w:rPr>
        <w:t>[1]</w:t>
      </w:r>
      <w:r>
        <w:rPr>
          <w:rFonts w:ascii="Arial" w:hAnsi="Arial" w:cs="Arial"/>
        </w:rPr>
        <w:t xml:space="preserve">  One of the first published </w:t>
      </w:r>
      <w:r w:rsidRPr="003C4077">
        <w:rPr>
          <w:rFonts w:ascii="Arial" w:hAnsi="Arial" w:cs="Arial"/>
        </w:rPr>
        <w:t xml:space="preserve">books related to cat </w:t>
      </w:r>
      <w:r>
        <w:rPr>
          <w:rFonts w:ascii="Arial" w:hAnsi="Arial" w:cs="Arial"/>
        </w:rPr>
        <w:t>husbandry and feeding in 1903 recommended</w:t>
      </w:r>
      <w:r w:rsidRPr="003C4077">
        <w:rPr>
          <w:rFonts w:ascii="Arial" w:hAnsi="Arial" w:cs="Arial"/>
        </w:rPr>
        <w:t xml:space="preserve"> fee</w:t>
      </w:r>
      <w:r>
        <w:rPr>
          <w:rFonts w:ascii="Arial" w:hAnsi="Arial" w:cs="Arial"/>
        </w:rPr>
        <w:t xml:space="preserve">ding of raw meat </w:t>
      </w:r>
      <w:r w:rsidRPr="003C4077">
        <w:rPr>
          <w:rFonts w:ascii="Arial" w:hAnsi="Arial" w:cs="Arial"/>
        </w:rPr>
        <w:t>2-3 times per week.</w:t>
      </w:r>
      <w:r>
        <w:rPr>
          <w:rFonts w:ascii="Arial" w:hAnsi="Arial" w:cs="Arial"/>
          <w:noProof/>
        </w:rPr>
        <w:t>[322]</w:t>
      </w:r>
      <w:r>
        <w:rPr>
          <w:rFonts w:ascii="Arial" w:hAnsi="Arial" w:cs="Arial"/>
        </w:rPr>
        <w:t xml:space="preserve">  </w:t>
      </w:r>
      <w:r w:rsidRPr="003C4077">
        <w:rPr>
          <w:rFonts w:ascii="Arial" w:hAnsi="Arial" w:cs="Arial"/>
        </w:rPr>
        <w:t>Feeding of raw meat as a portion of the cat’s diet continued to be recommended by general cat fanciers up until the mid-</w:t>
      </w:r>
      <w:r>
        <w:rPr>
          <w:rFonts w:ascii="Arial" w:hAnsi="Arial" w:cs="Arial"/>
        </w:rPr>
        <w:t>20</w:t>
      </w:r>
      <w:r w:rsidRPr="00AB5F2D">
        <w:rPr>
          <w:rFonts w:ascii="Arial" w:hAnsi="Arial" w:cs="Arial"/>
          <w:vertAlign w:val="superscript"/>
        </w:rPr>
        <w:t>th</w:t>
      </w:r>
      <w:r w:rsidRPr="003C4077">
        <w:rPr>
          <w:rFonts w:ascii="Arial" w:hAnsi="Arial" w:cs="Arial"/>
        </w:rPr>
        <w:t xml:space="preserve"> century when the switch fro</w:t>
      </w:r>
      <w:r>
        <w:rPr>
          <w:rFonts w:ascii="Arial" w:hAnsi="Arial" w:cs="Arial"/>
        </w:rPr>
        <w:t>m homemade to processed convenience foods began to occur</w:t>
      </w:r>
      <w:r w:rsidRPr="003C4077">
        <w:rPr>
          <w:rFonts w:ascii="Arial" w:hAnsi="Arial" w:cs="Arial"/>
        </w:rPr>
        <w:t>.</w:t>
      </w:r>
      <w:r>
        <w:rPr>
          <w:rFonts w:ascii="Arial" w:hAnsi="Arial" w:cs="Arial"/>
          <w:noProof/>
        </w:rPr>
        <w:t>[1]</w:t>
      </w:r>
    </w:p>
    <w:p w:rsidR="00330CF1" w:rsidRPr="003C4077" w:rsidRDefault="00330CF1" w:rsidP="00931B30">
      <w:pPr>
        <w:rPr>
          <w:rFonts w:ascii="Arial" w:hAnsi="Arial" w:cs="Arial"/>
        </w:rPr>
      </w:pPr>
      <w:r w:rsidRPr="003C4077">
        <w:rPr>
          <w:rFonts w:ascii="Arial" w:hAnsi="Arial" w:cs="Arial"/>
        </w:rPr>
        <w:t xml:space="preserve">    </w:t>
      </w:r>
      <w:r>
        <w:rPr>
          <w:rFonts w:ascii="Arial" w:hAnsi="Arial" w:cs="Arial"/>
        </w:rPr>
        <w:t xml:space="preserve"> </w:t>
      </w:r>
      <w:r w:rsidRPr="003C4077">
        <w:rPr>
          <w:rFonts w:ascii="Arial" w:hAnsi="Arial" w:cs="Arial"/>
        </w:rPr>
        <w:t>Few studies have been done examining</w:t>
      </w:r>
      <w:r>
        <w:rPr>
          <w:rFonts w:ascii="Arial" w:hAnsi="Arial" w:cs="Arial"/>
        </w:rPr>
        <w:t xml:space="preserve"> growth and blood parameters in</w:t>
      </w:r>
      <w:r w:rsidRPr="003C4077">
        <w:rPr>
          <w:rFonts w:ascii="Arial" w:hAnsi="Arial" w:cs="Arial"/>
        </w:rPr>
        <w:t xml:space="preserve"> raw vs</w:t>
      </w:r>
      <w:r>
        <w:rPr>
          <w:rFonts w:ascii="Arial" w:hAnsi="Arial" w:cs="Arial"/>
        </w:rPr>
        <w:t>.</w:t>
      </w:r>
      <w:r w:rsidRPr="003C4077">
        <w:rPr>
          <w:rFonts w:ascii="Arial" w:hAnsi="Arial" w:cs="Arial"/>
        </w:rPr>
        <w:t xml:space="preserve"> heat</w:t>
      </w:r>
      <w:r>
        <w:rPr>
          <w:rFonts w:ascii="Arial" w:hAnsi="Arial" w:cs="Arial"/>
        </w:rPr>
        <w:t>-processed fed domestic</w:t>
      </w:r>
      <w:r w:rsidRPr="003C4077">
        <w:rPr>
          <w:rFonts w:ascii="Arial" w:hAnsi="Arial" w:cs="Arial"/>
        </w:rPr>
        <w:t xml:space="preserve"> </w:t>
      </w:r>
      <w:r>
        <w:rPr>
          <w:rFonts w:ascii="Arial" w:hAnsi="Arial" w:cs="Arial"/>
        </w:rPr>
        <w:t xml:space="preserve"> felids</w:t>
      </w:r>
      <w:r w:rsidRPr="003C4077">
        <w:rPr>
          <w:rFonts w:ascii="Arial" w:hAnsi="Arial" w:cs="Arial"/>
        </w:rPr>
        <w:t>.  A study sponsored by the Winn Foundatio</w:t>
      </w:r>
      <w:r>
        <w:rPr>
          <w:rFonts w:ascii="Arial" w:hAnsi="Arial" w:cs="Arial"/>
        </w:rPr>
        <w:t>n</w:t>
      </w:r>
      <w:r w:rsidRPr="003C4077">
        <w:rPr>
          <w:rFonts w:ascii="Arial" w:hAnsi="Arial" w:cs="Arial"/>
        </w:rPr>
        <w:t xml:space="preserve"> at University of California-Davis looked at feeding whole ground raw rabbit vs</w:t>
      </w:r>
      <w:r>
        <w:rPr>
          <w:rFonts w:ascii="Arial" w:hAnsi="Arial" w:cs="Arial"/>
        </w:rPr>
        <w:t>.</w:t>
      </w:r>
      <w:r w:rsidRPr="003C4077">
        <w:rPr>
          <w:rFonts w:ascii="Arial" w:hAnsi="Arial" w:cs="Arial"/>
        </w:rPr>
        <w:t xml:space="preserve"> a heat-processed</w:t>
      </w:r>
      <w:r>
        <w:rPr>
          <w:rFonts w:ascii="Arial" w:hAnsi="Arial" w:cs="Arial"/>
        </w:rPr>
        <w:t xml:space="preserve"> diet to kittens over a 13 month period</w:t>
      </w:r>
      <w:r w:rsidRPr="003C4077">
        <w:rPr>
          <w:rFonts w:ascii="Arial" w:hAnsi="Arial" w:cs="Arial"/>
        </w:rPr>
        <w:t>.</w:t>
      </w:r>
      <w:r>
        <w:rPr>
          <w:rFonts w:ascii="Arial" w:hAnsi="Arial" w:cs="Arial"/>
          <w:noProof/>
        </w:rPr>
        <w:t>[213]</w:t>
      </w:r>
      <w:r w:rsidRPr="003C4077">
        <w:rPr>
          <w:rFonts w:ascii="Arial" w:hAnsi="Arial" w:cs="Arial"/>
        </w:rPr>
        <w:t xml:space="preserve"> </w:t>
      </w:r>
      <w:r>
        <w:rPr>
          <w:rFonts w:ascii="Arial" w:hAnsi="Arial" w:cs="Arial"/>
        </w:rPr>
        <w:t xml:space="preserve"> </w:t>
      </w:r>
      <w:r w:rsidRPr="003C4077">
        <w:rPr>
          <w:rFonts w:ascii="Arial" w:hAnsi="Arial" w:cs="Arial"/>
        </w:rPr>
        <w:t xml:space="preserve">The purpose of the study was to define a “gold standard” natural diet for cats which could subsequently be </w:t>
      </w:r>
      <w:r>
        <w:rPr>
          <w:rFonts w:ascii="Arial" w:hAnsi="Arial" w:cs="Arial"/>
        </w:rPr>
        <w:t xml:space="preserve">used to </w:t>
      </w:r>
      <w:r w:rsidRPr="003C4077">
        <w:rPr>
          <w:rFonts w:ascii="Arial" w:hAnsi="Arial" w:cs="Arial"/>
        </w:rPr>
        <w:t xml:space="preserve">compare to </w:t>
      </w:r>
      <w:r>
        <w:rPr>
          <w:rFonts w:ascii="Arial" w:hAnsi="Arial" w:cs="Arial"/>
        </w:rPr>
        <w:t xml:space="preserve">commercial diets.  </w:t>
      </w:r>
      <w:r w:rsidRPr="003C4077">
        <w:rPr>
          <w:rFonts w:ascii="Arial" w:hAnsi="Arial" w:cs="Arial"/>
        </w:rPr>
        <w:t>The growth</w:t>
      </w:r>
      <w:r>
        <w:rPr>
          <w:rFonts w:ascii="Arial" w:hAnsi="Arial" w:cs="Arial"/>
        </w:rPr>
        <w:t xml:space="preserve"> curve of the kittens on the raw or heat processed diets was</w:t>
      </w:r>
      <w:r w:rsidRPr="003C4077">
        <w:rPr>
          <w:rFonts w:ascii="Arial" w:hAnsi="Arial" w:cs="Arial"/>
        </w:rPr>
        <w:t xml:space="preserve"> identical, indicating the raw rabbit diet supported normal growth</w:t>
      </w:r>
      <w:r>
        <w:rPr>
          <w:rFonts w:ascii="Arial" w:hAnsi="Arial" w:cs="Arial"/>
        </w:rPr>
        <w:t xml:space="preserve"> but was not significantly better than the heat-processed diet</w:t>
      </w:r>
      <w:r w:rsidRPr="003C4077">
        <w:rPr>
          <w:rFonts w:ascii="Arial" w:hAnsi="Arial" w:cs="Arial"/>
        </w:rPr>
        <w:t>.  P</w:t>
      </w:r>
      <w:r>
        <w:rPr>
          <w:rFonts w:ascii="Arial" w:hAnsi="Arial" w:cs="Arial"/>
        </w:rPr>
        <w:t>ositive aspects of the raw diet included</w:t>
      </w:r>
      <w:r w:rsidRPr="003C4077">
        <w:rPr>
          <w:rFonts w:ascii="Arial" w:hAnsi="Arial" w:cs="Arial"/>
        </w:rPr>
        <w:t xml:space="preserve"> improved stool quality and coat quality, and improved palatability.  A significant negative aspect was </w:t>
      </w:r>
      <w:r>
        <w:rPr>
          <w:rFonts w:ascii="Arial" w:hAnsi="Arial" w:cs="Arial"/>
        </w:rPr>
        <w:t>the development of</w:t>
      </w:r>
      <w:r w:rsidRPr="003C4077">
        <w:rPr>
          <w:rFonts w:ascii="Arial" w:hAnsi="Arial" w:cs="Arial"/>
        </w:rPr>
        <w:t xml:space="preserve"> taurine deficie</w:t>
      </w:r>
      <w:r>
        <w:rPr>
          <w:rFonts w:ascii="Arial" w:hAnsi="Arial" w:cs="Arial"/>
        </w:rPr>
        <w:t>ncy</w:t>
      </w:r>
      <w:r w:rsidRPr="003C4077">
        <w:rPr>
          <w:rFonts w:ascii="Arial" w:hAnsi="Arial" w:cs="Arial"/>
        </w:rPr>
        <w:t xml:space="preserve"> </w:t>
      </w:r>
      <w:r>
        <w:rPr>
          <w:rFonts w:ascii="Arial" w:hAnsi="Arial" w:cs="Arial"/>
        </w:rPr>
        <w:t xml:space="preserve">in the raw group feeders </w:t>
      </w:r>
      <w:r w:rsidRPr="003C4077">
        <w:rPr>
          <w:rFonts w:ascii="Arial" w:hAnsi="Arial" w:cs="Arial"/>
        </w:rPr>
        <w:t>resulting in the sudden death of one of the</w:t>
      </w:r>
      <w:r>
        <w:rPr>
          <w:rFonts w:ascii="Arial" w:hAnsi="Arial" w:cs="Arial"/>
        </w:rPr>
        <w:t xml:space="preserve"> raw fed</w:t>
      </w:r>
      <w:r w:rsidRPr="003C4077">
        <w:rPr>
          <w:rFonts w:ascii="Arial" w:hAnsi="Arial" w:cs="Arial"/>
        </w:rPr>
        <w:t xml:space="preserve"> cats.  A</w:t>
      </w:r>
      <w:r>
        <w:rPr>
          <w:rFonts w:ascii="Arial" w:hAnsi="Arial" w:cs="Arial"/>
        </w:rPr>
        <w:t>nother</w:t>
      </w:r>
      <w:r w:rsidRPr="003C4077">
        <w:rPr>
          <w:rFonts w:ascii="Arial" w:hAnsi="Arial" w:cs="Arial"/>
        </w:rPr>
        <w:t xml:space="preserve"> study comparing growth rates in kittens fed he</w:t>
      </w:r>
      <w:r>
        <w:rPr>
          <w:rFonts w:ascii="Arial" w:hAnsi="Arial" w:cs="Arial"/>
        </w:rPr>
        <w:t xml:space="preserve">at-treated casein </w:t>
      </w:r>
      <w:r w:rsidRPr="003C4077">
        <w:rPr>
          <w:rFonts w:ascii="Arial" w:hAnsi="Arial" w:cs="Arial"/>
        </w:rPr>
        <w:t>vs</w:t>
      </w:r>
      <w:r>
        <w:rPr>
          <w:rFonts w:ascii="Arial" w:hAnsi="Arial" w:cs="Arial"/>
        </w:rPr>
        <w:t>. untreated casein found a significantly reduced daily weight gain</w:t>
      </w:r>
      <w:r w:rsidRPr="003C4077">
        <w:rPr>
          <w:rFonts w:ascii="Arial" w:hAnsi="Arial" w:cs="Arial"/>
        </w:rPr>
        <w:t xml:space="preserve"> in kittens fed </w:t>
      </w:r>
      <w:r>
        <w:rPr>
          <w:rFonts w:ascii="Arial" w:hAnsi="Arial" w:cs="Arial"/>
        </w:rPr>
        <w:t>the heat treated</w:t>
      </w:r>
      <w:r w:rsidRPr="003C4077">
        <w:rPr>
          <w:rFonts w:ascii="Arial" w:hAnsi="Arial" w:cs="Arial"/>
        </w:rPr>
        <w:t xml:space="preserve"> casein compared to the </w:t>
      </w:r>
      <w:r>
        <w:rPr>
          <w:rFonts w:ascii="Arial" w:hAnsi="Arial" w:cs="Arial"/>
        </w:rPr>
        <w:t>unprocessed</w:t>
      </w:r>
      <w:r w:rsidRPr="003C4077">
        <w:rPr>
          <w:rFonts w:ascii="Arial" w:hAnsi="Arial" w:cs="Arial"/>
        </w:rPr>
        <w:t xml:space="preserve"> casein</w:t>
      </w:r>
      <w:r>
        <w:rPr>
          <w:rFonts w:ascii="Arial" w:hAnsi="Arial" w:cs="Arial"/>
        </w:rPr>
        <w:t xml:space="preserve"> diets</w:t>
      </w:r>
      <w:r w:rsidRPr="003C4077">
        <w:rPr>
          <w:rFonts w:ascii="Arial" w:hAnsi="Arial" w:cs="Arial"/>
        </w:rPr>
        <w:t>.</w:t>
      </w:r>
      <w:r>
        <w:rPr>
          <w:rFonts w:ascii="Arial" w:hAnsi="Arial" w:cs="Arial"/>
          <w:noProof/>
        </w:rPr>
        <w:t>[209]</w:t>
      </w:r>
      <w:r>
        <w:rPr>
          <w:rFonts w:ascii="Arial" w:hAnsi="Arial" w:cs="Arial"/>
        </w:rPr>
        <w:t xml:space="preserve">  Methionine bioavailability was determined to be reduced by 25%  and lysine bioavailability was reduced by 40% in the heat processed compared to the non-processed diets.</w:t>
      </w:r>
      <w:r>
        <w:rPr>
          <w:rFonts w:ascii="Arial" w:hAnsi="Arial" w:cs="Arial"/>
          <w:noProof/>
        </w:rPr>
        <w:t>[209, 237]</w:t>
      </w:r>
      <w:r>
        <w:rPr>
          <w:rFonts w:ascii="Arial" w:hAnsi="Arial" w:cs="Arial"/>
        </w:rPr>
        <w:t xml:space="preserve"> </w:t>
      </w:r>
    </w:p>
    <w:p w:rsidR="00330CF1" w:rsidRPr="003C4077" w:rsidRDefault="00330CF1" w:rsidP="00931B30">
      <w:pPr>
        <w:rPr>
          <w:rFonts w:ascii="Arial" w:hAnsi="Arial" w:cs="Arial"/>
        </w:rPr>
      </w:pPr>
      <w:r w:rsidRPr="003C4077">
        <w:rPr>
          <w:rFonts w:ascii="Arial" w:hAnsi="Arial" w:cs="Arial"/>
        </w:rPr>
        <w:t xml:space="preserve">    </w:t>
      </w:r>
      <w:r>
        <w:rPr>
          <w:rFonts w:ascii="Arial" w:hAnsi="Arial" w:cs="Arial"/>
        </w:rPr>
        <w:t xml:space="preserve"> </w:t>
      </w:r>
      <w:r w:rsidRPr="003C4077">
        <w:rPr>
          <w:rFonts w:ascii="Arial" w:hAnsi="Arial" w:cs="Arial"/>
        </w:rPr>
        <w:t>Nutritional adequacy in terms of minimum nutrient requirements for cats is based on cumulated research and updated periodically in the National Research Council (NRC) Nutrient Requirements for Dogs and Cats.</w:t>
      </w:r>
      <w:r>
        <w:rPr>
          <w:rFonts w:ascii="Arial" w:hAnsi="Arial" w:cs="Arial"/>
          <w:noProof/>
        </w:rPr>
        <w:t>[12]</w:t>
      </w:r>
      <w:r>
        <w:rPr>
          <w:rFonts w:ascii="Arial" w:hAnsi="Arial" w:cs="Arial"/>
        </w:rPr>
        <w:t xml:space="preserve">  </w:t>
      </w:r>
      <w:r w:rsidRPr="003C4077">
        <w:rPr>
          <w:rFonts w:ascii="Arial" w:hAnsi="Arial" w:cs="Arial"/>
        </w:rPr>
        <w:t>These reco</w:t>
      </w:r>
      <w:r>
        <w:rPr>
          <w:rFonts w:ascii="Arial" w:hAnsi="Arial" w:cs="Arial"/>
        </w:rPr>
        <w:t>mmendations are typically based on studies using</w:t>
      </w:r>
      <w:r w:rsidRPr="003C4077">
        <w:rPr>
          <w:rFonts w:ascii="Arial" w:hAnsi="Arial" w:cs="Arial"/>
        </w:rPr>
        <w:t xml:space="preserve"> purified diets rather than commercial diets.  To compensate for potential reductions in bioavailability, the Association of American Feed Control Officials (AAFCO) pub</w:t>
      </w:r>
      <w:r>
        <w:rPr>
          <w:rFonts w:ascii="Arial" w:hAnsi="Arial" w:cs="Arial"/>
        </w:rPr>
        <w:t>lishes its own nutrient profiles</w:t>
      </w:r>
      <w:r w:rsidRPr="003C4077">
        <w:rPr>
          <w:rFonts w:ascii="Arial" w:hAnsi="Arial" w:cs="Arial"/>
        </w:rPr>
        <w:t xml:space="preserve"> for dogs and cats to account for </w:t>
      </w:r>
      <w:r>
        <w:rPr>
          <w:rFonts w:ascii="Arial" w:hAnsi="Arial" w:cs="Arial"/>
        </w:rPr>
        <w:t>these reductions</w:t>
      </w:r>
      <w:r w:rsidRPr="003C4077">
        <w:rPr>
          <w:rFonts w:ascii="Arial" w:hAnsi="Arial" w:cs="Arial"/>
        </w:rPr>
        <w:t xml:space="preserve"> and potential processing losses</w:t>
      </w:r>
      <w:r>
        <w:rPr>
          <w:rFonts w:ascii="Arial" w:hAnsi="Arial" w:cs="Arial"/>
        </w:rPr>
        <w:t>.</w:t>
      </w:r>
      <w:r>
        <w:rPr>
          <w:rFonts w:ascii="Arial" w:hAnsi="Arial" w:cs="Arial"/>
          <w:noProof/>
        </w:rPr>
        <w:t>[25]</w:t>
      </w:r>
      <w:r w:rsidRPr="003C4077">
        <w:rPr>
          <w:rFonts w:ascii="Arial" w:hAnsi="Arial" w:cs="Arial"/>
        </w:rPr>
        <w:t xml:space="preserve"> </w:t>
      </w:r>
      <w:r>
        <w:rPr>
          <w:rFonts w:ascii="Arial" w:hAnsi="Arial" w:cs="Arial"/>
        </w:rPr>
        <w:t xml:space="preserve"> </w:t>
      </w:r>
      <w:r w:rsidRPr="003C4077">
        <w:rPr>
          <w:rFonts w:ascii="Arial" w:hAnsi="Arial" w:cs="Arial"/>
        </w:rPr>
        <w:t xml:space="preserve">The AAFCO minimum nutrient profiles </w:t>
      </w:r>
      <w:r w:rsidRPr="003C4077">
        <w:rPr>
          <w:rFonts w:ascii="Arial" w:hAnsi="Arial" w:cs="Arial"/>
        </w:rPr>
        <w:lastRenderedPageBreak/>
        <w:t xml:space="preserve">are published yearly and are what the pet food industry uses as guidelines in formulating dog and cat </w:t>
      </w:r>
      <w:r>
        <w:rPr>
          <w:rFonts w:ascii="Arial" w:hAnsi="Arial" w:cs="Arial"/>
        </w:rPr>
        <w:t xml:space="preserve">commercial </w:t>
      </w:r>
      <w:r w:rsidRPr="003C4077">
        <w:rPr>
          <w:rFonts w:ascii="Arial" w:hAnsi="Arial" w:cs="Arial"/>
        </w:rPr>
        <w:t xml:space="preserve">diets.  </w:t>
      </w:r>
    </w:p>
    <w:p w:rsidR="00330CF1" w:rsidRDefault="00330CF1" w:rsidP="00931B30">
      <w:pPr>
        <w:rPr>
          <w:rFonts w:ascii="Arial" w:hAnsi="Arial" w:cs="Arial"/>
        </w:rPr>
      </w:pPr>
      <w:r w:rsidRPr="003C4077">
        <w:rPr>
          <w:rFonts w:ascii="Arial" w:hAnsi="Arial" w:cs="Arial"/>
        </w:rPr>
        <w:t xml:space="preserve">     </w:t>
      </w:r>
      <w:r>
        <w:rPr>
          <w:rFonts w:ascii="Arial" w:hAnsi="Arial" w:cs="Arial"/>
        </w:rPr>
        <w:t>Besides setting minimal nutrient requirements, n</w:t>
      </w:r>
      <w:r w:rsidRPr="003C4077">
        <w:rPr>
          <w:rFonts w:ascii="Arial" w:hAnsi="Arial" w:cs="Arial"/>
        </w:rPr>
        <w:t>utritional adequacy claims for commercial pet foods are based on procedures and protocols established by AAFCO.</w:t>
      </w:r>
      <w:r>
        <w:rPr>
          <w:rFonts w:ascii="Arial" w:hAnsi="Arial" w:cs="Arial"/>
          <w:noProof/>
        </w:rPr>
        <w:t>[25]</w:t>
      </w:r>
      <w:r w:rsidRPr="003C4077">
        <w:rPr>
          <w:rFonts w:ascii="Arial" w:hAnsi="Arial" w:cs="Arial"/>
        </w:rPr>
        <w:t xml:space="preserve"> </w:t>
      </w:r>
      <w:r>
        <w:rPr>
          <w:rFonts w:ascii="Arial" w:hAnsi="Arial" w:cs="Arial"/>
        </w:rPr>
        <w:t xml:space="preserve"> </w:t>
      </w:r>
      <w:r w:rsidRPr="003C4077">
        <w:rPr>
          <w:rFonts w:ascii="Arial" w:hAnsi="Arial" w:cs="Arial"/>
        </w:rPr>
        <w:t>One method of establishing a</w:t>
      </w:r>
      <w:r>
        <w:rPr>
          <w:rFonts w:ascii="Arial" w:hAnsi="Arial" w:cs="Arial"/>
        </w:rPr>
        <w:t>n adequacy</w:t>
      </w:r>
      <w:r w:rsidRPr="003C4077">
        <w:rPr>
          <w:rFonts w:ascii="Arial" w:hAnsi="Arial" w:cs="Arial"/>
        </w:rPr>
        <w:t xml:space="preserve"> claim</w:t>
      </w:r>
      <w:r>
        <w:rPr>
          <w:rFonts w:ascii="Arial" w:hAnsi="Arial" w:cs="Arial"/>
        </w:rPr>
        <w:t xml:space="preserve"> in the United States</w:t>
      </w:r>
      <w:r w:rsidRPr="003C4077">
        <w:rPr>
          <w:rFonts w:ascii="Arial" w:hAnsi="Arial" w:cs="Arial"/>
        </w:rPr>
        <w:t xml:space="preserve"> is to conduct a feeding trial following AAFCO established protocols.  Adequacy claims can also be made from calculated nutrient content of </w:t>
      </w:r>
      <w:r>
        <w:rPr>
          <w:rFonts w:ascii="Arial" w:hAnsi="Arial" w:cs="Arial"/>
        </w:rPr>
        <w:t xml:space="preserve">diet </w:t>
      </w:r>
      <w:r w:rsidRPr="003C4077">
        <w:rPr>
          <w:rFonts w:ascii="Arial" w:hAnsi="Arial" w:cs="Arial"/>
        </w:rPr>
        <w:t xml:space="preserve">formulas </w:t>
      </w:r>
      <w:r>
        <w:rPr>
          <w:rFonts w:ascii="Arial" w:hAnsi="Arial" w:cs="Arial"/>
        </w:rPr>
        <w:t>using</w:t>
      </w:r>
      <w:r w:rsidRPr="003C4077">
        <w:rPr>
          <w:rFonts w:ascii="Arial" w:hAnsi="Arial" w:cs="Arial"/>
        </w:rPr>
        <w:t xml:space="preserve"> a nutrient data bank or actual chemical analysis</w:t>
      </w:r>
      <w:r>
        <w:rPr>
          <w:rFonts w:ascii="Arial" w:hAnsi="Arial" w:cs="Arial"/>
        </w:rPr>
        <w:t xml:space="preserve"> of the diets with or without feeding trials</w:t>
      </w:r>
      <w:r w:rsidRPr="003C4077">
        <w:rPr>
          <w:rFonts w:ascii="Arial" w:hAnsi="Arial" w:cs="Arial"/>
        </w:rPr>
        <w:t>.  The pet food industry uses ingredients that can have a wide variation in actual nutrient content and bioavailability.  Therefore</w:t>
      </w:r>
      <w:r>
        <w:rPr>
          <w:rFonts w:ascii="Arial" w:hAnsi="Arial" w:cs="Arial"/>
        </w:rPr>
        <w:t>,</w:t>
      </w:r>
      <w:r w:rsidRPr="003C4077">
        <w:rPr>
          <w:rFonts w:ascii="Arial" w:hAnsi="Arial" w:cs="Arial"/>
        </w:rPr>
        <w:t xml:space="preserve"> feeding protocols are considered the “gold standard” in evaluating pet food for nutritional adequacy and performance.  But even these procedures have been previously cited as flawed.</w:t>
      </w:r>
      <w:r>
        <w:rPr>
          <w:rFonts w:ascii="Arial" w:hAnsi="Arial" w:cs="Arial"/>
          <w:noProof/>
        </w:rPr>
        <w:t>[323]</w:t>
      </w:r>
      <w:r w:rsidRPr="003C4077">
        <w:rPr>
          <w:rFonts w:ascii="Arial" w:hAnsi="Arial" w:cs="Arial"/>
        </w:rPr>
        <w:t xml:space="preserve"> </w:t>
      </w:r>
      <w:r>
        <w:rPr>
          <w:rFonts w:ascii="Arial" w:hAnsi="Arial" w:cs="Arial"/>
        </w:rPr>
        <w:t xml:space="preserve"> </w:t>
      </w:r>
      <w:r w:rsidRPr="003C4077">
        <w:rPr>
          <w:rFonts w:ascii="Arial" w:hAnsi="Arial" w:cs="Arial"/>
        </w:rPr>
        <w:t>Adequacy claims through feeding trials are based on performance or growth that is not statistically less than growth or performance of a control diet that may have marginally passed a test with minimal number of animals.</w:t>
      </w:r>
      <w:r>
        <w:rPr>
          <w:rFonts w:ascii="Arial" w:hAnsi="Arial" w:cs="Arial"/>
          <w:noProof/>
        </w:rPr>
        <w:t>[323]</w:t>
      </w:r>
      <w:r w:rsidRPr="003C4077">
        <w:rPr>
          <w:rFonts w:ascii="Arial" w:hAnsi="Arial" w:cs="Arial"/>
        </w:rPr>
        <w:t xml:space="preserve">  </w:t>
      </w:r>
      <w:r>
        <w:rPr>
          <w:rFonts w:ascii="Arial" w:hAnsi="Arial" w:cs="Arial"/>
        </w:rPr>
        <w:t>Amino acid requirements and adequacy are generally based on weight</w:t>
      </w:r>
      <w:r w:rsidRPr="00694FAF">
        <w:rPr>
          <w:rFonts w:ascii="Arial" w:hAnsi="Arial" w:cs="Arial"/>
          <w:color w:val="C00000"/>
        </w:rPr>
        <w:t xml:space="preserve"> </w:t>
      </w:r>
      <w:r w:rsidRPr="00873557">
        <w:rPr>
          <w:rFonts w:ascii="Arial" w:hAnsi="Arial" w:cs="Arial"/>
        </w:rPr>
        <w:t>gain or nitrogen balance</w:t>
      </w:r>
      <w:r>
        <w:rPr>
          <w:rFonts w:ascii="Arial" w:hAnsi="Arial" w:cs="Arial"/>
        </w:rPr>
        <w:t xml:space="preserve"> for growth and maintenance</w:t>
      </w:r>
      <w:r w:rsidRPr="00873557">
        <w:rPr>
          <w:rFonts w:ascii="Arial" w:hAnsi="Arial" w:cs="Arial"/>
        </w:rPr>
        <w:t xml:space="preserve"> respectively</w:t>
      </w:r>
      <w:r w:rsidRPr="003C4077">
        <w:rPr>
          <w:rFonts w:ascii="Arial" w:hAnsi="Arial" w:cs="Arial"/>
        </w:rPr>
        <w:t xml:space="preserve">.  Levels of particular nutrients for other optimal functions such as immune function and antioxidant activity are </w:t>
      </w:r>
      <w:r>
        <w:rPr>
          <w:rFonts w:ascii="Arial" w:hAnsi="Arial" w:cs="Arial"/>
        </w:rPr>
        <w:t xml:space="preserve">generally </w:t>
      </w:r>
      <w:r w:rsidRPr="003C4077">
        <w:rPr>
          <w:rFonts w:ascii="Arial" w:hAnsi="Arial" w:cs="Arial"/>
        </w:rPr>
        <w:t xml:space="preserve">not accounted for </w:t>
      </w:r>
      <w:r>
        <w:rPr>
          <w:rFonts w:ascii="Arial" w:hAnsi="Arial" w:cs="Arial"/>
        </w:rPr>
        <w:t>in NRC or AAFCO profiles.  Finally, the time frame for various</w:t>
      </w:r>
      <w:r w:rsidRPr="003C4077">
        <w:rPr>
          <w:rFonts w:ascii="Arial" w:hAnsi="Arial" w:cs="Arial"/>
        </w:rPr>
        <w:t xml:space="preserve"> feeding protocol</w:t>
      </w:r>
      <w:r>
        <w:rPr>
          <w:rFonts w:ascii="Arial" w:hAnsi="Arial" w:cs="Arial"/>
        </w:rPr>
        <w:t>s</w:t>
      </w:r>
      <w:r w:rsidRPr="003C4077">
        <w:rPr>
          <w:rFonts w:ascii="Arial" w:hAnsi="Arial" w:cs="Arial"/>
        </w:rPr>
        <w:t xml:space="preserve"> may be too short to determine some nutritional deficiencies.  The time frame for an adult maintenance claim is 26 weeks and for kitten growth</w:t>
      </w:r>
      <w:r>
        <w:rPr>
          <w:rFonts w:ascii="Arial" w:hAnsi="Arial" w:cs="Arial"/>
        </w:rPr>
        <w:t xml:space="preserve"> claim</w:t>
      </w:r>
      <w:r w:rsidRPr="003C4077">
        <w:rPr>
          <w:rFonts w:ascii="Arial" w:hAnsi="Arial" w:cs="Arial"/>
        </w:rPr>
        <w:t xml:space="preserve"> is</w:t>
      </w:r>
      <w:r>
        <w:rPr>
          <w:rFonts w:ascii="Arial" w:hAnsi="Arial" w:cs="Arial"/>
        </w:rPr>
        <w:t xml:space="preserve"> only</w:t>
      </w:r>
      <w:r w:rsidRPr="003C4077">
        <w:rPr>
          <w:rFonts w:ascii="Arial" w:hAnsi="Arial" w:cs="Arial"/>
        </w:rPr>
        <w:t xml:space="preserve"> 10 weeks</w:t>
      </w:r>
      <w:r>
        <w:rPr>
          <w:rFonts w:ascii="Arial" w:hAnsi="Arial" w:cs="Arial"/>
        </w:rPr>
        <w:t>.</w:t>
      </w:r>
      <w:r>
        <w:rPr>
          <w:rFonts w:ascii="Arial" w:hAnsi="Arial" w:cs="Arial"/>
          <w:noProof/>
        </w:rPr>
        <w:t>[25]</w:t>
      </w:r>
      <w:r w:rsidRPr="003C4077">
        <w:rPr>
          <w:rFonts w:ascii="Arial" w:hAnsi="Arial" w:cs="Arial"/>
        </w:rPr>
        <w:t xml:space="preserve"> </w:t>
      </w:r>
      <w:r>
        <w:rPr>
          <w:rFonts w:ascii="Arial" w:hAnsi="Arial" w:cs="Arial"/>
        </w:rPr>
        <w:t xml:space="preserve"> </w:t>
      </w:r>
      <w:r w:rsidRPr="003C4077">
        <w:rPr>
          <w:rFonts w:ascii="Arial" w:hAnsi="Arial" w:cs="Arial"/>
        </w:rPr>
        <w:t>Some nutrients have depot sto</w:t>
      </w:r>
      <w:r>
        <w:rPr>
          <w:rFonts w:ascii="Arial" w:hAnsi="Arial" w:cs="Arial"/>
        </w:rPr>
        <w:t>res that will not be depleted within</w:t>
      </w:r>
      <w:r w:rsidRPr="003C4077">
        <w:rPr>
          <w:rFonts w:ascii="Arial" w:hAnsi="Arial" w:cs="Arial"/>
        </w:rPr>
        <w:t xml:space="preserve"> </w:t>
      </w:r>
      <w:r>
        <w:rPr>
          <w:rFonts w:ascii="Arial" w:hAnsi="Arial" w:cs="Arial"/>
        </w:rPr>
        <w:t>these time frames to determine</w:t>
      </w:r>
      <w:r w:rsidRPr="003C4077">
        <w:rPr>
          <w:rFonts w:ascii="Arial" w:hAnsi="Arial" w:cs="Arial"/>
        </w:rPr>
        <w:t xml:space="preserve"> a deficiency.  These include vitamins A,</w:t>
      </w:r>
      <w:r>
        <w:rPr>
          <w:rFonts w:ascii="Arial" w:hAnsi="Arial" w:cs="Arial"/>
        </w:rPr>
        <w:t xml:space="preserve"> </w:t>
      </w:r>
      <w:r w:rsidRPr="003C4077">
        <w:rPr>
          <w:rFonts w:ascii="Arial" w:hAnsi="Arial" w:cs="Arial"/>
        </w:rPr>
        <w:t xml:space="preserve">D, </w:t>
      </w:r>
      <w:r>
        <w:rPr>
          <w:rFonts w:ascii="Arial" w:hAnsi="Arial" w:cs="Arial"/>
        </w:rPr>
        <w:t xml:space="preserve">and </w:t>
      </w:r>
      <w:r w:rsidRPr="003C4077">
        <w:rPr>
          <w:rFonts w:ascii="Arial" w:hAnsi="Arial" w:cs="Arial"/>
        </w:rPr>
        <w:t>B</w:t>
      </w:r>
      <w:r w:rsidRPr="003C4077">
        <w:rPr>
          <w:rFonts w:ascii="Arial" w:hAnsi="Arial" w:cs="Arial"/>
          <w:vertAlign w:val="subscript"/>
        </w:rPr>
        <w:t>12</w:t>
      </w:r>
      <w:r>
        <w:rPr>
          <w:rFonts w:ascii="Arial" w:hAnsi="Arial" w:cs="Arial"/>
          <w:vertAlign w:val="subscript"/>
        </w:rPr>
        <w:t>.</w:t>
      </w:r>
    </w:p>
    <w:p w:rsidR="00330CF1" w:rsidRPr="003C4077" w:rsidRDefault="00330CF1" w:rsidP="00931B30">
      <w:pPr>
        <w:rPr>
          <w:rFonts w:ascii="Arial" w:hAnsi="Arial" w:cs="Arial"/>
        </w:rPr>
      </w:pPr>
      <w:r>
        <w:rPr>
          <w:rFonts w:ascii="Arial" w:hAnsi="Arial" w:cs="Arial"/>
        </w:rPr>
        <w:t xml:space="preserve">     </w:t>
      </w:r>
      <w:r w:rsidRPr="003C4077">
        <w:rPr>
          <w:rFonts w:ascii="Arial" w:hAnsi="Arial" w:cs="Arial"/>
        </w:rPr>
        <w:t xml:space="preserve">Despite these shortcomings, </w:t>
      </w:r>
      <w:r>
        <w:rPr>
          <w:rFonts w:ascii="Arial" w:hAnsi="Arial" w:cs="Arial"/>
        </w:rPr>
        <w:t>we used the</w:t>
      </w:r>
      <w:r w:rsidRPr="003C4077">
        <w:rPr>
          <w:rFonts w:ascii="Arial" w:hAnsi="Arial" w:cs="Arial"/>
        </w:rPr>
        <w:t xml:space="preserve"> AAFCO protocol for providing a growth claim to compare a premium high protein heat-processed canned kitten diet to 2 raw meat diets</w:t>
      </w:r>
      <w:r>
        <w:rPr>
          <w:rFonts w:ascii="Arial" w:hAnsi="Arial" w:cs="Arial"/>
        </w:rPr>
        <w:t xml:space="preserve"> fed to kittens.  A</w:t>
      </w:r>
      <w:r w:rsidRPr="003C4077">
        <w:rPr>
          <w:rFonts w:ascii="Arial" w:hAnsi="Arial" w:cs="Arial"/>
        </w:rPr>
        <w:t>nthropologic measurements</w:t>
      </w:r>
      <w:r>
        <w:rPr>
          <w:rFonts w:ascii="Arial" w:hAnsi="Arial" w:cs="Arial"/>
        </w:rPr>
        <w:t xml:space="preserve"> of weight, length, and height, were measured in addition to </w:t>
      </w:r>
      <w:r w:rsidRPr="003C4077">
        <w:rPr>
          <w:rFonts w:ascii="Arial" w:hAnsi="Arial" w:cs="Arial"/>
        </w:rPr>
        <w:t>bloo</w:t>
      </w:r>
      <w:r>
        <w:rPr>
          <w:rFonts w:ascii="Arial" w:hAnsi="Arial" w:cs="Arial"/>
        </w:rPr>
        <w:t>d parameters (complete blood count, complete serum chemistry) and Dual-Energy X-ray Absorptiometry (DEXA).   Protein efficiency ratios and feed efficiency ratios were also calculated.  PER and feed efficiency are parameters used to measure efficiency in maximizing the conversion of feed into some production parameter such as meat or milk.  Although this is not commonly examined in companion animal diets, these values may affect the cost of feeding the diet.  My research goal was</w:t>
      </w:r>
      <w:r w:rsidRPr="003C4077">
        <w:rPr>
          <w:rFonts w:ascii="Arial" w:hAnsi="Arial" w:cs="Arial"/>
        </w:rPr>
        <w:t xml:space="preserve"> to determine if two complete raw food diets, </w:t>
      </w:r>
      <w:r>
        <w:rPr>
          <w:rFonts w:ascii="Arial" w:hAnsi="Arial" w:cs="Arial"/>
        </w:rPr>
        <w:t>a commercial complete</w:t>
      </w:r>
      <w:r w:rsidRPr="003C4077">
        <w:rPr>
          <w:rFonts w:ascii="Arial" w:hAnsi="Arial" w:cs="Arial"/>
        </w:rPr>
        <w:t xml:space="preserve"> raw diet and a homemade </w:t>
      </w:r>
      <w:r>
        <w:rPr>
          <w:rFonts w:ascii="Arial" w:hAnsi="Arial" w:cs="Arial"/>
        </w:rPr>
        <w:t xml:space="preserve">raw </w:t>
      </w:r>
      <w:r w:rsidRPr="003C4077">
        <w:rPr>
          <w:rFonts w:ascii="Arial" w:hAnsi="Arial" w:cs="Arial"/>
        </w:rPr>
        <w:t xml:space="preserve">diet made with </w:t>
      </w:r>
      <w:r>
        <w:rPr>
          <w:rFonts w:ascii="Arial" w:hAnsi="Arial" w:cs="Arial"/>
        </w:rPr>
        <w:t>raw chicken and a raw meat supplement,</w:t>
      </w:r>
      <w:r w:rsidRPr="003C4077">
        <w:rPr>
          <w:rFonts w:ascii="Arial" w:hAnsi="Arial" w:cs="Arial"/>
        </w:rPr>
        <w:t xml:space="preserve"> were adequate for passing an AAFCO growth claim.  </w:t>
      </w:r>
      <w:r>
        <w:rPr>
          <w:rFonts w:ascii="Arial" w:hAnsi="Arial" w:cs="Arial"/>
        </w:rPr>
        <w:t>The hypothesis was</w:t>
      </w:r>
      <w:r w:rsidRPr="003C4077">
        <w:rPr>
          <w:rFonts w:ascii="Arial" w:hAnsi="Arial" w:cs="Arial"/>
        </w:rPr>
        <w:t xml:space="preserve"> that </w:t>
      </w:r>
      <w:r>
        <w:rPr>
          <w:rFonts w:ascii="Arial" w:hAnsi="Arial" w:cs="Arial"/>
        </w:rPr>
        <w:t>the raw food diets would</w:t>
      </w:r>
      <w:r w:rsidRPr="003C4077">
        <w:rPr>
          <w:rFonts w:ascii="Arial" w:hAnsi="Arial" w:cs="Arial"/>
        </w:rPr>
        <w:t xml:space="preserve"> pass an AAFCO growth feeding trial.  </w:t>
      </w:r>
      <w:r>
        <w:rPr>
          <w:rFonts w:ascii="Arial" w:hAnsi="Arial" w:cs="Arial"/>
        </w:rPr>
        <w:t xml:space="preserve">The second hypothesis was that there would be  differences in feed efficiency and PER in raw vs. heat-processed diets. </w:t>
      </w:r>
    </w:p>
    <w:p w:rsidR="00330CF1" w:rsidRDefault="00330CF1" w:rsidP="004E3CA6">
      <w:pPr>
        <w:pStyle w:val="Heading2"/>
      </w:pPr>
      <w:bookmarkStart w:id="27" w:name="_Toc305485854"/>
      <w:r>
        <w:t>Materials and Methods</w:t>
      </w:r>
      <w:bookmarkEnd w:id="27"/>
    </w:p>
    <w:p w:rsidR="00330CF1" w:rsidRDefault="00330CF1" w:rsidP="003C4077"/>
    <w:p w:rsidR="00330CF1" w:rsidRDefault="00330CF1" w:rsidP="003C4077">
      <w:pPr>
        <w:rPr>
          <w:rFonts w:ascii="Arial" w:hAnsi="Arial" w:cs="Arial"/>
        </w:rPr>
      </w:pPr>
      <w:r>
        <w:t xml:space="preserve">     </w:t>
      </w:r>
      <w:r>
        <w:rPr>
          <w:rFonts w:ascii="Arial" w:hAnsi="Arial" w:cs="Arial"/>
        </w:rPr>
        <w:t xml:space="preserve">All kittens were born and raised at The University of Tennessee Veterinary Medical Center and Research facility and their care was in compliance with the Guide for the Use and Care of Laboratory Animals. The experimental protocol was approved by the Institutional Animal Care and Use Committee. </w:t>
      </w:r>
    </w:p>
    <w:p w:rsidR="00330CF1" w:rsidRDefault="00330CF1" w:rsidP="003C4077">
      <w:pPr>
        <w:rPr>
          <w:rFonts w:ascii="Arial" w:hAnsi="Arial" w:cs="Arial"/>
        </w:rPr>
      </w:pPr>
    </w:p>
    <w:p w:rsidR="00330CF1" w:rsidRPr="00F13840" w:rsidRDefault="00330CF1" w:rsidP="00F13840">
      <w:pPr>
        <w:rPr>
          <w:rFonts w:ascii="Arial" w:hAnsi="Arial" w:cs="Arial"/>
        </w:rPr>
      </w:pPr>
      <w:r>
        <w:rPr>
          <w:rFonts w:ascii="Arial" w:hAnsi="Arial" w:cs="Arial"/>
        </w:rPr>
        <w:lastRenderedPageBreak/>
        <w:t xml:space="preserve"> </w:t>
      </w:r>
      <w:r>
        <w:rPr>
          <w:rFonts w:ascii="Arial" w:hAnsi="Arial" w:cs="Arial"/>
          <w:b/>
        </w:rPr>
        <w:t xml:space="preserve">Animals: </w:t>
      </w:r>
      <w:r>
        <w:rPr>
          <w:rFonts w:ascii="Arial" w:hAnsi="Arial" w:cs="Arial"/>
        </w:rPr>
        <w:t xml:space="preserve">Twenty-four 9 to 19 week old domestic short-hair kittens born over a 3 </w:t>
      </w:r>
      <w:r w:rsidRPr="00F13840">
        <w:rPr>
          <w:rFonts w:ascii="Arial" w:hAnsi="Arial" w:cs="Arial"/>
        </w:rPr>
        <w:t>year</w:t>
      </w:r>
      <w:r>
        <w:rPr>
          <w:rFonts w:ascii="Arial" w:hAnsi="Arial" w:cs="Arial"/>
        </w:rPr>
        <w:t xml:space="preserve"> </w:t>
      </w:r>
      <w:r w:rsidRPr="00F13840">
        <w:rPr>
          <w:rFonts w:ascii="Arial" w:hAnsi="Arial" w:cs="Arial"/>
        </w:rPr>
        <w:t>period (five litters total) were used for the growth feeding trial. The kittens were given physical examinations and were deemed healthy and tested for intestinal parasites one to three days prior to starting the feeding trial.  All kittens were born from the same queen and tom.   Kittens were weaned at 6-7 weeks of age and eating solid food prior to beginning of the feeding trial at 9 weeks of age.  All kittens were weaned on both a canned</w:t>
      </w:r>
      <w:r w:rsidRPr="00F13840">
        <w:rPr>
          <w:rFonts w:ascii="Arial" w:hAnsi="Arial" w:cs="Arial"/>
          <w:vertAlign w:val="superscript"/>
        </w:rPr>
        <w:t>6</w:t>
      </w:r>
      <w:r w:rsidRPr="00F13840">
        <w:rPr>
          <w:rFonts w:ascii="Arial" w:hAnsi="Arial" w:cs="Arial"/>
        </w:rPr>
        <w:t xml:space="preserve"> and dry extruded growth diet</w:t>
      </w:r>
      <w:r w:rsidRPr="00F13840">
        <w:rPr>
          <w:rFonts w:ascii="Arial" w:hAnsi="Arial" w:cs="Arial"/>
          <w:vertAlign w:val="superscript"/>
        </w:rPr>
        <w:t>7</w:t>
      </w:r>
      <w:r w:rsidRPr="00F13840">
        <w:rPr>
          <w:rFonts w:ascii="Arial" w:hAnsi="Arial" w:cs="Arial"/>
        </w:rPr>
        <w:t xml:space="preserve">. The kittens were housed in individual metabolism cages during the feeding trial and allowed daily group play.   At the end of the study, the kittens were transferred to a permanent feline colony that is used for dietary and other non-invasive research or adopted out to private homes.  </w:t>
      </w:r>
    </w:p>
    <w:p w:rsidR="00330CF1" w:rsidRDefault="00330CF1" w:rsidP="004E3CA6">
      <w:pPr>
        <w:pStyle w:val="Heading3"/>
      </w:pPr>
      <w:r w:rsidRPr="00C42E6F">
        <w:rPr>
          <w:i w:val="0"/>
        </w:rPr>
        <w:t>Diet</w:t>
      </w:r>
      <w:r w:rsidRPr="00C42E6F">
        <w:rPr>
          <w:b w:val="0"/>
          <w:i w:val="0"/>
        </w:rPr>
        <w:t>: The kittens were randomized to 3 different dietary groups via a random numbers table for the AAFCO growth feeding protocol.  Each diet group consisted of 8 kittens.  Diet Group A</w:t>
      </w:r>
      <w:r w:rsidRPr="00C42E6F">
        <w:rPr>
          <w:b w:val="0"/>
          <w:i w:val="0"/>
          <w:vertAlign w:val="superscript"/>
        </w:rPr>
        <w:t>1</w:t>
      </w:r>
      <w:r w:rsidRPr="00C42E6F">
        <w:rPr>
          <w:b w:val="0"/>
          <w:i w:val="0"/>
        </w:rPr>
        <w:t xml:space="preserve"> (5 males, 3 females) </w:t>
      </w:r>
      <w:r w:rsidRPr="008F5C91">
        <w:rPr>
          <w:b w:val="0"/>
          <w:i w:val="0"/>
        </w:rPr>
        <w:t>was</w:t>
      </w:r>
      <w:r w:rsidRPr="00C42E6F">
        <w:rPr>
          <w:b w:val="0"/>
          <w:i w:val="0"/>
        </w:rPr>
        <w:t xml:space="preserve"> fed a commercial heat-processed food that is nutritionally adequate for all life stages as determined by AAFCO guidelines.  This diet was a canned food and was chosen to closely match a raw diet moisture and nutrient content.  This was the control diet.  Treatment Group B</w:t>
      </w:r>
      <w:r w:rsidRPr="00C42E6F">
        <w:rPr>
          <w:b w:val="0"/>
          <w:i w:val="0"/>
          <w:vertAlign w:val="superscript"/>
        </w:rPr>
        <w:t>2</w:t>
      </w:r>
      <w:r w:rsidRPr="00C42E6F">
        <w:rPr>
          <w:b w:val="0"/>
          <w:i w:val="0"/>
        </w:rPr>
        <w:t xml:space="preserve"> (5 males, 3 females) </w:t>
      </w:r>
      <w:r>
        <w:rPr>
          <w:b w:val="0"/>
          <w:i w:val="0"/>
        </w:rPr>
        <w:t>was</w:t>
      </w:r>
      <w:r w:rsidRPr="00C42E6F">
        <w:rPr>
          <w:b w:val="0"/>
          <w:i w:val="0"/>
        </w:rPr>
        <w:t xml:space="preserve"> fed a commercial frozen raw diet.  Treatment Group C</w:t>
      </w:r>
      <w:r w:rsidRPr="00C42E6F">
        <w:rPr>
          <w:b w:val="0"/>
          <w:i w:val="0"/>
          <w:vertAlign w:val="superscript"/>
        </w:rPr>
        <w:t>3,</w:t>
      </w:r>
      <w:r>
        <w:rPr>
          <w:b w:val="0"/>
          <w:i w:val="0"/>
          <w:vertAlign w:val="superscript"/>
        </w:rPr>
        <w:t>4</w:t>
      </w:r>
      <w:r w:rsidRPr="00C42E6F">
        <w:rPr>
          <w:b w:val="0"/>
          <w:i w:val="0"/>
        </w:rPr>
        <w:t xml:space="preserve"> (6 males, 2 females)</w:t>
      </w:r>
      <w:r>
        <w:rPr>
          <w:b w:val="0"/>
          <w:i w:val="0"/>
        </w:rPr>
        <w:t xml:space="preserve"> was </w:t>
      </w:r>
      <w:r w:rsidRPr="00C42E6F">
        <w:rPr>
          <w:b w:val="0"/>
          <w:i w:val="0"/>
        </w:rPr>
        <w:t>fed a home-prepared raw food diet</w:t>
      </w:r>
      <w:r>
        <w:rPr>
          <w:b w:val="0"/>
          <w:i w:val="0"/>
        </w:rPr>
        <w:t>.  This</w:t>
      </w:r>
      <w:r w:rsidRPr="00C42E6F">
        <w:rPr>
          <w:b w:val="0"/>
          <w:i w:val="0"/>
        </w:rPr>
        <w:t xml:space="preserve"> diet was made with raw chicken</w:t>
      </w:r>
      <w:r>
        <w:rPr>
          <w:b w:val="0"/>
          <w:i w:val="0"/>
          <w:vertAlign w:val="superscript"/>
        </w:rPr>
        <w:t>4</w:t>
      </w:r>
      <w:r w:rsidRPr="00C42E6F">
        <w:rPr>
          <w:b w:val="0"/>
          <w:i w:val="0"/>
        </w:rPr>
        <w:t xml:space="preserve"> obtained from a local grocery store and mixed, according to manufacturer’s instructions, with a popular commercial food supplement</w:t>
      </w:r>
      <w:r w:rsidRPr="00C42E6F">
        <w:rPr>
          <w:b w:val="0"/>
          <w:i w:val="0"/>
          <w:vertAlign w:val="superscript"/>
        </w:rPr>
        <w:t>3</w:t>
      </w:r>
      <w:r w:rsidRPr="00C42E6F">
        <w:rPr>
          <w:b w:val="0"/>
          <w:i w:val="0"/>
        </w:rPr>
        <w:t xml:space="preserve"> designed to balance a raw meat diet.  Table </w:t>
      </w:r>
      <w:r>
        <w:rPr>
          <w:b w:val="0"/>
          <w:i w:val="0"/>
        </w:rPr>
        <w:t>2.</w:t>
      </w:r>
      <w:r w:rsidRPr="00C42E6F">
        <w:rPr>
          <w:b w:val="0"/>
          <w:i w:val="0"/>
        </w:rPr>
        <w:t>1 is an analysis of the macronutrient content of each diet on a dry matter basis as determined by a commercial laboratory.</w:t>
      </w:r>
      <w:r>
        <w:rPr>
          <w:b w:val="0"/>
          <w:i w:val="0"/>
          <w:vertAlign w:val="superscript"/>
        </w:rPr>
        <w:t>5</w:t>
      </w:r>
      <w:r w:rsidRPr="00C42E6F">
        <w:rPr>
          <w:b w:val="0"/>
          <w:i w:val="0"/>
        </w:rPr>
        <w:t xml:space="preserve"> </w:t>
      </w:r>
      <w:r>
        <w:rPr>
          <w:b w:val="0"/>
          <w:i w:val="0"/>
        </w:rPr>
        <w:t xml:space="preserve"> </w:t>
      </w:r>
      <w:r w:rsidRPr="00C42E6F">
        <w:rPr>
          <w:b w:val="0"/>
          <w:i w:val="0"/>
        </w:rPr>
        <w:t>The homemade diet was prepared every 2 weeks and immediately frozen.  All raw foods were kept frozen until 1 day before feeding, when they were transferred to a refrigerator in preparation for feeding the next day.  Each group was fed three times daily a quantity of food in excess of daily needs to ensure adequate food intake.  In accordance with AAFCO protocols, the length of the feeding trial was 10 weeks.  Water was available at all times</w:t>
      </w:r>
      <w:r w:rsidRPr="00F64A2D">
        <w:t xml:space="preserve">.  </w:t>
      </w:r>
    </w:p>
    <w:p w:rsidR="00330CF1" w:rsidRDefault="00330CF1" w:rsidP="00F64A2D">
      <w:pPr>
        <w:rPr>
          <w:rFonts w:ascii="Arial" w:hAnsi="Arial" w:cs="Arial"/>
        </w:rPr>
      </w:pPr>
    </w:p>
    <w:p w:rsidR="00330CF1" w:rsidRDefault="00330CF1" w:rsidP="00F64A2D">
      <w:pPr>
        <w:rPr>
          <w:rFonts w:ascii="Arial" w:hAnsi="Arial" w:cs="Arial"/>
        </w:rPr>
      </w:pPr>
    </w:p>
    <w:p w:rsidR="00330CF1" w:rsidRDefault="00330CF1" w:rsidP="00F64A2D">
      <w:pPr>
        <w:rPr>
          <w:rFonts w:ascii="Arial" w:hAnsi="Arial" w:cs="Arial"/>
        </w:rPr>
      </w:pPr>
    </w:p>
    <w:p w:rsidR="00330CF1" w:rsidRDefault="00330CF1" w:rsidP="00F64A2D">
      <w:pPr>
        <w:rPr>
          <w:rFonts w:ascii="Arial" w:hAnsi="Arial" w:cs="Arial"/>
        </w:rPr>
      </w:pPr>
    </w:p>
    <w:p w:rsidR="00330CF1" w:rsidRDefault="00330CF1" w:rsidP="00F64A2D">
      <w:pPr>
        <w:rPr>
          <w:rFonts w:ascii="Arial" w:hAnsi="Arial" w:cs="Arial"/>
        </w:rPr>
      </w:pPr>
    </w:p>
    <w:p w:rsidR="00330CF1" w:rsidRDefault="00330CF1" w:rsidP="00F64A2D">
      <w:pPr>
        <w:rPr>
          <w:rFonts w:ascii="Arial" w:hAnsi="Arial" w:cs="Arial"/>
        </w:rPr>
      </w:pPr>
    </w:p>
    <w:p w:rsidR="00330CF1" w:rsidRDefault="00330CF1" w:rsidP="00F64A2D">
      <w:pPr>
        <w:rPr>
          <w:rFonts w:ascii="Arial" w:hAnsi="Arial" w:cs="Arial"/>
        </w:rPr>
      </w:pPr>
    </w:p>
    <w:p w:rsidR="00330CF1" w:rsidRDefault="00330CF1" w:rsidP="00F64A2D">
      <w:pPr>
        <w:rPr>
          <w:rFonts w:ascii="Arial" w:hAnsi="Arial" w:cs="Arial"/>
        </w:rPr>
      </w:pPr>
    </w:p>
    <w:p w:rsidR="00330CF1" w:rsidRDefault="00330CF1" w:rsidP="00F64A2D">
      <w:pPr>
        <w:rPr>
          <w:rFonts w:ascii="Arial" w:hAnsi="Arial" w:cs="Arial"/>
        </w:rPr>
      </w:pPr>
    </w:p>
    <w:p w:rsidR="00330CF1" w:rsidRDefault="00330CF1" w:rsidP="00F64A2D">
      <w:pPr>
        <w:rPr>
          <w:rFonts w:ascii="Arial" w:hAnsi="Arial" w:cs="Arial"/>
        </w:rPr>
      </w:pPr>
    </w:p>
    <w:p w:rsidR="00330CF1" w:rsidRDefault="00330CF1" w:rsidP="00F64A2D">
      <w:pPr>
        <w:rPr>
          <w:rFonts w:ascii="Arial" w:hAnsi="Arial" w:cs="Arial"/>
        </w:rPr>
      </w:pPr>
      <w:r>
        <w:rPr>
          <w:rFonts w:ascii="Arial" w:hAnsi="Arial" w:cs="Arial"/>
        </w:rPr>
        <w:t>___________________________________________________________________</w:t>
      </w:r>
    </w:p>
    <w:p w:rsidR="00330CF1" w:rsidRPr="000238DF" w:rsidRDefault="00330CF1" w:rsidP="000238DF">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0238DF">
        <w:rPr>
          <w:rFonts w:ascii="Arial" w:hAnsi="Arial" w:cs="Arial"/>
          <w:sz w:val="20"/>
          <w:szCs w:val="20"/>
        </w:rPr>
        <w:t>Evo – Turkey and Chicken Canned Cat and Kitten Cat Food. Natura Pet Foods, Santa Clara, CA</w:t>
      </w:r>
    </w:p>
    <w:p w:rsidR="00330CF1" w:rsidRPr="000238DF" w:rsidRDefault="00330CF1" w:rsidP="000238DF">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  </w:t>
      </w:r>
      <w:r w:rsidRPr="000238DF">
        <w:rPr>
          <w:rFonts w:ascii="Arial" w:hAnsi="Arial" w:cs="Arial"/>
          <w:sz w:val="20"/>
          <w:szCs w:val="20"/>
        </w:rPr>
        <w:t xml:space="preserve">Wild Kitty Raw All Natural Cat Food – Chicken and Clam frozen raw diet.  Wild Kitty Cat Food, </w:t>
      </w:r>
      <w:r>
        <w:rPr>
          <w:rFonts w:ascii="Arial" w:hAnsi="Arial" w:cs="Arial"/>
          <w:sz w:val="20"/>
          <w:szCs w:val="20"/>
        </w:rPr>
        <w:t xml:space="preserve">     </w:t>
      </w:r>
      <w:r w:rsidRPr="000238DF">
        <w:rPr>
          <w:rFonts w:ascii="Arial" w:hAnsi="Arial" w:cs="Arial"/>
          <w:sz w:val="20"/>
          <w:szCs w:val="20"/>
        </w:rPr>
        <w:t xml:space="preserve">Kennebunkport, ME. </w:t>
      </w:r>
    </w:p>
    <w:p w:rsidR="00330CF1" w:rsidRPr="000238DF" w:rsidRDefault="00330CF1" w:rsidP="000238DF">
      <w:pPr>
        <w:rPr>
          <w:rFonts w:ascii="Arial" w:hAnsi="Arial" w:cs="Arial"/>
          <w:sz w:val="20"/>
          <w:szCs w:val="20"/>
        </w:rPr>
      </w:pPr>
      <w:r>
        <w:rPr>
          <w:rFonts w:ascii="Arial" w:hAnsi="Arial" w:cs="Arial"/>
          <w:sz w:val="20"/>
          <w:szCs w:val="20"/>
          <w:vertAlign w:val="superscript"/>
        </w:rPr>
        <w:t>3</w:t>
      </w:r>
      <w:r>
        <w:rPr>
          <w:rFonts w:ascii="Arial" w:hAnsi="Arial" w:cs="Arial"/>
          <w:sz w:val="20"/>
          <w:szCs w:val="20"/>
        </w:rPr>
        <w:t xml:space="preserve">  </w:t>
      </w:r>
      <w:r w:rsidRPr="000238DF">
        <w:rPr>
          <w:rFonts w:ascii="Arial" w:hAnsi="Arial" w:cs="Arial"/>
          <w:sz w:val="20"/>
          <w:szCs w:val="20"/>
        </w:rPr>
        <w:t>TCFeline Plus Cat Food Premix with beef liver.  TCFeline®, Salt Spring Island, BC, Canada</w:t>
      </w:r>
    </w:p>
    <w:p w:rsidR="00330CF1" w:rsidRPr="000238DF" w:rsidRDefault="00330CF1" w:rsidP="000238DF">
      <w:pPr>
        <w:rPr>
          <w:rFonts w:ascii="Arial" w:hAnsi="Arial" w:cs="Arial"/>
          <w:sz w:val="20"/>
          <w:szCs w:val="20"/>
        </w:rPr>
      </w:pPr>
      <w:r>
        <w:rPr>
          <w:rFonts w:ascii="Arial" w:hAnsi="Arial" w:cs="Arial"/>
          <w:sz w:val="20"/>
          <w:szCs w:val="20"/>
          <w:vertAlign w:val="superscript"/>
        </w:rPr>
        <w:t>4</w:t>
      </w:r>
      <w:r>
        <w:rPr>
          <w:rFonts w:ascii="Arial" w:hAnsi="Arial" w:cs="Arial"/>
          <w:sz w:val="20"/>
          <w:szCs w:val="20"/>
        </w:rPr>
        <w:t xml:space="preserve">  </w:t>
      </w:r>
      <w:r w:rsidRPr="000238DF">
        <w:rPr>
          <w:rFonts w:ascii="Arial" w:hAnsi="Arial" w:cs="Arial"/>
          <w:sz w:val="20"/>
          <w:szCs w:val="20"/>
        </w:rPr>
        <w:t>Tyson boneless, skinless chicken breast. Tyson Foods Inc., Springdale, AR</w:t>
      </w:r>
    </w:p>
    <w:p w:rsidR="00330CF1" w:rsidRPr="000238DF" w:rsidRDefault="00330CF1" w:rsidP="000238DF">
      <w:pPr>
        <w:rPr>
          <w:rFonts w:ascii="Arial" w:hAnsi="Arial" w:cs="Arial"/>
          <w:sz w:val="20"/>
          <w:szCs w:val="20"/>
        </w:rPr>
      </w:pPr>
      <w:r>
        <w:rPr>
          <w:rFonts w:ascii="Arial" w:hAnsi="Arial" w:cs="Arial"/>
          <w:sz w:val="20"/>
          <w:szCs w:val="20"/>
          <w:vertAlign w:val="superscript"/>
        </w:rPr>
        <w:t>5</w:t>
      </w:r>
      <w:r>
        <w:rPr>
          <w:rFonts w:ascii="Arial" w:hAnsi="Arial" w:cs="Arial"/>
          <w:sz w:val="20"/>
          <w:szCs w:val="20"/>
        </w:rPr>
        <w:t xml:space="preserve">  </w:t>
      </w:r>
      <w:r w:rsidRPr="000238DF">
        <w:rPr>
          <w:rFonts w:ascii="Arial" w:hAnsi="Arial" w:cs="Arial"/>
          <w:sz w:val="20"/>
          <w:szCs w:val="20"/>
        </w:rPr>
        <w:t>Petfood testing services, Eurofin US.  Des Moines, IA.</w:t>
      </w:r>
    </w:p>
    <w:p w:rsidR="00330CF1" w:rsidRDefault="00330CF1" w:rsidP="000238DF">
      <w:pPr>
        <w:rPr>
          <w:rFonts w:ascii="Arial" w:hAnsi="Arial" w:cs="Arial"/>
          <w:sz w:val="20"/>
          <w:szCs w:val="20"/>
        </w:rPr>
      </w:pPr>
    </w:p>
    <w:p w:rsidR="00330CF1" w:rsidRDefault="00330CF1" w:rsidP="00F64A2D">
      <w:pPr>
        <w:rPr>
          <w:rFonts w:ascii="Arial" w:hAnsi="Arial" w:cs="Arial"/>
        </w:rPr>
      </w:pPr>
    </w:p>
    <w:p w:rsidR="00330CF1" w:rsidRDefault="00330CF1" w:rsidP="0075360E">
      <w:pPr>
        <w:rPr>
          <w:rFonts w:ascii="Arial" w:hAnsi="Arial" w:cs="Arial"/>
        </w:rPr>
      </w:pPr>
      <w:r w:rsidRPr="000A7043">
        <w:rPr>
          <w:rFonts w:ascii="Arial" w:hAnsi="Arial" w:cs="Arial"/>
          <w:b/>
        </w:rPr>
        <w:lastRenderedPageBreak/>
        <w:t>Table 2.1</w:t>
      </w:r>
      <w:r>
        <w:rPr>
          <w:rFonts w:ascii="Arial" w:hAnsi="Arial" w:cs="Arial"/>
        </w:rPr>
        <w:t xml:space="preserve"> Analyzed nutrient composition of diets- (percentage on dry matter basis)</w:t>
      </w:r>
    </w:p>
    <w:p w:rsidR="00330CF1" w:rsidRDefault="00330CF1" w:rsidP="00261260">
      <w:pPr>
        <w:jc w:val="center"/>
        <w:rPr>
          <w:rFonts w:ascii="Arial" w:hAnsi="Arial" w:cs="Arial"/>
        </w:rPr>
      </w:pPr>
    </w:p>
    <w:tbl>
      <w:tblPr>
        <w:tblStyle w:val="TableGrid"/>
        <w:tblW w:w="0" w:type="auto"/>
        <w:tblLook w:val="04A0" w:firstRow="1" w:lastRow="0" w:firstColumn="1" w:lastColumn="0" w:noHBand="0" w:noVBand="1"/>
      </w:tblPr>
      <w:tblGrid>
        <w:gridCol w:w="2214"/>
        <w:gridCol w:w="2214"/>
        <w:gridCol w:w="2214"/>
        <w:gridCol w:w="2214"/>
      </w:tblGrid>
      <w:tr w:rsidR="00330CF1" w:rsidTr="00A92B8E">
        <w:tc>
          <w:tcPr>
            <w:tcW w:w="2214" w:type="dxa"/>
          </w:tcPr>
          <w:p w:rsidR="00330CF1" w:rsidRDefault="00330CF1" w:rsidP="00A92B8E">
            <w:pPr>
              <w:rPr>
                <w:rFonts w:ascii="Arial" w:hAnsi="Arial" w:cs="Arial"/>
              </w:rPr>
            </w:pPr>
          </w:p>
        </w:tc>
        <w:tc>
          <w:tcPr>
            <w:tcW w:w="2214" w:type="dxa"/>
          </w:tcPr>
          <w:p w:rsidR="00330CF1" w:rsidRDefault="00330CF1" w:rsidP="00A92B8E">
            <w:pPr>
              <w:jc w:val="center"/>
              <w:rPr>
                <w:rFonts w:ascii="Arial" w:hAnsi="Arial" w:cs="Arial"/>
              </w:rPr>
            </w:pPr>
            <w:r>
              <w:rPr>
                <w:rFonts w:ascii="Arial" w:hAnsi="Arial" w:cs="Arial"/>
              </w:rPr>
              <w:t>Control</w:t>
            </w:r>
          </w:p>
        </w:tc>
        <w:tc>
          <w:tcPr>
            <w:tcW w:w="2214" w:type="dxa"/>
          </w:tcPr>
          <w:p w:rsidR="00330CF1" w:rsidRDefault="00330CF1" w:rsidP="00A92B8E">
            <w:pPr>
              <w:jc w:val="center"/>
              <w:rPr>
                <w:rFonts w:ascii="Arial" w:hAnsi="Arial" w:cs="Arial"/>
              </w:rPr>
            </w:pPr>
            <w:r>
              <w:rPr>
                <w:rFonts w:ascii="Arial" w:hAnsi="Arial" w:cs="Arial"/>
              </w:rPr>
              <w:t>Commercial Raw</w:t>
            </w:r>
          </w:p>
        </w:tc>
        <w:tc>
          <w:tcPr>
            <w:tcW w:w="2214" w:type="dxa"/>
          </w:tcPr>
          <w:p w:rsidR="00330CF1" w:rsidRDefault="00330CF1" w:rsidP="00A92B8E">
            <w:pPr>
              <w:jc w:val="center"/>
              <w:rPr>
                <w:rFonts w:ascii="Arial" w:hAnsi="Arial" w:cs="Arial"/>
              </w:rPr>
            </w:pPr>
            <w:r>
              <w:rPr>
                <w:rFonts w:ascii="Arial" w:hAnsi="Arial" w:cs="Arial"/>
              </w:rPr>
              <w:t>Homemade Raw</w:t>
            </w:r>
          </w:p>
        </w:tc>
      </w:tr>
      <w:tr w:rsidR="00330CF1" w:rsidTr="00A92B8E">
        <w:tc>
          <w:tcPr>
            <w:tcW w:w="2214" w:type="dxa"/>
          </w:tcPr>
          <w:p w:rsidR="00330CF1" w:rsidRDefault="00330CF1" w:rsidP="00A92B8E">
            <w:pPr>
              <w:rPr>
                <w:rFonts w:ascii="Arial" w:hAnsi="Arial" w:cs="Arial"/>
              </w:rPr>
            </w:pPr>
            <w:r>
              <w:rPr>
                <w:rFonts w:ascii="Arial" w:hAnsi="Arial" w:cs="Arial"/>
              </w:rPr>
              <w:t>Crude Protein</w:t>
            </w:r>
          </w:p>
        </w:tc>
        <w:tc>
          <w:tcPr>
            <w:tcW w:w="2214" w:type="dxa"/>
          </w:tcPr>
          <w:p w:rsidR="00330CF1" w:rsidRDefault="00330CF1" w:rsidP="00A92B8E">
            <w:pPr>
              <w:jc w:val="center"/>
              <w:rPr>
                <w:rFonts w:ascii="Arial" w:hAnsi="Arial" w:cs="Arial"/>
              </w:rPr>
            </w:pPr>
            <w:r>
              <w:rPr>
                <w:rFonts w:ascii="Arial" w:hAnsi="Arial" w:cs="Arial"/>
              </w:rPr>
              <w:t>46.7%</w:t>
            </w:r>
          </w:p>
        </w:tc>
        <w:tc>
          <w:tcPr>
            <w:tcW w:w="2214" w:type="dxa"/>
          </w:tcPr>
          <w:p w:rsidR="00330CF1" w:rsidRDefault="00330CF1" w:rsidP="00A92B8E">
            <w:pPr>
              <w:jc w:val="center"/>
              <w:rPr>
                <w:rFonts w:ascii="Arial" w:hAnsi="Arial" w:cs="Arial"/>
              </w:rPr>
            </w:pPr>
            <w:r>
              <w:rPr>
                <w:rFonts w:ascii="Arial" w:hAnsi="Arial" w:cs="Arial"/>
              </w:rPr>
              <w:t>49.7%</w:t>
            </w:r>
          </w:p>
        </w:tc>
        <w:tc>
          <w:tcPr>
            <w:tcW w:w="2214" w:type="dxa"/>
          </w:tcPr>
          <w:p w:rsidR="00330CF1" w:rsidRDefault="00330CF1" w:rsidP="00A92B8E">
            <w:pPr>
              <w:jc w:val="center"/>
              <w:rPr>
                <w:rFonts w:ascii="Arial" w:hAnsi="Arial" w:cs="Arial"/>
              </w:rPr>
            </w:pPr>
            <w:r>
              <w:rPr>
                <w:rFonts w:ascii="Arial" w:hAnsi="Arial" w:cs="Arial"/>
              </w:rPr>
              <w:t>78.3%</w:t>
            </w:r>
          </w:p>
        </w:tc>
      </w:tr>
      <w:tr w:rsidR="00330CF1" w:rsidTr="00A92B8E">
        <w:tc>
          <w:tcPr>
            <w:tcW w:w="2214" w:type="dxa"/>
          </w:tcPr>
          <w:p w:rsidR="00330CF1" w:rsidRDefault="00330CF1" w:rsidP="00A92B8E">
            <w:pPr>
              <w:rPr>
                <w:rFonts w:ascii="Arial" w:hAnsi="Arial" w:cs="Arial"/>
              </w:rPr>
            </w:pPr>
            <w:r>
              <w:rPr>
                <w:rFonts w:ascii="Arial" w:hAnsi="Arial" w:cs="Arial"/>
              </w:rPr>
              <w:t>Crude Fat</w:t>
            </w:r>
          </w:p>
        </w:tc>
        <w:tc>
          <w:tcPr>
            <w:tcW w:w="2214" w:type="dxa"/>
          </w:tcPr>
          <w:p w:rsidR="00330CF1" w:rsidRDefault="00330CF1" w:rsidP="00A92B8E">
            <w:pPr>
              <w:jc w:val="center"/>
              <w:rPr>
                <w:rFonts w:ascii="Arial" w:hAnsi="Arial" w:cs="Arial"/>
              </w:rPr>
            </w:pPr>
            <w:r>
              <w:rPr>
                <w:rFonts w:ascii="Arial" w:hAnsi="Arial" w:cs="Arial"/>
              </w:rPr>
              <w:t>37.8%</w:t>
            </w:r>
          </w:p>
        </w:tc>
        <w:tc>
          <w:tcPr>
            <w:tcW w:w="2214" w:type="dxa"/>
          </w:tcPr>
          <w:p w:rsidR="00330CF1" w:rsidRDefault="00330CF1" w:rsidP="00A92B8E">
            <w:pPr>
              <w:jc w:val="center"/>
              <w:rPr>
                <w:rFonts w:ascii="Arial" w:hAnsi="Arial" w:cs="Arial"/>
              </w:rPr>
            </w:pPr>
            <w:r>
              <w:rPr>
                <w:rFonts w:ascii="Arial" w:hAnsi="Arial" w:cs="Arial"/>
              </w:rPr>
              <w:t>34.2%</w:t>
            </w:r>
          </w:p>
        </w:tc>
        <w:tc>
          <w:tcPr>
            <w:tcW w:w="2214" w:type="dxa"/>
          </w:tcPr>
          <w:p w:rsidR="00330CF1" w:rsidRDefault="00330CF1" w:rsidP="00A92B8E">
            <w:pPr>
              <w:jc w:val="center"/>
              <w:rPr>
                <w:rFonts w:ascii="Arial" w:hAnsi="Arial" w:cs="Arial"/>
              </w:rPr>
            </w:pPr>
            <w:r>
              <w:rPr>
                <w:rFonts w:ascii="Arial" w:hAnsi="Arial" w:cs="Arial"/>
              </w:rPr>
              <w:t>12.2%</w:t>
            </w:r>
          </w:p>
        </w:tc>
      </w:tr>
      <w:tr w:rsidR="00330CF1" w:rsidTr="00A92B8E">
        <w:tc>
          <w:tcPr>
            <w:tcW w:w="2214" w:type="dxa"/>
          </w:tcPr>
          <w:p w:rsidR="00330CF1" w:rsidRDefault="00330CF1" w:rsidP="00A92B8E">
            <w:pPr>
              <w:rPr>
                <w:rFonts w:ascii="Arial" w:hAnsi="Arial" w:cs="Arial"/>
              </w:rPr>
            </w:pPr>
            <w:r>
              <w:rPr>
                <w:rFonts w:ascii="Arial" w:hAnsi="Arial" w:cs="Arial"/>
              </w:rPr>
              <w:t>Crude Fiber</w:t>
            </w:r>
          </w:p>
        </w:tc>
        <w:tc>
          <w:tcPr>
            <w:tcW w:w="2214" w:type="dxa"/>
          </w:tcPr>
          <w:p w:rsidR="00330CF1" w:rsidRDefault="00330CF1" w:rsidP="00A92B8E">
            <w:pPr>
              <w:jc w:val="center"/>
              <w:rPr>
                <w:rFonts w:ascii="Arial" w:hAnsi="Arial" w:cs="Arial"/>
              </w:rPr>
            </w:pPr>
            <w:r>
              <w:rPr>
                <w:rFonts w:ascii="Arial" w:hAnsi="Arial" w:cs="Arial"/>
              </w:rPr>
              <w:t>0.60%</w:t>
            </w:r>
          </w:p>
        </w:tc>
        <w:tc>
          <w:tcPr>
            <w:tcW w:w="2214" w:type="dxa"/>
          </w:tcPr>
          <w:p w:rsidR="00330CF1" w:rsidRDefault="00330CF1" w:rsidP="00A92B8E">
            <w:pPr>
              <w:jc w:val="center"/>
              <w:rPr>
                <w:rFonts w:ascii="Arial" w:hAnsi="Arial" w:cs="Arial"/>
              </w:rPr>
            </w:pPr>
            <w:r>
              <w:rPr>
                <w:rFonts w:ascii="Arial" w:hAnsi="Arial" w:cs="Arial"/>
              </w:rPr>
              <w:t>0.88%</w:t>
            </w:r>
          </w:p>
        </w:tc>
        <w:tc>
          <w:tcPr>
            <w:tcW w:w="2214" w:type="dxa"/>
          </w:tcPr>
          <w:p w:rsidR="00330CF1" w:rsidRDefault="00330CF1" w:rsidP="00A92B8E">
            <w:pPr>
              <w:jc w:val="center"/>
              <w:rPr>
                <w:rFonts w:ascii="Arial" w:hAnsi="Arial" w:cs="Arial"/>
              </w:rPr>
            </w:pPr>
            <w:r>
              <w:rPr>
                <w:rFonts w:ascii="Arial" w:hAnsi="Arial" w:cs="Arial"/>
              </w:rPr>
              <w:t>0.16%</w:t>
            </w:r>
          </w:p>
        </w:tc>
      </w:tr>
      <w:tr w:rsidR="00330CF1" w:rsidTr="00A92B8E">
        <w:tc>
          <w:tcPr>
            <w:tcW w:w="2214" w:type="dxa"/>
          </w:tcPr>
          <w:p w:rsidR="00330CF1" w:rsidRDefault="00330CF1" w:rsidP="00A92B8E">
            <w:pPr>
              <w:rPr>
                <w:rFonts w:ascii="Arial" w:hAnsi="Arial" w:cs="Arial"/>
              </w:rPr>
            </w:pPr>
            <w:r>
              <w:rPr>
                <w:rFonts w:ascii="Arial" w:hAnsi="Arial" w:cs="Arial"/>
              </w:rPr>
              <w:t>Ash</w:t>
            </w:r>
          </w:p>
        </w:tc>
        <w:tc>
          <w:tcPr>
            <w:tcW w:w="2214" w:type="dxa"/>
          </w:tcPr>
          <w:p w:rsidR="00330CF1" w:rsidRDefault="00330CF1" w:rsidP="00A92B8E">
            <w:pPr>
              <w:jc w:val="center"/>
              <w:rPr>
                <w:rFonts w:ascii="Arial" w:hAnsi="Arial" w:cs="Arial"/>
              </w:rPr>
            </w:pPr>
            <w:r>
              <w:rPr>
                <w:rFonts w:ascii="Arial" w:hAnsi="Arial" w:cs="Arial"/>
              </w:rPr>
              <w:t>11.0%</w:t>
            </w:r>
          </w:p>
        </w:tc>
        <w:tc>
          <w:tcPr>
            <w:tcW w:w="2214" w:type="dxa"/>
          </w:tcPr>
          <w:p w:rsidR="00330CF1" w:rsidRDefault="00330CF1" w:rsidP="00A92B8E">
            <w:pPr>
              <w:jc w:val="center"/>
              <w:rPr>
                <w:rFonts w:ascii="Arial" w:hAnsi="Arial" w:cs="Arial"/>
              </w:rPr>
            </w:pPr>
            <w:r>
              <w:rPr>
                <w:rFonts w:ascii="Arial" w:hAnsi="Arial" w:cs="Arial"/>
              </w:rPr>
              <w:t>8.1%</w:t>
            </w:r>
          </w:p>
        </w:tc>
        <w:tc>
          <w:tcPr>
            <w:tcW w:w="2214" w:type="dxa"/>
          </w:tcPr>
          <w:p w:rsidR="00330CF1" w:rsidRDefault="00330CF1" w:rsidP="00A92B8E">
            <w:pPr>
              <w:jc w:val="center"/>
              <w:rPr>
                <w:rFonts w:ascii="Arial" w:hAnsi="Arial" w:cs="Arial"/>
              </w:rPr>
            </w:pPr>
            <w:r>
              <w:rPr>
                <w:rFonts w:ascii="Arial" w:hAnsi="Arial" w:cs="Arial"/>
              </w:rPr>
              <w:t>9.3%</w:t>
            </w:r>
          </w:p>
        </w:tc>
      </w:tr>
      <w:tr w:rsidR="00330CF1" w:rsidTr="00A92B8E">
        <w:tc>
          <w:tcPr>
            <w:tcW w:w="2214" w:type="dxa"/>
          </w:tcPr>
          <w:p w:rsidR="00330CF1" w:rsidRDefault="00330CF1" w:rsidP="00A92B8E">
            <w:pPr>
              <w:rPr>
                <w:rFonts w:ascii="Arial" w:hAnsi="Arial" w:cs="Arial"/>
              </w:rPr>
            </w:pPr>
            <w:r>
              <w:rPr>
                <w:rFonts w:ascii="Arial" w:hAnsi="Arial" w:cs="Arial"/>
              </w:rPr>
              <w:t>NFE</w:t>
            </w:r>
          </w:p>
        </w:tc>
        <w:tc>
          <w:tcPr>
            <w:tcW w:w="2214" w:type="dxa"/>
          </w:tcPr>
          <w:p w:rsidR="00330CF1" w:rsidRDefault="00330CF1" w:rsidP="00A92B8E">
            <w:pPr>
              <w:jc w:val="center"/>
              <w:rPr>
                <w:rFonts w:ascii="Arial" w:hAnsi="Arial" w:cs="Arial"/>
              </w:rPr>
            </w:pPr>
            <w:r>
              <w:rPr>
                <w:rFonts w:ascii="Arial" w:hAnsi="Arial" w:cs="Arial"/>
              </w:rPr>
              <w:t>3.9%</w:t>
            </w:r>
          </w:p>
        </w:tc>
        <w:tc>
          <w:tcPr>
            <w:tcW w:w="2214" w:type="dxa"/>
          </w:tcPr>
          <w:p w:rsidR="00330CF1" w:rsidRDefault="00330CF1" w:rsidP="00A92B8E">
            <w:pPr>
              <w:jc w:val="center"/>
              <w:rPr>
                <w:rFonts w:ascii="Arial" w:hAnsi="Arial" w:cs="Arial"/>
              </w:rPr>
            </w:pPr>
            <w:r>
              <w:rPr>
                <w:rFonts w:ascii="Arial" w:hAnsi="Arial" w:cs="Arial"/>
              </w:rPr>
              <w:t>7.3%</w:t>
            </w:r>
          </w:p>
        </w:tc>
        <w:tc>
          <w:tcPr>
            <w:tcW w:w="2214" w:type="dxa"/>
          </w:tcPr>
          <w:p w:rsidR="00330CF1" w:rsidRDefault="00330CF1" w:rsidP="00A92B8E">
            <w:pPr>
              <w:jc w:val="center"/>
              <w:rPr>
                <w:rFonts w:ascii="Arial" w:hAnsi="Arial" w:cs="Arial"/>
              </w:rPr>
            </w:pPr>
            <w:r>
              <w:rPr>
                <w:rFonts w:ascii="Arial" w:hAnsi="Arial" w:cs="Arial"/>
              </w:rPr>
              <w:t>0.0%</w:t>
            </w:r>
          </w:p>
        </w:tc>
      </w:tr>
      <w:tr w:rsidR="00330CF1" w:rsidTr="00A92B8E">
        <w:tc>
          <w:tcPr>
            <w:tcW w:w="2214" w:type="dxa"/>
          </w:tcPr>
          <w:p w:rsidR="00330CF1" w:rsidRDefault="00330CF1" w:rsidP="00A92B8E">
            <w:pPr>
              <w:rPr>
                <w:rFonts w:ascii="Arial" w:hAnsi="Arial" w:cs="Arial"/>
              </w:rPr>
            </w:pPr>
            <w:r>
              <w:rPr>
                <w:rFonts w:ascii="Arial" w:hAnsi="Arial" w:cs="Arial"/>
              </w:rPr>
              <w:t>Energy*</w:t>
            </w:r>
          </w:p>
        </w:tc>
        <w:tc>
          <w:tcPr>
            <w:tcW w:w="2214" w:type="dxa"/>
          </w:tcPr>
          <w:p w:rsidR="00330CF1" w:rsidRDefault="00330CF1" w:rsidP="00A92B8E">
            <w:pPr>
              <w:jc w:val="center"/>
              <w:rPr>
                <w:rFonts w:ascii="Arial" w:hAnsi="Arial" w:cs="Arial"/>
              </w:rPr>
            </w:pPr>
            <w:r>
              <w:rPr>
                <w:rFonts w:ascii="Arial" w:hAnsi="Arial" w:cs="Arial"/>
              </w:rPr>
              <w:t>1.76*</w:t>
            </w:r>
          </w:p>
        </w:tc>
        <w:tc>
          <w:tcPr>
            <w:tcW w:w="2214" w:type="dxa"/>
          </w:tcPr>
          <w:p w:rsidR="00330CF1" w:rsidRDefault="00330CF1" w:rsidP="00A92B8E">
            <w:pPr>
              <w:jc w:val="center"/>
              <w:rPr>
                <w:rFonts w:ascii="Arial" w:hAnsi="Arial" w:cs="Arial"/>
              </w:rPr>
            </w:pPr>
            <w:r>
              <w:rPr>
                <w:rFonts w:ascii="Arial" w:hAnsi="Arial" w:cs="Arial"/>
              </w:rPr>
              <w:t>1.85*</w:t>
            </w:r>
          </w:p>
        </w:tc>
        <w:tc>
          <w:tcPr>
            <w:tcW w:w="2214" w:type="dxa"/>
          </w:tcPr>
          <w:p w:rsidR="00330CF1" w:rsidRDefault="00330CF1" w:rsidP="00A92B8E">
            <w:pPr>
              <w:jc w:val="center"/>
              <w:rPr>
                <w:rFonts w:ascii="Arial" w:hAnsi="Arial" w:cs="Arial"/>
              </w:rPr>
            </w:pPr>
            <w:r>
              <w:rPr>
                <w:rFonts w:ascii="Arial" w:hAnsi="Arial" w:cs="Arial"/>
              </w:rPr>
              <w:t>1.17*</w:t>
            </w:r>
          </w:p>
        </w:tc>
      </w:tr>
      <w:tr w:rsidR="00330CF1" w:rsidTr="00A92B8E">
        <w:tc>
          <w:tcPr>
            <w:tcW w:w="2214" w:type="dxa"/>
          </w:tcPr>
          <w:p w:rsidR="00330CF1" w:rsidRDefault="00330CF1" w:rsidP="00A92B8E">
            <w:pPr>
              <w:rPr>
                <w:rFonts w:ascii="Arial" w:hAnsi="Arial" w:cs="Arial"/>
              </w:rPr>
            </w:pPr>
            <w:r>
              <w:rPr>
                <w:rFonts w:ascii="Arial" w:hAnsi="Arial" w:cs="Arial"/>
              </w:rPr>
              <w:t xml:space="preserve">Moisture </w:t>
            </w:r>
          </w:p>
        </w:tc>
        <w:tc>
          <w:tcPr>
            <w:tcW w:w="2214" w:type="dxa"/>
          </w:tcPr>
          <w:p w:rsidR="00330CF1" w:rsidRDefault="00330CF1" w:rsidP="00A92B8E">
            <w:pPr>
              <w:jc w:val="center"/>
              <w:rPr>
                <w:rFonts w:ascii="Arial" w:hAnsi="Arial" w:cs="Arial"/>
              </w:rPr>
            </w:pPr>
            <w:r>
              <w:rPr>
                <w:rFonts w:ascii="Arial" w:hAnsi="Arial" w:cs="Arial"/>
              </w:rPr>
              <w:t>71.81%</w:t>
            </w:r>
          </w:p>
        </w:tc>
        <w:tc>
          <w:tcPr>
            <w:tcW w:w="2214" w:type="dxa"/>
          </w:tcPr>
          <w:p w:rsidR="00330CF1" w:rsidRDefault="00330CF1" w:rsidP="00A92B8E">
            <w:pPr>
              <w:jc w:val="center"/>
              <w:rPr>
                <w:rFonts w:ascii="Arial" w:hAnsi="Arial" w:cs="Arial"/>
              </w:rPr>
            </w:pPr>
            <w:r>
              <w:rPr>
                <w:rFonts w:ascii="Arial" w:hAnsi="Arial" w:cs="Arial"/>
              </w:rPr>
              <w:t>70.73%</w:t>
            </w:r>
          </w:p>
        </w:tc>
        <w:tc>
          <w:tcPr>
            <w:tcW w:w="2214" w:type="dxa"/>
          </w:tcPr>
          <w:p w:rsidR="00330CF1" w:rsidRDefault="00330CF1" w:rsidP="00A92B8E">
            <w:pPr>
              <w:jc w:val="center"/>
              <w:rPr>
                <w:rFonts w:ascii="Arial" w:hAnsi="Arial" w:cs="Arial"/>
              </w:rPr>
            </w:pPr>
            <w:r>
              <w:rPr>
                <w:rFonts w:ascii="Arial" w:hAnsi="Arial" w:cs="Arial"/>
              </w:rPr>
              <w:t>78.58%</w:t>
            </w:r>
          </w:p>
        </w:tc>
      </w:tr>
      <w:tr w:rsidR="00330CF1" w:rsidTr="00A92B8E">
        <w:tc>
          <w:tcPr>
            <w:tcW w:w="2214" w:type="dxa"/>
          </w:tcPr>
          <w:p w:rsidR="00330CF1" w:rsidRDefault="00330CF1" w:rsidP="00A92B8E">
            <w:pPr>
              <w:rPr>
                <w:rFonts w:ascii="Arial" w:hAnsi="Arial" w:cs="Arial"/>
              </w:rPr>
            </w:pPr>
            <w:r>
              <w:rPr>
                <w:rFonts w:ascii="Arial" w:hAnsi="Arial" w:cs="Arial"/>
              </w:rPr>
              <w:t>Taurine</w:t>
            </w:r>
          </w:p>
        </w:tc>
        <w:tc>
          <w:tcPr>
            <w:tcW w:w="2214" w:type="dxa"/>
          </w:tcPr>
          <w:p w:rsidR="00330CF1" w:rsidRDefault="00330CF1" w:rsidP="00A92B8E">
            <w:pPr>
              <w:jc w:val="center"/>
              <w:rPr>
                <w:rFonts w:ascii="Arial" w:hAnsi="Arial" w:cs="Arial"/>
              </w:rPr>
            </w:pPr>
            <w:r>
              <w:rPr>
                <w:rFonts w:ascii="Arial" w:hAnsi="Arial" w:cs="Arial"/>
              </w:rPr>
              <w:t>0.36%</w:t>
            </w:r>
          </w:p>
        </w:tc>
        <w:tc>
          <w:tcPr>
            <w:tcW w:w="2214" w:type="dxa"/>
          </w:tcPr>
          <w:p w:rsidR="00330CF1" w:rsidRDefault="00330CF1" w:rsidP="00A92B8E">
            <w:pPr>
              <w:jc w:val="center"/>
              <w:rPr>
                <w:rFonts w:ascii="Arial" w:hAnsi="Arial" w:cs="Arial"/>
              </w:rPr>
            </w:pPr>
            <w:r>
              <w:rPr>
                <w:rFonts w:ascii="Arial" w:hAnsi="Arial" w:cs="Arial"/>
              </w:rPr>
              <w:t>0.35%</w:t>
            </w:r>
          </w:p>
        </w:tc>
        <w:tc>
          <w:tcPr>
            <w:tcW w:w="2214" w:type="dxa"/>
          </w:tcPr>
          <w:p w:rsidR="00330CF1" w:rsidRDefault="00330CF1" w:rsidP="00A92B8E">
            <w:pPr>
              <w:jc w:val="center"/>
              <w:rPr>
                <w:rFonts w:ascii="Arial" w:hAnsi="Arial" w:cs="Arial"/>
              </w:rPr>
            </w:pPr>
            <w:r>
              <w:rPr>
                <w:rFonts w:ascii="Arial" w:hAnsi="Arial" w:cs="Arial"/>
              </w:rPr>
              <w:t>0.89%</w:t>
            </w:r>
          </w:p>
        </w:tc>
      </w:tr>
    </w:tbl>
    <w:p w:rsidR="00330CF1" w:rsidRDefault="00330CF1" w:rsidP="00A0300D">
      <w:pPr>
        <w:rPr>
          <w:rFonts w:ascii="Arial" w:hAnsi="Arial" w:cs="Arial"/>
        </w:rPr>
      </w:pPr>
      <w:r>
        <w:rPr>
          <w:rFonts w:ascii="Arial" w:hAnsi="Arial" w:cs="Arial"/>
        </w:rPr>
        <w:t>NOTE: *kcal as fed basis</w:t>
      </w:r>
    </w:p>
    <w:p w:rsidR="00330CF1" w:rsidRDefault="00330CF1" w:rsidP="00F64A2D">
      <w:pPr>
        <w:rPr>
          <w:rFonts w:ascii="Arial" w:hAnsi="Arial" w:cs="Arial"/>
        </w:rPr>
      </w:pPr>
    </w:p>
    <w:p w:rsidR="00330CF1" w:rsidRPr="00F64A2D" w:rsidRDefault="00330CF1" w:rsidP="00F64A2D">
      <w:pPr>
        <w:rPr>
          <w:rFonts w:ascii="Arial" w:hAnsi="Arial" w:cs="Arial"/>
        </w:rPr>
      </w:pPr>
    </w:p>
    <w:p w:rsidR="00330CF1" w:rsidRDefault="00330CF1" w:rsidP="0016433E">
      <w:pPr>
        <w:rPr>
          <w:rFonts w:ascii="Arial" w:hAnsi="Arial" w:cs="Arial"/>
        </w:rPr>
      </w:pPr>
      <w:r>
        <w:rPr>
          <w:rFonts w:ascii="Arial" w:hAnsi="Arial" w:cs="Arial"/>
          <w:b/>
        </w:rPr>
        <w:t>Food i</w:t>
      </w:r>
      <w:r w:rsidRPr="0016433E">
        <w:rPr>
          <w:rFonts w:ascii="Arial" w:hAnsi="Arial" w:cs="Arial"/>
          <w:b/>
        </w:rPr>
        <w:t xml:space="preserve">ntake: </w:t>
      </w:r>
      <w:r w:rsidRPr="0016433E">
        <w:rPr>
          <w:rFonts w:ascii="Arial" w:hAnsi="Arial" w:cs="Arial"/>
        </w:rPr>
        <w:t>To determi</w:t>
      </w:r>
      <w:r>
        <w:rPr>
          <w:rFonts w:ascii="Arial" w:hAnsi="Arial" w:cs="Arial"/>
        </w:rPr>
        <w:t>ne food intake, all food was</w:t>
      </w:r>
      <w:r w:rsidRPr="0016433E">
        <w:rPr>
          <w:rFonts w:ascii="Arial" w:hAnsi="Arial" w:cs="Arial"/>
        </w:rPr>
        <w:t xml:space="preserve"> weighed before and after each offering and the d</w:t>
      </w:r>
      <w:r>
        <w:rPr>
          <w:rFonts w:ascii="Arial" w:hAnsi="Arial" w:cs="Arial"/>
        </w:rPr>
        <w:t xml:space="preserve">ifference </w:t>
      </w:r>
      <w:r w:rsidRPr="0016433E">
        <w:rPr>
          <w:rFonts w:ascii="Arial" w:hAnsi="Arial" w:cs="Arial"/>
        </w:rPr>
        <w:t>determined.  All food not ingested within 4 ho</w:t>
      </w:r>
      <w:r>
        <w:rPr>
          <w:rFonts w:ascii="Arial" w:hAnsi="Arial" w:cs="Arial"/>
        </w:rPr>
        <w:t>urs of presentation was removed</w:t>
      </w:r>
      <w:r w:rsidRPr="0016433E">
        <w:rPr>
          <w:rFonts w:ascii="Arial" w:hAnsi="Arial" w:cs="Arial"/>
        </w:rPr>
        <w:t xml:space="preserve"> to further prevent microbial contamination or proliferation.  Feedin</w:t>
      </w:r>
      <w:r>
        <w:rPr>
          <w:rFonts w:ascii="Arial" w:hAnsi="Arial" w:cs="Arial"/>
        </w:rPr>
        <w:t>g bowls and feeding area were</w:t>
      </w:r>
      <w:r w:rsidRPr="0016433E">
        <w:rPr>
          <w:rFonts w:ascii="Arial" w:hAnsi="Arial" w:cs="Arial"/>
        </w:rPr>
        <w:t xml:space="preserve"> sanitized between feedings.</w:t>
      </w:r>
    </w:p>
    <w:p w:rsidR="00330CF1" w:rsidRDefault="00330CF1" w:rsidP="0016433E">
      <w:pPr>
        <w:rPr>
          <w:rFonts w:ascii="Arial" w:hAnsi="Arial" w:cs="Arial"/>
        </w:rPr>
      </w:pPr>
      <w:r w:rsidRPr="0016433E">
        <w:rPr>
          <w:rFonts w:ascii="Arial" w:hAnsi="Arial" w:cs="Arial"/>
        </w:rPr>
        <w:t xml:space="preserve">   </w:t>
      </w:r>
    </w:p>
    <w:p w:rsidR="00330CF1" w:rsidRDefault="00330CF1" w:rsidP="0016433E">
      <w:pPr>
        <w:rPr>
          <w:rFonts w:ascii="Arial" w:hAnsi="Arial" w:cs="Arial"/>
        </w:rPr>
      </w:pPr>
      <w:r>
        <w:rPr>
          <w:rFonts w:ascii="Arial" w:hAnsi="Arial" w:cs="Arial"/>
          <w:b/>
        </w:rPr>
        <w:t xml:space="preserve">Morphometric measurements: </w:t>
      </w:r>
      <w:r w:rsidRPr="0016433E">
        <w:rPr>
          <w:rFonts w:ascii="Arial" w:hAnsi="Arial" w:cs="Arial"/>
        </w:rPr>
        <w:t>Body weight, BCS (Body Condition Score), height</w:t>
      </w:r>
      <w:r>
        <w:rPr>
          <w:rFonts w:ascii="Arial" w:hAnsi="Arial" w:cs="Arial"/>
        </w:rPr>
        <w:t xml:space="preserve"> (from bottom of the foot to top of scapula)</w:t>
      </w:r>
      <w:r w:rsidRPr="0016433E">
        <w:rPr>
          <w:rFonts w:ascii="Arial" w:hAnsi="Arial" w:cs="Arial"/>
        </w:rPr>
        <w:t>, and length (from t</w:t>
      </w:r>
      <w:r>
        <w:rPr>
          <w:rFonts w:ascii="Arial" w:hAnsi="Arial" w:cs="Arial"/>
        </w:rPr>
        <w:t>ip of nose to base of tail) was</w:t>
      </w:r>
      <w:r w:rsidRPr="0016433E">
        <w:rPr>
          <w:rFonts w:ascii="Arial" w:hAnsi="Arial" w:cs="Arial"/>
        </w:rPr>
        <w:t xml:space="preserve"> recorded weekly</w:t>
      </w:r>
      <w:r>
        <w:rPr>
          <w:rFonts w:ascii="Arial" w:hAnsi="Arial" w:cs="Arial"/>
        </w:rPr>
        <w:t xml:space="preserve"> by the same individual (BAH).  </w:t>
      </w:r>
      <w:r w:rsidRPr="00D770CB">
        <w:rPr>
          <w:sz w:val="20"/>
          <w:szCs w:val="20"/>
        </w:rPr>
        <w:t xml:space="preserve"> </w:t>
      </w:r>
      <w:r>
        <w:rPr>
          <w:rFonts w:ascii="Arial" w:hAnsi="Arial" w:cs="Arial"/>
        </w:rPr>
        <w:t>In accordance with AAFCO growth protocols,</w:t>
      </w:r>
      <w:r w:rsidRPr="00FA3506">
        <w:rPr>
          <w:rFonts w:ascii="Arial" w:hAnsi="Arial" w:cs="Arial"/>
        </w:rPr>
        <w:t xml:space="preserve"> th</w:t>
      </w:r>
      <w:r>
        <w:rPr>
          <w:rFonts w:ascii="Arial" w:hAnsi="Arial" w:cs="Arial"/>
        </w:rPr>
        <w:t>e average body weight gain was</w:t>
      </w:r>
      <w:r w:rsidRPr="00FA3506">
        <w:rPr>
          <w:rFonts w:ascii="Arial" w:hAnsi="Arial" w:cs="Arial"/>
        </w:rPr>
        <w:t xml:space="preserve"> not</w:t>
      </w:r>
      <w:r>
        <w:rPr>
          <w:rFonts w:ascii="Arial" w:hAnsi="Arial" w:cs="Arial"/>
        </w:rPr>
        <w:t xml:space="preserve"> to</w:t>
      </w:r>
      <w:r w:rsidRPr="00FA3506">
        <w:rPr>
          <w:rFonts w:ascii="Arial" w:hAnsi="Arial" w:cs="Arial"/>
        </w:rPr>
        <w:t xml:space="preserve"> be less than the average for the concurrent control group, minus the allowance for normal variation over the 10 week period.  </w:t>
      </w:r>
    </w:p>
    <w:p w:rsidR="00330CF1" w:rsidRDefault="00330CF1" w:rsidP="0016433E">
      <w:pPr>
        <w:rPr>
          <w:rFonts w:ascii="Arial" w:hAnsi="Arial" w:cs="Arial"/>
        </w:rPr>
      </w:pPr>
    </w:p>
    <w:p w:rsidR="00330CF1" w:rsidRDefault="00330CF1" w:rsidP="0016433E">
      <w:pPr>
        <w:rPr>
          <w:rFonts w:ascii="Arial" w:hAnsi="Arial" w:cs="Arial"/>
        </w:rPr>
      </w:pPr>
      <w:r>
        <w:rPr>
          <w:rFonts w:ascii="Arial" w:hAnsi="Arial" w:cs="Arial"/>
          <w:b/>
        </w:rPr>
        <w:t>Dual-energy X-ray a</w:t>
      </w:r>
      <w:r w:rsidRPr="008D09CD">
        <w:rPr>
          <w:rFonts w:ascii="Arial" w:hAnsi="Arial" w:cs="Arial"/>
          <w:b/>
        </w:rPr>
        <w:t>bsorptiometry:</w:t>
      </w:r>
      <w:r>
        <w:rPr>
          <w:rFonts w:ascii="Arial" w:hAnsi="Arial" w:cs="Arial"/>
          <w:b/>
        </w:rPr>
        <w:t xml:space="preserve">  </w:t>
      </w:r>
      <w:r>
        <w:rPr>
          <w:rFonts w:ascii="Arial" w:hAnsi="Arial" w:cs="Arial"/>
        </w:rPr>
        <w:t>Dual-energy X-ray absorptiometry (DEXA) is a noninvasive method for estimating body composition.  It utilizes X- rays at two different energy levels (70 and 140 kilovolts peak [kVp]) to differentiate the type and amount of each tissue in the part of the body being scanned.  Based on diffential transmission of X-rays by tissues, it differentiates body tissues into bone (mineral), lean and fat tissue mass.  It is routinely utilized in human medicine to determine bone density and has been validated in adult dogs and cats.</w:t>
      </w:r>
      <w:r>
        <w:rPr>
          <w:rFonts w:ascii="Arial" w:hAnsi="Arial" w:cs="Arial"/>
          <w:noProof/>
        </w:rPr>
        <w:t>[324-326]</w:t>
      </w:r>
    </w:p>
    <w:p w:rsidR="00330CF1" w:rsidRDefault="00330CF1" w:rsidP="0016433E">
      <w:pPr>
        <w:rPr>
          <w:rFonts w:ascii="Arial" w:hAnsi="Arial" w:cs="Arial"/>
        </w:rPr>
      </w:pPr>
      <w:r>
        <w:rPr>
          <w:rFonts w:ascii="Arial" w:hAnsi="Arial" w:cs="Arial"/>
        </w:rPr>
        <w:t xml:space="preserve">     </w:t>
      </w:r>
      <w:r w:rsidRPr="0007040C">
        <w:rPr>
          <w:rFonts w:ascii="Arial" w:hAnsi="Arial" w:cs="Arial"/>
        </w:rPr>
        <w:t>A total of 9 kittens (6 males and 3 females) from the last 2 litters were analyzed for body composition with DEXA using Hologic QDR 45000 whole body program</w:t>
      </w:r>
      <w:r>
        <w:rPr>
          <w:rFonts w:ascii="Arial" w:hAnsi="Arial" w:cs="Arial"/>
          <w:vertAlign w:val="superscript"/>
        </w:rPr>
        <w:t>1</w:t>
      </w:r>
      <w:r w:rsidRPr="0007040C">
        <w:rPr>
          <w:rFonts w:ascii="Arial" w:hAnsi="Arial" w:cs="Arial"/>
        </w:rPr>
        <w:t>.  Scans were done before and at the completion of the 10-week feeding trial.  A butterfly catheter was placed for venous access and Diprivan®</w:t>
      </w:r>
      <w:r>
        <w:rPr>
          <w:rFonts w:ascii="Arial" w:hAnsi="Arial" w:cs="Arial"/>
          <w:vertAlign w:val="superscript"/>
        </w:rPr>
        <w:t>2</w:t>
      </w:r>
      <w:r w:rsidRPr="0007040C">
        <w:rPr>
          <w:rFonts w:ascii="Arial" w:hAnsi="Arial" w:cs="Arial"/>
        </w:rPr>
        <w:t xml:space="preserve"> given to maintain a plane of anesthesia.  The kittens were placed in sternal recumbency with posterior limbs pulled</w:t>
      </w:r>
      <w:r>
        <w:rPr>
          <w:rFonts w:ascii="Arial" w:hAnsi="Arial" w:cs="Arial"/>
        </w:rPr>
        <w:t xml:space="preserve"> caudally and anterior limbs pulled cranially.  Scanning time was approximately 2-3 minutes.  The entire kitten was scanned and the data analyzed using the proprietary software for grams of bone/mineral, lean and fat mass. </w:t>
      </w:r>
    </w:p>
    <w:p w:rsidR="00330CF1" w:rsidRDefault="00330CF1" w:rsidP="0016433E">
      <w:pPr>
        <w:rPr>
          <w:rFonts w:ascii="Arial" w:hAnsi="Arial" w:cs="Arial"/>
        </w:rPr>
      </w:pPr>
      <w:r>
        <w:rPr>
          <w:rFonts w:ascii="Arial" w:hAnsi="Arial" w:cs="Arial"/>
        </w:rPr>
        <w:t>_____________________________________________________</w:t>
      </w:r>
    </w:p>
    <w:p w:rsidR="00330CF1" w:rsidRPr="00DF7C67" w:rsidRDefault="00330CF1" w:rsidP="0016433E">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DF7C67">
        <w:rPr>
          <w:rFonts w:ascii="Arial" w:hAnsi="Arial" w:cs="Arial"/>
          <w:sz w:val="20"/>
          <w:szCs w:val="20"/>
        </w:rPr>
        <w:t>Hologic QDR 45000, Hologic, Inc. Bedford, MA</w:t>
      </w:r>
    </w:p>
    <w:p w:rsidR="00330CF1" w:rsidRPr="00DF7C67" w:rsidRDefault="00330CF1" w:rsidP="00DF7C67">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  </w:t>
      </w:r>
      <w:r w:rsidRPr="00DF7C67">
        <w:rPr>
          <w:rFonts w:ascii="Arial" w:hAnsi="Arial" w:cs="Arial"/>
          <w:sz w:val="20"/>
          <w:szCs w:val="20"/>
        </w:rPr>
        <w:t>PropoFlo™, Abbott Animal Health.  Abbott Laboratories, Chicago, IL</w:t>
      </w:r>
    </w:p>
    <w:p w:rsidR="00330CF1" w:rsidRPr="00DF7C67" w:rsidRDefault="00330CF1" w:rsidP="0016433E">
      <w:pPr>
        <w:rPr>
          <w:rFonts w:ascii="Arial" w:hAnsi="Arial" w:cs="Arial"/>
          <w:sz w:val="20"/>
          <w:szCs w:val="20"/>
        </w:rPr>
      </w:pPr>
    </w:p>
    <w:p w:rsidR="00330CF1" w:rsidRDefault="00330CF1" w:rsidP="003C4077">
      <w:pPr>
        <w:rPr>
          <w:rFonts w:ascii="Arial" w:hAnsi="Arial" w:cs="Arial"/>
        </w:rPr>
      </w:pPr>
      <w:r>
        <w:rPr>
          <w:rFonts w:ascii="Arial" w:hAnsi="Arial" w:cs="Arial"/>
          <w:b/>
        </w:rPr>
        <w:lastRenderedPageBreak/>
        <w:t xml:space="preserve">Nutritional adequacy: </w:t>
      </w:r>
      <w:r>
        <w:rPr>
          <w:rFonts w:ascii="Arial" w:hAnsi="Arial" w:cs="Arial"/>
        </w:rPr>
        <w:t xml:space="preserve">An AAFCO growth protocol for kittens requires hemoglobin, packed cell volume (PCV), whole blood taurine and serum albumin be measured and recorded at the end of the feeding trial.  The average final hemoglobin, packed cell volume, whole blood taurine and serum albumin  concentrations shall not be less than either: </w:t>
      </w:r>
    </w:p>
    <w:p w:rsidR="00330CF1" w:rsidRDefault="00330CF1" w:rsidP="008D09CD">
      <w:pPr>
        <w:pStyle w:val="ListParagraph"/>
        <w:numPr>
          <w:ilvl w:val="0"/>
          <w:numId w:val="4"/>
        </w:numPr>
        <w:rPr>
          <w:rFonts w:ascii="Arial" w:hAnsi="Arial" w:cs="Arial"/>
        </w:rPr>
      </w:pPr>
      <w:r>
        <w:rPr>
          <w:rFonts w:ascii="Arial" w:hAnsi="Arial" w:cs="Arial"/>
        </w:rPr>
        <w:t>Hemoglobin – 10.0 g/dl (no individual &lt;8.0 g/dl)</w:t>
      </w:r>
    </w:p>
    <w:p w:rsidR="00330CF1" w:rsidRDefault="00330CF1" w:rsidP="008D09CD">
      <w:pPr>
        <w:pStyle w:val="ListParagraph"/>
        <w:numPr>
          <w:ilvl w:val="0"/>
          <w:numId w:val="4"/>
        </w:numPr>
        <w:rPr>
          <w:rFonts w:ascii="Arial" w:hAnsi="Arial" w:cs="Arial"/>
        </w:rPr>
      </w:pPr>
      <w:r>
        <w:rPr>
          <w:rFonts w:ascii="Arial" w:hAnsi="Arial" w:cs="Arial"/>
        </w:rPr>
        <w:t>PCV – 29% (no individual &lt; 26%)</w:t>
      </w:r>
    </w:p>
    <w:p w:rsidR="00330CF1" w:rsidRDefault="00330CF1" w:rsidP="008D09CD">
      <w:pPr>
        <w:pStyle w:val="ListParagraph"/>
        <w:numPr>
          <w:ilvl w:val="0"/>
          <w:numId w:val="4"/>
        </w:numPr>
        <w:rPr>
          <w:rFonts w:ascii="Arial" w:hAnsi="Arial" w:cs="Arial"/>
        </w:rPr>
      </w:pPr>
      <w:r>
        <w:rPr>
          <w:rFonts w:ascii="Arial" w:hAnsi="Arial" w:cs="Arial"/>
        </w:rPr>
        <w:t>Taurine – 300 nmole/mL (no individual &lt;200 nmole/mL)</w:t>
      </w:r>
    </w:p>
    <w:p w:rsidR="00330CF1" w:rsidRPr="000D5F4E" w:rsidRDefault="00330CF1" w:rsidP="000D5F4E">
      <w:pPr>
        <w:pStyle w:val="ListParagraph"/>
        <w:numPr>
          <w:ilvl w:val="0"/>
          <w:numId w:val="4"/>
        </w:numPr>
        <w:rPr>
          <w:rFonts w:ascii="Arial" w:hAnsi="Arial" w:cs="Arial"/>
        </w:rPr>
      </w:pPr>
      <w:r>
        <w:rPr>
          <w:rFonts w:ascii="Arial" w:hAnsi="Arial" w:cs="Arial"/>
        </w:rPr>
        <w:t>Albumin – 2.7 g/dl (no individual &lt;2.4 g/dl)  OR</w:t>
      </w:r>
    </w:p>
    <w:p w:rsidR="00330CF1" w:rsidRDefault="00330CF1" w:rsidP="009B4AE0">
      <w:pPr>
        <w:rPr>
          <w:rFonts w:ascii="Arial" w:hAnsi="Arial" w:cs="Arial"/>
        </w:rPr>
      </w:pPr>
      <w:r>
        <w:rPr>
          <w:rFonts w:ascii="Arial" w:hAnsi="Arial" w:cs="Arial"/>
        </w:rPr>
        <w:t>the average for the concurrent control group minus the allowance for normal variation over the 10 week period</w:t>
      </w:r>
      <w:r w:rsidRPr="00355FCA">
        <w:rPr>
          <w:rFonts w:ascii="Arial" w:hAnsi="Arial" w:cs="Arial"/>
        </w:rPr>
        <w:t xml:space="preserve">.  </w:t>
      </w:r>
    </w:p>
    <w:p w:rsidR="00330CF1" w:rsidRDefault="00330CF1" w:rsidP="000D5F4E">
      <w:pPr>
        <w:ind w:firstLine="720"/>
        <w:rPr>
          <w:rFonts w:ascii="Arial" w:hAnsi="Arial" w:cs="Arial"/>
          <w:b/>
        </w:rPr>
      </w:pPr>
      <w:r w:rsidRPr="00355FCA">
        <w:rPr>
          <w:rFonts w:ascii="Arial" w:hAnsi="Arial" w:cs="Arial"/>
        </w:rPr>
        <w:t>In accordance with AAFCO protocol</w:t>
      </w:r>
      <w:r>
        <w:rPr>
          <w:rFonts w:ascii="Arial" w:hAnsi="Arial" w:cs="Arial"/>
        </w:rPr>
        <w:t>s, these hematologic variables along with a complete blood cell counts (CBC) and complete serum chemistry analysis were</w:t>
      </w:r>
      <w:r w:rsidRPr="00355FCA">
        <w:rPr>
          <w:rFonts w:ascii="Arial" w:hAnsi="Arial" w:cs="Arial"/>
        </w:rPr>
        <w:t xml:space="preserve"> assessed to determine nutritional adequacy.</w:t>
      </w:r>
      <w:r>
        <w:rPr>
          <w:rFonts w:ascii="Arial" w:hAnsi="Arial" w:cs="Arial"/>
        </w:rPr>
        <w:t xml:space="preserve">  Whole blood (2.0 ml) was</w:t>
      </w:r>
      <w:r w:rsidRPr="00355FCA">
        <w:rPr>
          <w:rFonts w:ascii="Arial" w:hAnsi="Arial" w:cs="Arial"/>
        </w:rPr>
        <w:t xml:space="preserve"> collected by jugular venipuncture at weeks 0, 5, and 10 of the study.  </w:t>
      </w:r>
      <w:r>
        <w:rPr>
          <w:rFonts w:ascii="Arial" w:hAnsi="Arial" w:cs="Arial"/>
        </w:rPr>
        <w:t xml:space="preserve">Of the 2.0 mL, 0.5 mL blood was </w:t>
      </w:r>
      <w:r w:rsidRPr="00355FCA">
        <w:rPr>
          <w:rFonts w:ascii="Arial" w:hAnsi="Arial" w:cs="Arial"/>
        </w:rPr>
        <w:t xml:space="preserve">collected in EDTA and </w:t>
      </w:r>
      <w:r>
        <w:rPr>
          <w:rFonts w:ascii="Arial" w:hAnsi="Arial" w:cs="Arial"/>
        </w:rPr>
        <w:t xml:space="preserve">0.5 mL was collected in sodium heparin and </w:t>
      </w:r>
      <w:r w:rsidRPr="00355FCA">
        <w:rPr>
          <w:rFonts w:ascii="Arial" w:hAnsi="Arial" w:cs="Arial"/>
        </w:rPr>
        <w:t>submitted for a CBC</w:t>
      </w:r>
      <w:r>
        <w:rPr>
          <w:rFonts w:ascii="Arial" w:hAnsi="Arial" w:cs="Arial"/>
        </w:rPr>
        <w:t xml:space="preserve"> and complete chemistry analysis at The University of Tennessee Veterinary Medical Center Clinical Pathology Laboratory.</w:t>
      </w:r>
      <w:r w:rsidRPr="00355FCA">
        <w:rPr>
          <w:rFonts w:ascii="Arial" w:hAnsi="Arial" w:cs="Arial"/>
        </w:rPr>
        <w:t xml:space="preserve">  The re</w:t>
      </w:r>
      <w:r>
        <w:rPr>
          <w:rFonts w:ascii="Arial" w:hAnsi="Arial" w:cs="Arial"/>
        </w:rPr>
        <w:t>maining 1.0 mL collected was</w:t>
      </w:r>
      <w:r w:rsidRPr="00355FCA">
        <w:rPr>
          <w:rFonts w:ascii="Arial" w:hAnsi="Arial" w:cs="Arial"/>
        </w:rPr>
        <w:t xml:space="preserve"> </w:t>
      </w:r>
      <w:r>
        <w:rPr>
          <w:rFonts w:ascii="Arial" w:hAnsi="Arial" w:cs="Arial"/>
        </w:rPr>
        <w:t xml:space="preserve">placed </w:t>
      </w:r>
      <w:r w:rsidRPr="00355FCA">
        <w:rPr>
          <w:rFonts w:ascii="Arial" w:hAnsi="Arial" w:cs="Arial"/>
        </w:rPr>
        <w:t>in sodium heparin tube and submitted to the Amino Acid Analysis Laboratory at the University of California/Davis for whole blood taurine analysis.</w:t>
      </w:r>
      <w:r w:rsidRPr="00355FCA">
        <w:rPr>
          <w:rFonts w:ascii="Arial" w:hAnsi="Arial" w:cs="Arial"/>
          <w:b/>
        </w:rPr>
        <w:t xml:space="preserve">  </w:t>
      </w:r>
    </w:p>
    <w:p w:rsidR="00330CF1" w:rsidRDefault="00330CF1" w:rsidP="009B4AE0">
      <w:pPr>
        <w:rPr>
          <w:rFonts w:ascii="Arial" w:hAnsi="Arial" w:cs="Arial"/>
          <w:b/>
        </w:rPr>
      </w:pPr>
    </w:p>
    <w:p w:rsidR="00330CF1" w:rsidRPr="00391565" w:rsidRDefault="00330CF1" w:rsidP="009B4AE0">
      <w:pPr>
        <w:rPr>
          <w:rFonts w:ascii="Arial" w:hAnsi="Arial" w:cs="Arial"/>
        </w:rPr>
      </w:pPr>
      <w:r>
        <w:rPr>
          <w:rFonts w:ascii="Arial" w:hAnsi="Arial" w:cs="Arial"/>
          <w:b/>
        </w:rPr>
        <w:t xml:space="preserve">Protein efficiency ratio (PER) and feed efficiency ratio (FER): </w:t>
      </w:r>
      <w:r>
        <w:rPr>
          <w:rFonts w:ascii="Arial" w:hAnsi="Arial" w:cs="Arial"/>
        </w:rPr>
        <w:t xml:space="preserve">Protein efficiency ratio was determined by dividing the overall 10-week weight gain (grams) by the grams of protein dry matter ingested.  Feed efficiency was calculated by dividing the overall 10-week weight gain (grams) by the grams of dry matter ingested.  </w:t>
      </w:r>
    </w:p>
    <w:p w:rsidR="00330CF1" w:rsidRDefault="00330CF1" w:rsidP="009B4AE0">
      <w:pPr>
        <w:rPr>
          <w:rFonts w:ascii="Arial" w:hAnsi="Arial" w:cs="Arial"/>
          <w:b/>
        </w:rPr>
      </w:pPr>
    </w:p>
    <w:p w:rsidR="00330CF1" w:rsidRPr="004E3CA6" w:rsidRDefault="00330CF1" w:rsidP="004E3CA6">
      <w:pPr>
        <w:rPr>
          <w:rFonts w:ascii="Arial" w:hAnsi="Arial" w:cs="Arial"/>
        </w:rPr>
      </w:pPr>
      <w:r>
        <w:rPr>
          <w:rFonts w:ascii="Arial" w:hAnsi="Arial" w:cs="Arial"/>
          <w:b/>
        </w:rPr>
        <w:t>Statistical analysis:</w:t>
      </w:r>
      <w:r w:rsidRPr="00355FCA">
        <w:rPr>
          <w:rFonts w:ascii="Arial" w:hAnsi="Arial" w:cs="Arial"/>
          <w:b/>
        </w:rPr>
        <w:t xml:space="preserve"> </w:t>
      </w:r>
      <w:r>
        <w:rPr>
          <w:rFonts w:ascii="Arial" w:hAnsi="Arial" w:cs="Arial"/>
        </w:rPr>
        <w:t xml:space="preserve">A completely randomized design was used to compare mean differences in kitten weight, height, length, DEXA tissue analysis (lean, fat, bone mineral), serum chemistry, whole blood taurine, hematology, feed efficiency and protein efficiency ratio, by diet treatment and week.  Twenty-four kittens were randomly assigned to the three diet treatments with eight kittens per treatment.  Mixed model ANOVA (SAS, Version </w:t>
      </w:r>
      <w:r w:rsidRPr="00C57CAC">
        <w:rPr>
          <w:rFonts w:ascii="Arial" w:hAnsi="Arial" w:cs="Arial"/>
        </w:rPr>
        <w:t xml:space="preserve">9.2) </w:t>
      </w:r>
      <w:r>
        <w:rPr>
          <w:rFonts w:ascii="Arial" w:hAnsi="Arial" w:cs="Arial"/>
        </w:rPr>
        <w:t>with repeated measures was used to compare least square means.  Mean weight, height, length, feed efficiency and protein efficiency ratios,</w:t>
      </w:r>
      <w:r w:rsidRPr="000160FA">
        <w:rPr>
          <w:rFonts w:ascii="Arial" w:hAnsi="Arial" w:cs="Arial"/>
        </w:rPr>
        <w:t xml:space="preserve"> </w:t>
      </w:r>
      <w:r>
        <w:rPr>
          <w:rFonts w:ascii="Arial" w:hAnsi="Arial" w:cs="Arial"/>
        </w:rPr>
        <w:t xml:space="preserve">mean total and body weight corrected (g/kg) dry matter intake, protein dry matter intake, kcal ingested per day, and mean body condition score (BCS) were also compared by sex. The two testable assumptions of ANOVA, normally distributed residuals and equal variances between groups, were tested for all dependent variables.  No variables failed to meet these assumptions.  Normality was tested using the Shapiro-Wilk test and homogeneity of variance was tested using the Leven’s F test.  The limit of statistical significance of the tests performed was defined as p ≤ 0.05 while 0.10 was defined as a trend.   </w:t>
      </w:r>
      <w:bookmarkStart w:id="28" w:name="_Toc305485855"/>
    </w:p>
    <w:p w:rsidR="00330CF1" w:rsidRDefault="00330CF1" w:rsidP="00C42E6F">
      <w:pPr>
        <w:pStyle w:val="Heading2"/>
      </w:pPr>
    </w:p>
    <w:p w:rsidR="00330CF1" w:rsidRDefault="00330CF1" w:rsidP="00DF7C67">
      <w:pPr>
        <w:pStyle w:val="Heading2"/>
        <w:jc w:val="left"/>
      </w:pPr>
    </w:p>
    <w:p w:rsidR="00330CF1" w:rsidRDefault="00330CF1" w:rsidP="00C42E6F">
      <w:pPr>
        <w:pStyle w:val="Heading2"/>
      </w:pPr>
      <w:r>
        <w:lastRenderedPageBreak/>
        <w:t>Results</w:t>
      </w:r>
      <w:bookmarkEnd w:id="28"/>
    </w:p>
    <w:p w:rsidR="00330CF1" w:rsidRPr="00D160E6" w:rsidRDefault="00330CF1" w:rsidP="00D160E6">
      <w:pPr>
        <w:rPr>
          <w:rFonts w:ascii="Arial" w:hAnsi="Arial" w:cs="Arial"/>
          <w:b/>
          <w:i/>
        </w:rPr>
      </w:pPr>
      <w:r w:rsidRPr="004F0D1C">
        <w:rPr>
          <w:rFonts w:ascii="Arial" w:hAnsi="Arial" w:cs="Arial"/>
          <w:b/>
          <w:i/>
        </w:rPr>
        <w:t>Morphometric</w:t>
      </w:r>
      <w:r w:rsidRPr="00D160E6">
        <w:rPr>
          <w:rFonts w:ascii="Arial" w:hAnsi="Arial" w:cs="Arial"/>
          <w:b/>
          <w:i/>
        </w:rPr>
        <w:t xml:space="preserve"> </w:t>
      </w:r>
      <w:r>
        <w:rPr>
          <w:rFonts w:ascii="Arial" w:hAnsi="Arial" w:cs="Arial"/>
          <w:b/>
          <w:i/>
        </w:rPr>
        <w:t>measurements and body c</w:t>
      </w:r>
      <w:r w:rsidRPr="00D160E6">
        <w:rPr>
          <w:rFonts w:ascii="Arial" w:hAnsi="Arial" w:cs="Arial"/>
          <w:b/>
          <w:i/>
        </w:rPr>
        <w:t>omposition</w:t>
      </w:r>
    </w:p>
    <w:p w:rsidR="00330CF1" w:rsidRDefault="00330CF1" w:rsidP="000D5F4E">
      <w:pPr>
        <w:rPr>
          <w:rFonts w:ascii="Arial" w:hAnsi="Arial" w:cs="Arial"/>
        </w:rPr>
      </w:pPr>
      <w:r>
        <w:rPr>
          <w:rFonts w:ascii="Arial" w:hAnsi="Arial" w:cs="Arial"/>
        </w:rPr>
        <w:t xml:space="preserve">    Table 2.2 lists the average daily gain for males and females on each of the diets.  Average daily gain for males on the commercial raw and homemade raw diets was 7% and 14% higher than the control diet.  Average daily gain for females was similar for all three diet treatments.  Figure 2.1 graphs the mean average daily gain for males and females over the 10-week feeding trial.  Males on the homemade raw diet had significantly higher average daily gains (p=0.008) compared to females on the homemade raw diet.  There were no significant differences in average daily gain between the 3 diet treatments within the sexes. </w:t>
      </w:r>
      <w:bookmarkStart w:id="29" w:name="OLE_LINK1"/>
    </w:p>
    <w:p w:rsidR="00330CF1" w:rsidRDefault="00330CF1" w:rsidP="000D5F4E">
      <w:pPr>
        <w:rPr>
          <w:rFonts w:ascii="Arial" w:hAnsi="Arial" w:cs="Arial"/>
        </w:rPr>
      </w:pPr>
    </w:p>
    <w:p w:rsidR="00330CF1" w:rsidRDefault="00330CF1" w:rsidP="000D5F4E">
      <w:pPr>
        <w:rPr>
          <w:rFonts w:ascii="Arial" w:hAnsi="Arial" w:cs="Arial"/>
          <w:b/>
        </w:rPr>
      </w:pPr>
    </w:p>
    <w:p w:rsidR="00330CF1" w:rsidRPr="00C0535D" w:rsidRDefault="00330CF1" w:rsidP="000D5F4E">
      <w:pPr>
        <w:jc w:val="center"/>
        <w:rPr>
          <w:rFonts w:ascii="Arial" w:hAnsi="Arial" w:cs="Arial"/>
          <w:color w:val="C00000"/>
        </w:rPr>
      </w:pPr>
      <w:r w:rsidRPr="000A7043">
        <w:rPr>
          <w:rFonts w:ascii="Arial" w:hAnsi="Arial" w:cs="Arial"/>
          <w:b/>
        </w:rPr>
        <w:t>Table 2.2</w:t>
      </w:r>
      <w:r w:rsidRPr="000A7043">
        <w:rPr>
          <w:rFonts w:ascii="Arial" w:hAnsi="Arial" w:cs="Arial"/>
        </w:rPr>
        <w:t xml:space="preserve"> Average daily gain in grams by diet treatment and sex (Mean ± SEM)</w:t>
      </w:r>
    </w:p>
    <w:p w:rsidR="00330CF1" w:rsidRPr="00687E70" w:rsidRDefault="00330CF1" w:rsidP="000D5F4E">
      <w:pPr>
        <w:jc w:val="center"/>
        <w:rPr>
          <w:rFonts w:ascii="Arial" w:hAnsi="Arial" w:cs="Arial"/>
        </w:rPr>
      </w:pPr>
    </w:p>
    <w:tbl>
      <w:tblPr>
        <w:tblStyle w:val="TableGrid"/>
        <w:tblW w:w="9270" w:type="dxa"/>
        <w:tblInd w:w="108" w:type="dxa"/>
        <w:tblLook w:val="04A0" w:firstRow="1" w:lastRow="0" w:firstColumn="1" w:lastColumn="0" w:noHBand="0" w:noVBand="1"/>
      </w:tblPr>
      <w:tblGrid>
        <w:gridCol w:w="1440"/>
        <w:gridCol w:w="2610"/>
        <w:gridCol w:w="2700"/>
        <w:gridCol w:w="2520"/>
      </w:tblGrid>
      <w:tr w:rsidR="00330CF1" w:rsidRPr="00687E70" w:rsidTr="00A11B47">
        <w:trPr>
          <w:trHeight w:val="446"/>
        </w:trPr>
        <w:tc>
          <w:tcPr>
            <w:tcW w:w="1440" w:type="dxa"/>
          </w:tcPr>
          <w:p w:rsidR="00330CF1" w:rsidRPr="00687E70" w:rsidRDefault="00330CF1" w:rsidP="00A11B47">
            <w:pPr>
              <w:rPr>
                <w:rFonts w:ascii="Arial" w:hAnsi="Arial" w:cs="Arial"/>
              </w:rPr>
            </w:pPr>
          </w:p>
        </w:tc>
        <w:tc>
          <w:tcPr>
            <w:tcW w:w="2610" w:type="dxa"/>
          </w:tcPr>
          <w:p w:rsidR="00330CF1" w:rsidRPr="00687E70" w:rsidRDefault="00330CF1" w:rsidP="00A11B47">
            <w:pPr>
              <w:jc w:val="center"/>
              <w:rPr>
                <w:rFonts w:ascii="Arial" w:hAnsi="Arial" w:cs="Arial"/>
              </w:rPr>
            </w:pPr>
            <w:r>
              <w:rPr>
                <w:rFonts w:ascii="Arial" w:hAnsi="Arial" w:cs="Arial"/>
              </w:rPr>
              <w:t>Control</w:t>
            </w:r>
          </w:p>
        </w:tc>
        <w:tc>
          <w:tcPr>
            <w:tcW w:w="2700" w:type="dxa"/>
          </w:tcPr>
          <w:p w:rsidR="00330CF1" w:rsidRPr="00687E70" w:rsidRDefault="00330CF1" w:rsidP="00A11B47">
            <w:pPr>
              <w:jc w:val="center"/>
              <w:rPr>
                <w:rFonts w:ascii="Arial" w:hAnsi="Arial" w:cs="Arial"/>
              </w:rPr>
            </w:pPr>
            <w:r>
              <w:rPr>
                <w:rFonts w:ascii="Arial" w:hAnsi="Arial" w:cs="Arial"/>
              </w:rPr>
              <w:t>Commercial Raw</w:t>
            </w:r>
          </w:p>
        </w:tc>
        <w:tc>
          <w:tcPr>
            <w:tcW w:w="2520" w:type="dxa"/>
          </w:tcPr>
          <w:p w:rsidR="00330CF1" w:rsidRPr="00687E70" w:rsidRDefault="00330CF1" w:rsidP="00A11B47">
            <w:pPr>
              <w:jc w:val="center"/>
              <w:rPr>
                <w:rFonts w:ascii="Arial" w:hAnsi="Arial" w:cs="Arial"/>
              </w:rPr>
            </w:pPr>
            <w:r>
              <w:rPr>
                <w:rFonts w:ascii="Arial" w:hAnsi="Arial" w:cs="Arial"/>
              </w:rPr>
              <w:t>Homemade Raw</w:t>
            </w:r>
          </w:p>
        </w:tc>
      </w:tr>
      <w:tr w:rsidR="00330CF1" w:rsidRPr="00687E70" w:rsidTr="00A11B47">
        <w:trPr>
          <w:trHeight w:val="420"/>
        </w:trPr>
        <w:tc>
          <w:tcPr>
            <w:tcW w:w="1440" w:type="dxa"/>
          </w:tcPr>
          <w:p w:rsidR="00330CF1" w:rsidRPr="00687E70" w:rsidRDefault="00330CF1" w:rsidP="00A11B47">
            <w:pPr>
              <w:rPr>
                <w:rFonts w:ascii="Arial" w:hAnsi="Arial" w:cs="Arial"/>
              </w:rPr>
            </w:pPr>
            <w:r w:rsidRPr="00687E70">
              <w:rPr>
                <w:rFonts w:ascii="Arial" w:hAnsi="Arial" w:cs="Arial"/>
              </w:rPr>
              <w:t>Male</w:t>
            </w:r>
          </w:p>
        </w:tc>
        <w:tc>
          <w:tcPr>
            <w:tcW w:w="2610" w:type="dxa"/>
          </w:tcPr>
          <w:p w:rsidR="00330CF1" w:rsidRPr="00E01569" w:rsidRDefault="00330CF1" w:rsidP="00A11B47">
            <w:pPr>
              <w:jc w:val="center"/>
              <w:rPr>
                <w:rFonts w:ascii="Arial" w:hAnsi="Arial" w:cs="Arial"/>
              </w:rPr>
            </w:pPr>
            <w:r>
              <w:rPr>
                <w:rFonts w:ascii="Arial" w:hAnsi="Arial" w:cs="Arial"/>
              </w:rPr>
              <w:t>20.05</w:t>
            </w:r>
            <w:r w:rsidRPr="00687E70">
              <w:rPr>
                <w:rFonts w:ascii="Arial" w:hAnsi="Arial" w:cs="Arial"/>
              </w:rPr>
              <w:t xml:space="preserve"> ± 1.</w:t>
            </w:r>
            <w:r>
              <w:rPr>
                <w:rFonts w:ascii="Arial" w:hAnsi="Arial" w:cs="Arial"/>
              </w:rPr>
              <w:t>49</w:t>
            </w:r>
            <w:r>
              <w:rPr>
                <w:rFonts w:ascii="Arial" w:hAnsi="Arial" w:cs="Arial"/>
                <w:vertAlign w:val="superscript"/>
              </w:rPr>
              <w:t>ab</w:t>
            </w:r>
          </w:p>
        </w:tc>
        <w:tc>
          <w:tcPr>
            <w:tcW w:w="2700" w:type="dxa"/>
          </w:tcPr>
          <w:p w:rsidR="00330CF1" w:rsidRPr="00E01569" w:rsidRDefault="00330CF1" w:rsidP="00A11B47">
            <w:pPr>
              <w:jc w:val="center"/>
              <w:rPr>
                <w:rFonts w:ascii="Arial" w:hAnsi="Arial" w:cs="Arial"/>
              </w:rPr>
            </w:pPr>
            <w:r w:rsidRPr="00687E70">
              <w:rPr>
                <w:rFonts w:ascii="Arial" w:hAnsi="Arial" w:cs="Arial"/>
              </w:rPr>
              <w:t xml:space="preserve">22.65 ± </w:t>
            </w:r>
            <w:r>
              <w:rPr>
                <w:rFonts w:ascii="Arial" w:hAnsi="Arial" w:cs="Arial"/>
              </w:rPr>
              <w:t>1.49</w:t>
            </w:r>
            <w:r>
              <w:rPr>
                <w:rFonts w:ascii="Arial" w:hAnsi="Arial" w:cs="Arial"/>
                <w:vertAlign w:val="superscript"/>
              </w:rPr>
              <w:t>ab</w:t>
            </w:r>
          </w:p>
        </w:tc>
        <w:tc>
          <w:tcPr>
            <w:tcW w:w="2520" w:type="dxa"/>
          </w:tcPr>
          <w:p w:rsidR="00330CF1" w:rsidRPr="00E01569" w:rsidRDefault="00330CF1" w:rsidP="00A11B47">
            <w:pPr>
              <w:jc w:val="center"/>
              <w:rPr>
                <w:rFonts w:ascii="Arial" w:hAnsi="Arial" w:cs="Arial"/>
              </w:rPr>
            </w:pPr>
            <w:r w:rsidRPr="00687E70">
              <w:rPr>
                <w:rFonts w:ascii="Arial" w:hAnsi="Arial" w:cs="Arial"/>
              </w:rPr>
              <w:t xml:space="preserve">24.08 ± </w:t>
            </w:r>
            <w:r>
              <w:rPr>
                <w:rFonts w:ascii="Arial" w:hAnsi="Arial" w:cs="Arial"/>
              </w:rPr>
              <w:t>1.36</w:t>
            </w:r>
            <w:r>
              <w:rPr>
                <w:rFonts w:ascii="Arial" w:hAnsi="Arial" w:cs="Arial"/>
                <w:vertAlign w:val="superscript"/>
              </w:rPr>
              <w:t>a</w:t>
            </w:r>
          </w:p>
        </w:tc>
      </w:tr>
      <w:tr w:rsidR="00330CF1" w:rsidRPr="00687E70" w:rsidTr="00A11B47">
        <w:trPr>
          <w:trHeight w:val="420"/>
        </w:trPr>
        <w:tc>
          <w:tcPr>
            <w:tcW w:w="1440" w:type="dxa"/>
          </w:tcPr>
          <w:p w:rsidR="00330CF1" w:rsidRPr="00687E70" w:rsidRDefault="00330CF1" w:rsidP="00A11B47">
            <w:pPr>
              <w:rPr>
                <w:rFonts w:ascii="Arial" w:hAnsi="Arial" w:cs="Arial"/>
              </w:rPr>
            </w:pPr>
            <w:r w:rsidRPr="00687E70">
              <w:rPr>
                <w:rFonts w:ascii="Arial" w:hAnsi="Arial" w:cs="Arial"/>
              </w:rPr>
              <w:t>Female</w:t>
            </w:r>
          </w:p>
        </w:tc>
        <w:tc>
          <w:tcPr>
            <w:tcW w:w="2610" w:type="dxa"/>
          </w:tcPr>
          <w:p w:rsidR="00330CF1" w:rsidRPr="00E01569" w:rsidRDefault="00330CF1" w:rsidP="00A11B47">
            <w:pPr>
              <w:jc w:val="center"/>
              <w:rPr>
                <w:rFonts w:ascii="Arial" w:hAnsi="Arial" w:cs="Arial"/>
              </w:rPr>
            </w:pPr>
            <w:r w:rsidRPr="00687E70">
              <w:rPr>
                <w:rFonts w:ascii="Arial" w:hAnsi="Arial" w:cs="Arial"/>
              </w:rPr>
              <w:t>18.57 ± 1.</w:t>
            </w:r>
            <w:r>
              <w:rPr>
                <w:rFonts w:ascii="Arial" w:hAnsi="Arial" w:cs="Arial"/>
              </w:rPr>
              <w:t>92</w:t>
            </w:r>
            <w:r>
              <w:rPr>
                <w:rFonts w:ascii="Arial" w:hAnsi="Arial" w:cs="Arial"/>
                <w:vertAlign w:val="superscript"/>
              </w:rPr>
              <w:t>b</w:t>
            </w:r>
          </w:p>
        </w:tc>
        <w:tc>
          <w:tcPr>
            <w:tcW w:w="2700" w:type="dxa"/>
          </w:tcPr>
          <w:p w:rsidR="00330CF1" w:rsidRPr="00E01569" w:rsidRDefault="00330CF1" w:rsidP="00A11B47">
            <w:pPr>
              <w:jc w:val="center"/>
              <w:rPr>
                <w:rFonts w:ascii="Arial" w:hAnsi="Arial" w:cs="Arial"/>
              </w:rPr>
            </w:pPr>
            <w:r w:rsidRPr="00687E70">
              <w:rPr>
                <w:rFonts w:ascii="Arial" w:hAnsi="Arial" w:cs="Arial"/>
              </w:rPr>
              <w:t>17.68 ± 1.</w:t>
            </w:r>
            <w:r>
              <w:rPr>
                <w:rFonts w:ascii="Arial" w:hAnsi="Arial" w:cs="Arial"/>
              </w:rPr>
              <w:t>92</w:t>
            </w:r>
            <w:r>
              <w:rPr>
                <w:rFonts w:ascii="Arial" w:hAnsi="Arial" w:cs="Arial"/>
                <w:vertAlign w:val="superscript"/>
              </w:rPr>
              <w:t>b</w:t>
            </w:r>
          </w:p>
        </w:tc>
        <w:tc>
          <w:tcPr>
            <w:tcW w:w="2520" w:type="dxa"/>
          </w:tcPr>
          <w:p w:rsidR="00330CF1" w:rsidRPr="00E01569" w:rsidRDefault="00330CF1" w:rsidP="00A11B47">
            <w:pPr>
              <w:jc w:val="center"/>
              <w:rPr>
                <w:rFonts w:ascii="Arial" w:hAnsi="Arial" w:cs="Arial"/>
              </w:rPr>
            </w:pPr>
            <w:r w:rsidRPr="00687E70">
              <w:rPr>
                <w:rFonts w:ascii="Arial" w:hAnsi="Arial" w:cs="Arial"/>
              </w:rPr>
              <w:t xml:space="preserve">17.64 ± </w:t>
            </w:r>
            <w:r>
              <w:rPr>
                <w:rFonts w:ascii="Arial" w:hAnsi="Arial" w:cs="Arial"/>
              </w:rPr>
              <w:t>2.36</w:t>
            </w:r>
            <w:r>
              <w:rPr>
                <w:rFonts w:ascii="Arial" w:hAnsi="Arial" w:cs="Arial"/>
                <w:vertAlign w:val="superscript"/>
              </w:rPr>
              <w:t>b</w:t>
            </w:r>
          </w:p>
        </w:tc>
      </w:tr>
    </w:tbl>
    <w:bookmarkEnd w:id="29"/>
    <w:p w:rsidR="00330CF1" w:rsidRDefault="00330CF1" w:rsidP="000D5F4E">
      <w:pPr>
        <w:rPr>
          <w:rFonts w:ascii="Arial" w:hAnsi="Arial" w:cs="Arial"/>
        </w:rPr>
      </w:pPr>
      <w:r>
        <w:rPr>
          <w:rFonts w:ascii="Arial" w:hAnsi="Arial" w:cs="Arial"/>
        </w:rPr>
        <w:t>NOTE: Different letter superscripts in both rows and columns indicate p values ≤ 0.05</w:t>
      </w:r>
    </w:p>
    <w:p w:rsidR="00330CF1" w:rsidRDefault="00330CF1" w:rsidP="000D5F4E">
      <w:pPr>
        <w:rPr>
          <w:rFonts w:ascii="Arial" w:hAnsi="Arial" w:cs="Arial"/>
        </w:rPr>
      </w:pPr>
    </w:p>
    <w:p w:rsidR="00330CF1" w:rsidRDefault="00330CF1" w:rsidP="000D5F4E">
      <w:pPr>
        <w:rPr>
          <w:rFonts w:ascii="Arial" w:hAnsi="Arial" w:cs="Arial"/>
        </w:rPr>
      </w:pPr>
    </w:p>
    <w:p w:rsidR="00330CF1" w:rsidRDefault="00330CF1" w:rsidP="000D5F4E">
      <w:pPr>
        <w:rPr>
          <w:rFonts w:ascii="Arial" w:hAnsi="Arial" w:cs="Arial"/>
        </w:rPr>
      </w:pPr>
    </w:p>
    <w:p w:rsidR="00330CF1" w:rsidRDefault="00330CF1" w:rsidP="000D5F4E">
      <w:pPr>
        <w:rPr>
          <w:rFonts w:ascii="Arial" w:hAnsi="Arial" w:cs="Arial"/>
        </w:rPr>
      </w:pPr>
    </w:p>
    <w:p w:rsidR="00330CF1" w:rsidRDefault="00330CF1" w:rsidP="000D5F4E">
      <w:r>
        <w:object w:dxaOrig="5804" w:dyaOrig="43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0.5pt;height:220pt" o:ole="">
            <v:imagedata r:id="rId32" o:title=""/>
          </v:shape>
          <o:OLEObject Type="Embed" ProgID="Prism5.Document" ShapeID="_x0000_i1025" DrawAspect="Content" ObjectID="_1398685156" r:id="rId33"/>
        </w:object>
      </w:r>
    </w:p>
    <w:p w:rsidR="00330CF1" w:rsidRDefault="00330CF1" w:rsidP="000D5F4E">
      <w:pPr>
        <w:pStyle w:val="NormalWeb"/>
        <w:spacing w:before="0" w:beforeAutospacing="0" w:after="0" w:afterAutospacing="0"/>
        <w:rPr>
          <w:rFonts w:ascii="Arial" w:eastAsiaTheme="minorEastAsia" w:hAnsi="Arial" w:cs="Arial"/>
          <w:color w:val="000000" w:themeColor="text1"/>
          <w:kern w:val="24"/>
        </w:rPr>
      </w:pPr>
      <w:r w:rsidRPr="00873BD8">
        <w:rPr>
          <w:rFonts w:ascii="Arial" w:eastAsiaTheme="minorEastAsia" w:hAnsi="Arial" w:cs="Arial"/>
          <w:b/>
          <w:color w:val="000000" w:themeColor="text1"/>
          <w:kern w:val="24"/>
        </w:rPr>
        <w:t>Figure 2.1</w:t>
      </w:r>
      <w:r w:rsidRPr="00873BD8">
        <w:rPr>
          <w:rFonts w:ascii="Arial" w:eastAsiaTheme="minorEastAsia" w:hAnsi="Arial" w:cs="Arial"/>
          <w:color w:val="000000" w:themeColor="text1"/>
          <w:kern w:val="24"/>
        </w:rPr>
        <w:t xml:space="preserve"> Mean Daily weight gain by sex and diet treatment.  </w:t>
      </w:r>
      <w:r>
        <w:rPr>
          <w:rFonts w:ascii="Arial" w:eastAsiaTheme="minorEastAsia" w:hAnsi="Arial" w:cs="Arial"/>
          <w:color w:val="000000" w:themeColor="text1"/>
          <w:kern w:val="24"/>
        </w:rPr>
        <w:t>The top and bottom of the box</w:t>
      </w:r>
      <w:r w:rsidRPr="00873BD8">
        <w:rPr>
          <w:rFonts w:ascii="Arial" w:eastAsiaTheme="minorEastAsia" w:hAnsi="Arial" w:cs="Arial"/>
          <w:color w:val="000000" w:themeColor="text1"/>
          <w:kern w:val="24"/>
        </w:rPr>
        <w:t xml:space="preserve"> represent </w:t>
      </w:r>
      <w:r>
        <w:rPr>
          <w:rFonts w:ascii="Arial" w:eastAsiaTheme="minorEastAsia" w:hAnsi="Arial" w:cs="Arial"/>
          <w:color w:val="000000" w:themeColor="text1"/>
          <w:kern w:val="24"/>
        </w:rPr>
        <w:t xml:space="preserve">the </w:t>
      </w:r>
      <w:r w:rsidRPr="00873BD8">
        <w:rPr>
          <w:rFonts w:ascii="Arial" w:eastAsiaTheme="minorEastAsia" w:hAnsi="Arial" w:cs="Arial"/>
          <w:color w:val="000000" w:themeColor="text1"/>
          <w:kern w:val="24"/>
        </w:rPr>
        <w:t>25% and 75%,</w:t>
      </w:r>
      <w:r>
        <w:rPr>
          <w:rFonts w:ascii="Arial" w:eastAsiaTheme="minorEastAsia" w:hAnsi="Arial" w:cs="Arial"/>
          <w:color w:val="000000" w:themeColor="text1"/>
          <w:kern w:val="24"/>
        </w:rPr>
        <w:t xml:space="preserve"> while the band near the middle is the median.  Whiskers go from the smallest to the highest value.</w:t>
      </w:r>
      <w:r w:rsidRPr="00873BD8">
        <w:rPr>
          <w:rFonts w:ascii="Arial" w:eastAsiaTheme="minorEastAsia" w:hAnsi="Arial" w:cs="Arial"/>
          <w:color w:val="000000" w:themeColor="text1"/>
          <w:kern w:val="24"/>
        </w:rPr>
        <w:t xml:space="preserve"> </w:t>
      </w:r>
    </w:p>
    <w:p w:rsidR="00330CF1" w:rsidRDefault="00330CF1" w:rsidP="009B4AE0">
      <w:pPr>
        <w:rPr>
          <w:rFonts w:ascii="Arial" w:hAnsi="Arial" w:cs="Arial"/>
        </w:rPr>
      </w:pPr>
      <w:r>
        <w:rPr>
          <w:rFonts w:ascii="Arial" w:hAnsi="Arial" w:cs="Arial"/>
        </w:rPr>
        <w:t xml:space="preserve"> </w:t>
      </w:r>
    </w:p>
    <w:p w:rsidR="00330CF1" w:rsidRDefault="00330CF1" w:rsidP="009B4AE0">
      <w:pPr>
        <w:rPr>
          <w:rFonts w:ascii="Arial" w:hAnsi="Arial" w:cs="Arial"/>
        </w:rPr>
      </w:pPr>
    </w:p>
    <w:p w:rsidR="00330CF1" w:rsidRDefault="00330CF1" w:rsidP="009B4AE0">
      <w:pPr>
        <w:rPr>
          <w:rFonts w:ascii="Arial" w:hAnsi="Arial" w:cs="Arial"/>
        </w:rPr>
      </w:pPr>
    </w:p>
    <w:p w:rsidR="00330CF1" w:rsidRDefault="00330CF1">
      <w:pPr>
        <w:rPr>
          <w:rFonts w:ascii="Arial" w:hAnsi="Arial" w:cs="Arial"/>
          <w:b/>
        </w:rPr>
      </w:pPr>
      <w:r>
        <w:object w:dxaOrig="6495" w:dyaOrig="4532">
          <v:shape id="_x0000_i1026" type="#_x0000_t75" style="width:324.45pt;height:226.6pt" o:ole="">
            <v:imagedata r:id="rId34" o:title=""/>
          </v:shape>
          <o:OLEObject Type="Embed" ProgID="Prism5.Document" ShapeID="_x0000_i1026" DrawAspect="Content" ObjectID="_1398685157" r:id="rId35"/>
        </w:object>
      </w:r>
    </w:p>
    <w:p w:rsidR="00330CF1" w:rsidRDefault="00330CF1" w:rsidP="00512D85">
      <w:pPr>
        <w:rPr>
          <w:rFonts w:ascii="Arial" w:hAnsi="Arial" w:cs="Arial"/>
        </w:rPr>
      </w:pPr>
      <w:r w:rsidRPr="00512D85">
        <w:rPr>
          <w:rFonts w:ascii="Arial" w:hAnsi="Arial" w:cs="Arial"/>
          <w:b/>
        </w:rPr>
        <w:t>Figure 2.2</w:t>
      </w:r>
      <w:r>
        <w:rPr>
          <w:rFonts w:ascii="Arial" w:hAnsi="Arial" w:cs="Arial"/>
        </w:rPr>
        <w:t xml:space="preserve">  Mean weekly weight by sex (Mean ± SEM) </w:t>
      </w:r>
    </w:p>
    <w:p w:rsidR="00330CF1" w:rsidRDefault="00330CF1" w:rsidP="00A33615">
      <w:pPr>
        <w:rPr>
          <w:rFonts w:ascii="Arial" w:hAnsi="Arial" w:cs="Arial"/>
        </w:rPr>
      </w:pPr>
    </w:p>
    <w:p w:rsidR="00330CF1" w:rsidRDefault="00330CF1" w:rsidP="00A33615">
      <w:pPr>
        <w:rPr>
          <w:rFonts w:ascii="Arial" w:hAnsi="Arial" w:cs="Arial"/>
        </w:rPr>
      </w:pPr>
    </w:p>
    <w:p w:rsidR="00330CF1" w:rsidRDefault="00330CF1" w:rsidP="00A33615">
      <w:pPr>
        <w:rPr>
          <w:rFonts w:ascii="Arial" w:hAnsi="Arial" w:cs="Arial"/>
        </w:rPr>
      </w:pPr>
      <w:r>
        <w:rPr>
          <w:rFonts w:ascii="Arial" w:hAnsi="Arial" w:cs="Arial"/>
        </w:rPr>
        <w:t xml:space="preserve">     Figure 2.2 shows mean weight gains in males vs. females in all the treatment groups over the 10 week feeding trial.  A significant difference in weight (p=0.025) was found between the sexes, with males having higher weight gains than females.</w:t>
      </w:r>
    </w:p>
    <w:p w:rsidR="00330CF1" w:rsidRDefault="00330CF1" w:rsidP="00A33615">
      <w:pPr>
        <w:rPr>
          <w:rFonts w:ascii="Arial" w:hAnsi="Arial" w:cs="Arial"/>
        </w:rPr>
      </w:pPr>
      <w:r>
        <w:rPr>
          <w:rFonts w:ascii="Arial" w:hAnsi="Arial" w:cs="Arial"/>
        </w:rPr>
        <w:t xml:space="preserve">     Figure 2.3 and 2.4 show weight gain for each sex by treatment.  Male kittens on the control diet had the highest mean weight at the beginning of the feeding trial.  As the feeding trial progressed, males on the homemade raw diet consistently had between 100-200 gram higher weights (week 2 through week 10).  Male kittens on the commercial raw diet had initial higher weight gains compared to the control diet (between 25-100 grams) but these differences ceased after week 5.  None of these weight differences between the 3 treatments were statistically significant.  </w:t>
      </w:r>
    </w:p>
    <w:p w:rsidR="00330CF1" w:rsidRDefault="00330CF1" w:rsidP="00E16955">
      <w:pPr>
        <w:rPr>
          <w:rFonts w:ascii="Arial" w:hAnsi="Arial" w:cs="Arial"/>
        </w:rPr>
      </w:pPr>
      <w:r>
        <w:rPr>
          <w:rFonts w:ascii="Arial" w:hAnsi="Arial" w:cs="Arial"/>
        </w:rPr>
        <w:t xml:space="preserve">     Female kittens on the homemade raw and control diets had higher weight gains in the first few weeks.  The control diet female kittens showed the greatest weight gains during the second half of the feeding trial.  None of these weight differences were statistically significant between the 3 diet treatments.  Both the of raw diets passed AAFCO guidelines for a growth claim consistent with their weights being equal or no less than 10% of the control diet. </w:t>
      </w:r>
    </w:p>
    <w:p w:rsidR="00330CF1" w:rsidRDefault="00330CF1" w:rsidP="00E16955">
      <w:pPr>
        <w:rPr>
          <w:rFonts w:ascii="Arial" w:hAnsi="Arial" w:cs="Arial"/>
          <w:color w:val="FF0000"/>
        </w:rPr>
      </w:pPr>
      <w:r>
        <w:rPr>
          <w:rFonts w:ascii="Arial" w:hAnsi="Arial" w:cs="Arial"/>
        </w:rPr>
        <w:t xml:space="preserve">    Figures 2.5 - 2.10 graph heights and lengths separated by treatment (Figure 2.5-2.8), and sex (Figure 2.9-2.10) over the 10 week feeding trial. There was a statistically significant difference in height (p=0.020) but not length between males and females throughout the feeding trial with males being taller than females.   But no significant differences in height or length were seen between the different diet treatments. </w:t>
      </w:r>
      <w:r w:rsidRPr="00932B8A">
        <w:rPr>
          <w:rFonts w:ascii="Arial" w:hAnsi="Arial" w:cs="Arial"/>
          <w:color w:val="FF0000"/>
        </w:rPr>
        <w:t xml:space="preserve"> </w:t>
      </w:r>
    </w:p>
    <w:p w:rsidR="00330CF1" w:rsidRDefault="00330CF1" w:rsidP="00127CC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330CF1" w:rsidRDefault="00330CF1">
      <w:pPr>
        <w:rPr>
          <w:rFonts w:ascii="Arial" w:hAnsi="Arial" w:cs="Arial"/>
        </w:rPr>
      </w:pPr>
      <w:r>
        <w:rPr>
          <w:rFonts w:ascii="Arial" w:hAnsi="Arial" w:cs="Arial"/>
        </w:rPr>
        <w:br w:type="page"/>
      </w:r>
    </w:p>
    <w:p w:rsidR="00330CF1" w:rsidRDefault="00330CF1" w:rsidP="009B4AE0">
      <w:pPr>
        <w:rPr>
          <w:rFonts w:ascii="Arial" w:hAnsi="Arial" w:cs="Arial"/>
        </w:rPr>
      </w:pPr>
      <w:r>
        <w:rPr>
          <w:noProof/>
        </w:rPr>
        <w:lastRenderedPageBreak/>
        <w:drawing>
          <wp:inline distT="0" distB="0" distL="0" distR="0" wp14:anchorId="65C17E69" wp14:editId="4B1B613B">
            <wp:extent cx="5318649" cy="3421295"/>
            <wp:effectExtent l="0" t="0" r="0" b="8255"/>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37405" cy="3433360"/>
                    </a:xfrm>
                    <a:prstGeom prst="rect">
                      <a:avLst/>
                    </a:prstGeom>
                    <a:noFill/>
                    <a:ln>
                      <a:noFill/>
                    </a:ln>
                    <a:effectLst/>
                    <a:extLst/>
                  </pic:spPr>
                </pic:pic>
              </a:graphicData>
            </a:graphic>
          </wp:inline>
        </w:drawing>
      </w:r>
    </w:p>
    <w:p w:rsidR="00330CF1" w:rsidRPr="00E449F8" w:rsidRDefault="00330CF1" w:rsidP="00E449F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b/>
        </w:rPr>
        <w:t xml:space="preserve">Figure 2.3 </w:t>
      </w:r>
      <w:r w:rsidRPr="00E449F8">
        <w:rPr>
          <w:rFonts w:ascii="Arial" w:hAnsi="Arial" w:cs="Arial"/>
        </w:rPr>
        <w:t>Mal</w:t>
      </w:r>
      <w:r>
        <w:rPr>
          <w:rFonts w:ascii="Arial" w:hAnsi="Arial" w:cs="Arial"/>
        </w:rPr>
        <w:t>e mean weekly weight by diet treatment (</w:t>
      </w:r>
      <w:r w:rsidRPr="00E449F8">
        <w:rPr>
          <w:rFonts w:ascii="Arial" w:hAnsi="Arial" w:cs="Arial"/>
        </w:rPr>
        <w:t>Mean ± SEM)</w:t>
      </w:r>
    </w:p>
    <w:p w:rsidR="00330CF1" w:rsidRDefault="00330CF1" w:rsidP="00E1695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330CF1" w:rsidRDefault="00330CF1" w:rsidP="00E16955">
      <w:pPr>
        <w:rPr>
          <w:rFonts w:ascii="Arial" w:hAnsi="Arial" w:cs="Arial"/>
        </w:rPr>
      </w:pPr>
      <w:r>
        <w:rPr>
          <w:rFonts w:ascii="Arial" w:hAnsi="Arial" w:cs="Arial"/>
        </w:rPr>
        <w:t xml:space="preserve">    </w:t>
      </w:r>
      <w:r>
        <w:object w:dxaOrig="6936" w:dyaOrig="4791">
          <v:shape id="_x0000_i1027" type="#_x0000_t75" style="width:369.7pt;height:257.05pt" o:ole="">
            <v:imagedata r:id="rId37" o:title=""/>
          </v:shape>
          <o:OLEObject Type="Embed" ProgID="Prism5.Document" ShapeID="_x0000_i1027" DrawAspect="Content" ObjectID="_1398685158" r:id="rId38"/>
        </w:object>
      </w:r>
    </w:p>
    <w:p w:rsidR="00330CF1" w:rsidRPr="00E449F8" w:rsidRDefault="00330CF1" w:rsidP="00E449F8">
      <w:pPr>
        <w:rPr>
          <w:rFonts w:ascii="Arial" w:hAnsi="Arial" w:cs="Arial"/>
        </w:rPr>
      </w:pPr>
      <w:r>
        <w:rPr>
          <w:rFonts w:ascii="Arial" w:hAnsi="Arial" w:cs="Arial"/>
          <w:b/>
        </w:rPr>
        <w:t xml:space="preserve">Figure 2.4 </w:t>
      </w:r>
      <w:r>
        <w:rPr>
          <w:rFonts w:ascii="Arial" w:hAnsi="Arial" w:cs="Arial"/>
        </w:rPr>
        <w:t>Female mean w</w:t>
      </w:r>
      <w:r w:rsidRPr="00E449F8">
        <w:rPr>
          <w:rFonts w:ascii="Arial" w:hAnsi="Arial" w:cs="Arial"/>
        </w:rPr>
        <w:t>eekly weight by diet treatment</w:t>
      </w:r>
      <w:r>
        <w:rPr>
          <w:rFonts w:ascii="Arial" w:hAnsi="Arial" w:cs="Arial"/>
        </w:rPr>
        <w:t xml:space="preserve">  </w:t>
      </w:r>
      <w:r w:rsidRPr="00E449F8">
        <w:rPr>
          <w:rFonts w:ascii="Arial" w:hAnsi="Arial" w:cs="Arial"/>
        </w:rPr>
        <w:t xml:space="preserve"> (Mean ± SEM) </w:t>
      </w:r>
    </w:p>
    <w:p w:rsidR="00330CF1" w:rsidRDefault="00330CF1" w:rsidP="00E16955">
      <w:pPr>
        <w:rPr>
          <w:rFonts w:ascii="Arial" w:hAnsi="Arial" w:cs="Arial"/>
        </w:rPr>
      </w:pPr>
    </w:p>
    <w:p w:rsidR="00330CF1" w:rsidRPr="00C608F5" w:rsidRDefault="00330CF1" w:rsidP="009B4AE0">
      <w:pPr>
        <w:rPr>
          <w:rFonts w:ascii="Arial" w:hAnsi="Arial" w:cs="Arial"/>
        </w:rPr>
      </w:pPr>
      <w:r>
        <w:rPr>
          <w:noProof/>
        </w:rPr>
        <w:lastRenderedPageBreak/>
        <w:drawing>
          <wp:inline distT="0" distB="0" distL="0" distR="0" wp14:anchorId="746DE6A1" wp14:editId="3735924B">
            <wp:extent cx="4171950" cy="3209925"/>
            <wp:effectExtent l="0" t="0" r="0" b="9525"/>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71950" cy="320992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330CF1" w:rsidRPr="00A101E9" w:rsidRDefault="00330CF1" w:rsidP="009B4AE0">
      <w:pPr>
        <w:rPr>
          <w:rFonts w:ascii="Arial" w:hAnsi="Arial" w:cs="Arial"/>
        </w:rPr>
      </w:pPr>
      <w:r>
        <w:rPr>
          <w:rFonts w:ascii="Arial" w:hAnsi="Arial" w:cs="Arial"/>
          <w:b/>
        </w:rPr>
        <w:t xml:space="preserve">Figure 2.5 </w:t>
      </w:r>
      <w:r>
        <w:rPr>
          <w:rFonts w:ascii="Arial" w:hAnsi="Arial" w:cs="Arial"/>
        </w:rPr>
        <w:t>Male weekly h</w:t>
      </w:r>
      <w:r w:rsidRPr="00A101E9">
        <w:rPr>
          <w:rFonts w:ascii="Arial" w:hAnsi="Arial" w:cs="Arial"/>
        </w:rPr>
        <w:t>eight by diet treatment (Mean ± SEM)</w:t>
      </w:r>
    </w:p>
    <w:p w:rsidR="00330CF1" w:rsidRDefault="00330CF1" w:rsidP="009B4AE0">
      <w:pPr>
        <w:rPr>
          <w:rFonts w:ascii="Arial" w:hAnsi="Arial" w:cs="Arial"/>
          <w:color w:val="FF0000"/>
        </w:rPr>
      </w:pPr>
    </w:p>
    <w:p w:rsidR="00330CF1" w:rsidRDefault="00330CF1" w:rsidP="009B4AE0">
      <w:pPr>
        <w:rPr>
          <w:rFonts w:ascii="Arial" w:hAnsi="Arial" w:cs="Arial"/>
          <w:color w:val="FF0000"/>
        </w:rPr>
      </w:pPr>
      <w:r>
        <w:rPr>
          <w:noProof/>
        </w:rPr>
        <w:drawing>
          <wp:inline distT="0" distB="0" distL="0" distR="0" wp14:anchorId="1D3A1EFD" wp14:editId="59C39E49">
            <wp:extent cx="4295775" cy="2943225"/>
            <wp:effectExtent l="0" t="0" r="9525" b="9525"/>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95775" cy="294322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330CF1" w:rsidRPr="00C608F5" w:rsidRDefault="00330CF1" w:rsidP="009B4AE0">
      <w:pPr>
        <w:rPr>
          <w:rFonts w:ascii="Arial" w:hAnsi="Arial" w:cs="Arial"/>
          <w:color w:val="FF0000"/>
        </w:rPr>
      </w:pPr>
    </w:p>
    <w:p w:rsidR="00330CF1" w:rsidRPr="00A101E9" w:rsidRDefault="00330CF1" w:rsidP="009B4AE0">
      <w:pPr>
        <w:rPr>
          <w:rFonts w:ascii="Arial" w:hAnsi="Arial" w:cs="Arial"/>
        </w:rPr>
      </w:pPr>
      <w:bookmarkStart w:id="30" w:name="OLE_LINK2"/>
      <w:r>
        <w:rPr>
          <w:rFonts w:ascii="Arial" w:hAnsi="Arial" w:cs="Arial"/>
          <w:b/>
        </w:rPr>
        <w:t xml:space="preserve">Figure 2.6 </w:t>
      </w:r>
      <w:r>
        <w:rPr>
          <w:rFonts w:ascii="Arial" w:hAnsi="Arial" w:cs="Arial"/>
        </w:rPr>
        <w:t>Female weekly h</w:t>
      </w:r>
      <w:r w:rsidRPr="00A101E9">
        <w:rPr>
          <w:rFonts w:ascii="Arial" w:hAnsi="Arial" w:cs="Arial"/>
        </w:rPr>
        <w:t>eight by diet treatment (Mean ± SEM)</w:t>
      </w:r>
    </w:p>
    <w:p w:rsidR="00330CF1" w:rsidRDefault="00330CF1" w:rsidP="009B4AE0">
      <w:pPr>
        <w:rPr>
          <w:rFonts w:ascii="Arial" w:hAnsi="Arial" w:cs="Arial"/>
        </w:rPr>
      </w:pPr>
    </w:p>
    <w:p w:rsidR="00330CF1" w:rsidRPr="00C608F5" w:rsidRDefault="00330CF1" w:rsidP="00C608F5">
      <w:pPr>
        <w:pStyle w:val="Heading2"/>
        <w:jc w:val="left"/>
      </w:pPr>
      <w:bookmarkStart w:id="31" w:name="_Toc305485856"/>
      <w:bookmarkEnd w:id="30"/>
      <w:r>
        <w:t xml:space="preserve">    </w:t>
      </w:r>
    </w:p>
    <w:p w:rsidR="00330CF1" w:rsidRDefault="00330CF1" w:rsidP="00576C12">
      <w:pPr>
        <w:rPr>
          <w:rFonts w:ascii="Arial" w:hAnsi="Arial" w:cs="Arial"/>
          <w:b/>
        </w:rPr>
      </w:pPr>
      <w:r>
        <w:object w:dxaOrig="6792" w:dyaOrig="4887">
          <v:shape id="_x0000_i1028" type="#_x0000_t75" style="width:339.95pt;height:245.1pt" o:ole="">
            <v:imagedata r:id="rId41" o:title=""/>
          </v:shape>
          <o:OLEObject Type="Embed" ProgID="Prism5.Document" ShapeID="_x0000_i1028" DrawAspect="Content" ObjectID="_1398685159" r:id="rId42"/>
        </w:object>
      </w:r>
    </w:p>
    <w:p w:rsidR="00330CF1" w:rsidRDefault="00330CF1" w:rsidP="00E16955"/>
    <w:p w:rsidR="00330CF1" w:rsidRPr="00AF3C9C" w:rsidRDefault="00330CF1" w:rsidP="00C608F5">
      <w:pPr>
        <w:rPr>
          <w:rFonts w:ascii="Arial" w:hAnsi="Arial" w:cs="Arial"/>
          <w:b/>
        </w:rPr>
      </w:pPr>
      <w:bookmarkStart w:id="32" w:name="OLE_LINK3"/>
      <w:r>
        <w:rPr>
          <w:rFonts w:ascii="Arial" w:hAnsi="Arial" w:cs="Arial"/>
          <w:b/>
        </w:rPr>
        <w:t xml:space="preserve">Figure 2.7 </w:t>
      </w:r>
      <w:r>
        <w:rPr>
          <w:rFonts w:ascii="Arial" w:hAnsi="Arial" w:cs="Arial"/>
        </w:rPr>
        <w:t>Male weekly l</w:t>
      </w:r>
      <w:r w:rsidRPr="00A101E9">
        <w:rPr>
          <w:rFonts w:ascii="Arial" w:hAnsi="Arial" w:cs="Arial"/>
        </w:rPr>
        <w:t>ength by diet treatment (Mean ± SEM)</w:t>
      </w:r>
    </w:p>
    <w:bookmarkEnd w:id="32"/>
    <w:p w:rsidR="00330CF1" w:rsidRDefault="00330CF1" w:rsidP="00E16955"/>
    <w:p w:rsidR="00330CF1" w:rsidRDefault="00330CF1" w:rsidP="00E16955"/>
    <w:p w:rsidR="00330CF1" w:rsidRDefault="00330CF1" w:rsidP="00E16955"/>
    <w:p w:rsidR="00330CF1" w:rsidRDefault="00330CF1" w:rsidP="00E16955">
      <w:r>
        <w:object w:dxaOrig="6495" w:dyaOrig="4820">
          <v:shape id="_x0000_i1029" type="#_x0000_t75" style="width:324.45pt;height:240.5pt" o:ole="">
            <v:imagedata r:id="rId43" o:title=""/>
          </v:shape>
          <o:OLEObject Type="Embed" ProgID="Prism5.Document" ShapeID="_x0000_i1029" DrawAspect="Content" ObjectID="_1398685160" r:id="rId44"/>
        </w:object>
      </w:r>
    </w:p>
    <w:p w:rsidR="00330CF1" w:rsidRPr="00D11F89" w:rsidRDefault="00330CF1" w:rsidP="00E16955">
      <w:pPr>
        <w:pStyle w:val="Heading2"/>
        <w:jc w:val="left"/>
        <w:rPr>
          <w:b w:val="0"/>
          <w:sz w:val="24"/>
          <w:szCs w:val="24"/>
        </w:rPr>
      </w:pPr>
      <w:r>
        <w:rPr>
          <w:sz w:val="24"/>
          <w:szCs w:val="24"/>
        </w:rPr>
        <w:t xml:space="preserve">Figure 2.8 </w:t>
      </w:r>
      <w:r>
        <w:rPr>
          <w:b w:val="0"/>
          <w:sz w:val="24"/>
          <w:szCs w:val="24"/>
        </w:rPr>
        <w:t>Female weekly l</w:t>
      </w:r>
      <w:r w:rsidRPr="00D11F89">
        <w:rPr>
          <w:b w:val="0"/>
          <w:sz w:val="24"/>
          <w:szCs w:val="24"/>
        </w:rPr>
        <w:t>ength by diet treatment (Mean ± SEM)</w:t>
      </w:r>
    </w:p>
    <w:p w:rsidR="00330CF1" w:rsidRPr="00E63EF5" w:rsidRDefault="00330CF1" w:rsidP="00AF3C9C">
      <w:pPr>
        <w:rPr>
          <w:rFonts w:ascii="Arial" w:hAnsi="Arial" w:cs="Arial"/>
          <w:b/>
        </w:rPr>
      </w:pPr>
      <w:r>
        <w:rPr>
          <w:rFonts w:ascii="Arial" w:hAnsi="Arial" w:cs="Arial"/>
          <w:b/>
        </w:rPr>
        <w:br w:type="page"/>
      </w:r>
    </w:p>
    <w:p w:rsidR="00330CF1" w:rsidRDefault="00330CF1" w:rsidP="00AF3C9C">
      <w:r>
        <w:object w:dxaOrig="6063" w:dyaOrig="4734">
          <v:shape id="_x0000_i1030" type="#_x0000_t75" style="width:350.45pt;height:274.35pt" o:ole="">
            <v:imagedata r:id="rId45" o:title=""/>
          </v:shape>
          <o:OLEObject Type="Embed" ProgID="Prism5.Document" ShapeID="_x0000_i1030" DrawAspect="Content" ObjectID="_1398685161" r:id="rId46"/>
        </w:object>
      </w:r>
      <w:bookmarkStart w:id="33" w:name="OLE_LINK4"/>
    </w:p>
    <w:p w:rsidR="00330CF1" w:rsidRPr="00E63EF5" w:rsidRDefault="00330CF1" w:rsidP="00AF3C9C">
      <w:r>
        <w:rPr>
          <w:rFonts w:ascii="Arial" w:hAnsi="Arial" w:cs="Arial"/>
          <w:b/>
        </w:rPr>
        <w:t xml:space="preserve">Figure 2.9 </w:t>
      </w:r>
      <w:r>
        <w:rPr>
          <w:rFonts w:ascii="Arial" w:hAnsi="Arial" w:cs="Arial"/>
        </w:rPr>
        <w:t>Mean weekly h</w:t>
      </w:r>
      <w:r w:rsidRPr="00E63EF5">
        <w:rPr>
          <w:rFonts w:ascii="Arial" w:hAnsi="Arial" w:cs="Arial"/>
        </w:rPr>
        <w:t>eight by sex (Mean ± SEM)</w:t>
      </w:r>
      <w:bookmarkEnd w:id="33"/>
    </w:p>
    <w:p w:rsidR="00330CF1" w:rsidRDefault="00330CF1" w:rsidP="00AF3C9C">
      <w:pPr>
        <w:rPr>
          <w:rFonts w:ascii="Arial" w:hAnsi="Arial" w:cs="Arial"/>
          <w:b/>
        </w:rPr>
      </w:pPr>
    </w:p>
    <w:p w:rsidR="00330CF1" w:rsidRDefault="00330CF1" w:rsidP="00AF3C9C">
      <w:pPr>
        <w:rPr>
          <w:rFonts w:ascii="Arial" w:hAnsi="Arial" w:cs="Arial"/>
          <w:b/>
        </w:rPr>
      </w:pPr>
    </w:p>
    <w:p w:rsidR="00330CF1" w:rsidRDefault="00330CF1" w:rsidP="00AF3C9C">
      <w:pPr>
        <w:rPr>
          <w:rFonts w:ascii="Arial" w:hAnsi="Arial" w:cs="Arial"/>
          <w:b/>
        </w:rPr>
      </w:pPr>
      <w:r>
        <w:rPr>
          <w:noProof/>
        </w:rPr>
        <w:drawing>
          <wp:inline distT="0" distB="0" distL="0" distR="0" wp14:anchorId="409C3036" wp14:editId="42F24B5A">
            <wp:extent cx="4250028" cy="3522639"/>
            <wp:effectExtent l="0" t="0" r="0" b="1905"/>
            <wp:docPr id="14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50028" cy="3522639"/>
                    </a:xfrm>
                    <a:prstGeom prst="rect">
                      <a:avLst/>
                    </a:prstGeom>
                    <a:noFill/>
                    <a:ln>
                      <a:noFill/>
                    </a:ln>
                    <a:effectLst/>
                    <a:extLst/>
                  </pic:spPr>
                </pic:pic>
              </a:graphicData>
            </a:graphic>
          </wp:inline>
        </w:drawing>
      </w:r>
    </w:p>
    <w:p w:rsidR="00330CF1" w:rsidRPr="00E148CD" w:rsidRDefault="00330CF1" w:rsidP="00AF3C9C">
      <w:pPr>
        <w:rPr>
          <w:rFonts w:ascii="Arial" w:hAnsi="Arial" w:cs="Arial"/>
          <w:b/>
        </w:rPr>
      </w:pPr>
      <w:r>
        <w:rPr>
          <w:rFonts w:ascii="Arial" w:hAnsi="Arial" w:cs="Arial"/>
          <w:b/>
        </w:rPr>
        <w:t xml:space="preserve">Figure 2.10 </w:t>
      </w:r>
      <w:r>
        <w:rPr>
          <w:rFonts w:ascii="Arial" w:hAnsi="Arial" w:cs="Arial"/>
        </w:rPr>
        <w:t>Mean weekly l</w:t>
      </w:r>
      <w:r w:rsidRPr="00E63EF5">
        <w:rPr>
          <w:rFonts w:ascii="Arial" w:hAnsi="Arial" w:cs="Arial"/>
        </w:rPr>
        <w:t>ength by sex (Mean ± SEM)</w:t>
      </w:r>
    </w:p>
    <w:p w:rsidR="00330CF1" w:rsidRDefault="00330CF1" w:rsidP="00C0535D">
      <w:pPr>
        <w:pStyle w:val="Heading2"/>
        <w:spacing w:after="0"/>
        <w:jc w:val="left"/>
        <w:rPr>
          <w:b w:val="0"/>
          <w:sz w:val="24"/>
          <w:szCs w:val="24"/>
        </w:rPr>
      </w:pPr>
      <w:r>
        <w:rPr>
          <w:b w:val="0"/>
          <w:sz w:val="24"/>
          <w:szCs w:val="24"/>
        </w:rPr>
        <w:lastRenderedPageBreak/>
        <w:t xml:space="preserve">     </w:t>
      </w:r>
      <w:r w:rsidRPr="0060122F">
        <w:rPr>
          <w:b w:val="0"/>
          <w:sz w:val="24"/>
          <w:szCs w:val="24"/>
        </w:rPr>
        <w:t xml:space="preserve">The </w:t>
      </w:r>
      <w:r>
        <w:rPr>
          <w:b w:val="0"/>
          <w:sz w:val="24"/>
          <w:szCs w:val="24"/>
        </w:rPr>
        <w:t xml:space="preserve">percentage </w:t>
      </w:r>
      <w:r w:rsidRPr="0060122F">
        <w:rPr>
          <w:b w:val="0"/>
          <w:sz w:val="24"/>
          <w:szCs w:val="24"/>
        </w:rPr>
        <w:t xml:space="preserve">body composition </w:t>
      </w:r>
      <w:r>
        <w:rPr>
          <w:b w:val="0"/>
          <w:sz w:val="24"/>
          <w:szCs w:val="24"/>
        </w:rPr>
        <w:t>analysis</w:t>
      </w:r>
      <w:r w:rsidRPr="0060122F">
        <w:rPr>
          <w:b w:val="0"/>
          <w:sz w:val="24"/>
          <w:szCs w:val="24"/>
        </w:rPr>
        <w:t xml:space="preserve"> of the nine kitt</w:t>
      </w:r>
      <w:r>
        <w:rPr>
          <w:b w:val="0"/>
          <w:sz w:val="24"/>
          <w:szCs w:val="24"/>
        </w:rPr>
        <w:t>ens that underwent DEXA scanning is shown in Tables 2.3-2.5 and Figure 2.11.  C</w:t>
      </w:r>
      <w:r w:rsidRPr="0060122F">
        <w:rPr>
          <w:b w:val="0"/>
          <w:sz w:val="24"/>
          <w:szCs w:val="24"/>
        </w:rPr>
        <w:t>hanges were noted in all 3 analytes; lean, fat and bone/mineral between week 0 and week 10 associated wi</w:t>
      </w:r>
      <w:r>
        <w:rPr>
          <w:b w:val="0"/>
          <w:sz w:val="24"/>
          <w:szCs w:val="24"/>
        </w:rPr>
        <w:t xml:space="preserve">th growth and development.  There were significant decreases in percentage lean (p=0.017) from week 0 to 10 in the control group males and </w:t>
      </w:r>
      <w:r w:rsidRPr="0060122F">
        <w:rPr>
          <w:b w:val="0"/>
          <w:sz w:val="24"/>
          <w:szCs w:val="24"/>
        </w:rPr>
        <w:t xml:space="preserve">significant increases in </w:t>
      </w:r>
      <w:r>
        <w:rPr>
          <w:b w:val="0"/>
          <w:sz w:val="24"/>
          <w:szCs w:val="24"/>
        </w:rPr>
        <w:t xml:space="preserve">percentage of body </w:t>
      </w:r>
      <w:r w:rsidRPr="0060122F">
        <w:rPr>
          <w:b w:val="0"/>
          <w:sz w:val="24"/>
          <w:szCs w:val="24"/>
        </w:rPr>
        <w:t>fat</w:t>
      </w:r>
      <w:r>
        <w:rPr>
          <w:b w:val="0"/>
          <w:sz w:val="24"/>
          <w:szCs w:val="24"/>
        </w:rPr>
        <w:t xml:space="preserve"> (p=0.029) in both the control and homemade raw group males from week 0 to week 10.  All treatments had significant increases in percentage of </w:t>
      </w:r>
      <w:r w:rsidRPr="0060122F">
        <w:rPr>
          <w:b w:val="0"/>
          <w:sz w:val="24"/>
          <w:szCs w:val="24"/>
        </w:rPr>
        <w:t>bone/mineral content</w:t>
      </w:r>
      <w:r>
        <w:rPr>
          <w:b w:val="0"/>
          <w:sz w:val="24"/>
          <w:szCs w:val="24"/>
        </w:rPr>
        <w:t xml:space="preserve"> (p &lt;0.0001) over the 10 week period </w:t>
      </w:r>
      <w:r w:rsidRPr="0060122F">
        <w:rPr>
          <w:b w:val="0"/>
          <w:sz w:val="24"/>
          <w:szCs w:val="24"/>
        </w:rPr>
        <w:t xml:space="preserve">along with decreases in lean body mass </w:t>
      </w:r>
      <w:r>
        <w:rPr>
          <w:b w:val="0"/>
          <w:sz w:val="24"/>
          <w:szCs w:val="24"/>
        </w:rPr>
        <w:t xml:space="preserve">(p=0.017) </w:t>
      </w:r>
      <w:r w:rsidRPr="0060122F">
        <w:rPr>
          <w:b w:val="0"/>
          <w:sz w:val="24"/>
          <w:szCs w:val="24"/>
        </w:rPr>
        <w:t>bet</w:t>
      </w:r>
      <w:r>
        <w:rPr>
          <w:b w:val="0"/>
          <w:sz w:val="24"/>
          <w:szCs w:val="24"/>
        </w:rPr>
        <w:t>ween week 0</w:t>
      </w:r>
      <w:r w:rsidRPr="0060122F">
        <w:rPr>
          <w:b w:val="0"/>
          <w:sz w:val="24"/>
          <w:szCs w:val="24"/>
        </w:rPr>
        <w:t xml:space="preserve"> a</w:t>
      </w:r>
      <w:r>
        <w:rPr>
          <w:b w:val="0"/>
          <w:sz w:val="24"/>
          <w:szCs w:val="24"/>
        </w:rPr>
        <w:t xml:space="preserve">nd week 10 of the feeding trial.  No significant differences in lean, fat or bone mineral were found between males and females or between the three treatment groups at individual time points. </w:t>
      </w:r>
    </w:p>
    <w:p w:rsidR="00330CF1" w:rsidRPr="00CD7700" w:rsidRDefault="00330CF1" w:rsidP="00C0535D">
      <w:pPr>
        <w:pStyle w:val="Heading2"/>
        <w:spacing w:before="0"/>
        <w:jc w:val="left"/>
        <w:rPr>
          <w:b w:val="0"/>
          <w:sz w:val="24"/>
          <w:szCs w:val="24"/>
        </w:rPr>
      </w:pPr>
      <w:r>
        <w:rPr>
          <w:b w:val="0"/>
          <w:sz w:val="24"/>
          <w:szCs w:val="24"/>
        </w:rPr>
        <w:t xml:space="preserve">     The body composition analysis in grams of the nine kittens that underwent DEXA scanning is shown in Tables 2.6-2.8 and Figure 2.12.  As expected with growth, significant increases in lean (p &lt; 0.0001) fat (p &lt; 0.0001) and bone/mineral (p &lt; 0.0001) were seen in both females and males over the 10 week period.  No significant differences were seen between males and females and between the three diet treatments at individual time points. </w:t>
      </w:r>
    </w:p>
    <w:p w:rsidR="00330CF1" w:rsidRDefault="00330CF1" w:rsidP="00F96149"/>
    <w:p w:rsidR="00330CF1" w:rsidRDefault="00330CF1" w:rsidP="00F96149"/>
    <w:p w:rsidR="00330CF1" w:rsidRPr="0071195F" w:rsidRDefault="00330CF1" w:rsidP="00662C4A">
      <w:pPr>
        <w:jc w:val="center"/>
        <w:rPr>
          <w:rFonts w:ascii="Arial" w:hAnsi="Arial" w:cs="Arial"/>
        </w:rPr>
      </w:pPr>
      <w:r w:rsidRPr="0071195F">
        <w:rPr>
          <w:rFonts w:ascii="Arial" w:hAnsi="Arial" w:cs="Arial"/>
          <w:b/>
        </w:rPr>
        <w:t>Table 2.3</w:t>
      </w:r>
      <w:r>
        <w:rPr>
          <w:rFonts w:ascii="Arial" w:hAnsi="Arial" w:cs="Arial"/>
        </w:rPr>
        <w:t xml:space="preserve"> DEXA lean p</w:t>
      </w:r>
      <w:r w:rsidRPr="0071195F">
        <w:rPr>
          <w:rFonts w:ascii="Arial" w:hAnsi="Arial" w:cs="Arial"/>
        </w:rPr>
        <w:t xml:space="preserve">ercentage </w:t>
      </w:r>
      <w:r>
        <w:rPr>
          <w:rFonts w:ascii="Arial" w:hAnsi="Arial" w:cs="Arial"/>
        </w:rPr>
        <w:t xml:space="preserve">by diet treatment </w:t>
      </w:r>
      <w:r w:rsidRPr="0071195F">
        <w:rPr>
          <w:rFonts w:ascii="Arial" w:hAnsi="Arial" w:cs="Arial"/>
        </w:rPr>
        <w:t>(Mean ± SEM)</w:t>
      </w:r>
    </w:p>
    <w:p w:rsidR="00330CF1" w:rsidRPr="00001D7F" w:rsidRDefault="00330CF1" w:rsidP="00662C4A">
      <w:pPr>
        <w:jc w:val="center"/>
        <w:rPr>
          <w:rFonts w:ascii="Arial" w:hAnsi="Arial" w:cs="Arial"/>
        </w:rPr>
      </w:pPr>
    </w:p>
    <w:tbl>
      <w:tblPr>
        <w:tblStyle w:val="TableGrid"/>
        <w:tblW w:w="0" w:type="auto"/>
        <w:tblLook w:val="04A0" w:firstRow="1" w:lastRow="0" w:firstColumn="1" w:lastColumn="0" w:noHBand="0" w:noVBand="1"/>
      </w:tblPr>
      <w:tblGrid>
        <w:gridCol w:w="2289"/>
        <w:gridCol w:w="2189"/>
        <w:gridCol w:w="2189"/>
        <w:gridCol w:w="2189"/>
      </w:tblGrid>
      <w:tr w:rsidR="00330CF1" w:rsidRPr="00001D7F" w:rsidTr="00530C2E">
        <w:tc>
          <w:tcPr>
            <w:tcW w:w="2289" w:type="dxa"/>
          </w:tcPr>
          <w:p w:rsidR="00330CF1" w:rsidRPr="00001D7F" w:rsidRDefault="00330CF1" w:rsidP="00530C2E">
            <w:pPr>
              <w:rPr>
                <w:rFonts w:ascii="Arial" w:hAnsi="Arial" w:cs="Arial"/>
              </w:rPr>
            </w:pPr>
            <w:r>
              <w:rPr>
                <w:rFonts w:ascii="Arial" w:hAnsi="Arial" w:cs="Arial"/>
              </w:rPr>
              <w:t>Sex</w:t>
            </w:r>
            <w:r w:rsidRPr="00001D7F">
              <w:rPr>
                <w:rFonts w:ascii="Arial" w:hAnsi="Arial" w:cs="Arial"/>
              </w:rPr>
              <w:t>/Week</w:t>
            </w:r>
          </w:p>
        </w:tc>
        <w:tc>
          <w:tcPr>
            <w:tcW w:w="2189" w:type="dxa"/>
          </w:tcPr>
          <w:p w:rsidR="00330CF1" w:rsidRPr="00001D7F" w:rsidRDefault="00330CF1" w:rsidP="00530C2E">
            <w:pPr>
              <w:jc w:val="center"/>
              <w:rPr>
                <w:rFonts w:ascii="Arial" w:hAnsi="Arial" w:cs="Arial"/>
              </w:rPr>
            </w:pPr>
            <w:r>
              <w:rPr>
                <w:rFonts w:ascii="Arial" w:hAnsi="Arial" w:cs="Arial"/>
              </w:rPr>
              <w:t>Control</w:t>
            </w:r>
          </w:p>
        </w:tc>
        <w:tc>
          <w:tcPr>
            <w:tcW w:w="2189" w:type="dxa"/>
          </w:tcPr>
          <w:p w:rsidR="00330CF1" w:rsidRPr="00001D7F" w:rsidRDefault="00330CF1" w:rsidP="00530C2E">
            <w:pPr>
              <w:jc w:val="center"/>
              <w:rPr>
                <w:rFonts w:ascii="Arial" w:hAnsi="Arial" w:cs="Arial"/>
              </w:rPr>
            </w:pPr>
            <w:r>
              <w:rPr>
                <w:rFonts w:ascii="Arial" w:hAnsi="Arial" w:cs="Arial"/>
              </w:rPr>
              <w:t>Commercial Raw</w:t>
            </w:r>
          </w:p>
        </w:tc>
        <w:tc>
          <w:tcPr>
            <w:tcW w:w="2189" w:type="dxa"/>
          </w:tcPr>
          <w:p w:rsidR="00330CF1" w:rsidRPr="00001D7F" w:rsidRDefault="00330CF1" w:rsidP="00530C2E">
            <w:pPr>
              <w:rPr>
                <w:rFonts w:ascii="Arial" w:hAnsi="Arial" w:cs="Arial"/>
              </w:rPr>
            </w:pPr>
            <w:r>
              <w:rPr>
                <w:rFonts w:ascii="Arial" w:hAnsi="Arial" w:cs="Arial"/>
              </w:rPr>
              <w:t>Homemade Raw</w:t>
            </w:r>
          </w:p>
        </w:tc>
      </w:tr>
      <w:tr w:rsidR="00330CF1" w:rsidRPr="00001D7F" w:rsidTr="00530C2E">
        <w:tc>
          <w:tcPr>
            <w:tcW w:w="2289" w:type="dxa"/>
          </w:tcPr>
          <w:p w:rsidR="00330CF1" w:rsidRPr="00001D7F" w:rsidRDefault="00330CF1" w:rsidP="00530C2E">
            <w:pPr>
              <w:rPr>
                <w:rFonts w:ascii="Arial" w:hAnsi="Arial" w:cs="Arial"/>
              </w:rPr>
            </w:pPr>
            <w:r>
              <w:rPr>
                <w:rFonts w:ascii="Arial" w:hAnsi="Arial" w:cs="Arial"/>
              </w:rPr>
              <w:t xml:space="preserve">Male </w:t>
            </w:r>
          </w:p>
        </w:tc>
        <w:tc>
          <w:tcPr>
            <w:tcW w:w="2189" w:type="dxa"/>
          </w:tcPr>
          <w:p w:rsidR="00330CF1" w:rsidRPr="00001D7F" w:rsidRDefault="00330CF1" w:rsidP="00530C2E">
            <w:pPr>
              <w:jc w:val="center"/>
              <w:rPr>
                <w:rFonts w:ascii="Arial" w:hAnsi="Arial" w:cs="Arial"/>
              </w:rPr>
            </w:pPr>
          </w:p>
        </w:tc>
        <w:tc>
          <w:tcPr>
            <w:tcW w:w="2189" w:type="dxa"/>
          </w:tcPr>
          <w:p w:rsidR="00330CF1" w:rsidRPr="00001D7F" w:rsidRDefault="00330CF1" w:rsidP="00530C2E">
            <w:pPr>
              <w:jc w:val="center"/>
              <w:rPr>
                <w:rFonts w:ascii="Arial" w:hAnsi="Arial" w:cs="Arial"/>
              </w:rPr>
            </w:pPr>
          </w:p>
        </w:tc>
        <w:tc>
          <w:tcPr>
            <w:tcW w:w="2189" w:type="dxa"/>
          </w:tcPr>
          <w:p w:rsidR="00330CF1" w:rsidRPr="00001D7F" w:rsidRDefault="00330CF1" w:rsidP="00530C2E">
            <w:pPr>
              <w:jc w:val="center"/>
              <w:rPr>
                <w:rFonts w:ascii="Arial" w:hAnsi="Arial" w:cs="Arial"/>
              </w:rPr>
            </w:pPr>
          </w:p>
        </w:tc>
      </w:tr>
      <w:tr w:rsidR="00330CF1" w:rsidRPr="00001D7F" w:rsidTr="00530C2E">
        <w:tc>
          <w:tcPr>
            <w:tcW w:w="2289" w:type="dxa"/>
          </w:tcPr>
          <w:p w:rsidR="00330CF1" w:rsidRPr="00001D7F" w:rsidRDefault="00330CF1" w:rsidP="00530C2E">
            <w:pPr>
              <w:rPr>
                <w:rFonts w:ascii="Arial" w:hAnsi="Arial" w:cs="Arial"/>
              </w:rPr>
            </w:pPr>
            <w:r w:rsidRPr="00001D7F">
              <w:rPr>
                <w:rFonts w:ascii="Arial" w:hAnsi="Arial" w:cs="Arial"/>
              </w:rPr>
              <w:t xml:space="preserve">   Week 0</w:t>
            </w:r>
          </w:p>
        </w:tc>
        <w:tc>
          <w:tcPr>
            <w:tcW w:w="2189" w:type="dxa"/>
          </w:tcPr>
          <w:p w:rsidR="00330CF1" w:rsidRPr="00EB7A7D" w:rsidRDefault="00330CF1" w:rsidP="00530C2E">
            <w:pPr>
              <w:jc w:val="center"/>
              <w:rPr>
                <w:rFonts w:ascii="Arial" w:hAnsi="Arial" w:cs="Arial"/>
              </w:rPr>
            </w:pPr>
            <w:r>
              <w:rPr>
                <w:rFonts w:ascii="Arial" w:hAnsi="Arial" w:cs="Arial"/>
              </w:rPr>
              <w:t>80.07 ± 1.85</w:t>
            </w:r>
            <w:r>
              <w:rPr>
                <w:rFonts w:ascii="Arial" w:hAnsi="Arial" w:cs="Arial"/>
                <w:vertAlign w:val="superscript"/>
              </w:rPr>
              <w:t>a</w:t>
            </w:r>
          </w:p>
        </w:tc>
        <w:tc>
          <w:tcPr>
            <w:tcW w:w="2189" w:type="dxa"/>
          </w:tcPr>
          <w:p w:rsidR="00330CF1" w:rsidRPr="00EB7A7D" w:rsidRDefault="00330CF1" w:rsidP="00530C2E">
            <w:pPr>
              <w:jc w:val="center"/>
              <w:rPr>
                <w:rFonts w:ascii="Arial" w:hAnsi="Arial" w:cs="Arial"/>
              </w:rPr>
            </w:pPr>
            <w:r>
              <w:rPr>
                <w:rFonts w:ascii="Arial" w:hAnsi="Arial" w:cs="Arial"/>
              </w:rPr>
              <w:t>78.35 ± 2.27</w:t>
            </w:r>
            <w:r>
              <w:rPr>
                <w:rFonts w:ascii="Arial" w:hAnsi="Arial" w:cs="Arial"/>
                <w:vertAlign w:val="superscript"/>
              </w:rPr>
              <w:t>a</w:t>
            </w:r>
          </w:p>
        </w:tc>
        <w:tc>
          <w:tcPr>
            <w:tcW w:w="2189" w:type="dxa"/>
          </w:tcPr>
          <w:p w:rsidR="00330CF1" w:rsidRPr="00EB7A7D" w:rsidRDefault="00330CF1" w:rsidP="00530C2E">
            <w:pPr>
              <w:jc w:val="center"/>
              <w:rPr>
                <w:rFonts w:ascii="Arial" w:hAnsi="Arial" w:cs="Arial"/>
              </w:rPr>
            </w:pPr>
            <w:r>
              <w:rPr>
                <w:rFonts w:ascii="Arial" w:hAnsi="Arial" w:cs="Arial"/>
              </w:rPr>
              <w:t>81.40 ± 3.21</w:t>
            </w:r>
            <w:r>
              <w:rPr>
                <w:rFonts w:ascii="Arial" w:hAnsi="Arial" w:cs="Arial"/>
                <w:vertAlign w:val="superscript"/>
              </w:rPr>
              <w:t>a</w:t>
            </w:r>
          </w:p>
        </w:tc>
      </w:tr>
      <w:tr w:rsidR="00330CF1" w:rsidRPr="00001D7F" w:rsidTr="00530C2E">
        <w:tc>
          <w:tcPr>
            <w:tcW w:w="2289" w:type="dxa"/>
          </w:tcPr>
          <w:p w:rsidR="00330CF1" w:rsidRPr="00001D7F" w:rsidRDefault="00330CF1" w:rsidP="00530C2E">
            <w:pPr>
              <w:rPr>
                <w:rFonts w:ascii="Arial" w:hAnsi="Arial" w:cs="Arial"/>
              </w:rPr>
            </w:pPr>
            <w:r w:rsidRPr="00001D7F">
              <w:rPr>
                <w:rFonts w:ascii="Arial" w:hAnsi="Arial" w:cs="Arial"/>
              </w:rPr>
              <w:t xml:space="preserve">   Week 10</w:t>
            </w:r>
          </w:p>
        </w:tc>
        <w:tc>
          <w:tcPr>
            <w:tcW w:w="2189" w:type="dxa"/>
          </w:tcPr>
          <w:p w:rsidR="00330CF1" w:rsidRPr="00EB7A7D" w:rsidRDefault="00330CF1" w:rsidP="00530C2E">
            <w:pPr>
              <w:jc w:val="center"/>
              <w:rPr>
                <w:rFonts w:ascii="Arial" w:hAnsi="Arial" w:cs="Arial"/>
              </w:rPr>
            </w:pPr>
            <w:r>
              <w:rPr>
                <w:rFonts w:ascii="Arial" w:hAnsi="Arial" w:cs="Arial"/>
              </w:rPr>
              <w:t>69.76 ± 1.85</w:t>
            </w:r>
            <w:r>
              <w:rPr>
                <w:rFonts w:ascii="Arial" w:hAnsi="Arial" w:cs="Arial"/>
                <w:vertAlign w:val="superscript"/>
              </w:rPr>
              <w:t>b</w:t>
            </w:r>
          </w:p>
        </w:tc>
        <w:tc>
          <w:tcPr>
            <w:tcW w:w="2189" w:type="dxa"/>
          </w:tcPr>
          <w:p w:rsidR="00330CF1" w:rsidRPr="00EB7A7D" w:rsidRDefault="00330CF1" w:rsidP="00530C2E">
            <w:pPr>
              <w:jc w:val="center"/>
              <w:rPr>
                <w:rFonts w:ascii="Arial" w:hAnsi="Arial" w:cs="Arial"/>
                <w:vertAlign w:val="superscript"/>
              </w:rPr>
            </w:pPr>
            <w:r>
              <w:rPr>
                <w:rFonts w:ascii="Arial" w:hAnsi="Arial" w:cs="Arial"/>
              </w:rPr>
              <w:t>74.76 ± 2.27</w:t>
            </w:r>
            <w:r>
              <w:rPr>
                <w:rFonts w:ascii="Arial" w:hAnsi="Arial" w:cs="Arial"/>
                <w:vertAlign w:val="superscript"/>
              </w:rPr>
              <w:t>ab</w:t>
            </w:r>
          </w:p>
        </w:tc>
        <w:tc>
          <w:tcPr>
            <w:tcW w:w="2189" w:type="dxa"/>
          </w:tcPr>
          <w:p w:rsidR="00330CF1" w:rsidRPr="00EB7A7D" w:rsidRDefault="00330CF1" w:rsidP="00530C2E">
            <w:pPr>
              <w:jc w:val="center"/>
              <w:rPr>
                <w:rFonts w:ascii="Arial" w:hAnsi="Arial" w:cs="Arial"/>
              </w:rPr>
            </w:pPr>
            <w:r>
              <w:rPr>
                <w:rFonts w:ascii="Arial" w:hAnsi="Arial" w:cs="Arial"/>
              </w:rPr>
              <w:t>73.48 ± 3.21</w:t>
            </w:r>
            <w:r>
              <w:rPr>
                <w:rFonts w:ascii="Arial" w:hAnsi="Arial" w:cs="Arial"/>
                <w:vertAlign w:val="superscript"/>
              </w:rPr>
              <w:t>ab</w:t>
            </w:r>
          </w:p>
        </w:tc>
      </w:tr>
      <w:tr w:rsidR="00330CF1" w:rsidRPr="00001D7F" w:rsidTr="00530C2E">
        <w:tc>
          <w:tcPr>
            <w:tcW w:w="2289" w:type="dxa"/>
          </w:tcPr>
          <w:p w:rsidR="00330CF1" w:rsidRPr="00001D7F" w:rsidRDefault="00330CF1" w:rsidP="00530C2E">
            <w:pPr>
              <w:rPr>
                <w:rFonts w:ascii="Arial" w:hAnsi="Arial" w:cs="Arial"/>
              </w:rPr>
            </w:pPr>
            <w:r>
              <w:rPr>
                <w:rFonts w:ascii="Arial" w:hAnsi="Arial" w:cs="Arial"/>
              </w:rPr>
              <w:t>Female</w:t>
            </w:r>
          </w:p>
        </w:tc>
        <w:tc>
          <w:tcPr>
            <w:tcW w:w="2189" w:type="dxa"/>
          </w:tcPr>
          <w:p w:rsidR="00330CF1" w:rsidRPr="00001D7F" w:rsidRDefault="00330CF1" w:rsidP="00530C2E">
            <w:pPr>
              <w:jc w:val="center"/>
              <w:rPr>
                <w:rFonts w:ascii="Arial" w:hAnsi="Arial" w:cs="Arial"/>
              </w:rPr>
            </w:pPr>
          </w:p>
        </w:tc>
        <w:tc>
          <w:tcPr>
            <w:tcW w:w="2189" w:type="dxa"/>
          </w:tcPr>
          <w:p w:rsidR="00330CF1" w:rsidRPr="00001D7F" w:rsidRDefault="00330CF1" w:rsidP="00530C2E">
            <w:pPr>
              <w:jc w:val="center"/>
              <w:rPr>
                <w:rFonts w:ascii="Arial" w:hAnsi="Arial" w:cs="Arial"/>
              </w:rPr>
            </w:pPr>
          </w:p>
        </w:tc>
        <w:tc>
          <w:tcPr>
            <w:tcW w:w="2189" w:type="dxa"/>
          </w:tcPr>
          <w:p w:rsidR="00330CF1" w:rsidRPr="00001D7F" w:rsidRDefault="00330CF1" w:rsidP="00530C2E">
            <w:pPr>
              <w:jc w:val="center"/>
              <w:rPr>
                <w:rFonts w:ascii="Arial" w:hAnsi="Arial" w:cs="Arial"/>
              </w:rPr>
            </w:pPr>
          </w:p>
        </w:tc>
      </w:tr>
      <w:tr w:rsidR="00330CF1" w:rsidRPr="00001D7F" w:rsidTr="00530C2E">
        <w:tc>
          <w:tcPr>
            <w:tcW w:w="2289" w:type="dxa"/>
          </w:tcPr>
          <w:p w:rsidR="00330CF1" w:rsidRPr="00001D7F" w:rsidRDefault="00330CF1" w:rsidP="00530C2E">
            <w:pPr>
              <w:rPr>
                <w:rFonts w:ascii="Arial" w:hAnsi="Arial" w:cs="Arial"/>
              </w:rPr>
            </w:pPr>
            <w:r w:rsidRPr="00001D7F">
              <w:rPr>
                <w:rFonts w:ascii="Arial" w:hAnsi="Arial" w:cs="Arial"/>
              </w:rPr>
              <w:t xml:space="preserve">   Week 0</w:t>
            </w:r>
          </w:p>
        </w:tc>
        <w:tc>
          <w:tcPr>
            <w:tcW w:w="2189" w:type="dxa"/>
          </w:tcPr>
          <w:p w:rsidR="00330CF1" w:rsidRPr="00EB7A7D" w:rsidRDefault="00330CF1" w:rsidP="00530C2E">
            <w:pPr>
              <w:jc w:val="center"/>
              <w:rPr>
                <w:rFonts w:ascii="Arial" w:hAnsi="Arial" w:cs="Arial"/>
              </w:rPr>
            </w:pPr>
            <w:r>
              <w:rPr>
                <w:rFonts w:ascii="Arial" w:hAnsi="Arial" w:cs="Arial"/>
              </w:rPr>
              <w:t>75.70 ± 3.21</w:t>
            </w:r>
            <w:r>
              <w:rPr>
                <w:rFonts w:ascii="Arial" w:hAnsi="Arial" w:cs="Arial"/>
                <w:vertAlign w:val="superscript"/>
              </w:rPr>
              <w:t>ab</w:t>
            </w:r>
          </w:p>
        </w:tc>
        <w:tc>
          <w:tcPr>
            <w:tcW w:w="2189" w:type="dxa"/>
          </w:tcPr>
          <w:p w:rsidR="00330CF1" w:rsidRPr="00EB7A7D" w:rsidRDefault="00330CF1" w:rsidP="00530C2E">
            <w:pPr>
              <w:jc w:val="center"/>
              <w:rPr>
                <w:rFonts w:ascii="Arial" w:hAnsi="Arial" w:cs="Arial"/>
              </w:rPr>
            </w:pPr>
            <w:r>
              <w:rPr>
                <w:rFonts w:ascii="Arial" w:hAnsi="Arial" w:cs="Arial"/>
              </w:rPr>
              <w:t>78.20 ± 3.21</w:t>
            </w:r>
            <w:r>
              <w:rPr>
                <w:rFonts w:ascii="Arial" w:hAnsi="Arial" w:cs="Arial"/>
                <w:vertAlign w:val="superscript"/>
              </w:rPr>
              <w:t>ab</w:t>
            </w:r>
          </w:p>
        </w:tc>
        <w:tc>
          <w:tcPr>
            <w:tcW w:w="2189" w:type="dxa"/>
          </w:tcPr>
          <w:p w:rsidR="00330CF1" w:rsidRPr="00EB7A7D" w:rsidRDefault="00330CF1" w:rsidP="00530C2E">
            <w:pPr>
              <w:jc w:val="center"/>
              <w:rPr>
                <w:rFonts w:ascii="Arial" w:hAnsi="Arial" w:cs="Arial"/>
                <w:vertAlign w:val="superscript"/>
              </w:rPr>
            </w:pPr>
            <w:r>
              <w:rPr>
                <w:rFonts w:ascii="Arial" w:hAnsi="Arial" w:cs="Arial"/>
              </w:rPr>
              <w:t>79.80 ± 3.21</w:t>
            </w:r>
            <w:r>
              <w:rPr>
                <w:rFonts w:ascii="Arial" w:hAnsi="Arial" w:cs="Arial"/>
                <w:vertAlign w:val="superscript"/>
              </w:rPr>
              <w:t>a</w:t>
            </w:r>
          </w:p>
        </w:tc>
      </w:tr>
      <w:tr w:rsidR="00330CF1" w:rsidRPr="00001D7F" w:rsidTr="00530C2E">
        <w:tc>
          <w:tcPr>
            <w:tcW w:w="2289" w:type="dxa"/>
          </w:tcPr>
          <w:p w:rsidR="00330CF1" w:rsidRPr="00001D7F" w:rsidRDefault="00330CF1" w:rsidP="00530C2E">
            <w:pPr>
              <w:rPr>
                <w:rFonts w:ascii="Arial" w:hAnsi="Arial" w:cs="Arial"/>
              </w:rPr>
            </w:pPr>
            <w:r w:rsidRPr="00001D7F">
              <w:rPr>
                <w:rFonts w:ascii="Arial" w:hAnsi="Arial" w:cs="Arial"/>
              </w:rPr>
              <w:t xml:space="preserve">   Week 10</w:t>
            </w:r>
          </w:p>
        </w:tc>
        <w:tc>
          <w:tcPr>
            <w:tcW w:w="2189" w:type="dxa"/>
          </w:tcPr>
          <w:p w:rsidR="00330CF1" w:rsidRPr="00EB7A7D" w:rsidRDefault="00330CF1" w:rsidP="00530C2E">
            <w:pPr>
              <w:jc w:val="center"/>
              <w:rPr>
                <w:rFonts w:ascii="Arial" w:hAnsi="Arial" w:cs="Arial"/>
              </w:rPr>
            </w:pPr>
            <w:r>
              <w:rPr>
                <w:rFonts w:ascii="Arial" w:hAnsi="Arial" w:cs="Arial"/>
              </w:rPr>
              <w:t>77.35 ± 3.21</w:t>
            </w:r>
            <w:r>
              <w:rPr>
                <w:rFonts w:ascii="Arial" w:hAnsi="Arial" w:cs="Arial"/>
                <w:vertAlign w:val="superscript"/>
              </w:rPr>
              <w:t>ab</w:t>
            </w:r>
          </w:p>
        </w:tc>
        <w:tc>
          <w:tcPr>
            <w:tcW w:w="2189" w:type="dxa"/>
          </w:tcPr>
          <w:p w:rsidR="00330CF1" w:rsidRPr="00EB7A7D" w:rsidRDefault="00330CF1" w:rsidP="00530C2E">
            <w:pPr>
              <w:jc w:val="center"/>
              <w:rPr>
                <w:rFonts w:ascii="Arial" w:hAnsi="Arial" w:cs="Arial"/>
              </w:rPr>
            </w:pPr>
            <w:r>
              <w:rPr>
                <w:rFonts w:ascii="Arial" w:hAnsi="Arial" w:cs="Arial"/>
              </w:rPr>
              <w:t>73.70 ± 3.21</w:t>
            </w:r>
            <w:r>
              <w:rPr>
                <w:rFonts w:ascii="Arial" w:hAnsi="Arial" w:cs="Arial"/>
                <w:vertAlign w:val="superscript"/>
              </w:rPr>
              <w:t>ab</w:t>
            </w:r>
          </w:p>
        </w:tc>
        <w:tc>
          <w:tcPr>
            <w:tcW w:w="2189" w:type="dxa"/>
          </w:tcPr>
          <w:p w:rsidR="00330CF1" w:rsidRPr="00EB7A7D" w:rsidRDefault="00330CF1" w:rsidP="00530C2E">
            <w:pPr>
              <w:jc w:val="center"/>
              <w:rPr>
                <w:rFonts w:ascii="Arial" w:hAnsi="Arial" w:cs="Arial"/>
                <w:vertAlign w:val="superscript"/>
              </w:rPr>
            </w:pPr>
            <w:r>
              <w:rPr>
                <w:rFonts w:ascii="Arial" w:hAnsi="Arial" w:cs="Arial"/>
              </w:rPr>
              <w:t>71.90 ± 3.21</w:t>
            </w:r>
            <w:r>
              <w:rPr>
                <w:rFonts w:ascii="Arial" w:hAnsi="Arial" w:cs="Arial"/>
                <w:vertAlign w:val="superscript"/>
              </w:rPr>
              <w:t>ab</w:t>
            </w:r>
          </w:p>
        </w:tc>
      </w:tr>
    </w:tbl>
    <w:p w:rsidR="00330CF1" w:rsidRDefault="00330CF1" w:rsidP="00B464EE">
      <w:pPr>
        <w:rPr>
          <w:rFonts w:ascii="Arial" w:hAnsi="Arial" w:cs="Arial"/>
        </w:rPr>
      </w:pPr>
      <w:r>
        <w:rPr>
          <w:rFonts w:ascii="Arial" w:hAnsi="Arial" w:cs="Arial"/>
        </w:rPr>
        <w:t>NOTE: Different letter superscripts in both rows and columns indicate p values ≤ 0.05.</w:t>
      </w:r>
    </w:p>
    <w:p w:rsidR="00330CF1" w:rsidRPr="00DE5F32" w:rsidRDefault="00330CF1" w:rsidP="00662C4A"/>
    <w:p w:rsidR="00330CF1" w:rsidRDefault="00330CF1">
      <w:pPr>
        <w:rPr>
          <w:rFonts w:ascii="Arial" w:hAnsi="Arial" w:cs="Arial"/>
        </w:rPr>
      </w:pPr>
    </w:p>
    <w:p w:rsidR="00330CF1" w:rsidRDefault="00330CF1">
      <w:pPr>
        <w:rPr>
          <w:rFonts w:ascii="Arial" w:hAnsi="Arial" w:cs="Arial"/>
        </w:rPr>
      </w:pPr>
    </w:p>
    <w:p w:rsidR="00330CF1" w:rsidRPr="00C0535D" w:rsidRDefault="00330CF1" w:rsidP="00662C4A">
      <w:pPr>
        <w:jc w:val="center"/>
        <w:rPr>
          <w:rFonts w:ascii="Arial" w:hAnsi="Arial" w:cs="Arial"/>
          <w:color w:val="C00000"/>
        </w:rPr>
      </w:pPr>
      <w:r w:rsidRPr="0071195F">
        <w:rPr>
          <w:rFonts w:ascii="Arial" w:hAnsi="Arial" w:cs="Arial"/>
          <w:b/>
        </w:rPr>
        <w:t>Table 2.4</w:t>
      </w:r>
      <w:r>
        <w:rPr>
          <w:rFonts w:ascii="Arial" w:hAnsi="Arial" w:cs="Arial"/>
        </w:rPr>
        <w:t xml:space="preserve"> DEXA fat p</w:t>
      </w:r>
      <w:r w:rsidRPr="0071195F">
        <w:rPr>
          <w:rFonts w:ascii="Arial" w:hAnsi="Arial" w:cs="Arial"/>
        </w:rPr>
        <w:t xml:space="preserve">ercentage </w:t>
      </w:r>
      <w:r>
        <w:rPr>
          <w:rFonts w:ascii="Arial" w:hAnsi="Arial" w:cs="Arial"/>
        </w:rPr>
        <w:t xml:space="preserve">by diet treatment </w:t>
      </w:r>
      <w:r w:rsidRPr="0071195F">
        <w:rPr>
          <w:rFonts w:ascii="Arial" w:hAnsi="Arial" w:cs="Arial"/>
        </w:rPr>
        <w:t>(Mean ± SEM)</w:t>
      </w:r>
    </w:p>
    <w:p w:rsidR="00330CF1" w:rsidRPr="005913C8" w:rsidRDefault="00330CF1" w:rsidP="00662C4A">
      <w:pPr>
        <w:jc w:val="center"/>
        <w:rPr>
          <w:rFonts w:ascii="Arial" w:hAnsi="Arial" w:cs="Arial"/>
        </w:rPr>
      </w:pPr>
    </w:p>
    <w:tbl>
      <w:tblPr>
        <w:tblStyle w:val="TableGrid"/>
        <w:tblW w:w="0" w:type="auto"/>
        <w:tblLook w:val="04A0" w:firstRow="1" w:lastRow="0" w:firstColumn="1" w:lastColumn="0" w:noHBand="0" w:noVBand="1"/>
      </w:tblPr>
      <w:tblGrid>
        <w:gridCol w:w="2214"/>
        <w:gridCol w:w="2304"/>
        <w:gridCol w:w="2124"/>
        <w:gridCol w:w="2214"/>
      </w:tblGrid>
      <w:tr w:rsidR="00330CF1" w:rsidTr="00530C2E">
        <w:tc>
          <w:tcPr>
            <w:tcW w:w="2214" w:type="dxa"/>
          </w:tcPr>
          <w:p w:rsidR="00330CF1" w:rsidRPr="005913C8" w:rsidRDefault="00330CF1" w:rsidP="00530C2E">
            <w:pPr>
              <w:rPr>
                <w:rFonts w:ascii="Arial" w:hAnsi="Arial" w:cs="Arial"/>
              </w:rPr>
            </w:pPr>
            <w:r>
              <w:rPr>
                <w:rFonts w:ascii="Arial" w:hAnsi="Arial" w:cs="Arial"/>
              </w:rPr>
              <w:t>Sex</w:t>
            </w:r>
            <w:r w:rsidRPr="005913C8">
              <w:rPr>
                <w:rFonts w:ascii="Arial" w:hAnsi="Arial" w:cs="Arial"/>
              </w:rPr>
              <w:t>/Week</w:t>
            </w:r>
          </w:p>
        </w:tc>
        <w:tc>
          <w:tcPr>
            <w:tcW w:w="2304" w:type="dxa"/>
          </w:tcPr>
          <w:p w:rsidR="00330CF1" w:rsidRPr="005913C8" w:rsidRDefault="00330CF1" w:rsidP="00530C2E">
            <w:pPr>
              <w:jc w:val="center"/>
              <w:rPr>
                <w:rFonts w:ascii="Arial" w:hAnsi="Arial" w:cs="Arial"/>
              </w:rPr>
            </w:pPr>
            <w:r w:rsidRPr="005913C8">
              <w:rPr>
                <w:rFonts w:ascii="Arial" w:hAnsi="Arial" w:cs="Arial"/>
              </w:rPr>
              <w:t>Control</w:t>
            </w:r>
          </w:p>
        </w:tc>
        <w:tc>
          <w:tcPr>
            <w:tcW w:w="2124" w:type="dxa"/>
          </w:tcPr>
          <w:p w:rsidR="00330CF1" w:rsidRPr="005913C8" w:rsidRDefault="00330CF1" w:rsidP="00530C2E">
            <w:pPr>
              <w:jc w:val="center"/>
              <w:rPr>
                <w:rFonts w:ascii="Arial" w:hAnsi="Arial" w:cs="Arial"/>
              </w:rPr>
            </w:pPr>
            <w:r w:rsidRPr="005913C8">
              <w:rPr>
                <w:rFonts w:ascii="Arial" w:hAnsi="Arial" w:cs="Arial"/>
              </w:rPr>
              <w:t>Commercial Raw</w:t>
            </w:r>
          </w:p>
        </w:tc>
        <w:tc>
          <w:tcPr>
            <w:tcW w:w="2214" w:type="dxa"/>
          </w:tcPr>
          <w:p w:rsidR="00330CF1" w:rsidRPr="005913C8" w:rsidRDefault="00330CF1" w:rsidP="00530C2E">
            <w:pPr>
              <w:jc w:val="center"/>
              <w:rPr>
                <w:rFonts w:ascii="Arial" w:hAnsi="Arial" w:cs="Arial"/>
              </w:rPr>
            </w:pPr>
            <w:r w:rsidRPr="005913C8">
              <w:rPr>
                <w:rFonts w:ascii="Arial" w:hAnsi="Arial" w:cs="Arial"/>
              </w:rPr>
              <w:t>Homemade Raw</w:t>
            </w:r>
          </w:p>
        </w:tc>
      </w:tr>
      <w:tr w:rsidR="00330CF1" w:rsidTr="00530C2E">
        <w:tc>
          <w:tcPr>
            <w:tcW w:w="2214" w:type="dxa"/>
          </w:tcPr>
          <w:p w:rsidR="00330CF1" w:rsidRPr="005913C8" w:rsidRDefault="00330CF1" w:rsidP="00530C2E">
            <w:pPr>
              <w:rPr>
                <w:rFonts w:ascii="Arial" w:hAnsi="Arial" w:cs="Arial"/>
              </w:rPr>
            </w:pPr>
            <w:r w:rsidRPr="005913C8">
              <w:rPr>
                <w:rFonts w:ascii="Arial" w:hAnsi="Arial" w:cs="Arial"/>
              </w:rPr>
              <w:t>Male</w:t>
            </w:r>
          </w:p>
        </w:tc>
        <w:tc>
          <w:tcPr>
            <w:tcW w:w="2304" w:type="dxa"/>
          </w:tcPr>
          <w:p w:rsidR="00330CF1" w:rsidRPr="005913C8" w:rsidRDefault="00330CF1" w:rsidP="00530C2E">
            <w:pPr>
              <w:jc w:val="center"/>
              <w:rPr>
                <w:rFonts w:ascii="Arial" w:hAnsi="Arial" w:cs="Arial"/>
              </w:rPr>
            </w:pPr>
          </w:p>
        </w:tc>
        <w:tc>
          <w:tcPr>
            <w:tcW w:w="2124" w:type="dxa"/>
          </w:tcPr>
          <w:p w:rsidR="00330CF1" w:rsidRPr="005913C8" w:rsidRDefault="00330CF1" w:rsidP="00530C2E">
            <w:pPr>
              <w:jc w:val="center"/>
              <w:rPr>
                <w:rFonts w:ascii="Arial" w:hAnsi="Arial" w:cs="Arial"/>
              </w:rPr>
            </w:pPr>
          </w:p>
        </w:tc>
        <w:tc>
          <w:tcPr>
            <w:tcW w:w="2214" w:type="dxa"/>
          </w:tcPr>
          <w:p w:rsidR="00330CF1" w:rsidRPr="005913C8" w:rsidRDefault="00330CF1" w:rsidP="00530C2E">
            <w:pPr>
              <w:jc w:val="center"/>
              <w:rPr>
                <w:rFonts w:ascii="Arial" w:hAnsi="Arial" w:cs="Arial"/>
              </w:rPr>
            </w:pPr>
          </w:p>
        </w:tc>
      </w:tr>
      <w:tr w:rsidR="00330CF1" w:rsidTr="00530C2E">
        <w:tc>
          <w:tcPr>
            <w:tcW w:w="2214" w:type="dxa"/>
          </w:tcPr>
          <w:p w:rsidR="00330CF1" w:rsidRPr="005913C8" w:rsidRDefault="00330CF1" w:rsidP="00530C2E">
            <w:pPr>
              <w:rPr>
                <w:rFonts w:ascii="Arial" w:hAnsi="Arial" w:cs="Arial"/>
              </w:rPr>
            </w:pPr>
            <w:r w:rsidRPr="005913C8">
              <w:rPr>
                <w:rFonts w:ascii="Arial" w:hAnsi="Arial" w:cs="Arial"/>
              </w:rPr>
              <w:t xml:space="preserve">   Week 0</w:t>
            </w:r>
          </w:p>
        </w:tc>
        <w:tc>
          <w:tcPr>
            <w:tcW w:w="2304" w:type="dxa"/>
          </w:tcPr>
          <w:p w:rsidR="00330CF1" w:rsidRPr="005913C8" w:rsidRDefault="00330CF1" w:rsidP="00530C2E">
            <w:pPr>
              <w:jc w:val="center"/>
              <w:rPr>
                <w:rFonts w:ascii="Arial" w:hAnsi="Arial" w:cs="Arial"/>
              </w:rPr>
            </w:pPr>
            <w:r w:rsidRPr="005913C8">
              <w:rPr>
                <w:rFonts w:ascii="Arial" w:hAnsi="Arial" w:cs="Arial"/>
              </w:rPr>
              <w:t xml:space="preserve">18.20 ± </w:t>
            </w:r>
            <w:r>
              <w:rPr>
                <w:rFonts w:ascii="Arial" w:hAnsi="Arial" w:cs="Arial"/>
              </w:rPr>
              <w:t>1.85</w:t>
            </w:r>
            <w:r>
              <w:rPr>
                <w:rFonts w:ascii="Arial" w:hAnsi="Arial" w:cs="Arial"/>
                <w:vertAlign w:val="superscript"/>
              </w:rPr>
              <w:t>b</w:t>
            </w:r>
          </w:p>
        </w:tc>
        <w:tc>
          <w:tcPr>
            <w:tcW w:w="2124" w:type="dxa"/>
          </w:tcPr>
          <w:p w:rsidR="00330CF1" w:rsidRPr="005913C8" w:rsidRDefault="00330CF1" w:rsidP="00530C2E">
            <w:pPr>
              <w:jc w:val="center"/>
              <w:rPr>
                <w:rFonts w:ascii="Arial" w:hAnsi="Arial" w:cs="Arial"/>
              </w:rPr>
            </w:pPr>
            <w:r w:rsidRPr="005913C8">
              <w:rPr>
                <w:rFonts w:ascii="Arial" w:hAnsi="Arial" w:cs="Arial"/>
              </w:rPr>
              <w:t xml:space="preserve">19.50 ± </w:t>
            </w:r>
            <w:r>
              <w:rPr>
                <w:rFonts w:ascii="Arial" w:hAnsi="Arial" w:cs="Arial"/>
              </w:rPr>
              <w:t>2.27</w:t>
            </w:r>
            <w:r>
              <w:rPr>
                <w:rFonts w:ascii="Arial" w:hAnsi="Arial" w:cs="Arial"/>
                <w:vertAlign w:val="superscript"/>
              </w:rPr>
              <w:t>b</w:t>
            </w:r>
          </w:p>
        </w:tc>
        <w:tc>
          <w:tcPr>
            <w:tcW w:w="2214" w:type="dxa"/>
          </w:tcPr>
          <w:p w:rsidR="00330CF1" w:rsidRPr="005913C8" w:rsidRDefault="00330CF1" w:rsidP="00530C2E">
            <w:pPr>
              <w:jc w:val="center"/>
              <w:rPr>
                <w:rFonts w:ascii="Arial" w:hAnsi="Arial" w:cs="Arial"/>
              </w:rPr>
            </w:pPr>
            <w:r w:rsidRPr="005913C8">
              <w:rPr>
                <w:rFonts w:ascii="Arial" w:hAnsi="Arial" w:cs="Arial"/>
              </w:rPr>
              <w:t>16.90</w:t>
            </w:r>
            <w:r>
              <w:rPr>
                <w:rFonts w:ascii="Arial" w:hAnsi="Arial" w:cs="Arial"/>
              </w:rPr>
              <w:t xml:space="preserve"> ± 3.21</w:t>
            </w:r>
            <w:r>
              <w:rPr>
                <w:rFonts w:ascii="Arial" w:hAnsi="Arial" w:cs="Arial"/>
                <w:vertAlign w:val="superscript"/>
              </w:rPr>
              <w:t>b</w:t>
            </w:r>
          </w:p>
        </w:tc>
      </w:tr>
      <w:tr w:rsidR="00330CF1" w:rsidTr="00530C2E">
        <w:tc>
          <w:tcPr>
            <w:tcW w:w="2214" w:type="dxa"/>
          </w:tcPr>
          <w:p w:rsidR="00330CF1" w:rsidRPr="005913C8" w:rsidRDefault="00330CF1" w:rsidP="00530C2E">
            <w:pPr>
              <w:rPr>
                <w:rFonts w:ascii="Arial" w:hAnsi="Arial" w:cs="Arial"/>
              </w:rPr>
            </w:pPr>
            <w:r w:rsidRPr="005913C8">
              <w:rPr>
                <w:rFonts w:ascii="Arial" w:hAnsi="Arial" w:cs="Arial"/>
              </w:rPr>
              <w:t xml:space="preserve">   Week 10</w:t>
            </w:r>
          </w:p>
        </w:tc>
        <w:tc>
          <w:tcPr>
            <w:tcW w:w="2304" w:type="dxa"/>
          </w:tcPr>
          <w:p w:rsidR="00330CF1" w:rsidRPr="005913C8" w:rsidRDefault="00330CF1" w:rsidP="00530C2E">
            <w:pPr>
              <w:jc w:val="center"/>
              <w:rPr>
                <w:rFonts w:ascii="Arial" w:hAnsi="Arial" w:cs="Arial"/>
              </w:rPr>
            </w:pPr>
            <w:r w:rsidRPr="005913C8">
              <w:rPr>
                <w:rFonts w:ascii="Arial" w:hAnsi="Arial" w:cs="Arial"/>
              </w:rPr>
              <w:t xml:space="preserve">27.77 ± </w:t>
            </w:r>
            <w:r>
              <w:rPr>
                <w:rFonts w:ascii="Arial" w:hAnsi="Arial" w:cs="Arial"/>
              </w:rPr>
              <w:t>1.85</w:t>
            </w:r>
            <w:r>
              <w:rPr>
                <w:rFonts w:ascii="Arial" w:hAnsi="Arial" w:cs="Arial"/>
                <w:vertAlign w:val="superscript"/>
              </w:rPr>
              <w:t>a</w:t>
            </w:r>
          </w:p>
        </w:tc>
        <w:tc>
          <w:tcPr>
            <w:tcW w:w="2124" w:type="dxa"/>
          </w:tcPr>
          <w:p w:rsidR="00330CF1" w:rsidRPr="005913C8" w:rsidRDefault="00330CF1" w:rsidP="00530C2E">
            <w:pPr>
              <w:jc w:val="center"/>
              <w:rPr>
                <w:rFonts w:ascii="Arial" w:hAnsi="Arial" w:cs="Arial"/>
              </w:rPr>
            </w:pPr>
            <w:r w:rsidRPr="005913C8">
              <w:rPr>
                <w:rFonts w:ascii="Arial" w:hAnsi="Arial" w:cs="Arial"/>
              </w:rPr>
              <w:t xml:space="preserve">22.74 ± </w:t>
            </w:r>
            <w:r>
              <w:rPr>
                <w:rFonts w:ascii="Arial" w:hAnsi="Arial" w:cs="Arial"/>
              </w:rPr>
              <w:t>2.27</w:t>
            </w:r>
            <w:r>
              <w:rPr>
                <w:rFonts w:ascii="Arial" w:hAnsi="Arial" w:cs="Arial"/>
                <w:vertAlign w:val="superscript"/>
              </w:rPr>
              <w:t>ab</w:t>
            </w:r>
          </w:p>
        </w:tc>
        <w:tc>
          <w:tcPr>
            <w:tcW w:w="2214" w:type="dxa"/>
          </w:tcPr>
          <w:p w:rsidR="00330CF1" w:rsidRPr="005913C8" w:rsidRDefault="00330CF1" w:rsidP="00530C2E">
            <w:pPr>
              <w:jc w:val="center"/>
              <w:rPr>
                <w:rFonts w:ascii="Arial" w:hAnsi="Arial" w:cs="Arial"/>
              </w:rPr>
            </w:pPr>
            <w:r w:rsidRPr="005913C8">
              <w:rPr>
                <w:rFonts w:ascii="Arial" w:hAnsi="Arial" w:cs="Arial"/>
              </w:rPr>
              <w:t>23.98</w:t>
            </w:r>
            <w:r>
              <w:rPr>
                <w:rFonts w:ascii="Arial" w:hAnsi="Arial" w:cs="Arial"/>
              </w:rPr>
              <w:t xml:space="preserve"> ± 3.21</w:t>
            </w:r>
            <w:r>
              <w:rPr>
                <w:rFonts w:ascii="Arial" w:hAnsi="Arial" w:cs="Arial"/>
                <w:vertAlign w:val="superscript"/>
              </w:rPr>
              <w:t>a</w:t>
            </w:r>
          </w:p>
        </w:tc>
      </w:tr>
      <w:tr w:rsidR="00330CF1" w:rsidTr="00530C2E">
        <w:tc>
          <w:tcPr>
            <w:tcW w:w="2214" w:type="dxa"/>
          </w:tcPr>
          <w:p w:rsidR="00330CF1" w:rsidRPr="005913C8" w:rsidRDefault="00330CF1" w:rsidP="00530C2E">
            <w:pPr>
              <w:rPr>
                <w:rFonts w:ascii="Arial" w:hAnsi="Arial" w:cs="Arial"/>
              </w:rPr>
            </w:pPr>
            <w:r w:rsidRPr="005913C8">
              <w:rPr>
                <w:rFonts w:ascii="Arial" w:hAnsi="Arial" w:cs="Arial"/>
              </w:rPr>
              <w:t>Female</w:t>
            </w:r>
          </w:p>
        </w:tc>
        <w:tc>
          <w:tcPr>
            <w:tcW w:w="2304" w:type="dxa"/>
          </w:tcPr>
          <w:p w:rsidR="00330CF1" w:rsidRPr="005913C8" w:rsidRDefault="00330CF1" w:rsidP="00530C2E">
            <w:pPr>
              <w:jc w:val="center"/>
              <w:rPr>
                <w:rFonts w:ascii="Arial" w:hAnsi="Arial" w:cs="Arial"/>
              </w:rPr>
            </w:pPr>
          </w:p>
        </w:tc>
        <w:tc>
          <w:tcPr>
            <w:tcW w:w="2124" w:type="dxa"/>
          </w:tcPr>
          <w:p w:rsidR="00330CF1" w:rsidRPr="005913C8" w:rsidRDefault="00330CF1" w:rsidP="00530C2E">
            <w:pPr>
              <w:jc w:val="center"/>
              <w:rPr>
                <w:rFonts w:ascii="Arial" w:hAnsi="Arial" w:cs="Arial"/>
              </w:rPr>
            </w:pPr>
          </w:p>
        </w:tc>
        <w:tc>
          <w:tcPr>
            <w:tcW w:w="2214" w:type="dxa"/>
          </w:tcPr>
          <w:p w:rsidR="00330CF1" w:rsidRPr="005913C8" w:rsidRDefault="00330CF1" w:rsidP="00530C2E">
            <w:pPr>
              <w:jc w:val="center"/>
              <w:rPr>
                <w:rFonts w:ascii="Arial" w:hAnsi="Arial" w:cs="Arial"/>
              </w:rPr>
            </w:pPr>
          </w:p>
        </w:tc>
      </w:tr>
      <w:tr w:rsidR="00330CF1" w:rsidTr="00530C2E">
        <w:tc>
          <w:tcPr>
            <w:tcW w:w="2214" w:type="dxa"/>
          </w:tcPr>
          <w:p w:rsidR="00330CF1" w:rsidRPr="005913C8" w:rsidRDefault="00330CF1" w:rsidP="00530C2E">
            <w:pPr>
              <w:rPr>
                <w:rFonts w:ascii="Arial" w:hAnsi="Arial" w:cs="Arial"/>
              </w:rPr>
            </w:pPr>
            <w:r w:rsidRPr="005913C8">
              <w:rPr>
                <w:rFonts w:ascii="Arial" w:hAnsi="Arial" w:cs="Arial"/>
              </w:rPr>
              <w:t xml:space="preserve">   Week 0</w:t>
            </w:r>
          </w:p>
        </w:tc>
        <w:tc>
          <w:tcPr>
            <w:tcW w:w="2304" w:type="dxa"/>
          </w:tcPr>
          <w:p w:rsidR="00330CF1" w:rsidRPr="005913C8" w:rsidRDefault="00330CF1" w:rsidP="00530C2E">
            <w:pPr>
              <w:jc w:val="center"/>
              <w:rPr>
                <w:rFonts w:ascii="Arial" w:hAnsi="Arial" w:cs="Arial"/>
              </w:rPr>
            </w:pPr>
            <w:r w:rsidRPr="005913C8">
              <w:rPr>
                <w:rFonts w:ascii="Arial" w:hAnsi="Arial" w:cs="Arial"/>
              </w:rPr>
              <w:t>22.20</w:t>
            </w:r>
            <w:r>
              <w:rPr>
                <w:rFonts w:ascii="Arial" w:hAnsi="Arial" w:cs="Arial"/>
              </w:rPr>
              <w:t xml:space="preserve"> ± 3.21</w:t>
            </w:r>
            <w:r>
              <w:rPr>
                <w:rFonts w:ascii="Arial" w:hAnsi="Arial" w:cs="Arial"/>
                <w:vertAlign w:val="superscript"/>
              </w:rPr>
              <w:t>ab</w:t>
            </w:r>
          </w:p>
        </w:tc>
        <w:tc>
          <w:tcPr>
            <w:tcW w:w="2124" w:type="dxa"/>
          </w:tcPr>
          <w:p w:rsidR="00330CF1" w:rsidRPr="005913C8" w:rsidRDefault="00330CF1" w:rsidP="00530C2E">
            <w:pPr>
              <w:jc w:val="center"/>
              <w:rPr>
                <w:rFonts w:ascii="Arial" w:hAnsi="Arial" w:cs="Arial"/>
              </w:rPr>
            </w:pPr>
            <w:r w:rsidRPr="005913C8">
              <w:rPr>
                <w:rFonts w:ascii="Arial" w:hAnsi="Arial" w:cs="Arial"/>
              </w:rPr>
              <w:t>19.60</w:t>
            </w:r>
            <w:r>
              <w:rPr>
                <w:rFonts w:ascii="Arial" w:hAnsi="Arial" w:cs="Arial"/>
              </w:rPr>
              <w:t xml:space="preserve"> ± 3.21</w:t>
            </w:r>
            <w:r>
              <w:rPr>
                <w:rFonts w:ascii="Arial" w:hAnsi="Arial" w:cs="Arial"/>
                <w:vertAlign w:val="superscript"/>
              </w:rPr>
              <w:t>ab</w:t>
            </w:r>
          </w:p>
        </w:tc>
        <w:tc>
          <w:tcPr>
            <w:tcW w:w="2214" w:type="dxa"/>
          </w:tcPr>
          <w:p w:rsidR="00330CF1" w:rsidRPr="005913C8" w:rsidRDefault="00330CF1" w:rsidP="00530C2E">
            <w:pPr>
              <w:jc w:val="center"/>
              <w:rPr>
                <w:rFonts w:ascii="Arial" w:hAnsi="Arial" w:cs="Arial"/>
              </w:rPr>
            </w:pPr>
            <w:r w:rsidRPr="005913C8">
              <w:rPr>
                <w:rFonts w:ascii="Arial" w:hAnsi="Arial" w:cs="Arial"/>
              </w:rPr>
              <w:t>18.30</w:t>
            </w:r>
            <w:r>
              <w:rPr>
                <w:rFonts w:ascii="Arial" w:hAnsi="Arial" w:cs="Arial"/>
              </w:rPr>
              <w:t xml:space="preserve"> ± 3.21</w:t>
            </w:r>
            <w:r>
              <w:rPr>
                <w:rFonts w:ascii="Arial" w:hAnsi="Arial" w:cs="Arial"/>
                <w:vertAlign w:val="superscript"/>
              </w:rPr>
              <w:t>b</w:t>
            </w:r>
          </w:p>
        </w:tc>
      </w:tr>
      <w:tr w:rsidR="00330CF1" w:rsidTr="00530C2E">
        <w:tc>
          <w:tcPr>
            <w:tcW w:w="2214" w:type="dxa"/>
          </w:tcPr>
          <w:p w:rsidR="00330CF1" w:rsidRPr="005913C8" w:rsidRDefault="00330CF1" w:rsidP="00530C2E">
            <w:pPr>
              <w:rPr>
                <w:rFonts w:ascii="Arial" w:hAnsi="Arial" w:cs="Arial"/>
              </w:rPr>
            </w:pPr>
            <w:r w:rsidRPr="005913C8">
              <w:rPr>
                <w:rFonts w:ascii="Arial" w:hAnsi="Arial" w:cs="Arial"/>
              </w:rPr>
              <w:t xml:space="preserve">   Week 10</w:t>
            </w:r>
          </w:p>
        </w:tc>
        <w:tc>
          <w:tcPr>
            <w:tcW w:w="2304" w:type="dxa"/>
          </w:tcPr>
          <w:p w:rsidR="00330CF1" w:rsidRPr="005913C8" w:rsidRDefault="00330CF1" w:rsidP="00530C2E">
            <w:pPr>
              <w:jc w:val="center"/>
              <w:rPr>
                <w:rFonts w:ascii="Arial" w:hAnsi="Arial" w:cs="Arial"/>
              </w:rPr>
            </w:pPr>
            <w:r w:rsidRPr="005913C8">
              <w:rPr>
                <w:rFonts w:ascii="Arial" w:hAnsi="Arial" w:cs="Arial"/>
              </w:rPr>
              <w:t>19.87</w:t>
            </w:r>
            <w:r>
              <w:rPr>
                <w:rFonts w:ascii="Arial" w:hAnsi="Arial" w:cs="Arial"/>
              </w:rPr>
              <w:t xml:space="preserve"> ± 3.21</w:t>
            </w:r>
            <w:r>
              <w:rPr>
                <w:rFonts w:ascii="Arial" w:hAnsi="Arial" w:cs="Arial"/>
                <w:vertAlign w:val="superscript"/>
              </w:rPr>
              <w:t>ab</w:t>
            </w:r>
          </w:p>
        </w:tc>
        <w:tc>
          <w:tcPr>
            <w:tcW w:w="2124" w:type="dxa"/>
          </w:tcPr>
          <w:p w:rsidR="00330CF1" w:rsidRPr="005913C8" w:rsidRDefault="00330CF1" w:rsidP="00530C2E">
            <w:pPr>
              <w:jc w:val="center"/>
              <w:rPr>
                <w:rFonts w:ascii="Arial" w:hAnsi="Arial" w:cs="Arial"/>
              </w:rPr>
            </w:pPr>
            <w:r w:rsidRPr="005913C8">
              <w:rPr>
                <w:rFonts w:ascii="Arial" w:hAnsi="Arial" w:cs="Arial"/>
              </w:rPr>
              <w:t>23.50</w:t>
            </w:r>
            <w:r>
              <w:rPr>
                <w:rFonts w:ascii="Arial" w:hAnsi="Arial" w:cs="Arial"/>
              </w:rPr>
              <w:t xml:space="preserve"> ± 3.21</w:t>
            </w:r>
            <w:r>
              <w:rPr>
                <w:rFonts w:ascii="Arial" w:hAnsi="Arial" w:cs="Arial"/>
                <w:vertAlign w:val="superscript"/>
              </w:rPr>
              <w:t>ab</w:t>
            </w:r>
          </w:p>
        </w:tc>
        <w:tc>
          <w:tcPr>
            <w:tcW w:w="2214" w:type="dxa"/>
          </w:tcPr>
          <w:p w:rsidR="00330CF1" w:rsidRPr="005913C8" w:rsidRDefault="00330CF1" w:rsidP="00530C2E">
            <w:pPr>
              <w:jc w:val="center"/>
              <w:rPr>
                <w:rFonts w:ascii="Arial" w:hAnsi="Arial" w:cs="Arial"/>
              </w:rPr>
            </w:pPr>
            <w:r w:rsidRPr="005913C8">
              <w:rPr>
                <w:rFonts w:ascii="Arial" w:hAnsi="Arial" w:cs="Arial"/>
              </w:rPr>
              <w:t>25.20</w:t>
            </w:r>
            <w:r>
              <w:rPr>
                <w:rFonts w:ascii="Arial" w:hAnsi="Arial" w:cs="Arial"/>
              </w:rPr>
              <w:t xml:space="preserve"> ± 3.21</w:t>
            </w:r>
            <w:r>
              <w:rPr>
                <w:rFonts w:ascii="Arial" w:hAnsi="Arial" w:cs="Arial"/>
                <w:vertAlign w:val="superscript"/>
              </w:rPr>
              <w:t>ab</w:t>
            </w:r>
          </w:p>
        </w:tc>
      </w:tr>
    </w:tbl>
    <w:p w:rsidR="00330CF1" w:rsidRDefault="00330CF1" w:rsidP="00662C4A">
      <w:pPr>
        <w:rPr>
          <w:rFonts w:ascii="Arial" w:hAnsi="Arial" w:cs="Arial"/>
        </w:rPr>
      </w:pPr>
      <w:r>
        <w:rPr>
          <w:rFonts w:ascii="Arial" w:hAnsi="Arial" w:cs="Arial"/>
        </w:rPr>
        <w:t>NOTE: Different letter superscripts in both rows and columns indicate p values ≤ 0.05.</w:t>
      </w:r>
    </w:p>
    <w:p w:rsidR="00330CF1" w:rsidRDefault="00330CF1" w:rsidP="00662C4A">
      <w:pPr>
        <w:rPr>
          <w:rFonts w:ascii="Arial" w:hAnsi="Arial" w:cs="Arial"/>
        </w:rPr>
      </w:pPr>
    </w:p>
    <w:p w:rsidR="00330CF1" w:rsidRDefault="00330CF1" w:rsidP="00662C4A">
      <w:pPr>
        <w:rPr>
          <w:rFonts w:ascii="Arial" w:hAnsi="Arial" w:cs="Arial"/>
        </w:rPr>
      </w:pPr>
    </w:p>
    <w:p w:rsidR="00330CF1" w:rsidRPr="00687E70" w:rsidRDefault="00330CF1" w:rsidP="00662C4A">
      <w:pPr>
        <w:rPr>
          <w:rFonts w:ascii="Arial" w:hAnsi="Arial" w:cs="Arial"/>
        </w:rPr>
      </w:pPr>
    </w:p>
    <w:p w:rsidR="00330CF1" w:rsidRDefault="00330CF1" w:rsidP="00662C4A"/>
    <w:p w:rsidR="00330CF1" w:rsidRPr="0071195F" w:rsidRDefault="00330CF1" w:rsidP="00662C4A">
      <w:pPr>
        <w:jc w:val="center"/>
        <w:rPr>
          <w:rFonts w:ascii="Arial" w:hAnsi="Arial" w:cs="Arial"/>
        </w:rPr>
      </w:pPr>
      <w:r w:rsidRPr="0071195F">
        <w:rPr>
          <w:rFonts w:ascii="Arial" w:hAnsi="Arial" w:cs="Arial"/>
          <w:b/>
        </w:rPr>
        <w:t>Table 2.5</w:t>
      </w:r>
      <w:r>
        <w:rPr>
          <w:rFonts w:ascii="Arial" w:hAnsi="Arial" w:cs="Arial"/>
        </w:rPr>
        <w:t xml:space="preserve"> DEXA bone mineral p</w:t>
      </w:r>
      <w:r w:rsidRPr="0071195F">
        <w:rPr>
          <w:rFonts w:ascii="Arial" w:hAnsi="Arial" w:cs="Arial"/>
        </w:rPr>
        <w:t xml:space="preserve">ercentage </w:t>
      </w:r>
      <w:r>
        <w:rPr>
          <w:rFonts w:ascii="Arial" w:hAnsi="Arial" w:cs="Arial"/>
        </w:rPr>
        <w:t xml:space="preserve">by diet treatment </w:t>
      </w:r>
      <w:r w:rsidRPr="0071195F">
        <w:rPr>
          <w:rFonts w:ascii="Arial" w:hAnsi="Arial" w:cs="Arial"/>
        </w:rPr>
        <w:t>(Mean ± SEM)</w:t>
      </w:r>
    </w:p>
    <w:p w:rsidR="00330CF1" w:rsidRPr="004E3EBD" w:rsidRDefault="00330CF1" w:rsidP="00662C4A">
      <w:pPr>
        <w:jc w:val="center"/>
        <w:rPr>
          <w:rFonts w:ascii="Arial" w:hAnsi="Arial" w:cs="Arial"/>
        </w:rPr>
      </w:pPr>
    </w:p>
    <w:tbl>
      <w:tblPr>
        <w:tblStyle w:val="TableGrid"/>
        <w:tblW w:w="0" w:type="auto"/>
        <w:tblLook w:val="04A0" w:firstRow="1" w:lastRow="0" w:firstColumn="1" w:lastColumn="0" w:noHBand="0" w:noVBand="1"/>
      </w:tblPr>
      <w:tblGrid>
        <w:gridCol w:w="2214"/>
        <w:gridCol w:w="2304"/>
        <w:gridCol w:w="2124"/>
        <w:gridCol w:w="2214"/>
      </w:tblGrid>
      <w:tr w:rsidR="00330CF1" w:rsidRPr="004E3EBD" w:rsidTr="00530C2E">
        <w:tc>
          <w:tcPr>
            <w:tcW w:w="2214" w:type="dxa"/>
          </w:tcPr>
          <w:p w:rsidR="00330CF1" w:rsidRPr="004E3EBD" w:rsidRDefault="00330CF1" w:rsidP="00530C2E">
            <w:pPr>
              <w:rPr>
                <w:rFonts w:ascii="Arial" w:hAnsi="Arial" w:cs="Arial"/>
              </w:rPr>
            </w:pPr>
            <w:r>
              <w:rPr>
                <w:rFonts w:ascii="Arial" w:hAnsi="Arial" w:cs="Arial"/>
              </w:rPr>
              <w:t>Sex</w:t>
            </w:r>
            <w:r w:rsidRPr="004E3EBD">
              <w:rPr>
                <w:rFonts w:ascii="Arial" w:hAnsi="Arial" w:cs="Arial"/>
              </w:rPr>
              <w:t>/Week</w:t>
            </w:r>
          </w:p>
        </w:tc>
        <w:tc>
          <w:tcPr>
            <w:tcW w:w="2304" w:type="dxa"/>
          </w:tcPr>
          <w:p w:rsidR="00330CF1" w:rsidRPr="004E3EBD" w:rsidRDefault="00330CF1" w:rsidP="00530C2E">
            <w:pPr>
              <w:jc w:val="center"/>
              <w:rPr>
                <w:rFonts w:ascii="Arial" w:hAnsi="Arial" w:cs="Arial"/>
              </w:rPr>
            </w:pPr>
            <w:r w:rsidRPr="004E3EBD">
              <w:rPr>
                <w:rFonts w:ascii="Arial" w:hAnsi="Arial" w:cs="Arial"/>
              </w:rPr>
              <w:t>Control</w:t>
            </w:r>
          </w:p>
        </w:tc>
        <w:tc>
          <w:tcPr>
            <w:tcW w:w="2124" w:type="dxa"/>
          </w:tcPr>
          <w:p w:rsidR="00330CF1" w:rsidRPr="004E3EBD" w:rsidRDefault="00330CF1" w:rsidP="00530C2E">
            <w:pPr>
              <w:jc w:val="center"/>
              <w:rPr>
                <w:rFonts w:ascii="Arial" w:hAnsi="Arial" w:cs="Arial"/>
              </w:rPr>
            </w:pPr>
            <w:r w:rsidRPr="004E3EBD">
              <w:rPr>
                <w:rFonts w:ascii="Arial" w:hAnsi="Arial" w:cs="Arial"/>
              </w:rPr>
              <w:t>Commercial Raw</w:t>
            </w:r>
          </w:p>
        </w:tc>
        <w:tc>
          <w:tcPr>
            <w:tcW w:w="2214" w:type="dxa"/>
          </w:tcPr>
          <w:p w:rsidR="00330CF1" w:rsidRPr="004E3EBD" w:rsidRDefault="00330CF1" w:rsidP="00530C2E">
            <w:pPr>
              <w:jc w:val="center"/>
              <w:rPr>
                <w:rFonts w:ascii="Arial" w:hAnsi="Arial" w:cs="Arial"/>
              </w:rPr>
            </w:pPr>
            <w:r w:rsidRPr="004E3EBD">
              <w:rPr>
                <w:rFonts w:ascii="Arial" w:hAnsi="Arial" w:cs="Arial"/>
              </w:rPr>
              <w:t>Homemade Raw</w:t>
            </w:r>
          </w:p>
        </w:tc>
      </w:tr>
      <w:tr w:rsidR="00330CF1" w:rsidRPr="004E3EBD" w:rsidTr="00530C2E">
        <w:tc>
          <w:tcPr>
            <w:tcW w:w="2214" w:type="dxa"/>
          </w:tcPr>
          <w:p w:rsidR="00330CF1" w:rsidRPr="004E3EBD" w:rsidRDefault="00330CF1" w:rsidP="00530C2E">
            <w:pPr>
              <w:rPr>
                <w:rFonts w:ascii="Arial" w:hAnsi="Arial" w:cs="Arial"/>
              </w:rPr>
            </w:pPr>
            <w:r w:rsidRPr="004E3EBD">
              <w:rPr>
                <w:rFonts w:ascii="Arial" w:hAnsi="Arial" w:cs="Arial"/>
              </w:rPr>
              <w:t xml:space="preserve">Male  </w:t>
            </w:r>
          </w:p>
        </w:tc>
        <w:tc>
          <w:tcPr>
            <w:tcW w:w="2304" w:type="dxa"/>
          </w:tcPr>
          <w:p w:rsidR="00330CF1" w:rsidRPr="004E3EBD" w:rsidRDefault="00330CF1" w:rsidP="00530C2E">
            <w:pPr>
              <w:jc w:val="center"/>
              <w:rPr>
                <w:rFonts w:ascii="Arial" w:hAnsi="Arial" w:cs="Arial"/>
              </w:rPr>
            </w:pPr>
          </w:p>
        </w:tc>
        <w:tc>
          <w:tcPr>
            <w:tcW w:w="2124" w:type="dxa"/>
          </w:tcPr>
          <w:p w:rsidR="00330CF1" w:rsidRPr="004E3EBD" w:rsidRDefault="00330CF1" w:rsidP="00530C2E">
            <w:pPr>
              <w:jc w:val="center"/>
              <w:rPr>
                <w:rFonts w:ascii="Arial" w:hAnsi="Arial" w:cs="Arial"/>
              </w:rPr>
            </w:pPr>
          </w:p>
        </w:tc>
        <w:tc>
          <w:tcPr>
            <w:tcW w:w="2214" w:type="dxa"/>
          </w:tcPr>
          <w:p w:rsidR="00330CF1" w:rsidRPr="004E3EBD" w:rsidRDefault="00330CF1" w:rsidP="00530C2E">
            <w:pPr>
              <w:jc w:val="center"/>
              <w:rPr>
                <w:rFonts w:ascii="Arial" w:hAnsi="Arial" w:cs="Arial"/>
              </w:rPr>
            </w:pPr>
          </w:p>
        </w:tc>
      </w:tr>
      <w:tr w:rsidR="00330CF1" w:rsidRPr="004E3EBD" w:rsidTr="00530C2E">
        <w:tc>
          <w:tcPr>
            <w:tcW w:w="2214" w:type="dxa"/>
          </w:tcPr>
          <w:p w:rsidR="00330CF1" w:rsidRPr="004E3EBD" w:rsidRDefault="00330CF1" w:rsidP="00530C2E">
            <w:pPr>
              <w:rPr>
                <w:rFonts w:ascii="Arial" w:hAnsi="Arial" w:cs="Arial"/>
              </w:rPr>
            </w:pPr>
            <w:r w:rsidRPr="004E3EBD">
              <w:rPr>
                <w:rFonts w:ascii="Arial" w:hAnsi="Arial" w:cs="Arial"/>
              </w:rPr>
              <w:t xml:space="preserve">   Week 0</w:t>
            </w:r>
          </w:p>
        </w:tc>
        <w:tc>
          <w:tcPr>
            <w:tcW w:w="2304" w:type="dxa"/>
          </w:tcPr>
          <w:p w:rsidR="00330CF1" w:rsidRPr="004E3EBD" w:rsidRDefault="00330CF1" w:rsidP="00530C2E">
            <w:pPr>
              <w:jc w:val="center"/>
              <w:rPr>
                <w:rFonts w:ascii="Arial" w:hAnsi="Arial" w:cs="Arial"/>
              </w:rPr>
            </w:pPr>
            <w:r w:rsidRPr="004E3EBD">
              <w:rPr>
                <w:rFonts w:ascii="Arial" w:hAnsi="Arial" w:cs="Arial"/>
              </w:rPr>
              <w:t xml:space="preserve">1.77 ± </w:t>
            </w:r>
            <w:r>
              <w:rPr>
                <w:rFonts w:ascii="Arial" w:hAnsi="Arial" w:cs="Arial"/>
              </w:rPr>
              <w:t>0.08</w:t>
            </w:r>
            <w:r>
              <w:rPr>
                <w:rFonts w:ascii="Arial" w:hAnsi="Arial" w:cs="Arial"/>
                <w:vertAlign w:val="superscript"/>
              </w:rPr>
              <w:t>e</w:t>
            </w:r>
          </w:p>
        </w:tc>
        <w:tc>
          <w:tcPr>
            <w:tcW w:w="2124" w:type="dxa"/>
          </w:tcPr>
          <w:p w:rsidR="00330CF1" w:rsidRPr="004E3EBD" w:rsidRDefault="00330CF1" w:rsidP="00530C2E">
            <w:pPr>
              <w:jc w:val="center"/>
              <w:rPr>
                <w:rFonts w:ascii="Arial" w:hAnsi="Arial" w:cs="Arial"/>
              </w:rPr>
            </w:pPr>
            <w:r w:rsidRPr="004E3EBD">
              <w:rPr>
                <w:rFonts w:ascii="Arial" w:hAnsi="Arial" w:cs="Arial"/>
              </w:rPr>
              <w:t>2.10 ± 0.0</w:t>
            </w:r>
            <w:r>
              <w:rPr>
                <w:rFonts w:ascii="Arial" w:hAnsi="Arial" w:cs="Arial"/>
              </w:rPr>
              <w:t>9</w:t>
            </w:r>
            <w:r>
              <w:rPr>
                <w:rFonts w:ascii="Arial" w:hAnsi="Arial" w:cs="Arial"/>
                <w:vertAlign w:val="superscript"/>
              </w:rPr>
              <w:t>cde</w:t>
            </w:r>
          </w:p>
        </w:tc>
        <w:tc>
          <w:tcPr>
            <w:tcW w:w="2214" w:type="dxa"/>
          </w:tcPr>
          <w:p w:rsidR="00330CF1" w:rsidRPr="004E3EBD" w:rsidRDefault="00330CF1" w:rsidP="00530C2E">
            <w:pPr>
              <w:jc w:val="center"/>
              <w:rPr>
                <w:rFonts w:ascii="Arial" w:hAnsi="Arial" w:cs="Arial"/>
              </w:rPr>
            </w:pPr>
            <w:r w:rsidRPr="004E3EBD">
              <w:rPr>
                <w:rFonts w:ascii="Arial" w:hAnsi="Arial" w:cs="Arial"/>
              </w:rPr>
              <w:t>1.7</w:t>
            </w:r>
            <w:r>
              <w:rPr>
                <w:rFonts w:ascii="Arial" w:hAnsi="Arial" w:cs="Arial"/>
              </w:rPr>
              <w:t xml:space="preserve"> ± 0.13</w:t>
            </w:r>
            <w:r>
              <w:rPr>
                <w:rFonts w:ascii="Arial" w:hAnsi="Arial" w:cs="Arial"/>
                <w:vertAlign w:val="superscript"/>
              </w:rPr>
              <w:t>e</w:t>
            </w:r>
          </w:p>
        </w:tc>
      </w:tr>
      <w:tr w:rsidR="00330CF1" w:rsidRPr="004E3EBD" w:rsidTr="00530C2E">
        <w:tc>
          <w:tcPr>
            <w:tcW w:w="2214" w:type="dxa"/>
          </w:tcPr>
          <w:p w:rsidR="00330CF1" w:rsidRPr="004E3EBD" w:rsidRDefault="00330CF1" w:rsidP="00530C2E">
            <w:pPr>
              <w:rPr>
                <w:rFonts w:ascii="Arial" w:hAnsi="Arial" w:cs="Arial"/>
              </w:rPr>
            </w:pPr>
            <w:r w:rsidRPr="004E3EBD">
              <w:rPr>
                <w:rFonts w:ascii="Arial" w:hAnsi="Arial" w:cs="Arial"/>
              </w:rPr>
              <w:t xml:space="preserve">   Week 10</w:t>
            </w:r>
          </w:p>
        </w:tc>
        <w:tc>
          <w:tcPr>
            <w:tcW w:w="2304" w:type="dxa"/>
          </w:tcPr>
          <w:p w:rsidR="00330CF1" w:rsidRPr="004E3EBD" w:rsidRDefault="00330CF1" w:rsidP="00530C2E">
            <w:pPr>
              <w:jc w:val="center"/>
              <w:rPr>
                <w:rFonts w:ascii="Arial" w:hAnsi="Arial" w:cs="Arial"/>
                <w:vertAlign w:val="superscript"/>
              </w:rPr>
            </w:pPr>
            <w:r w:rsidRPr="004E3EBD">
              <w:rPr>
                <w:rFonts w:ascii="Arial" w:hAnsi="Arial" w:cs="Arial"/>
              </w:rPr>
              <w:t>2.47 ± 0.</w:t>
            </w:r>
            <w:r>
              <w:rPr>
                <w:rFonts w:ascii="Arial" w:hAnsi="Arial" w:cs="Arial"/>
              </w:rPr>
              <w:t>08</w:t>
            </w:r>
            <w:r>
              <w:rPr>
                <w:rFonts w:ascii="Arial" w:hAnsi="Arial" w:cs="Arial"/>
                <w:vertAlign w:val="superscript"/>
              </w:rPr>
              <w:t>abc</w:t>
            </w:r>
          </w:p>
        </w:tc>
        <w:tc>
          <w:tcPr>
            <w:tcW w:w="2124" w:type="dxa"/>
          </w:tcPr>
          <w:p w:rsidR="00330CF1" w:rsidRPr="004E3EBD" w:rsidRDefault="00330CF1" w:rsidP="00530C2E">
            <w:pPr>
              <w:jc w:val="center"/>
              <w:rPr>
                <w:rFonts w:ascii="Arial" w:hAnsi="Arial" w:cs="Arial"/>
              </w:rPr>
            </w:pPr>
            <w:r>
              <w:rPr>
                <w:rFonts w:ascii="Arial" w:hAnsi="Arial" w:cs="Arial"/>
              </w:rPr>
              <w:t>2.51 ± 0.0</w:t>
            </w:r>
            <w:r w:rsidRPr="004E3EBD">
              <w:rPr>
                <w:rFonts w:ascii="Arial" w:hAnsi="Arial" w:cs="Arial"/>
              </w:rPr>
              <w:t>9</w:t>
            </w:r>
            <w:r>
              <w:rPr>
                <w:rFonts w:ascii="Arial" w:hAnsi="Arial" w:cs="Arial"/>
                <w:vertAlign w:val="superscript"/>
              </w:rPr>
              <w:t>ab</w:t>
            </w:r>
          </w:p>
        </w:tc>
        <w:tc>
          <w:tcPr>
            <w:tcW w:w="2214" w:type="dxa"/>
          </w:tcPr>
          <w:p w:rsidR="00330CF1" w:rsidRPr="004E3EBD" w:rsidRDefault="00330CF1" w:rsidP="00530C2E">
            <w:pPr>
              <w:jc w:val="center"/>
              <w:rPr>
                <w:rFonts w:ascii="Arial" w:hAnsi="Arial" w:cs="Arial"/>
              </w:rPr>
            </w:pPr>
            <w:r w:rsidRPr="004E3EBD">
              <w:rPr>
                <w:rFonts w:ascii="Arial" w:hAnsi="Arial" w:cs="Arial"/>
              </w:rPr>
              <w:t>2.54</w:t>
            </w:r>
            <w:r>
              <w:rPr>
                <w:rFonts w:ascii="Arial" w:hAnsi="Arial" w:cs="Arial"/>
              </w:rPr>
              <w:t xml:space="preserve"> ± 0.13</w:t>
            </w:r>
            <w:r w:rsidRPr="004E3EBD">
              <w:rPr>
                <w:rFonts w:ascii="Arial" w:hAnsi="Arial" w:cs="Arial"/>
                <w:vertAlign w:val="superscript"/>
              </w:rPr>
              <w:t>a</w:t>
            </w:r>
            <w:r>
              <w:rPr>
                <w:rFonts w:ascii="Arial" w:hAnsi="Arial" w:cs="Arial"/>
                <w:vertAlign w:val="superscript"/>
              </w:rPr>
              <w:t>bcd</w:t>
            </w:r>
          </w:p>
        </w:tc>
      </w:tr>
      <w:tr w:rsidR="00330CF1" w:rsidRPr="004E3EBD" w:rsidTr="00530C2E">
        <w:tc>
          <w:tcPr>
            <w:tcW w:w="2214" w:type="dxa"/>
          </w:tcPr>
          <w:p w:rsidR="00330CF1" w:rsidRPr="004E3EBD" w:rsidRDefault="00330CF1" w:rsidP="00530C2E">
            <w:pPr>
              <w:rPr>
                <w:rFonts w:ascii="Arial" w:hAnsi="Arial" w:cs="Arial"/>
              </w:rPr>
            </w:pPr>
            <w:r w:rsidRPr="004E3EBD">
              <w:rPr>
                <w:rFonts w:ascii="Arial" w:hAnsi="Arial" w:cs="Arial"/>
              </w:rPr>
              <w:t>Female</w:t>
            </w:r>
          </w:p>
        </w:tc>
        <w:tc>
          <w:tcPr>
            <w:tcW w:w="2304" w:type="dxa"/>
          </w:tcPr>
          <w:p w:rsidR="00330CF1" w:rsidRPr="004E3EBD" w:rsidRDefault="00330CF1" w:rsidP="00530C2E">
            <w:pPr>
              <w:jc w:val="center"/>
              <w:rPr>
                <w:rFonts w:ascii="Arial" w:hAnsi="Arial" w:cs="Arial"/>
              </w:rPr>
            </w:pPr>
          </w:p>
        </w:tc>
        <w:tc>
          <w:tcPr>
            <w:tcW w:w="2124" w:type="dxa"/>
          </w:tcPr>
          <w:p w:rsidR="00330CF1" w:rsidRPr="004E3EBD" w:rsidRDefault="00330CF1" w:rsidP="00530C2E">
            <w:pPr>
              <w:jc w:val="center"/>
              <w:rPr>
                <w:rFonts w:ascii="Arial" w:hAnsi="Arial" w:cs="Arial"/>
              </w:rPr>
            </w:pPr>
          </w:p>
        </w:tc>
        <w:tc>
          <w:tcPr>
            <w:tcW w:w="2214" w:type="dxa"/>
          </w:tcPr>
          <w:p w:rsidR="00330CF1" w:rsidRPr="004E3EBD" w:rsidRDefault="00330CF1" w:rsidP="00530C2E">
            <w:pPr>
              <w:jc w:val="center"/>
              <w:rPr>
                <w:rFonts w:ascii="Arial" w:hAnsi="Arial" w:cs="Arial"/>
              </w:rPr>
            </w:pPr>
          </w:p>
        </w:tc>
      </w:tr>
      <w:tr w:rsidR="00330CF1" w:rsidRPr="004E3EBD" w:rsidTr="00530C2E">
        <w:tc>
          <w:tcPr>
            <w:tcW w:w="2214" w:type="dxa"/>
          </w:tcPr>
          <w:p w:rsidR="00330CF1" w:rsidRPr="004E3EBD" w:rsidRDefault="00330CF1" w:rsidP="00530C2E">
            <w:pPr>
              <w:rPr>
                <w:rFonts w:ascii="Arial" w:hAnsi="Arial" w:cs="Arial"/>
              </w:rPr>
            </w:pPr>
            <w:r w:rsidRPr="004E3EBD">
              <w:rPr>
                <w:rFonts w:ascii="Arial" w:hAnsi="Arial" w:cs="Arial"/>
              </w:rPr>
              <w:t xml:space="preserve">   Week 0</w:t>
            </w:r>
          </w:p>
        </w:tc>
        <w:tc>
          <w:tcPr>
            <w:tcW w:w="2304" w:type="dxa"/>
          </w:tcPr>
          <w:p w:rsidR="00330CF1" w:rsidRPr="004E3EBD" w:rsidRDefault="00330CF1" w:rsidP="00530C2E">
            <w:pPr>
              <w:jc w:val="center"/>
              <w:rPr>
                <w:rFonts w:ascii="Arial" w:hAnsi="Arial" w:cs="Arial"/>
              </w:rPr>
            </w:pPr>
            <w:r w:rsidRPr="004E3EBD">
              <w:rPr>
                <w:rFonts w:ascii="Arial" w:hAnsi="Arial" w:cs="Arial"/>
              </w:rPr>
              <w:t>2.0</w:t>
            </w:r>
            <w:r>
              <w:rPr>
                <w:rFonts w:ascii="Arial" w:hAnsi="Arial" w:cs="Arial"/>
              </w:rPr>
              <w:t xml:space="preserve"> ± 0.13</w:t>
            </w:r>
            <w:r>
              <w:rPr>
                <w:rFonts w:ascii="Arial" w:hAnsi="Arial" w:cs="Arial"/>
                <w:vertAlign w:val="superscript"/>
              </w:rPr>
              <w:t>de</w:t>
            </w:r>
          </w:p>
        </w:tc>
        <w:tc>
          <w:tcPr>
            <w:tcW w:w="2124" w:type="dxa"/>
          </w:tcPr>
          <w:p w:rsidR="00330CF1" w:rsidRPr="004E3EBD" w:rsidRDefault="00330CF1" w:rsidP="00530C2E">
            <w:pPr>
              <w:jc w:val="center"/>
              <w:rPr>
                <w:rFonts w:ascii="Arial" w:hAnsi="Arial" w:cs="Arial"/>
              </w:rPr>
            </w:pPr>
            <w:r w:rsidRPr="004E3EBD">
              <w:rPr>
                <w:rFonts w:ascii="Arial" w:hAnsi="Arial" w:cs="Arial"/>
              </w:rPr>
              <w:t>2.20</w:t>
            </w:r>
            <w:r>
              <w:rPr>
                <w:rFonts w:ascii="Arial" w:hAnsi="Arial" w:cs="Arial"/>
              </w:rPr>
              <w:t xml:space="preserve"> ± 0.13</w:t>
            </w:r>
            <w:r>
              <w:rPr>
                <w:rFonts w:ascii="Arial" w:hAnsi="Arial" w:cs="Arial"/>
                <w:vertAlign w:val="superscript"/>
              </w:rPr>
              <w:t>bcde</w:t>
            </w:r>
          </w:p>
        </w:tc>
        <w:tc>
          <w:tcPr>
            <w:tcW w:w="2214" w:type="dxa"/>
          </w:tcPr>
          <w:p w:rsidR="00330CF1" w:rsidRPr="004E3EBD" w:rsidRDefault="00330CF1" w:rsidP="00530C2E">
            <w:pPr>
              <w:jc w:val="center"/>
              <w:rPr>
                <w:rFonts w:ascii="Arial" w:hAnsi="Arial" w:cs="Arial"/>
              </w:rPr>
            </w:pPr>
            <w:r w:rsidRPr="004E3EBD">
              <w:rPr>
                <w:rFonts w:ascii="Arial" w:hAnsi="Arial" w:cs="Arial"/>
              </w:rPr>
              <w:t>1.8</w:t>
            </w:r>
            <w:r>
              <w:rPr>
                <w:rFonts w:ascii="Arial" w:hAnsi="Arial" w:cs="Arial"/>
              </w:rPr>
              <w:t xml:space="preserve"> ± 0.13</w:t>
            </w:r>
            <w:r>
              <w:rPr>
                <w:rFonts w:ascii="Arial" w:hAnsi="Arial" w:cs="Arial"/>
                <w:vertAlign w:val="superscript"/>
              </w:rPr>
              <w:t>e</w:t>
            </w:r>
          </w:p>
        </w:tc>
      </w:tr>
      <w:tr w:rsidR="00330CF1" w:rsidRPr="004E3EBD" w:rsidTr="00530C2E">
        <w:tc>
          <w:tcPr>
            <w:tcW w:w="2214" w:type="dxa"/>
          </w:tcPr>
          <w:p w:rsidR="00330CF1" w:rsidRPr="004E3EBD" w:rsidRDefault="00330CF1" w:rsidP="00530C2E">
            <w:pPr>
              <w:rPr>
                <w:rFonts w:ascii="Arial" w:hAnsi="Arial" w:cs="Arial"/>
              </w:rPr>
            </w:pPr>
            <w:r w:rsidRPr="004E3EBD">
              <w:rPr>
                <w:rFonts w:ascii="Arial" w:hAnsi="Arial" w:cs="Arial"/>
              </w:rPr>
              <w:t xml:space="preserve">   Week 10</w:t>
            </w:r>
          </w:p>
        </w:tc>
        <w:tc>
          <w:tcPr>
            <w:tcW w:w="2304" w:type="dxa"/>
          </w:tcPr>
          <w:p w:rsidR="00330CF1" w:rsidRPr="004E3EBD" w:rsidRDefault="00330CF1" w:rsidP="00530C2E">
            <w:pPr>
              <w:jc w:val="center"/>
              <w:rPr>
                <w:rFonts w:ascii="Arial" w:hAnsi="Arial" w:cs="Arial"/>
                <w:vertAlign w:val="superscript"/>
              </w:rPr>
            </w:pPr>
            <w:r w:rsidRPr="004E3EBD">
              <w:rPr>
                <w:rFonts w:ascii="Arial" w:hAnsi="Arial" w:cs="Arial"/>
              </w:rPr>
              <w:t>2.78</w:t>
            </w:r>
            <w:r>
              <w:rPr>
                <w:rFonts w:ascii="Arial" w:hAnsi="Arial" w:cs="Arial"/>
              </w:rPr>
              <w:t xml:space="preserve"> ± 0.13</w:t>
            </w:r>
            <w:r>
              <w:rPr>
                <w:rFonts w:ascii="Arial" w:hAnsi="Arial" w:cs="Arial"/>
                <w:vertAlign w:val="superscript"/>
              </w:rPr>
              <w:t>a</w:t>
            </w:r>
          </w:p>
        </w:tc>
        <w:tc>
          <w:tcPr>
            <w:tcW w:w="2124" w:type="dxa"/>
          </w:tcPr>
          <w:p w:rsidR="00330CF1" w:rsidRPr="004E3EBD" w:rsidRDefault="00330CF1" w:rsidP="00530C2E">
            <w:pPr>
              <w:jc w:val="center"/>
              <w:rPr>
                <w:rFonts w:ascii="Arial" w:hAnsi="Arial" w:cs="Arial"/>
                <w:vertAlign w:val="superscript"/>
              </w:rPr>
            </w:pPr>
            <w:r w:rsidRPr="004E3EBD">
              <w:rPr>
                <w:rFonts w:ascii="Arial" w:hAnsi="Arial" w:cs="Arial"/>
              </w:rPr>
              <w:t>2.57</w:t>
            </w:r>
            <w:r>
              <w:rPr>
                <w:rFonts w:ascii="Arial" w:hAnsi="Arial" w:cs="Arial"/>
              </w:rPr>
              <w:t xml:space="preserve"> ± 0.13</w:t>
            </w:r>
            <w:r>
              <w:rPr>
                <w:rFonts w:ascii="Arial" w:hAnsi="Arial" w:cs="Arial"/>
                <w:vertAlign w:val="superscript"/>
              </w:rPr>
              <w:t>a</w:t>
            </w:r>
          </w:p>
        </w:tc>
        <w:tc>
          <w:tcPr>
            <w:tcW w:w="2214" w:type="dxa"/>
          </w:tcPr>
          <w:p w:rsidR="00330CF1" w:rsidRPr="004E3EBD" w:rsidRDefault="00330CF1" w:rsidP="00530C2E">
            <w:pPr>
              <w:jc w:val="center"/>
              <w:rPr>
                <w:rFonts w:ascii="Arial" w:hAnsi="Arial" w:cs="Arial"/>
              </w:rPr>
            </w:pPr>
            <w:r w:rsidRPr="004E3EBD">
              <w:rPr>
                <w:rFonts w:ascii="Arial" w:hAnsi="Arial" w:cs="Arial"/>
              </w:rPr>
              <w:t>2.90</w:t>
            </w:r>
            <w:r>
              <w:rPr>
                <w:rFonts w:ascii="Arial" w:hAnsi="Arial" w:cs="Arial"/>
              </w:rPr>
              <w:t xml:space="preserve"> ± 0.13</w:t>
            </w:r>
            <w:r>
              <w:rPr>
                <w:rFonts w:ascii="Arial" w:hAnsi="Arial" w:cs="Arial"/>
                <w:vertAlign w:val="superscript"/>
              </w:rPr>
              <w:t>a</w:t>
            </w:r>
          </w:p>
        </w:tc>
      </w:tr>
    </w:tbl>
    <w:p w:rsidR="00330CF1" w:rsidRDefault="00330CF1" w:rsidP="00662C4A">
      <w:pPr>
        <w:rPr>
          <w:rFonts w:ascii="Arial" w:hAnsi="Arial" w:cs="Arial"/>
        </w:rPr>
      </w:pPr>
      <w:r>
        <w:rPr>
          <w:rFonts w:ascii="Arial" w:hAnsi="Arial" w:cs="Arial"/>
        </w:rPr>
        <w:t>NOTE: Different letter superscripts in both rows and columns indicate p values ≤ 0.05.</w:t>
      </w:r>
    </w:p>
    <w:p w:rsidR="00330CF1" w:rsidRDefault="00330CF1" w:rsidP="00F8239F">
      <w:pPr>
        <w:rPr>
          <w:rFonts w:ascii="Arial" w:hAnsi="Arial" w:cs="Arial"/>
        </w:rPr>
      </w:pPr>
    </w:p>
    <w:p w:rsidR="00330CF1" w:rsidRDefault="00330CF1" w:rsidP="00F8239F">
      <w:pPr>
        <w:rPr>
          <w:rFonts w:ascii="Arial" w:hAnsi="Arial" w:cs="Arial"/>
        </w:rPr>
      </w:pPr>
    </w:p>
    <w:p w:rsidR="00330CF1" w:rsidRDefault="00330CF1" w:rsidP="00F8239F">
      <w:pPr>
        <w:rPr>
          <w:rFonts w:ascii="Arial" w:hAnsi="Arial" w:cs="Arial"/>
        </w:rPr>
      </w:pPr>
    </w:p>
    <w:p w:rsidR="00330CF1" w:rsidRDefault="00330CF1" w:rsidP="00CD7700">
      <w:pPr>
        <w:rPr>
          <w:rFonts w:ascii="Arial" w:hAnsi="Arial" w:cs="Arial"/>
          <w:b/>
        </w:rPr>
      </w:pPr>
      <w:r>
        <w:rPr>
          <w:noProof/>
        </w:rPr>
        <w:drawing>
          <wp:inline distT="0" distB="0" distL="0" distR="0" wp14:anchorId="64419D53" wp14:editId="443D6CFE">
            <wp:extent cx="5936776" cy="4243098"/>
            <wp:effectExtent l="0" t="0" r="6985" b="5080"/>
            <wp:docPr id="153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3"/>
                    <pic:cNvPicPr>
                      <a:picLocks noChangeAspect="1" noChangeArrowheads="1"/>
                    </pic:cNvPicPr>
                  </pic:nvPicPr>
                  <pic:blipFill rotWithShape="1">
                    <a:blip r:embed="rId48">
                      <a:extLst>
                        <a:ext uri="{28A0092B-C50C-407E-A947-70E740481C1C}">
                          <a14:useLocalDpi xmlns:a14="http://schemas.microsoft.com/office/drawing/2010/main" val="0"/>
                        </a:ext>
                      </a:extLst>
                    </a:blip>
                    <a:srcRect t="11019"/>
                    <a:stretch/>
                  </pic:blipFill>
                  <pic:spPr bwMode="auto">
                    <a:xfrm>
                      <a:off x="0" y="0"/>
                      <a:ext cx="5946595" cy="4250116"/>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330CF1" w:rsidRDefault="00330CF1" w:rsidP="00CD7700">
      <w:pPr>
        <w:rPr>
          <w:rFonts w:ascii="Arial" w:hAnsi="Arial" w:cs="Arial"/>
          <w:b/>
        </w:rPr>
      </w:pPr>
      <w:bookmarkStart w:id="34" w:name="OLE_LINK6"/>
    </w:p>
    <w:p w:rsidR="00330CF1" w:rsidRDefault="00330CF1" w:rsidP="00CD7700">
      <w:pPr>
        <w:rPr>
          <w:rFonts w:ascii="Arial" w:hAnsi="Arial" w:cs="Arial"/>
          <w:b/>
        </w:rPr>
      </w:pPr>
    </w:p>
    <w:p w:rsidR="00330CF1" w:rsidRPr="00CD7700" w:rsidRDefault="00330CF1" w:rsidP="00F8239F">
      <w:pPr>
        <w:rPr>
          <w:rFonts w:ascii="Arial" w:hAnsi="Arial" w:cs="Arial"/>
        </w:rPr>
      </w:pPr>
      <w:r>
        <w:rPr>
          <w:rFonts w:ascii="Arial" w:hAnsi="Arial" w:cs="Arial"/>
          <w:b/>
        </w:rPr>
        <w:t xml:space="preserve">Figure 2.11 </w:t>
      </w:r>
      <w:r>
        <w:rPr>
          <w:rFonts w:ascii="Arial" w:hAnsi="Arial" w:cs="Arial"/>
        </w:rPr>
        <w:t>DEXA b</w:t>
      </w:r>
      <w:r w:rsidRPr="00CD7700">
        <w:rPr>
          <w:rFonts w:ascii="Arial" w:hAnsi="Arial" w:cs="Arial"/>
        </w:rPr>
        <w:t>ody compositi</w:t>
      </w:r>
      <w:r>
        <w:rPr>
          <w:rFonts w:ascii="Arial" w:hAnsi="Arial" w:cs="Arial"/>
        </w:rPr>
        <w:t>on percentage</w:t>
      </w:r>
      <w:r w:rsidRPr="00CD7700">
        <w:rPr>
          <w:rFonts w:ascii="Arial" w:hAnsi="Arial" w:cs="Arial"/>
        </w:rPr>
        <w:t xml:space="preserve"> by diet treatment</w:t>
      </w:r>
      <w:bookmarkEnd w:id="34"/>
      <w:r>
        <w:rPr>
          <w:rFonts w:ascii="Arial" w:hAnsi="Arial" w:cs="Arial"/>
        </w:rPr>
        <w:t xml:space="preserve"> and week (Mean ± SEM).</w:t>
      </w:r>
    </w:p>
    <w:p w:rsidR="00330CF1" w:rsidRDefault="00330CF1" w:rsidP="00F05DA2">
      <w:pPr>
        <w:rPr>
          <w:rFonts w:ascii="Arial" w:hAnsi="Arial" w:cs="Arial"/>
        </w:rPr>
      </w:pPr>
    </w:p>
    <w:p w:rsidR="00330CF1" w:rsidRPr="004E3EBD" w:rsidRDefault="00330CF1" w:rsidP="00F05DA2">
      <w:pPr>
        <w:rPr>
          <w:rFonts w:ascii="Arial" w:hAnsi="Arial" w:cs="Arial"/>
        </w:rPr>
      </w:pPr>
    </w:p>
    <w:p w:rsidR="00330CF1" w:rsidRDefault="00330CF1" w:rsidP="00CD7700">
      <w:pPr>
        <w:rPr>
          <w:rFonts w:ascii="Arial" w:hAnsi="Arial" w:cs="Arial"/>
          <w:b/>
          <w:bCs/>
          <w:i/>
          <w:iCs/>
        </w:rPr>
      </w:pPr>
    </w:p>
    <w:p w:rsidR="00330CF1" w:rsidRDefault="00330CF1" w:rsidP="00CD7700">
      <w:pPr>
        <w:rPr>
          <w:rFonts w:ascii="Arial" w:hAnsi="Arial" w:cs="Arial"/>
          <w:b/>
          <w:bCs/>
          <w:i/>
          <w:iCs/>
        </w:rPr>
      </w:pPr>
    </w:p>
    <w:p w:rsidR="00330CF1" w:rsidRPr="0071195F" w:rsidRDefault="00330CF1" w:rsidP="00B464EE">
      <w:pPr>
        <w:jc w:val="center"/>
        <w:rPr>
          <w:rFonts w:ascii="Arial" w:hAnsi="Arial" w:cs="Arial"/>
          <w:b/>
          <w:bCs/>
          <w:iCs/>
        </w:rPr>
      </w:pPr>
      <w:r w:rsidRPr="0071195F">
        <w:rPr>
          <w:rFonts w:ascii="Arial" w:hAnsi="Arial" w:cs="Arial"/>
          <w:b/>
        </w:rPr>
        <w:t>Table 2.6</w:t>
      </w:r>
      <w:r w:rsidRPr="00C0535D">
        <w:rPr>
          <w:rFonts w:ascii="Arial" w:hAnsi="Arial" w:cs="Arial"/>
          <w:color w:val="C00000"/>
        </w:rPr>
        <w:t xml:space="preserve"> </w:t>
      </w:r>
      <w:r>
        <w:rPr>
          <w:rFonts w:ascii="Arial" w:hAnsi="Arial" w:cs="Arial"/>
        </w:rPr>
        <w:t>DEXA l</w:t>
      </w:r>
      <w:r w:rsidRPr="0071195F">
        <w:rPr>
          <w:rFonts w:ascii="Arial" w:hAnsi="Arial" w:cs="Arial"/>
        </w:rPr>
        <w:t xml:space="preserve">ean grams </w:t>
      </w:r>
      <w:r>
        <w:rPr>
          <w:rFonts w:ascii="Arial" w:hAnsi="Arial" w:cs="Arial"/>
        </w:rPr>
        <w:t xml:space="preserve">by diet treatment </w:t>
      </w:r>
      <w:r w:rsidRPr="0071195F">
        <w:rPr>
          <w:rFonts w:ascii="Arial" w:hAnsi="Arial" w:cs="Arial"/>
        </w:rPr>
        <w:t>(Mean ± SEM)</w:t>
      </w:r>
    </w:p>
    <w:p w:rsidR="00330CF1" w:rsidRPr="00C07B90" w:rsidRDefault="00330CF1" w:rsidP="00B464EE">
      <w:pPr>
        <w:jc w:val="center"/>
        <w:rPr>
          <w:rFonts w:ascii="Arial" w:hAnsi="Arial" w:cs="Arial"/>
          <w:u w:val="single"/>
        </w:rPr>
      </w:pPr>
    </w:p>
    <w:tbl>
      <w:tblPr>
        <w:tblStyle w:val="TableGrid"/>
        <w:tblW w:w="0" w:type="auto"/>
        <w:tblLook w:val="04A0" w:firstRow="1" w:lastRow="0" w:firstColumn="1" w:lastColumn="0" w:noHBand="0" w:noVBand="1"/>
      </w:tblPr>
      <w:tblGrid>
        <w:gridCol w:w="1998"/>
        <w:gridCol w:w="2340"/>
        <w:gridCol w:w="2304"/>
        <w:gridCol w:w="2214"/>
      </w:tblGrid>
      <w:tr w:rsidR="00330CF1" w:rsidRPr="00C07B90" w:rsidTr="00530C2E">
        <w:tc>
          <w:tcPr>
            <w:tcW w:w="1998" w:type="dxa"/>
          </w:tcPr>
          <w:p w:rsidR="00330CF1" w:rsidRPr="00224C3B" w:rsidRDefault="00330CF1" w:rsidP="00530C2E">
            <w:pPr>
              <w:rPr>
                <w:rFonts w:ascii="Arial" w:hAnsi="Arial" w:cs="Arial"/>
              </w:rPr>
            </w:pPr>
            <w:r w:rsidRPr="00224C3B">
              <w:rPr>
                <w:rFonts w:ascii="Arial" w:hAnsi="Arial" w:cs="Arial"/>
              </w:rPr>
              <w:t>Sex/Week</w:t>
            </w:r>
          </w:p>
        </w:tc>
        <w:tc>
          <w:tcPr>
            <w:tcW w:w="2340" w:type="dxa"/>
          </w:tcPr>
          <w:p w:rsidR="00330CF1" w:rsidRPr="00224C3B" w:rsidRDefault="00330CF1" w:rsidP="00530C2E">
            <w:pPr>
              <w:jc w:val="center"/>
              <w:rPr>
                <w:rFonts w:ascii="Arial" w:hAnsi="Arial" w:cs="Arial"/>
              </w:rPr>
            </w:pPr>
            <w:r w:rsidRPr="00224C3B">
              <w:rPr>
                <w:rFonts w:ascii="Arial" w:hAnsi="Arial" w:cs="Arial"/>
              </w:rPr>
              <w:t>Control</w:t>
            </w:r>
          </w:p>
        </w:tc>
        <w:tc>
          <w:tcPr>
            <w:tcW w:w="2304" w:type="dxa"/>
          </w:tcPr>
          <w:p w:rsidR="00330CF1" w:rsidRPr="00224C3B" w:rsidRDefault="00330CF1" w:rsidP="00530C2E">
            <w:pPr>
              <w:jc w:val="center"/>
              <w:rPr>
                <w:rFonts w:ascii="Arial" w:hAnsi="Arial" w:cs="Arial"/>
              </w:rPr>
            </w:pPr>
            <w:r w:rsidRPr="00224C3B">
              <w:rPr>
                <w:rFonts w:ascii="Arial" w:hAnsi="Arial" w:cs="Arial"/>
              </w:rPr>
              <w:t>Commercial Raw</w:t>
            </w:r>
          </w:p>
        </w:tc>
        <w:tc>
          <w:tcPr>
            <w:tcW w:w="2214" w:type="dxa"/>
          </w:tcPr>
          <w:p w:rsidR="00330CF1" w:rsidRPr="00224C3B" w:rsidRDefault="00330CF1" w:rsidP="00530C2E">
            <w:pPr>
              <w:jc w:val="center"/>
              <w:rPr>
                <w:rFonts w:ascii="Arial" w:hAnsi="Arial" w:cs="Arial"/>
              </w:rPr>
            </w:pPr>
            <w:r w:rsidRPr="00224C3B">
              <w:rPr>
                <w:rFonts w:ascii="Arial" w:hAnsi="Arial" w:cs="Arial"/>
              </w:rPr>
              <w:t>Homemade Raw</w:t>
            </w:r>
          </w:p>
        </w:tc>
      </w:tr>
      <w:tr w:rsidR="00330CF1" w:rsidRPr="00C07B90" w:rsidTr="00530C2E">
        <w:tc>
          <w:tcPr>
            <w:tcW w:w="1998" w:type="dxa"/>
          </w:tcPr>
          <w:p w:rsidR="00330CF1" w:rsidRPr="00224C3B" w:rsidRDefault="00330CF1" w:rsidP="00530C2E">
            <w:pPr>
              <w:rPr>
                <w:rFonts w:ascii="Arial" w:hAnsi="Arial" w:cs="Arial"/>
              </w:rPr>
            </w:pPr>
            <w:r w:rsidRPr="00224C3B">
              <w:rPr>
                <w:rFonts w:ascii="Arial" w:hAnsi="Arial" w:cs="Arial"/>
              </w:rPr>
              <w:t xml:space="preserve">Male </w:t>
            </w:r>
          </w:p>
        </w:tc>
        <w:tc>
          <w:tcPr>
            <w:tcW w:w="2340" w:type="dxa"/>
          </w:tcPr>
          <w:p w:rsidR="00330CF1" w:rsidRPr="00224C3B" w:rsidRDefault="00330CF1" w:rsidP="00530C2E">
            <w:pPr>
              <w:jc w:val="center"/>
              <w:rPr>
                <w:rFonts w:ascii="Arial" w:hAnsi="Arial" w:cs="Arial"/>
              </w:rPr>
            </w:pPr>
          </w:p>
        </w:tc>
        <w:tc>
          <w:tcPr>
            <w:tcW w:w="2304" w:type="dxa"/>
          </w:tcPr>
          <w:p w:rsidR="00330CF1" w:rsidRPr="00224C3B" w:rsidRDefault="00330CF1" w:rsidP="00530C2E">
            <w:pPr>
              <w:jc w:val="center"/>
              <w:rPr>
                <w:rFonts w:ascii="Arial" w:hAnsi="Arial" w:cs="Arial"/>
              </w:rPr>
            </w:pPr>
          </w:p>
        </w:tc>
        <w:tc>
          <w:tcPr>
            <w:tcW w:w="2214" w:type="dxa"/>
          </w:tcPr>
          <w:p w:rsidR="00330CF1" w:rsidRPr="00224C3B" w:rsidRDefault="00330CF1" w:rsidP="00530C2E">
            <w:pPr>
              <w:jc w:val="center"/>
              <w:rPr>
                <w:rFonts w:ascii="Arial" w:hAnsi="Arial" w:cs="Arial"/>
              </w:rPr>
            </w:pPr>
          </w:p>
        </w:tc>
      </w:tr>
      <w:tr w:rsidR="00330CF1" w:rsidRPr="00C07B90" w:rsidTr="00530C2E">
        <w:tc>
          <w:tcPr>
            <w:tcW w:w="1998" w:type="dxa"/>
          </w:tcPr>
          <w:p w:rsidR="00330CF1" w:rsidRPr="00224C3B" w:rsidRDefault="00330CF1" w:rsidP="00530C2E">
            <w:pPr>
              <w:rPr>
                <w:rFonts w:ascii="Arial" w:hAnsi="Arial" w:cs="Arial"/>
              </w:rPr>
            </w:pPr>
            <w:r w:rsidRPr="00224C3B">
              <w:rPr>
                <w:rFonts w:ascii="Arial" w:hAnsi="Arial" w:cs="Arial"/>
              </w:rPr>
              <w:t xml:space="preserve">   Week 0</w:t>
            </w:r>
          </w:p>
        </w:tc>
        <w:tc>
          <w:tcPr>
            <w:tcW w:w="2340" w:type="dxa"/>
          </w:tcPr>
          <w:p w:rsidR="00330CF1" w:rsidRPr="00224C3B" w:rsidRDefault="00330CF1" w:rsidP="00530C2E">
            <w:pPr>
              <w:jc w:val="center"/>
              <w:rPr>
                <w:rFonts w:ascii="Arial" w:hAnsi="Arial" w:cs="Arial"/>
                <w:vertAlign w:val="superscript"/>
              </w:rPr>
            </w:pPr>
            <w:r w:rsidRPr="00224C3B">
              <w:rPr>
                <w:rFonts w:ascii="Arial" w:hAnsi="Arial" w:cs="Arial"/>
              </w:rPr>
              <w:t>878.92 ± 66.66</w:t>
            </w:r>
            <w:r w:rsidRPr="00224C3B">
              <w:rPr>
                <w:rFonts w:ascii="Arial" w:hAnsi="Arial" w:cs="Arial"/>
                <w:vertAlign w:val="superscript"/>
              </w:rPr>
              <w:t>b</w:t>
            </w:r>
          </w:p>
        </w:tc>
        <w:tc>
          <w:tcPr>
            <w:tcW w:w="2304" w:type="dxa"/>
          </w:tcPr>
          <w:p w:rsidR="00330CF1" w:rsidRPr="00224C3B" w:rsidRDefault="00330CF1" w:rsidP="00530C2E">
            <w:pPr>
              <w:jc w:val="center"/>
              <w:rPr>
                <w:rFonts w:ascii="Arial" w:hAnsi="Arial" w:cs="Arial"/>
                <w:vertAlign w:val="superscript"/>
              </w:rPr>
            </w:pPr>
            <w:r w:rsidRPr="00224C3B">
              <w:rPr>
                <w:rFonts w:ascii="Arial" w:hAnsi="Arial" w:cs="Arial"/>
              </w:rPr>
              <w:t>875.51 ± 81.32</w:t>
            </w:r>
            <w:r w:rsidRPr="00224C3B">
              <w:rPr>
                <w:rFonts w:ascii="Arial" w:hAnsi="Arial" w:cs="Arial"/>
                <w:vertAlign w:val="superscript"/>
              </w:rPr>
              <w:t>b</w:t>
            </w:r>
          </w:p>
        </w:tc>
        <w:tc>
          <w:tcPr>
            <w:tcW w:w="2214" w:type="dxa"/>
          </w:tcPr>
          <w:p w:rsidR="00330CF1" w:rsidRPr="00224C3B" w:rsidRDefault="00330CF1" w:rsidP="00530C2E">
            <w:pPr>
              <w:jc w:val="center"/>
              <w:rPr>
                <w:rFonts w:ascii="Arial" w:hAnsi="Arial" w:cs="Arial"/>
                <w:vertAlign w:val="superscript"/>
              </w:rPr>
            </w:pPr>
            <w:r w:rsidRPr="00224C3B">
              <w:rPr>
                <w:rFonts w:ascii="Arial" w:hAnsi="Arial" w:cs="Arial"/>
              </w:rPr>
              <w:t>855.90 ± 112.43</w:t>
            </w:r>
            <w:r w:rsidRPr="00224C3B">
              <w:rPr>
                <w:rFonts w:ascii="Arial" w:hAnsi="Arial" w:cs="Arial"/>
                <w:vertAlign w:val="superscript"/>
              </w:rPr>
              <w:t>b</w:t>
            </w:r>
          </w:p>
        </w:tc>
      </w:tr>
      <w:tr w:rsidR="00330CF1" w:rsidRPr="00C07B90" w:rsidTr="00530C2E">
        <w:tc>
          <w:tcPr>
            <w:tcW w:w="1998" w:type="dxa"/>
          </w:tcPr>
          <w:p w:rsidR="00330CF1" w:rsidRPr="00224C3B" w:rsidRDefault="00330CF1" w:rsidP="00530C2E">
            <w:pPr>
              <w:rPr>
                <w:rFonts w:ascii="Arial" w:hAnsi="Arial" w:cs="Arial"/>
              </w:rPr>
            </w:pPr>
            <w:r w:rsidRPr="00224C3B">
              <w:rPr>
                <w:rFonts w:ascii="Arial" w:hAnsi="Arial" w:cs="Arial"/>
              </w:rPr>
              <w:t xml:space="preserve">   Week 10</w:t>
            </w:r>
          </w:p>
        </w:tc>
        <w:tc>
          <w:tcPr>
            <w:tcW w:w="2340" w:type="dxa"/>
          </w:tcPr>
          <w:p w:rsidR="00330CF1" w:rsidRPr="00224C3B" w:rsidRDefault="00330CF1" w:rsidP="00530C2E">
            <w:pPr>
              <w:jc w:val="center"/>
              <w:rPr>
                <w:rFonts w:ascii="Arial" w:hAnsi="Arial" w:cs="Arial"/>
                <w:vertAlign w:val="superscript"/>
              </w:rPr>
            </w:pPr>
            <w:r w:rsidRPr="00224C3B">
              <w:rPr>
                <w:rFonts w:ascii="Arial" w:hAnsi="Arial" w:cs="Arial"/>
              </w:rPr>
              <w:t>1705 ± 129.35</w:t>
            </w:r>
            <w:r w:rsidRPr="00224C3B">
              <w:rPr>
                <w:rFonts w:ascii="Arial" w:hAnsi="Arial" w:cs="Arial"/>
                <w:vertAlign w:val="superscript"/>
              </w:rPr>
              <w:t>a</w:t>
            </w:r>
          </w:p>
        </w:tc>
        <w:tc>
          <w:tcPr>
            <w:tcW w:w="2304" w:type="dxa"/>
          </w:tcPr>
          <w:p w:rsidR="00330CF1" w:rsidRPr="00224C3B" w:rsidRDefault="00330CF1" w:rsidP="00530C2E">
            <w:pPr>
              <w:jc w:val="center"/>
              <w:rPr>
                <w:rFonts w:ascii="Arial" w:hAnsi="Arial" w:cs="Arial"/>
                <w:vertAlign w:val="superscript"/>
              </w:rPr>
            </w:pPr>
            <w:r w:rsidRPr="00224C3B">
              <w:rPr>
                <w:rFonts w:ascii="Arial" w:hAnsi="Arial" w:cs="Arial"/>
              </w:rPr>
              <w:t>1947.00 ± 180.94</w:t>
            </w:r>
            <w:r w:rsidRPr="00224C3B">
              <w:rPr>
                <w:rFonts w:ascii="Arial" w:hAnsi="Arial" w:cs="Arial"/>
                <w:vertAlign w:val="superscript"/>
              </w:rPr>
              <w:t>a</w:t>
            </w:r>
          </w:p>
        </w:tc>
        <w:tc>
          <w:tcPr>
            <w:tcW w:w="2214" w:type="dxa"/>
          </w:tcPr>
          <w:p w:rsidR="00330CF1" w:rsidRPr="00224C3B" w:rsidRDefault="00330CF1" w:rsidP="00530C2E">
            <w:pPr>
              <w:jc w:val="center"/>
              <w:rPr>
                <w:rFonts w:ascii="Arial" w:hAnsi="Arial" w:cs="Arial"/>
                <w:vertAlign w:val="superscript"/>
              </w:rPr>
            </w:pPr>
            <w:r w:rsidRPr="00224C3B">
              <w:rPr>
                <w:rFonts w:ascii="Arial" w:hAnsi="Arial" w:cs="Arial"/>
              </w:rPr>
              <w:t>2065.80 ± 271.36</w:t>
            </w:r>
            <w:r w:rsidRPr="00224C3B">
              <w:rPr>
                <w:rFonts w:ascii="Arial" w:hAnsi="Arial" w:cs="Arial"/>
                <w:vertAlign w:val="superscript"/>
              </w:rPr>
              <w:t>a</w:t>
            </w:r>
          </w:p>
        </w:tc>
      </w:tr>
      <w:tr w:rsidR="00330CF1" w:rsidRPr="00C07B90" w:rsidTr="00530C2E">
        <w:tc>
          <w:tcPr>
            <w:tcW w:w="1998" w:type="dxa"/>
          </w:tcPr>
          <w:p w:rsidR="00330CF1" w:rsidRPr="00224C3B" w:rsidRDefault="00330CF1" w:rsidP="00530C2E">
            <w:pPr>
              <w:rPr>
                <w:rFonts w:ascii="Arial" w:hAnsi="Arial" w:cs="Arial"/>
              </w:rPr>
            </w:pPr>
            <w:r w:rsidRPr="00224C3B">
              <w:rPr>
                <w:rFonts w:ascii="Arial" w:hAnsi="Arial" w:cs="Arial"/>
              </w:rPr>
              <w:t>Female</w:t>
            </w:r>
          </w:p>
        </w:tc>
        <w:tc>
          <w:tcPr>
            <w:tcW w:w="2340" w:type="dxa"/>
          </w:tcPr>
          <w:p w:rsidR="00330CF1" w:rsidRPr="00224C3B" w:rsidRDefault="00330CF1" w:rsidP="00530C2E">
            <w:pPr>
              <w:jc w:val="center"/>
              <w:rPr>
                <w:rFonts w:ascii="Arial" w:hAnsi="Arial" w:cs="Arial"/>
              </w:rPr>
            </w:pPr>
          </w:p>
        </w:tc>
        <w:tc>
          <w:tcPr>
            <w:tcW w:w="2304" w:type="dxa"/>
          </w:tcPr>
          <w:p w:rsidR="00330CF1" w:rsidRPr="00224C3B" w:rsidRDefault="00330CF1" w:rsidP="00530C2E">
            <w:pPr>
              <w:jc w:val="center"/>
              <w:rPr>
                <w:rFonts w:ascii="Arial" w:hAnsi="Arial" w:cs="Arial"/>
              </w:rPr>
            </w:pPr>
          </w:p>
        </w:tc>
        <w:tc>
          <w:tcPr>
            <w:tcW w:w="2214" w:type="dxa"/>
          </w:tcPr>
          <w:p w:rsidR="00330CF1" w:rsidRPr="00224C3B" w:rsidRDefault="00330CF1" w:rsidP="00530C2E">
            <w:pPr>
              <w:jc w:val="center"/>
              <w:rPr>
                <w:rFonts w:ascii="Arial" w:hAnsi="Arial" w:cs="Arial"/>
              </w:rPr>
            </w:pPr>
          </w:p>
        </w:tc>
      </w:tr>
      <w:tr w:rsidR="00330CF1" w:rsidRPr="00C07B90" w:rsidTr="00530C2E">
        <w:tc>
          <w:tcPr>
            <w:tcW w:w="1998" w:type="dxa"/>
          </w:tcPr>
          <w:p w:rsidR="00330CF1" w:rsidRPr="00224C3B" w:rsidRDefault="00330CF1" w:rsidP="00530C2E">
            <w:pPr>
              <w:rPr>
                <w:rFonts w:ascii="Arial" w:hAnsi="Arial" w:cs="Arial"/>
              </w:rPr>
            </w:pPr>
            <w:r w:rsidRPr="00224C3B">
              <w:rPr>
                <w:rFonts w:ascii="Arial" w:hAnsi="Arial" w:cs="Arial"/>
              </w:rPr>
              <w:t xml:space="preserve">   Week 0</w:t>
            </w:r>
          </w:p>
        </w:tc>
        <w:tc>
          <w:tcPr>
            <w:tcW w:w="2340" w:type="dxa"/>
          </w:tcPr>
          <w:p w:rsidR="00330CF1" w:rsidRPr="00224C3B" w:rsidRDefault="00330CF1" w:rsidP="00530C2E">
            <w:pPr>
              <w:jc w:val="center"/>
              <w:rPr>
                <w:rFonts w:ascii="Arial" w:hAnsi="Arial" w:cs="Arial"/>
                <w:vertAlign w:val="superscript"/>
              </w:rPr>
            </w:pPr>
            <w:r w:rsidRPr="00224C3B">
              <w:rPr>
                <w:rFonts w:ascii="Arial" w:hAnsi="Arial" w:cs="Arial"/>
              </w:rPr>
              <w:t>878.60 ± 115.41</w:t>
            </w:r>
            <w:r w:rsidRPr="00224C3B">
              <w:rPr>
                <w:rFonts w:ascii="Arial" w:hAnsi="Arial" w:cs="Arial"/>
                <w:vertAlign w:val="superscript"/>
              </w:rPr>
              <w:t>b</w:t>
            </w:r>
          </w:p>
        </w:tc>
        <w:tc>
          <w:tcPr>
            <w:tcW w:w="2304" w:type="dxa"/>
          </w:tcPr>
          <w:p w:rsidR="00330CF1" w:rsidRPr="00224C3B" w:rsidRDefault="00330CF1" w:rsidP="00530C2E">
            <w:pPr>
              <w:jc w:val="center"/>
              <w:rPr>
                <w:rFonts w:ascii="Arial" w:hAnsi="Arial" w:cs="Arial"/>
                <w:vertAlign w:val="superscript"/>
              </w:rPr>
            </w:pPr>
            <w:r w:rsidRPr="00224C3B">
              <w:rPr>
                <w:rFonts w:ascii="Arial" w:hAnsi="Arial" w:cs="Arial"/>
              </w:rPr>
              <w:t>837.10 ± 109.62</w:t>
            </w:r>
            <w:r w:rsidRPr="00224C3B">
              <w:rPr>
                <w:rFonts w:ascii="Arial" w:hAnsi="Arial" w:cs="Arial"/>
                <w:vertAlign w:val="superscript"/>
              </w:rPr>
              <w:t>b</w:t>
            </w:r>
          </w:p>
        </w:tc>
        <w:tc>
          <w:tcPr>
            <w:tcW w:w="2214" w:type="dxa"/>
          </w:tcPr>
          <w:p w:rsidR="00330CF1" w:rsidRPr="00224C3B" w:rsidRDefault="00330CF1" w:rsidP="00530C2E">
            <w:pPr>
              <w:jc w:val="center"/>
              <w:rPr>
                <w:rFonts w:ascii="Arial" w:hAnsi="Arial" w:cs="Arial"/>
                <w:vertAlign w:val="superscript"/>
              </w:rPr>
            </w:pPr>
            <w:r w:rsidRPr="00224C3B">
              <w:rPr>
                <w:rFonts w:ascii="Arial" w:hAnsi="Arial" w:cs="Arial"/>
              </w:rPr>
              <w:t>753.70 ± 99.01</w:t>
            </w:r>
            <w:r w:rsidRPr="00224C3B">
              <w:rPr>
                <w:rFonts w:ascii="Arial" w:hAnsi="Arial" w:cs="Arial"/>
                <w:vertAlign w:val="superscript"/>
              </w:rPr>
              <w:t>b</w:t>
            </w:r>
          </w:p>
        </w:tc>
      </w:tr>
      <w:tr w:rsidR="00330CF1" w:rsidRPr="00C07B90" w:rsidTr="00530C2E">
        <w:tc>
          <w:tcPr>
            <w:tcW w:w="1998" w:type="dxa"/>
          </w:tcPr>
          <w:p w:rsidR="00330CF1" w:rsidRPr="00224C3B" w:rsidRDefault="00330CF1" w:rsidP="00530C2E">
            <w:pPr>
              <w:rPr>
                <w:rFonts w:ascii="Arial" w:hAnsi="Arial" w:cs="Arial"/>
              </w:rPr>
            </w:pPr>
            <w:r w:rsidRPr="00224C3B">
              <w:rPr>
                <w:rFonts w:ascii="Arial" w:hAnsi="Arial" w:cs="Arial"/>
              </w:rPr>
              <w:t xml:space="preserve">   Week 10</w:t>
            </w:r>
          </w:p>
        </w:tc>
        <w:tc>
          <w:tcPr>
            <w:tcW w:w="2340" w:type="dxa"/>
          </w:tcPr>
          <w:p w:rsidR="00330CF1" w:rsidRPr="00224C3B" w:rsidRDefault="00330CF1" w:rsidP="00530C2E">
            <w:pPr>
              <w:jc w:val="center"/>
              <w:rPr>
                <w:rFonts w:ascii="Arial" w:hAnsi="Arial" w:cs="Arial"/>
                <w:vertAlign w:val="superscript"/>
              </w:rPr>
            </w:pPr>
            <w:r w:rsidRPr="00224C3B">
              <w:rPr>
                <w:rFonts w:ascii="Arial" w:hAnsi="Arial" w:cs="Arial"/>
              </w:rPr>
              <w:t>1783.70 ± 234.31</w:t>
            </w:r>
            <w:r w:rsidRPr="00224C3B">
              <w:rPr>
                <w:rFonts w:ascii="Arial" w:hAnsi="Arial" w:cs="Arial"/>
                <w:vertAlign w:val="superscript"/>
              </w:rPr>
              <w:t>a</w:t>
            </w:r>
          </w:p>
        </w:tc>
        <w:tc>
          <w:tcPr>
            <w:tcW w:w="2304" w:type="dxa"/>
          </w:tcPr>
          <w:p w:rsidR="00330CF1" w:rsidRPr="00224C3B" w:rsidRDefault="00330CF1" w:rsidP="00530C2E">
            <w:pPr>
              <w:jc w:val="center"/>
              <w:rPr>
                <w:rFonts w:ascii="Arial" w:hAnsi="Arial" w:cs="Arial"/>
                <w:vertAlign w:val="superscript"/>
              </w:rPr>
            </w:pPr>
            <w:r w:rsidRPr="00224C3B">
              <w:rPr>
                <w:rFonts w:ascii="Arial" w:hAnsi="Arial" w:cs="Arial"/>
              </w:rPr>
              <w:t>1513.80 ± 198.85</w:t>
            </w:r>
            <w:r w:rsidRPr="00224C3B">
              <w:rPr>
                <w:rFonts w:ascii="Arial" w:hAnsi="Arial" w:cs="Arial"/>
                <w:vertAlign w:val="superscript"/>
              </w:rPr>
              <w:t>a</w:t>
            </w:r>
          </w:p>
        </w:tc>
        <w:tc>
          <w:tcPr>
            <w:tcW w:w="2214" w:type="dxa"/>
          </w:tcPr>
          <w:p w:rsidR="00330CF1" w:rsidRPr="00224C3B" w:rsidRDefault="00330CF1" w:rsidP="00530C2E">
            <w:pPr>
              <w:jc w:val="center"/>
              <w:rPr>
                <w:rFonts w:ascii="Arial" w:hAnsi="Arial" w:cs="Arial"/>
                <w:vertAlign w:val="superscript"/>
              </w:rPr>
            </w:pPr>
            <w:r w:rsidRPr="00224C3B">
              <w:rPr>
                <w:rFonts w:ascii="Arial" w:hAnsi="Arial" w:cs="Arial"/>
              </w:rPr>
              <w:t>1593.10 ± 209.27</w:t>
            </w:r>
            <w:r w:rsidRPr="00224C3B">
              <w:rPr>
                <w:rFonts w:ascii="Arial" w:hAnsi="Arial" w:cs="Arial"/>
                <w:vertAlign w:val="superscript"/>
              </w:rPr>
              <w:t>a</w:t>
            </w:r>
          </w:p>
        </w:tc>
      </w:tr>
    </w:tbl>
    <w:p w:rsidR="00330CF1" w:rsidRPr="00C07B90" w:rsidRDefault="00330CF1" w:rsidP="00662C4A">
      <w:pPr>
        <w:rPr>
          <w:rFonts w:ascii="Arial" w:hAnsi="Arial" w:cs="Arial"/>
        </w:rPr>
      </w:pPr>
      <w:r w:rsidRPr="00C07B90">
        <w:rPr>
          <w:rFonts w:ascii="Arial" w:hAnsi="Arial" w:cs="Arial"/>
        </w:rPr>
        <w:t>NOTE: Different letter superscripts in both rows and columns indicate p values ≤ 0.05</w:t>
      </w:r>
      <w:r>
        <w:rPr>
          <w:rFonts w:ascii="Arial" w:hAnsi="Arial" w:cs="Arial"/>
        </w:rPr>
        <w:t>.</w:t>
      </w:r>
    </w:p>
    <w:p w:rsidR="00330CF1" w:rsidRDefault="00330CF1" w:rsidP="009B4AE0">
      <w:pPr>
        <w:pStyle w:val="Heading2"/>
        <w:jc w:val="left"/>
        <w:rPr>
          <w:sz w:val="24"/>
          <w:szCs w:val="24"/>
        </w:rPr>
      </w:pPr>
    </w:p>
    <w:p w:rsidR="00330CF1" w:rsidRDefault="00330CF1" w:rsidP="00662C4A"/>
    <w:p w:rsidR="00330CF1" w:rsidRPr="00662C4A" w:rsidRDefault="00330CF1" w:rsidP="00662C4A"/>
    <w:p w:rsidR="00330CF1" w:rsidRPr="0071195F" w:rsidRDefault="00330CF1" w:rsidP="00662C4A">
      <w:pPr>
        <w:jc w:val="center"/>
        <w:rPr>
          <w:rFonts w:ascii="Arial" w:hAnsi="Arial" w:cs="Arial"/>
        </w:rPr>
      </w:pPr>
      <w:r w:rsidRPr="0071195F">
        <w:rPr>
          <w:rFonts w:ascii="Arial" w:hAnsi="Arial" w:cs="Arial"/>
          <w:b/>
        </w:rPr>
        <w:t>Table 2.7</w:t>
      </w:r>
      <w:r w:rsidRPr="00C0535D">
        <w:rPr>
          <w:rFonts w:ascii="Arial" w:hAnsi="Arial" w:cs="Arial"/>
          <w:color w:val="C00000"/>
        </w:rPr>
        <w:t xml:space="preserve"> </w:t>
      </w:r>
      <w:r>
        <w:rPr>
          <w:rFonts w:ascii="Arial" w:hAnsi="Arial" w:cs="Arial"/>
        </w:rPr>
        <w:t>DEXA f</w:t>
      </w:r>
      <w:r w:rsidRPr="0071195F">
        <w:rPr>
          <w:rFonts w:ascii="Arial" w:hAnsi="Arial" w:cs="Arial"/>
        </w:rPr>
        <w:t xml:space="preserve">at grams </w:t>
      </w:r>
      <w:r>
        <w:rPr>
          <w:rFonts w:ascii="Arial" w:hAnsi="Arial" w:cs="Arial"/>
        </w:rPr>
        <w:t xml:space="preserve">by diet treatment </w:t>
      </w:r>
      <w:r w:rsidRPr="0071195F">
        <w:rPr>
          <w:rFonts w:ascii="Arial" w:hAnsi="Arial" w:cs="Arial"/>
        </w:rPr>
        <w:t>(Mean ± SEM)</w:t>
      </w:r>
    </w:p>
    <w:p w:rsidR="00330CF1" w:rsidRPr="00354563" w:rsidRDefault="00330CF1" w:rsidP="00662C4A">
      <w:pPr>
        <w:jc w:val="center"/>
        <w:rPr>
          <w:rFonts w:ascii="Arial" w:hAnsi="Arial" w:cs="Arial"/>
        </w:rPr>
      </w:pPr>
    </w:p>
    <w:tbl>
      <w:tblPr>
        <w:tblStyle w:val="TableGrid"/>
        <w:tblW w:w="0" w:type="auto"/>
        <w:tblLook w:val="04A0" w:firstRow="1" w:lastRow="0" w:firstColumn="1" w:lastColumn="0" w:noHBand="0" w:noVBand="1"/>
      </w:tblPr>
      <w:tblGrid>
        <w:gridCol w:w="1908"/>
        <w:gridCol w:w="2340"/>
        <w:gridCol w:w="2394"/>
        <w:gridCol w:w="2214"/>
      </w:tblGrid>
      <w:tr w:rsidR="00330CF1" w:rsidRPr="00354563" w:rsidTr="00530C2E">
        <w:tc>
          <w:tcPr>
            <w:tcW w:w="1908" w:type="dxa"/>
          </w:tcPr>
          <w:p w:rsidR="00330CF1" w:rsidRPr="00354563" w:rsidRDefault="00330CF1" w:rsidP="00530C2E">
            <w:pPr>
              <w:rPr>
                <w:rFonts w:ascii="Arial" w:hAnsi="Arial" w:cs="Arial"/>
              </w:rPr>
            </w:pPr>
            <w:r>
              <w:rPr>
                <w:rFonts w:ascii="Arial" w:hAnsi="Arial" w:cs="Arial"/>
              </w:rPr>
              <w:t>Sex</w:t>
            </w:r>
            <w:r w:rsidRPr="00354563">
              <w:rPr>
                <w:rFonts w:ascii="Arial" w:hAnsi="Arial" w:cs="Arial"/>
              </w:rPr>
              <w:t>/Week</w:t>
            </w:r>
          </w:p>
        </w:tc>
        <w:tc>
          <w:tcPr>
            <w:tcW w:w="2340" w:type="dxa"/>
          </w:tcPr>
          <w:p w:rsidR="00330CF1" w:rsidRPr="00354563" w:rsidRDefault="00330CF1" w:rsidP="00530C2E">
            <w:pPr>
              <w:rPr>
                <w:rFonts w:ascii="Arial" w:hAnsi="Arial" w:cs="Arial"/>
              </w:rPr>
            </w:pPr>
            <w:r w:rsidRPr="00354563">
              <w:rPr>
                <w:rFonts w:ascii="Arial" w:hAnsi="Arial" w:cs="Arial"/>
              </w:rPr>
              <w:t>Control</w:t>
            </w:r>
          </w:p>
        </w:tc>
        <w:tc>
          <w:tcPr>
            <w:tcW w:w="2394" w:type="dxa"/>
          </w:tcPr>
          <w:p w:rsidR="00330CF1" w:rsidRPr="00354563" w:rsidRDefault="00330CF1" w:rsidP="00530C2E">
            <w:pPr>
              <w:rPr>
                <w:rFonts w:ascii="Arial" w:hAnsi="Arial" w:cs="Arial"/>
              </w:rPr>
            </w:pPr>
            <w:r w:rsidRPr="00354563">
              <w:rPr>
                <w:rFonts w:ascii="Arial" w:hAnsi="Arial" w:cs="Arial"/>
              </w:rPr>
              <w:t>Commercial Raw</w:t>
            </w:r>
          </w:p>
        </w:tc>
        <w:tc>
          <w:tcPr>
            <w:tcW w:w="2214" w:type="dxa"/>
          </w:tcPr>
          <w:p w:rsidR="00330CF1" w:rsidRPr="00354563" w:rsidRDefault="00330CF1" w:rsidP="00530C2E">
            <w:pPr>
              <w:rPr>
                <w:rFonts w:ascii="Arial" w:hAnsi="Arial" w:cs="Arial"/>
              </w:rPr>
            </w:pPr>
            <w:r w:rsidRPr="00354563">
              <w:rPr>
                <w:rFonts w:ascii="Arial" w:hAnsi="Arial" w:cs="Arial"/>
              </w:rPr>
              <w:t>Homemade Raw</w:t>
            </w:r>
          </w:p>
        </w:tc>
      </w:tr>
      <w:tr w:rsidR="00330CF1" w:rsidRPr="00354563" w:rsidTr="00530C2E">
        <w:tc>
          <w:tcPr>
            <w:tcW w:w="1908" w:type="dxa"/>
          </w:tcPr>
          <w:p w:rsidR="00330CF1" w:rsidRPr="00354563" w:rsidRDefault="00330CF1" w:rsidP="00530C2E">
            <w:pPr>
              <w:rPr>
                <w:rFonts w:ascii="Arial" w:hAnsi="Arial" w:cs="Arial"/>
              </w:rPr>
            </w:pPr>
            <w:r w:rsidRPr="00354563">
              <w:rPr>
                <w:rFonts w:ascii="Arial" w:hAnsi="Arial" w:cs="Arial"/>
              </w:rPr>
              <w:t>Male</w:t>
            </w:r>
          </w:p>
        </w:tc>
        <w:tc>
          <w:tcPr>
            <w:tcW w:w="2340" w:type="dxa"/>
          </w:tcPr>
          <w:p w:rsidR="00330CF1" w:rsidRPr="00354563" w:rsidRDefault="00330CF1" w:rsidP="00530C2E">
            <w:pPr>
              <w:rPr>
                <w:rFonts w:ascii="Arial" w:hAnsi="Arial" w:cs="Arial"/>
              </w:rPr>
            </w:pPr>
          </w:p>
        </w:tc>
        <w:tc>
          <w:tcPr>
            <w:tcW w:w="2394" w:type="dxa"/>
          </w:tcPr>
          <w:p w:rsidR="00330CF1" w:rsidRPr="00354563" w:rsidRDefault="00330CF1" w:rsidP="00530C2E">
            <w:pPr>
              <w:rPr>
                <w:rFonts w:ascii="Arial" w:hAnsi="Arial" w:cs="Arial"/>
              </w:rPr>
            </w:pPr>
          </w:p>
        </w:tc>
        <w:tc>
          <w:tcPr>
            <w:tcW w:w="2214" w:type="dxa"/>
          </w:tcPr>
          <w:p w:rsidR="00330CF1" w:rsidRPr="00354563" w:rsidRDefault="00330CF1" w:rsidP="00530C2E">
            <w:pPr>
              <w:rPr>
                <w:rFonts w:ascii="Arial" w:hAnsi="Arial" w:cs="Arial"/>
              </w:rPr>
            </w:pPr>
          </w:p>
        </w:tc>
      </w:tr>
      <w:tr w:rsidR="00330CF1" w:rsidRPr="00354563" w:rsidTr="00530C2E">
        <w:tc>
          <w:tcPr>
            <w:tcW w:w="1908" w:type="dxa"/>
          </w:tcPr>
          <w:p w:rsidR="00330CF1" w:rsidRPr="00354563" w:rsidRDefault="00330CF1" w:rsidP="00530C2E">
            <w:pPr>
              <w:rPr>
                <w:rFonts w:ascii="Arial" w:hAnsi="Arial" w:cs="Arial"/>
              </w:rPr>
            </w:pPr>
            <w:r w:rsidRPr="00354563">
              <w:rPr>
                <w:rFonts w:ascii="Arial" w:hAnsi="Arial" w:cs="Arial"/>
              </w:rPr>
              <w:t xml:space="preserve">   Week 0</w:t>
            </w:r>
          </w:p>
        </w:tc>
        <w:tc>
          <w:tcPr>
            <w:tcW w:w="2340" w:type="dxa"/>
          </w:tcPr>
          <w:p w:rsidR="00330CF1" w:rsidRPr="004C296E" w:rsidRDefault="00330CF1" w:rsidP="00530C2E">
            <w:pPr>
              <w:jc w:val="center"/>
              <w:rPr>
                <w:rFonts w:ascii="Arial" w:hAnsi="Arial" w:cs="Arial"/>
                <w:vertAlign w:val="superscript"/>
              </w:rPr>
            </w:pPr>
            <w:r>
              <w:rPr>
                <w:rFonts w:ascii="Arial" w:hAnsi="Arial" w:cs="Arial"/>
              </w:rPr>
              <w:t>199.34 ± 24.06</w:t>
            </w:r>
            <w:r>
              <w:rPr>
                <w:rFonts w:ascii="Arial" w:hAnsi="Arial" w:cs="Arial"/>
                <w:vertAlign w:val="superscript"/>
              </w:rPr>
              <w:t>c</w:t>
            </w:r>
          </w:p>
        </w:tc>
        <w:tc>
          <w:tcPr>
            <w:tcW w:w="2394" w:type="dxa"/>
          </w:tcPr>
          <w:p w:rsidR="00330CF1" w:rsidRPr="004C296E" w:rsidRDefault="00330CF1" w:rsidP="00530C2E">
            <w:pPr>
              <w:jc w:val="center"/>
              <w:rPr>
                <w:rFonts w:ascii="Arial" w:hAnsi="Arial" w:cs="Arial"/>
                <w:vertAlign w:val="superscript"/>
              </w:rPr>
            </w:pPr>
            <w:r>
              <w:rPr>
                <w:rFonts w:ascii="Arial" w:hAnsi="Arial" w:cs="Arial"/>
              </w:rPr>
              <w:t>217.60 ± 32.17</w:t>
            </w:r>
            <w:r>
              <w:rPr>
                <w:rFonts w:ascii="Arial" w:hAnsi="Arial" w:cs="Arial"/>
                <w:vertAlign w:val="superscript"/>
              </w:rPr>
              <w:t>c</w:t>
            </w:r>
          </w:p>
        </w:tc>
        <w:tc>
          <w:tcPr>
            <w:tcW w:w="2214" w:type="dxa"/>
          </w:tcPr>
          <w:p w:rsidR="00330CF1" w:rsidRPr="004C296E" w:rsidRDefault="00330CF1" w:rsidP="00530C2E">
            <w:pPr>
              <w:jc w:val="center"/>
              <w:rPr>
                <w:rFonts w:ascii="Arial" w:hAnsi="Arial" w:cs="Arial"/>
                <w:vertAlign w:val="superscript"/>
              </w:rPr>
            </w:pPr>
            <w:r>
              <w:rPr>
                <w:rFonts w:ascii="Arial" w:hAnsi="Arial" w:cs="Arial"/>
              </w:rPr>
              <w:t>177.80 ± 37.17</w:t>
            </w:r>
            <w:r>
              <w:rPr>
                <w:rFonts w:ascii="Arial" w:hAnsi="Arial" w:cs="Arial"/>
                <w:vertAlign w:val="superscript"/>
              </w:rPr>
              <w:t>c</w:t>
            </w:r>
          </w:p>
        </w:tc>
      </w:tr>
      <w:tr w:rsidR="00330CF1" w:rsidRPr="00354563" w:rsidTr="00530C2E">
        <w:tc>
          <w:tcPr>
            <w:tcW w:w="1908" w:type="dxa"/>
          </w:tcPr>
          <w:p w:rsidR="00330CF1" w:rsidRPr="00354563" w:rsidRDefault="00330CF1" w:rsidP="00530C2E">
            <w:pPr>
              <w:rPr>
                <w:rFonts w:ascii="Arial" w:hAnsi="Arial" w:cs="Arial"/>
              </w:rPr>
            </w:pPr>
            <w:r w:rsidRPr="00354563">
              <w:rPr>
                <w:rFonts w:ascii="Arial" w:hAnsi="Arial" w:cs="Arial"/>
              </w:rPr>
              <w:t xml:space="preserve">   Week 10</w:t>
            </w:r>
          </w:p>
        </w:tc>
        <w:tc>
          <w:tcPr>
            <w:tcW w:w="2340" w:type="dxa"/>
          </w:tcPr>
          <w:p w:rsidR="00330CF1" w:rsidRPr="004C296E" w:rsidRDefault="00330CF1" w:rsidP="00530C2E">
            <w:pPr>
              <w:jc w:val="center"/>
              <w:rPr>
                <w:rFonts w:ascii="Arial" w:hAnsi="Arial" w:cs="Arial"/>
                <w:vertAlign w:val="superscript"/>
              </w:rPr>
            </w:pPr>
            <w:r>
              <w:rPr>
                <w:rFonts w:ascii="Arial" w:hAnsi="Arial" w:cs="Arial"/>
              </w:rPr>
              <w:t>676.60 ± 81.67</w:t>
            </w:r>
            <w:r>
              <w:rPr>
                <w:rFonts w:ascii="Arial" w:hAnsi="Arial" w:cs="Arial"/>
                <w:vertAlign w:val="superscript"/>
              </w:rPr>
              <w:t>a</w:t>
            </w:r>
          </w:p>
        </w:tc>
        <w:tc>
          <w:tcPr>
            <w:tcW w:w="2394" w:type="dxa"/>
          </w:tcPr>
          <w:p w:rsidR="00330CF1" w:rsidRPr="004C296E" w:rsidRDefault="00330CF1" w:rsidP="00530C2E">
            <w:pPr>
              <w:jc w:val="center"/>
              <w:rPr>
                <w:rFonts w:ascii="Arial" w:hAnsi="Arial" w:cs="Arial"/>
                <w:vertAlign w:val="superscript"/>
              </w:rPr>
            </w:pPr>
            <w:r>
              <w:rPr>
                <w:rFonts w:ascii="Arial" w:hAnsi="Arial" w:cs="Arial"/>
              </w:rPr>
              <w:t>582.83 ± 86.17</w:t>
            </w:r>
            <w:r>
              <w:rPr>
                <w:rFonts w:ascii="Arial" w:hAnsi="Arial" w:cs="Arial"/>
                <w:vertAlign w:val="superscript"/>
              </w:rPr>
              <w:t>a</w:t>
            </w:r>
          </w:p>
        </w:tc>
        <w:tc>
          <w:tcPr>
            <w:tcW w:w="2214" w:type="dxa"/>
          </w:tcPr>
          <w:p w:rsidR="00330CF1" w:rsidRPr="004C296E" w:rsidRDefault="00330CF1" w:rsidP="00530C2E">
            <w:pPr>
              <w:jc w:val="center"/>
              <w:rPr>
                <w:rFonts w:ascii="Arial" w:hAnsi="Arial" w:cs="Arial"/>
                <w:vertAlign w:val="superscript"/>
              </w:rPr>
            </w:pPr>
            <w:r>
              <w:rPr>
                <w:rFonts w:ascii="Arial" w:hAnsi="Arial" w:cs="Arial"/>
              </w:rPr>
              <w:t>674.30 ± 140.98</w:t>
            </w:r>
            <w:r>
              <w:rPr>
                <w:rFonts w:ascii="Arial" w:hAnsi="Arial" w:cs="Arial"/>
                <w:vertAlign w:val="superscript"/>
              </w:rPr>
              <w:t>a</w:t>
            </w:r>
          </w:p>
        </w:tc>
      </w:tr>
      <w:tr w:rsidR="00330CF1" w:rsidRPr="00354563" w:rsidTr="00530C2E">
        <w:tc>
          <w:tcPr>
            <w:tcW w:w="1908" w:type="dxa"/>
          </w:tcPr>
          <w:p w:rsidR="00330CF1" w:rsidRPr="00354563" w:rsidRDefault="00330CF1" w:rsidP="00530C2E">
            <w:pPr>
              <w:rPr>
                <w:rFonts w:ascii="Arial" w:hAnsi="Arial" w:cs="Arial"/>
              </w:rPr>
            </w:pPr>
            <w:r w:rsidRPr="00354563">
              <w:rPr>
                <w:rFonts w:ascii="Arial" w:hAnsi="Arial" w:cs="Arial"/>
              </w:rPr>
              <w:t>Female</w:t>
            </w:r>
          </w:p>
        </w:tc>
        <w:tc>
          <w:tcPr>
            <w:tcW w:w="2340" w:type="dxa"/>
          </w:tcPr>
          <w:p w:rsidR="00330CF1" w:rsidRPr="00354563" w:rsidRDefault="00330CF1" w:rsidP="00530C2E">
            <w:pPr>
              <w:jc w:val="center"/>
              <w:rPr>
                <w:rFonts w:ascii="Arial" w:hAnsi="Arial" w:cs="Arial"/>
              </w:rPr>
            </w:pPr>
          </w:p>
        </w:tc>
        <w:tc>
          <w:tcPr>
            <w:tcW w:w="2394" w:type="dxa"/>
          </w:tcPr>
          <w:p w:rsidR="00330CF1" w:rsidRPr="00354563" w:rsidRDefault="00330CF1" w:rsidP="00530C2E">
            <w:pPr>
              <w:jc w:val="center"/>
              <w:rPr>
                <w:rFonts w:ascii="Arial" w:hAnsi="Arial" w:cs="Arial"/>
              </w:rPr>
            </w:pPr>
          </w:p>
        </w:tc>
        <w:tc>
          <w:tcPr>
            <w:tcW w:w="2214" w:type="dxa"/>
          </w:tcPr>
          <w:p w:rsidR="00330CF1" w:rsidRPr="00354563" w:rsidRDefault="00330CF1" w:rsidP="00530C2E">
            <w:pPr>
              <w:jc w:val="center"/>
              <w:rPr>
                <w:rFonts w:ascii="Arial" w:hAnsi="Arial" w:cs="Arial"/>
              </w:rPr>
            </w:pPr>
          </w:p>
        </w:tc>
      </w:tr>
      <w:tr w:rsidR="00330CF1" w:rsidRPr="00354563" w:rsidTr="00530C2E">
        <w:tc>
          <w:tcPr>
            <w:tcW w:w="1908" w:type="dxa"/>
          </w:tcPr>
          <w:p w:rsidR="00330CF1" w:rsidRPr="00354563" w:rsidRDefault="00330CF1" w:rsidP="00530C2E">
            <w:pPr>
              <w:rPr>
                <w:rFonts w:ascii="Arial" w:hAnsi="Arial" w:cs="Arial"/>
              </w:rPr>
            </w:pPr>
            <w:r w:rsidRPr="00354563">
              <w:rPr>
                <w:rFonts w:ascii="Arial" w:hAnsi="Arial" w:cs="Arial"/>
              </w:rPr>
              <w:t xml:space="preserve">   Week 0</w:t>
            </w:r>
          </w:p>
        </w:tc>
        <w:tc>
          <w:tcPr>
            <w:tcW w:w="2340" w:type="dxa"/>
          </w:tcPr>
          <w:p w:rsidR="00330CF1" w:rsidRPr="004C296E" w:rsidRDefault="00330CF1" w:rsidP="00530C2E">
            <w:pPr>
              <w:jc w:val="center"/>
              <w:rPr>
                <w:rFonts w:ascii="Arial" w:hAnsi="Arial" w:cs="Arial"/>
                <w:vertAlign w:val="superscript"/>
              </w:rPr>
            </w:pPr>
            <w:r>
              <w:rPr>
                <w:rFonts w:ascii="Arial" w:hAnsi="Arial" w:cs="Arial"/>
              </w:rPr>
              <w:t>258.00 ± 53.94</w:t>
            </w:r>
            <w:r>
              <w:rPr>
                <w:rFonts w:ascii="Arial" w:hAnsi="Arial" w:cs="Arial"/>
                <w:vertAlign w:val="superscript"/>
              </w:rPr>
              <w:t>bc</w:t>
            </w:r>
          </w:p>
        </w:tc>
        <w:tc>
          <w:tcPr>
            <w:tcW w:w="2394" w:type="dxa"/>
          </w:tcPr>
          <w:p w:rsidR="00330CF1" w:rsidRPr="004C296E" w:rsidRDefault="00330CF1" w:rsidP="00530C2E">
            <w:pPr>
              <w:jc w:val="center"/>
              <w:rPr>
                <w:rFonts w:ascii="Arial" w:hAnsi="Arial" w:cs="Arial"/>
                <w:vertAlign w:val="superscript"/>
              </w:rPr>
            </w:pPr>
            <w:r>
              <w:rPr>
                <w:rFonts w:ascii="Arial" w:hAnsi="Arial" w:cs="Arial"/>
              </w:rPr>
              <w:t>209.40 ± 43.78</w:t>
            </w:r>
            <w:r>
              <w:rPr>
                <w:rFonts w:ascii="Arial" w:hAnsi="Arial" w:cs="Arial"/>
                <w:vertAlign w:val="superscript"/>
              </w:rPr>
              <w:t>c</w:t>
            </w:r>
          </w:p>
        </w:tc>
        <w:tc>
          <w:tcPr>
            <w:tcW w:w="2214" w:type="dxa"/>
          </w:tcPr>
          <w:p w:rsidR="00330CF1" w:rsidRPr="004C296E" w:rsidRDefault="00330CF1" w:rsidP="00530C2E">
            <w:pPr>
              <w:jc w:val="center"/>
              <w:rPr>
                <w:rFonts w:ascii="Arial" w:hAnsi="Arial" w:cs="Arial"/>
                <w:vertAlign w:val="superscript"/>
              </w:rPr>
            </w:pPr>
            <w:r>
              <w:rPr>
                <w:rFonts w:ascii="Arial" w:hAnsi="Arial" w:cs="Arial"/>
              </w:rPr>
              <w:t>172.90 ± 36.15</w:t>
            </w:r>
            <w:r>
              <w:rPr>
                <w:rFonts w:ascii="Arial" w:hAnsi="Arial" w:cs="Arial"/>
                <w:vertAlign w:val="superscript"/>
              </w:rPr>
              <w:t>c</w:t>
            </w:r>
          </w:p>
        </w:tc>
      </w:tr>
      <w:tr w:rsidR="00330CF1" w:rsidRPr="00354563" w:rsidTr="00530C2E">
        <w:tc>
          <w:tcPr>
            <w:tcW w:w="1908" w:type="dxa"/>
          </w:tcPr>
          <w:p w:rsidR="00330CF1" w:rsidRPr="00354563" w:rsidRDefault="00330CF1" w:rsidP="00530C2E">
            <w:pPr>
              <w:rPr>
                <w:rFonts w:ascii="Arial" w:hAnsi="Arial" w:cs="Arial"/>
              </w:rPr>
            </w:pPr>
            <w:r w:rsidRPr="00354563">
              <w:rPr>
                <w:rFonts w:ascii="Arial" w:hAnsi="Arial" w:cs="Arial"/>
              </w:rPr>
              <w:t xml:space="preserve">   Week 10</w:t>
            </w:r>
          </w:p>
        </w:tc>
        <w:tc>
          <w:tcPr>
            <w:tcW w:w="2340" w:type="dxa"/>
          </w:tcPr>
          <w:p w:rsidR="00330CF1" w:rsidRPr="004C296E" w:rsidRDefault="00330CF1" w:rsidP="00530C2E">
            <w:pPr>
              <w:jc w:val="center"/>
              <w:rPr>
                <w:rFonts w:ascii="Arial" w:hAnsi="Arial" w:cs="Arial"/>
                <w:vertAlign w:val="superscript"/>
              </w:rPr>
            </w:pPr>
            <w:r>
              <w:rPr>
                <w:rFonts w:ascii="Arial" w:hAnsi="Arial" w:cs="Arial"/>
              </w:rPr>
              <w:t>458.10 ± 95.78</w:t>
            </w:r>
            <w:r>
              <w:rPr>
                <w:rFonts w:ascii="Arial" w:hAnsi="Arial" w:cs="Arial"/>
                <w:vertAlign w:val="superscript"/>
              </w:rPr>
              <w:t>ab</w:t>
            </w:r>
          </w:p>
        </w:tc>
        <w:tc>
          <w:tcPr>
            <w:tcW w:w="2394" w:type="dxa"/>
          </w:tcPr>
          <w:p w:rsidR="00330CF1" w:rsidRPr="004C296E" w:rsidRDefault="00330CF1" w:rsidP="00530C2E">
            <w:pPr>
              <w:jc w:val="center"/>
              <w:rPr>
                <w:rFonts w:ascii="Arial" w:hAnsi="Arial" w:cs="Arial"/>
                <w:vertAlign w:val="superscript"/>
              </w:rPr>
            </w:pPr>
            <w:r>
              <w:rPr>
                <w:rFonts w:ascii="Arial" w:hAnsi="Arial" w:cs="Arial"/>
              </w:rPr>
              <w:t>482.70 ± 100.92</w:t>
            </w:r>
            <w:r>
              <w:rPr>
                <w:rFonts w:ascii="Arial" w:hAnsi="Arial" w:cs="Arial"/>
                <w:vertAlign w:val="superscript"/>
              </w:rPr>
              <w:t>ab</w:t>
            </w:r>
          </w:p>
        </w:tc>
        <w:tc>
          <w:tcPr>
            <w:tcW w:w="2214" w:type="dxa"/>
          </w:tcPr>
          <w:p w:rsidR="00330CF1" w:rsidRPr="004C296E" w:rsidRDefault="00330CF1" w:rsidP="00530C2E">
            <w:pPr>
              <w:jc w:val="center"/>
              <w:rPr>
                <w:rFonts w:ascii="Arial" w:hAnsi="Arial" w:cs="Arial"/>
                <w:vertAlign w:val="superscript"/>
              </w:rPr>
            </w:pPr>
            <w:r>
              <w:rPr>
                <w:rFonts w:ascii="Arial" w:hAnsi="Arial" w:cs="Arial"/>
              </w:rPr>
              <w:t>557.60 ± 116.58</w:t>
            </w:r>
            <w:r>
              <w:rPr>
                <w:rFonts w:ascii="Arial" w:hAnsi="Arial" w:cs="Arial"/>
                <w:vertAlign w:val="superscript"/>
              </w:rPr>
              <w:t>a</w:t>
            </w:r>
          </w:p>
        </w:tc>
      </w:tr>
    </w:tbl>
    <w:p w:rsidR="00330CF1" w:rsidRPr="00687E70" w:rsidRDefault="00330CF1" w:rsidP="00662C4A">
      <w:pPr>
        <w:rPr>
          <w:rFonts w:ascii="Arial" w:hAnsi="Arial" w:cs="Arial"/>
        </w:rPr>
      </w:pPr>
      <w:r>
        <w:rPr>
          <w:rFonts w:ascii="Arial" w:hAnsi="Arial" w:cs="Arial"/>
        </w:rPr>
        <w:t>NOTE: Different letter superscripts values in both rows and columns indicate p values ≤ 0.05.</w:t>
      </w:r>
    </w:p>
    <w:p w:rsidR="00330CF1" w:rsidRPr="00354563" w:rsidRDefault="00330CF1" w:rsidP="00662C4A">
      <w:pPr>
        <w:rPr>
          <w:rFonts w:ascii="Arial" w:hAnsi="Arial" w:cs="Arial"/>
        </w:rPr>
      </w:pPr>
    </w:p>
    <w:p w:rsidR="00330CF1" w:rsidRDefault="00330CF1"/>
    <w:p w:rsidR="00330CF1" w:rsidRDefault="00330CF1"/>
    <w:p w:rsidR="00330CF1" w:rsidRDefault="00330CF1" w:rsidP="00662C4A"/>
    <w:p w:rsidR="00330CF1" w:rsidRPr="00C0535D" w:rsidRDefault="00330CF1" w:rsidP="00662C4A">
      <w:pPr>
        <w:jc w:val="center"/>
        <w:rPr>
          <w:rFonts w:ascii="Arial" w:hAnsi="Arial" w:cs="Arial"/>
          <w:color w:val="C00000"/>
        </w:rPr>
      </w:pPr>
      <w:r w:rsidRPr="0071195F">
        <w:rPr>
          <w:rFonts w:ascii="Arial" w:hAnsi="Arial" w:cs="Arial"/>
          <w:b/>
        </w:rPr>
        <w:t>Table 2.8</w:t>
      </w:r>
      <w:r>
        <w:rPr>
          <w:rFonts w:ascii="Arial" w:hAnsi="Arial" w:cs="Arial"/>
        </w:rPr>
        <w:t xml:space="preserve"> DEXA bone m</w:t>
      </w:r>
      <w:r w:rsidRPr="0071195F">
        <w:rPr>
          <w:rFonts w:ascii="Arial" w:hAnsi="Arial" w:cs="Arial"/>
        </w:rPr>
        <w:t>ineral grams</w:t>
      </w:r>
      <w:r>
        <w:rPr>
          <w:rFonts w:ascii="Arial" w:hAnsi="Arial" w:cs="Arial"/>
        </w:rPr>
        <w:t xml:space="preserve"> by diet treatment</w:t>
      </w:r>
    </w:p>
    <w:p w:rsidR="00330CF1" w:rsidRPr="00354563" w:rsidRDefault="00330CF1" w:rsidP="00662C4A">
      <w:pPr>
        <w:jc w:val="center"/>
        <w:rPr>
          <w:rFonts w:ascii="Arial" w:hAnsi="Arial" w:cs="Arial"/>
        </w:rPr>
      </w:pPr>
    </w:p>
    <w:tbl>
      <w:tblPr>
        <w:tblStyle w:val="TableGrid"/>
        <w:tblW w:w="0" w:type="auto"/>
        <w:tblLook w:val="04A0" w:firstRow="1" w:lastRow="0" w:firstColumn="1" w:lastColumn="0" w:noHBand="0" w:noVBand="1"/>
      </w:tblPr>
      <w:tblGrid>
        <w:gridCol w:w="2214"/>
        <w:gridCol w:w="2214"/>
        <w:gridCol w:w="2214"/>
        <w:gridCol w:w="2214"/>
      </w:tblGrid>
      <w:tr w:rsidR="00330CF1" w:rsidRPr="00354563" w:rsidTr="00530C2E">
        <w:tc>
          <w:tcPr>
            <w:tcW w:w="2214" w:type="dxa"/>
          </w:tcPr>
          <w:p w:rsidR="00330CF1" w:rsidRPr="00354563" w:rsidRDefault="00330CF1" w:rsidP="00530C2E">
            <w:pPr>
              <w:rPr>
                <w:rFonts w:ascii="Arial" w:hAnsi="Arial" w:cs="Arial"/>
              </w:rPr>
            </w:pPr>
            <w:r w:rsidRPr="00354563">
              <w:rPr>
                <w:rFonts w:ascii="Arial" w:hAnsi="Arial" w:cs="Arial"/>
              </w:rPr>
              <w:t>Sex/Week</w:t>
            </w:r>
          </w:p>
        </w:tc>
        <w:tc>
          <w:tcPr>
            <w:tcW w:w="2214" w:type="dxa"/>
          </w:tcPr>
          <w:p w:rsidR="00330CF1" w:rsidRPr="00354563" w:rsidRDefault="00330CF1" w:rsidP="00530C2E">
            <w:pPr>
              <w:jc w:val="center"/>
              <w:rPr>
                <w:rFonts w:ascii="Arial" w:hAnsi="Arial" w:cs="Arial"/>
              </w:rPr>
            </w:pPr>
            <w:r w:rsidRPr="00354563">
              <w:rPr>
                <w:rFonts w:ascii="Arial" w:hAnsi="Arial" w:cs="Arial"/>
              </w:rPr>
              <w:t>Control</w:t>
            </w:r>
          </w:p>
        </w:tc>
        <w:tc>
          <w:tcPr>
            <w:tcW w:w="2214" w:type="dxa"/>
          </w:tcPr>
          <w:p w:rsidR="00330CF1" w:rsidRPr="00354563" w:rsidRDefault="00330CF1" w:rsidP="00530C2E">
            <w:pPr>
              <w:jc w:val="center"/>
              <w:rPr>
                <w:rFonts w:ascii="Arial" w:hAnsi="Arial" w:cs="Arial"/>
              </w:rPr>
            </w:pPr>
            <w:r w:rsidRPr="00354563">
              <w:rPr>
                <w:rFonts w:ascii="Arial" w:hAnsi="Arial" w:cs="Arial"/>
              </w:rPr>
              <w:t>Commercial Raw</w:t>
            </w:r>
          </w:p>
        </w:tc>
        <w:tc>
          <w:tcPr>
            <w:tcW w:w="2214" w:type="dxa"/>
          </w:tcPr>
          <w:p w:rsidR="00330CF1" w:rsidRPr="00354563" w:rsidRDefault="00330CF1" w:rsidP="00530C2E">
            <w:pPr>
              <w:jc w:val="center"/>
              <w:rPr>
                <w:rFonts w:ascii="Arial" w:hAnsi="Arial" w:cs="Arial"/>
              </w:rPr>
            </w:pPr>
            <w:r w:rsidRPr="00354563">
              <w:rPr>
                <w:rFonts w:ascii="Arial" w:hAnsi="Arial" w:cs="Arial"/>
              </w:rPr>
              <w:t>Homemade Raw</w:t>
            </w:r>
          </w:p>
        </w:tc>
      </w:tr>
      <w:tr w:rsidR="00330CF1" w:rsidRPr="00354563" w:rsidTr="00530C2E">
        <w:tc>
          <w:tcPr>
            <w:tcW w:w="2214" w:type="dxa"/>
          </w:tcPr>
          <w:p w:rsidR="00330CF1" w:rsidRPr="00354563" w:rsidRDefault="00330CF1" w:rsidP="00530C2E">
            <w:pPr>
              <w:rPr>
                <w:rFonts w:ascii="Arial" w:hAnsi="Arial" w:cs="Arial"/>
              </w:rPr>
            </w:pPr>
            <w:r w:rsidRPr="00354563">
              <w:rPr>
                <w:rFonts w:ascii="Arial" w:hAnsi="Arial" w:cs="Arial"/>
              </w:rPr>
              <w:t>Male</w:t>
            </w:r>
          </w:p>
        </w:tc>
        <w:tc>
          <w:tcPr>
            <w:tcW w:w="2214" w:type="dxa"/>
          </w:tcPr>
          <w:p w:rsidR="00330CF1" w:rsidRPr="00354563" w:rsidRDefault="00330CF1" w:rsidP="00530C2E">
            <w:pPr>
              <w:jc w:val="center"/>
              <w:rPr>
                <w:rFonts w:ascii="Arial" w:hAnsi="Arial" w:cs="Arial"/>
              </w:rPr>
            </w:pPr>
          </w:p>
        </w:tc>
        <w:tc>
          <w:tcPr>
            <w:tcW w:w="2214" w:type="dxa"/>
          </w:tcPr>
          <w:p w:rsidR="00330CF1" w:rsidRPr="00354563" w:rsidRDefault="00330CF1" w:rsidP="00530C2E">
            <w:pPr>
              <w:jc w:val="center"/>
              <w:rPr>
                <w:rFonts w:ascii="Arial" w:hAnsi="Arial" w:cs="Arial"/>
              </w:rPr>
            </w:pPr>
          </w:p>
        </w:tc>
        <w:tc>
          <w:tcPr>
            <w:tcW w:w="2214" w:type="dxa"/>
          </w:tcPr>
          <w:p w:rsidR="00330CF1" w:rsidRPr="00354563" w:rsidRDefault="00330CF1" w:rsidP="00530C2E">
            <w:pPr>
              <w:jc w:val="center"/>
              <w:rPr>
                <w:rFonts w:ascii="Arial" w:hAnsi="Arial" w:cs="Arial"/>
              </w:rPr>
            </w:pPr>
          </w:p>
        </w:tc>
      </w:tr>
      <w:tr w:rsidR="00330CF1" w:rsidRPr="00354563" w:rsidTr="00530C2E">
        <w:tc>
          <w:tcPr>
            <w:tcW w:w="2214" w:type="dxa"/>
          </w:tcPr>
          <w:p w:rsidR="00330CF1" w:rsidRPr="00354563" w:rsidRDefault="00330CF1" w:rsidP="00530C2E">
            <w:pPr>
              <w:rPr>
                <w:rFonts w:ascii="Arial" w:hAnsi="Arial" w:cs="Arial"/>
              </w:rPr>
            </w:pPr>
            <w:r w:rsidRPr="00354563">
              <w:rPr>
                <w:rFonts w:ascii="Arial" w:hAnsi="Arial" w:cs="Arial"/>
              </w:rPr>
              <w:t xml:space="preserve">   Week 0</w:t>
            </w:r>
          </w:p>
        </w:tc>
        <w:tc>
          <w:tcPr>
            <w:tcW w:w="2214" w:type="dxa"/>
          </w:tcPr>
          <w:p w:rsidR="00330CF1" w:rsidRPr="003B7033" w:rsidRDefault="00330CF1" w:rsidP="00530C2E">
            <w:pPr>
              <w:jc w:val="center"/>
              <w:rPr>
                <w:rFonts w:ascii="Arial" w:hAnsi="Arial" w:cs="Arial"/>
                <w:vertAlign w:val="superscript"/>
              </w:rPr>
            </w:pPr>
            <w:r>
              <w:rPr>
                <w:rFonts w:ascii="Arial" w:hAnsi="Arial" w:cs="Arial"/>
              </w:rPr>
              <w:t>19.37 ± 2.15</w:t>
            </w:r>
            <w:r>
              <w:rPr>
                <w:rFonts w:ascii="Arial" w:hAnsi="Arial" w:cs="Arial"/>
                <w:vertAlign w:val="superscript"/>
              </w:rPr>
              <w:t>b</w:t>
            </w:r>
          </w:p>
        </w:tc>
        <w:tc>
          <w:tcPr>
            <w:tcW w:w="2214" w:type="dxa"/>
          </w:tcPr>
          <w:p w:rsidR="00330CF1" w:rsidRPr="003B7033" w:rsidRDefault="00330CF1" w:rsidP="00530C2E">
            <w:pPr>
              <w:jc w:val="center"/>
              <w:rPr>
                <w:rFonts w:ascii="Arial" w:hAnsi="Arial" w:cs="Arial"/>
                <w:vertAlign w:val="superscript"/>
              </w:rPr>
            </w:pPr>
            <w:r>
              <w:rPr>
                <w:rFonts w:ascii="Arial" w:hAnsi="Arial" w:cs="Arial"/>
              </w:rPr>
              <w:t>3.16 ± 0.13</w:t>
            </w:r>
            <w:r>
              <w:rPr>
                <w:rFonts w:ascii="Arial" w:hAnsi="Arial" w:cs="Arial"/>
                <w:vertAlign w:val="superscript"/>
              </w:rPr>
              <w:t>b</w:t>
            </w:r>
          </w:p>
        </w:tc>
        <w:tc>
          <w:tcPr>
            <w:tcW w:w="2214" w:type="dxa"/>
          </w:tcPr>
          <w:p w:rsidR="00330CF1" w:rsidRPr="003B7033" w:rsidRDefault="00330CF1" w:rsidP="00530C2E">
            <w:pPr>
              <w:jc w:val="center"/>
              <w:rPr>
                <w:rFonts w:ascii="Arial" w:hAnsi="Arial" w:cs="Arial"/>
                <w:vertAlign w:val="superscript"/>
              </w:rPr>
            </w:pPr>
            <w:r>
              <w:rPr>
                <w:rFonts w:ascii="Arial" w:hAnsi="Arial" w:cs="Arial"/>
              </w:rPr>
              <w:t>17.58 ± 3.38</w:t>
            </w:r>
            <w:r>
              <w:rPr>
                <w:rFonts w:ascii="Arial" w:hAnsi="Arial" w:cs="Arial"/>
                <w:vertAlign w:val="superscript"/>
              </w:rPr>
              <w:t>b</w:t>
            </w:r>
          </w:p>
        </w:tc>
      </w:tr>
      <w:tr w:rsidR="00330CF1" w:rsidRPr="00354563" w:rsidTr="00530C2E">
        <w:tc>
          <w:tcPr>
            <w:tcW w:w="2214" w:type="dxa"/>
          </w:tcPr>
          <w:p w:rsidR="00330CF1" w:rsidRPr="00354563" w:rsidRDefault="00330CF1" w:rsidP="00530C2E">
            <w:pPr>
              <w:rPr>
                <w:rFonts w:ascii="Arial" w:hAnsi="Arial" w:cs="Arial"/>
              </w:rPr>
            </w:pPr>
            <w:r w:rsidRPr="00354563">
              <w:rPr>
                <w:rFonts w:ascii="Arial" w:hAnsi="Arial" w:cs="Arial"/>
              </w:rPr>
              <w:t xml:space="preserve">   Week 10</w:t>
            </w:r>
          </w:p>
        </w:tc>
        <w:tc>
          <w:tcPr>
            <w:tcW w:w="2214" w:type="dxa"/>
          </w:tcPr>
          <w:p w:rsidR="00330CF1" w:rsidRPr="003412F8" w:rsidRDefault="00330CF1" w:rsidP="00530C2E">
            <w:pPr>
              <w:jc w:val="center"/>
              <w:rPr>
                <w:rFonts w:ascii="Arial" w:hAnsi="Arial" w:cs="Arial"/>
                <w:vertAlign w:val="superscript"/>
              </w:rPr>
            </w:pPr>
            <w:r>
              <w:rPr>
                <w:rFonts w:ascii="Arial" w:hAnsi="Arial" w:cs="Arial"/>
              </w:rPr>
              <w:t>59.81 ± 6.64</w:t>
            </w:r>
            <w:r>
              <w:rPr>
                <w:rFonts w:ascii="Arial" w:hAnsi="Arial" w:cs="Arial"/>
                <w:vertAlign w:val="superscript"/>
              </w:rPr>
              <w:t>a</w:t>
            </w:r>
          </w:p>
        </w:tc>
        <w:tc>
          <w:tcPr>
            <w:tcW w:w="2214" w:type="dxa"/>
          </w:tcPr>
          <w:p w:rsidR="00330CF1" w:rsidRPr="003B7033" w:rsidRDefault="00330CF1" w:rsidP="00530C2E">
            <w:pPr>
              <w:jc w:val="center"/>
              <w:rPr>
                <w:rFonts w:ascii="Arial" w:hAnsi="Arial" w:cs="Arial"/>
                <w:vertAlign w:val="superscript"/>
              </w:rPr>
            </w:pPr>
            <w:r>
              <w:rPr>
                <w:rFonts w:ascii="Arial" w:hAnsi="Arial" w:cs="Arial"/>
              </w:rPr>
              <w:t>4.18 ± 0.13</w:t>
            </w:r>
            <w:r>
              <w:rPr>
                <w:rFonts w:ascii="Arial" w:hAnsi="Arial" w:cs="Arial"/>
                <w:vertAlign w:val="superscript"/>
              </w:rPr>
              <w:t>a</w:t>
            </w:r>
          </w:p>
        </w:tc>
        <w:tc>
          <w:tcPr>
            <w:tcW w:w="2214" w:type="dxa"/>
          </w:tcPr>
          <w:p w:rsidR="00330CF1" w:rsidRPr="003B7033" w:rsidRDefault="00330CF1" w:rsidP="00530C2E">
            <w:pPr>
              <w:jc w:val="center"/>
              <w:rPr>
                <w:rFonts w:ascii="Arial" w:hAnsi="Arial" w:cs="Arial"/>
                <w:vertAlign w:val="superscript"/>
              </w:rPr>
            </w:pPr>
            <w:r>
              <w:rPr>
                <w:rFonts w:ascii="Arial" w:hAnsi="Arial" w:cs="Arial"/>
              </w:rPr>
              <w:t>71.30  ± 13.71</w:t>
            </w:r>
            <w:r>
              <w:rPr>
                <w:rFonts w:ascii="Arial" w:hAnsi="Arial" w:cs="Arial"/>
                <w:vertAlign w:val="superscript"/>
              </w:rPr>
              <w:t>a</w:t>
            </w:r>
          </w:p>
        </w:tc>
      </w:tr>
      <w:tr w:rsidR="00330CF1" w:rsidRPr="00354563" w:rsidTr="00530C2E">
        <w:tc>
          <w:tcPr>
            <w:tcW w:w="2214" w:type="dxa"/>
          </w:tcPr>
          <w:p w:rsidR="00330CF1" w:rsidRPr="00354563" w:rsidRDefault="00330CF1" w:rsidP="00530C2E">
            <w:pPr>
              <w:rPr>
                <w:rFonts w:ascii="Arial" w:hAnsi="Arial" w:cs="Arial"/>
              </w:rPr>
            </w:pPr>
            <w:r w:rsidRPr="00354563">
              <w:rPr>
                <w:rFonts w:ascii="Arial" w:hAnsi="Arial" w:cs="Arial"/>
              </w:rPr>
              <w:t>Female</w:t>
            </w:r>
          </w:p>
        </w:tc>
        <w:tc>
          <w:tcPr>
            <w:tcW w:w="2214" w:type="dxa"/>
          </w:tcPr>
          <w:p w:rsidR="00330CF1" w:rsidRPr="00354563" w:rsidRDefault="00330CF1" w:rsidP="00530C2E">
            <w:pPr>
              <w:jc w:val="center"/>
              <w:rPr>
                <w:rFonts w:ascii="Arial" w:hAnsi="Arial" w:cs="Arial"/>
              </w:rPr>
            </w:pPr>
          </w:p>
        </w:tc>
        <w:tc>
          <w:tcPr>
            <w:tcW w:w="2214" w:type="dxa"/>
          </w:tcPr>
          <w:p w:rsidR="00330CF1" w:rsidRPr="00354563" w:rsidRDefault="00330CF1" w:rsidP="00530C2E">
            <w:pPr>
              <w:jc w:val="center"/>
              <w:rPr>
                <w:rFonts w:ascii="Arial" w:hAnsi="Arial" w:cs="Arial"/>
              </w:rPr>
            </w:pPr>
          </w:p>
        </w:tc>
        <w:tc>
          <w:tcPr>
            <w:tcW w:w="2214" w:type="dxa"/>
          </w:tcPr>
          <w:p w:rsidR="00330CF1" w:rsidRPr="00354563" w:rsidRDefault="00330CF1" w:rsidP="00530C2E">
            <w:pPr>
              <w:jc w:val="center"/>
              <w:rPr>
                <w:rFonts w:ascii="Arial" w:hAnsi="Arial" w:cs="Arial"/>
              </w:rPr>
            </w:pPr>
          </w:p>
        </w:tc>
      </w:tr>
      <w:tr w:rsidR="00330CF1" w:rsidRPr="00354563" w:rsidTr="00530C2E">
        <w:tc>
          <w:tcPr>
            <w:tcW w:w="2214" w:type="dxa"/>
          </w:tcPr>
          <w:p w:rsidR="00330CF1" w:rsidRPr="00354563" w:rsidRDefault="00330CF1" w:rsidP="00530C2E">
            <w:pPr>
              <w:rPr>
                <w:rFonts w:ascii="Arial" w:hAnsi="Arial" w:cs="Arial"/>
              </w:rPr>
            </w:pPr>
            <w:r w:rsidRPr="00354563">
              <w:rPr>
                <w:rFonts w:ascii="Arial" w:hAnsi="Arial" w:cs="Arial"/>
              </w:rPr>
              <w:t xml:space="preserve">   Week 0</w:t>
            </w:r>
          </w:p>
        </w:tc>
        <w:tc>
          <w:tcPr>
            <w:tcW w:w="2214" w:type="dxa"/>
          </w:tcPr>
          <w:p w:rsidR="00330CF1" w:rsidRPr="003B7033" w:rsidRDefault="00330CF1" w:rsidP="00530C2E">
            <w:pPr>
              <w:jc w:val="center"/>
              <w:rPr>
                <w:rFonts w:ascii="Arial" w:hAnsi="Arial" w:cs="Arial"/>
                <w:vertAlign w:val="superscript"/>
              </w:rPr>
            </w:pPr>
            <w:r>
              <w:rPr>
                <w:rFonts w:ascii="Arial" w:hAnsi="Arial" w:cs="Arial"/>
              </w:rPr>
              <w:t>23.73 ± 4.56</w:t>
            </w:r>
            <w:r>
              <w:rPr>
                <w:rFonts w:ascii="Arial" w:hAnsi="Arial" w:cs="Arial"/>
                <w:vertAlign w:val="superscript"/>
              </w:rPr>
              <w:t>b</w:t>
            </w:r>
          </w:p>
        </w:tc>
        <w:tc>
          <w:tcPr>
            <w:tcW w:w="2214" w:type="dxa"/>
          </w:tcPr>
          <w:p w:rsidR="00330CF1" w:rsidRPr="003B7033" w:rsidRDefault="00330CF1" w:rsidP="00530C2E">
            <w:pPr>
              <w:jc w:val="center"/>
              <w:rPr>
                <w:rFonts w:ascii="Arial" w:hAnsi="Arial" w:cs="Arial"/>
                <w:vertAlign w:val="superscript"/>
              </w:rPr>
            </w:pPr>
            <w:r>
              <w:rPr>
                <w:rFonts w:ascii="Arial" w:hAnsi="Arial" w:cs="Arial"/>
              </w:rPr>
              <w:t>23.97 ± 4.61</w:t>
            </w:r>
            <w:r>
              <w:rPr>
                <w:rFonts w:ascii="Arial" w:hAnsi="Arial" w:cs="Arial"/>
                <w:vertAlign w:val="superscript"/>
              </w:rPr>
              <w:t>b</w:t>
            </w:r>
          </w:p>
        </w:tc>
        <w:tc>
          <w:tcPr>
            <w:tcW w:w="2214" w:type="dxa"/>
          </w:tcPr>
          <w:p w:rsidR="00330CF1" w:rsidRPr="003B7033" w:rsidRDefault="00330CF1" w:rsidP="00530C2E">
            <w:pPr>
              <w:jc w:val="center"/>
              <w:rPr>
                <w:rFonts w:ascii="Arial" w:hAnsi="Arial" w:cs="Arial"/>
                <w:vertAlign w:val="superscript"/>
              </w:rPr>
            </w:pPr>
            <w:r>
              <w:rPr>
                <w:rFonts w:ascii="Arial" w:hAnsi="Arial" w:cs="Arial"/>
              </w:rPr>
              <w:t>17.27 ±  3.32</w:t>
            </w:r>
            <w:r>
              <w:rPr>
                <w:rFonts w:ascii="Arial" w:hAnsi="Arial" w:cs="Arial"/>
                <w:vertAlign w:val="superscript"/>
              </w:rPr>
              <w:t>b</w:t>
            </w:r>
          </w:p>
        </w:tc>
      </w:tr>
      <w:tr w:rsidR="00330CF1" w:rsidRPr="00354563" w:rsidTr="00530C2E">
        <w:tc>
          <w:tcPr>
            <w:tcW w:w="2214" w:type="dxa"/>
          </w:tcPr>
          <w:p w:rsidR="00330CF1" w:rsidRPr="00354563" w:rsidRDefault="00330CF1" w:rsidP="00530C2E">
            <w:pPr>
              <w:rPr>
                <w:rFonts w:ascii="Arial" w:hAnsi="Arial" w:cs="Arial"/>
              </w:rPr>
            </w:pPr>
            <w:r w:rsidRPr="00354563">
              <w:rPr>
                <w:rFonts w:ascii="Arial" w:hAnsi="Arial" w:cs="Arial"/>
              </w:rPr>
              <w:t xml:space="preserve">   Week 10</w:t>
            </w:r>
          </w:p>
        </w:tc>
        <w:tc>
          <w:tcPr>
            <w:tcW w:w="2214" w:type="dxa"/>
          </w:tcPr>
          <w:p w:rsidR="00330CF1" w:rsidRPr="003412F8" w:rsidRDefault="00330CF1" w:rsidP="00530C2E">
            <w:pPr>
              <w:jc w:val="center"/>
              <w:rPr>
                <w:rFonts w:ascii="Arial" w:hAnsi="Arial" w:cs="Arial"/>
                <w:vertAlign w:val="superscript"/>
              </w:rPr>
            </w:pPr>
            <w:r>
              <w:rPr>
                <w:rFonts w:ascii="Arial" w:hAnsi="Arial" w:cs="Arial"/>
              </w:rPr>
              <w:t>64.08 ± 12.31</w:t>
            </w:r>
            <w:r>
              <w:rPr>
                <w:rFonts w:ascii="Arial" w:hAnsi="Arial" w:cs="Arial"/>
                <w:vertAlign w:val="superscript"/>
              </w:rPr>
              <w:t>a</w:t>
            </w:r>
          </w:p>
        </w:tc>
        <w:tc>
          <w:tcPr>
            <w:tcW w:w="2214" w:type="dxa"/>
          </w:tcPr>
          <w:p w:rsidR="00330CF1" w:rsidRPr="003B7033" w:rsidRDefault="00330CF1" w:rsidP="00530C2E">
            <w:pPr>
              <w:jc w:val="center"/>
              <w:rPr>
                <w:rFonts w:ascii="Arial" w:hAnsi="Arial" w:cs="Arial"/>
                <w:vertAlign w:val="superscript"/>
              </w:rPr>
            </w:pPr>
            <w:r>
              <w:rPr>
                <w:rFonts w:ascii="Arial" w:hAnsi="Arial" w:cs="Arial"/>
              </w:rPr>
              <w:t>56.30 ± 10.82</w:t>
            </w:r>
            <w:r>
              <w:rPr>
                <w:rFonts w:ascii="Arial" w:hAnsi="Arial" w:cs="Arial"/>
                <w:vertAlign w:val="superscript"/>
              </w:rPr>
              <w:t>a</w:t>
            </w:r>
          </w:p>
        </w:tc>
        <w:tc>
          <w:tcPr>
            <w:tcW w:w="2214" w:type="dxa"/>
          </w:tcPr>
          <w:p w:rsidR="00330CF1" w:rsidRPr="003B7033" w:rsidRDefault="00330CF1" w:rsidP="00530C2E">
            <w:pPr>
              <w:jc w:val="center"/>
              <w:rPr>
                <w:rFonts w:ascii="Arial" w:hAnsi="Arial" w:cs="Arial"/>
                <w:vertAlign w:val="superscript"/>
              </w:rPr>
            </w:pPr>
            <w:r>
              <w:rPr>
                <w:rFonts w:ascii="Arial" w:hAnsi="Arial" w:cs="Arial"/>
              </w:rPr>
              <w:t>65.47</w:t>
            </w:r>
            <w:r w:rsidRPr="00467C60">
              <w:rPr>
                <w:rFonts w:ascii="Arial" w:hAnsi="Arial" w:cs="Arial"/>
              </w:rPr>
              <w:t xml:space="preserve"> ± </w:t>
            </w:r>
            <w:r>
              <w:rPr>
                <w:rFonts w:ascii="Arial" w:hAnsi="Arial" w:cs="Arial"/>
              </w:rPr>
              <w:t>12.58</w:t>
            </w:r>
            <w:r>
              <w:rPr>
                <w:rFonts w:ascii="Arial" w:hAnsi="Arial" w:cs="Arial"/>
                <w:vertAlign w:val="superscript"/>
              </w:rPr>
              <w:t>a</w:t>
            </w:r>
          </w:p>
        </w:tc>
      </w:tr>
    </w:tbl>
    <w:p w:rsidR="00330CF1" w:rsidRPr="00687E70" w:rsidRDefault="00330CF1" w:rsidP="00662C4A">
      <w:pPr>
        <w:rPr>
          <w:rFonts w:ascii="Arial" w:hAnsi="Arial" w:cs="Arial"/>
        </w:rPr>
      </w:pPr>
      <w:r>
        <w:rPr>
          <w:rFonts w:ascii="Arial" w:hAnsi="Arial" w:cs="Arial"/>
        </w:rPr>
        <w:t>NOTE: Different letter superscripts values in both rows and columns indicate p values ≤ 0.05.</w:t>
      </w:r>
    </w:p>
    <w:p w:rsidR="00330CF1" w:rsidRDefault="00330CF1">
      <w:pPr>
        <w:rPr>
          <w:rFonts w:ascii="Arial" w:hAnsi="Arial" w:cs="Arial"/>
          <w:b/>
          <w:bCs/>
          <w:iCs/>
        </w:rPr>
      </w:pPr>
      <w:r>
        <w:br w:type="page"/>
      </w:r>
    </w:p>
    <w:p w:rsidR="00330CF1" w:rsidRDefault="00330CF1" w:rsidP="009B4AE0">
      <w:pPr>
        <w:pStyle w:val="Heading2"/>
        <w:jc w:val="left"/>
        <w:rPr>
          <w:sz w:val="24"/>
          <w:szCs w:val="24"/>
        </w:rPr>
      </w:pPr>
    </w:p>
    <w:p w:rsidR="00330CF1" w:rsidRDefault="00330CF1" w:rsidP="009B4AE0">
      <w:pPr>
        <w:pStyle w:val="Heading2"/>
        <w:jc w:val="left"/>
        <w:rPr>
          <w:sz w:val="24"/>
          <w:szCs w:val="24"/>
        </w:rPr>
      </w:pPr>
      <w:r>
        <w:rPr>
          <w:noProof/>
        </w:rPr>
        <w:drawing>
          <wp:inline distT="0" distB="0" distL="0" distR="0" wp14:anchorId="038B1F13" wp14:editId="0B33C45E">
            <wp:extent cx="5190186" cy="5118761"/>
            <wp:effectExtent l="0" t="0" r="0" b="5715"/>
            <wp:docPr id="16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97574" cy="5126047"/>
                    </a:xfrm>
                    <a:prstGeom prst="rect">
                      <a:avLst/>
                    </a:prstGeom>
                    <a:noFill/>
                    <a:ln>
                      <a:noFill/>
                    </a:ln>
                    <a:effectLst/>
                    <a:extLst/>
                  </pic:spPr>
                </pic:pic>
              </a:graphicData>
            </a:graphic>
          </wp:inline>
        </w:drawing>
      </w:r>
    </w:p>
    <w:p w:rsidR="00330CF1" w:rsidRDefault="00330CF1" w:rsidP="009B4AE0">
      <w:pPr>
        <w:pStyle w:val="Heading2"/>
        <w:jc w:val="left"/>
        <w:rPr>
          <w:sz w:val="24"/>
          <w:szCs w:val="24"/>
        </w:rPr>
      </w:pPr>
    </w:p>
    <w:p w:rsidR="00330CF1" w:rsidRPr="00963187" w:rsidRDefault="00330CF1" w:rsidP="009B4AE0">
      <w:pPr>
        <w:pStyle w:val="Heading2"/>
        <w:jc w:val="left"/>
        <w:rPr>
          <w:b w:val="0"/>
          <w:sz w:val="24"/>
          <w:szCs w:val="24"/>
        </w:rPr>
      </w:pPr>
      <w:r>
        <w:rPr>
          <w:sz w:val="24"/>
          <w:szCs w:val="24"/>
        </w:rPr>
        <w:t xml:space="preserve">Figure 2.12 </w:t>
      </w:r>
      <w:r>
        <w:rPr>
          <w:b w:val="0"/>
          <w:sz w:val="24"/>
          <w:szCs w:val="24"/>
        </w:rPr>
        <w:t>DEXA b</w:t>
      </w:r>
      <w:r w:rsidRPr="00963187">
        <w:rPr>
          <w:b w:val="0"/>
          <w:sz w:val="24"/>
          <w:szCs w:val="24"/>
        </w:rPr>
        <w:t>ody compo</w:t>
      </w:r>
      <w:r>
        <w:rPr>
          <w:b w:val="0"/>
          <w:sz w:val="24"/>
          <w:szCs w:val="24"/>
        </w:rPr>
        <w:t>sition in grams</w:t>
      </w:r>
      <w:r w:rsidRPr="00963187">
        <w:rPr>
          <w:b w:val="0"/>
          <w:sz w:val="24"/>
          <w:szCs w:val="24"/>
        </w:rPr>
        <w:t xml:space="preserve"> by diet treatment </w:t>
      </w:r>
      <w:r>
        <w:rPr>
          <w:b w:val="0"/>
          <w:sz w:val="24"/>
          <w:szCs w:val="24"/>
        </w:rPr>
        <w:t xml:space="preserve">and week </w:t>
      </w:r>
      <w:r w:rsidRPr="00963187">
        <w:rPr>
          <w:b w:val="0"/>
          <w:sz w:val="24"/>
          <w:szCs w:val="24"/>
        </w:rPr>
        <w:t>(Mean ± SEM)</w:t>
      </w:r>
      <w:r>
        <w:rPr>
          <w:b w:val="0"/>
          <w:sz w:val="24"/>
          <w:szCs w:val="24"/>
        </w:rPr>
        <w:t>.</w:t>
      </w:r>
    </w:p>
    <w:p w:rsidR="00330CF1" w:rsidRPr="00963187" w:rsidRDefault="00330CF1" w:rsidP="009B4AE0">
      <w:pPr>
        <w:pStyle w:val="Heading2"/>
        <w:jc w:val="left"/>
        <w:rPr>
          <w:b w:val="0"/>
          <w:i/>
          <w:sz w:val="24"/>
          <w:szCs w:val="24"/>
        </w:rPr>
      </w:pPr>
    </w:p>
    <w:p w:rsidR="00330CF1" w:rsidRDefault="00330CF1" w:rsidP="009B4AE0">
      <w:pPr>
        <w:pStyle w:val="Heading2"/>
        <w:jc w:val="left"/>
        <w:rPr>
          <w:i/>
          <w:sz w:val="24"/>
          <w:szCs w:val="24"/>
        </w:rPr>
      </w:pPr>
    </w:p>
    <w:p w:rsidR="00330CF1" w:rsidRDefault="00330CF1" w:rsidP="009B4AE0">
      <w:pPr>
        <w:pStyle w:val="Heading2"/>
        <w:jc w:val="left"/>
        <w:rPr>
          <w:i/>
          <w:sz w:val="24"/>
          <w:szCs w:val="24"/>
        </w:rPr>
      </w:pPr>
    </w:p>
    <w:p w:rsidR="00330CF1" w:rsidRDefault="00330CF1" w:rsidP="009B4AE0">
      <w:pPr>
        <w:pStyle w:val="Heading2"/>
        <w:jc w:val="left"/>
        <w:rPr>
          <w:i/>
          <w:sz w:val="24"/>
          <w:szCs w:val="24"/>
        </w:rPr>
      </w:pPr>
    </w:p>
    <w:p w:rsidR="00330CF1" w:rsidRDefault="00330CF1" w:rsidP="009B4AE0">
      <w:pPr>
        <w:pStyle w:val="Heading2"/>
        <w:jc w:val="left"/>
        <w:rPr>
          <w:i/>
          <w:sz w:val="24"/>
          <w:szCs w:val="24"/>
        </w:rPr>
      </w:pPr>
    </w:p>
    <w:p w:rsidR="00330CF1" w:rsidRPr="00BC5438" w:rsidRDefault="00330CF1" w:rsidP="009B4AE0">
      <w:pPr>
        <w:pStyle w:val="Heading2"/>
        <w:jc w:val="left"/>
        <w:rPr>
          <w:i/>
          <w:sz w:val="24"/>
          <w:szCs w:val="24"/>
        </w:rPr>
      </w:pPr>
      <w:r w:rsidRPr="00BC5438">
        <w:rPr>
          <w:i/>
          <w:sz w:val="24"/>
          <w:szCs w:val="24"/>
        </w:rPr>
        <w:lastRenderedPageBreak/>
        <w:t xml:space="preserve">Serum </w:t>
      </w:r>
      <w:r>
        <w:rPr>
          <w:i/>
          <w:sz w:val="24"/>
          <w:szCs w:val="24"/>
        </w:rPr>
        <w:t>biochemical values</w:t>
      </w:r>
    </w:p>
    <w:p w:rsidR="00330CF1" w:rsidRDefault="00330CF1" w:rsidP="006E2EE3">
      <w:pPr>
        <w:rPr>
          <w:rFonts w:ascii="Arial" w:hAnsi="Arial" w:cs="Arial"/>
        </w:rPr>
      </w:pPr>
      <w:r>
        <w:rPr>
          <w:rFonts w:ascii="Arial" w:hAnsi="Arial" w:cs="Arial"/>
        </w:rPr>
        <w:t xml:space="preserve">     Serum mean biochemical results from all 3 groups at the three time points are shown in Table 2.9.  Serum values for total protein (p &lt; 0.0001) were significantly higher in the control and homemade raw groups at week 5 and 10 compared to week 0.  The control group had significant increases in albumin (p=0.003) over the 10 weeks while the homemade raw group had significant increases in globulin (p&lt;0.007) over the 10 week period.  At the end of the feeding trial, total protein and taurine levels were highest in the kittens fed the homemade raw diet, with taurine being significantly higher in this group at week 10 compared to the other 2 dietary treatments.  While taurine  concentrations in the control grouped were similar at all 3 time points, a trend was noted with the commercial raw diet taurine levels decreasing while the homemade raw diet taurine levels increasing over time.  Both the homemade raw diet and control diet had additional taurine listed on the ingredient list.  Mean serum taurine levels for both the raw diet groups were greater than 300, and mean serum albumin levels were greater than 2.7, thus fulfilling the requirement for an AAFCO growth claim.  </w:t>
      </w:r>
    </w:p>
    <w:p w:rsidR="00330CF1" w:rsidRPr="00C0535D" w:rsidRDefault="00330CF1" w:rsidP="00D160E6">
      <w:pPr>
        <w:rPr>
          <w:rFonts w:ascii="Arial" w:hAnsi="Arial" w:cs="Arial"/>
          <w:color w:val="C00000"/>
        </w:rPr>
      </w:pPr>
      <w:r>
        <w:rPr>
          <w:rFonts w:ascii="Arial" w:hAnsi="Arial" w:cs="Arial"/>
        </w:rPr>
        <w:t xml:space="preserve">     There were no significant differences in total protein, or acid-base balance (bicarbonate and anion gap) between the three diets within each time period.  Albumin was significantly lower in both the raw diets (p =0.010) at week 5 and 10 compared to the control while globulin was significantly higher in both raw diets compared to the control at week 5, and in the homemade raw diet group at week 10 compared to the control.  </w:t>
      </w:r>
      <w:r w:rsidRPr="00C0535D">
        <w:rPr>
          <w:rFonts w:ascii="Arial" w:hAnsi="Arial" w:cs="Arial"/>
          <w:color w:val="C00000"/>
        </w:rPr>
        <w:t xml:space="preserve"> </w:t>
      </w:r>
    </w:p>
    <w:p w:rsidR="00330CF1" w:rsidRPr="00C0535D" w:rsidRDefault="00330CF1" w:rsidP="00940965">
      <w:pPr>
        <w:rPr>
          <w:rFonts w:ascii="Arial" w:hAnsi="Arial" w:cs="Arial"/>
          <w:color w:val="C00000"/>
        </w:rPr>
      </w:pPr>
      <w:r>
        <w:rPr>
          <w:rFonts w:ascii="Arial" w:hAnsi="Arial" w:cs="Arial"/>
        </w:rPr>
        <w:t xml:space="preserve">     Potassium concentrations decreased significantly in the control group from week 0 to week 5.  Both raw diets had higher levels of potassium at weeks 5 and 10 with a trend toward significantly higher (p=0.078) levels in the homemade raw group compared to the control group at week 10.  </w:t>
      </w:r>
    </w:p>
    <w:p w:rsidR="00330CF1" w:rsidRPr="00A039E6" w:rsidRDefault="00330CF1" w:rsidP="00D160E6">
      <w:pPr>
        <w:rPr>
          <w:rFonts w:ascii="Arial" w:hAnsi="Arial" w:cs="Arial"/>
        </w:rPr>
      </w:pPr>
      <w:r>
        <w:rPr>
          <w:rFonts w:ascii="Arial" w:hAnsi="Arial" w:cs="Arial"/>
        </w:rPr>
        <w:t xml:space="preserve">     There were no significant differences in creatinine  concentrations between the 3 treatment groups but creatinine levels increased significantly (p&lt;0.0001) in all 3 groups over time.  Consistent with the very high protein content of the homemade raw diet, blood urea nitrogen was significantly higher (p=0.011) in the homemade raw at week 5 compared to the control diet and at week 10 compared to both the control and commercial raw diets.</w:t>
      </w:r>
    </w:p>
    <w:p w:rsidR="00330CF1" w:rsidRDefault="00330CF1" w:rsidP="00F37925">
      <w:pPr>
        <w:rPr>
          <w:rFonts w:ascii="Arial" w:hAnsi="Arial" w:cs="Arial"/>
        </w:rPr>
      </w:pPr>
      <w:r>
        <w:rPr>
          <w:rFonts w:ascii="Arial" w:hAnsi="Arial" w:cs="Arial"/>
        </w:rPr>
        <w:t xml:space="preserve">     </w:t>
      </w:r>
    </w:p>
    <w:p w:rsidR="00330CF1" w:rsidRDefault="00330CF1" w:rsidP="00F37925">
      <w:pP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Default="00330CF1" w:rsidP="00E13F34">
      <w:pPr>
        <w:jc w:val="center"/>
        <w:rPr>
          <w:rFonts w:ascii="Arial" w:hAnsi="Arial" w:cs="Arial"/>
        </w:rPr>
      </w:pPr>
    </w:p>
    <w:p w:rsidR="00330CF1" w:rsidRPr="00C0535D" w:rsidRDefault="00330CF1" w:rsidP="00E13F34">
      <w:pPr>
        <w:jc w:val="center"/>
        <w:rPr>
          <w:rFonts w:ascii="Arial" w:hAnsi="Arial" w:cs="Arial"/>
          <w:color w:val="C00000"/>
        </w:rPr>
      </w:pPr>
      <w:r w:rsidRPr="002109E3">
        <w:rPr>
          <w:rFonts w:ascii="Arial" w:hAnsi="Arial" w:cs="Arial"/>
          <w:b/>
        </w:rPr>
        <w:t>Table 2.9</w:t>
      </w:r>
      <w:r w:rsidRPr="002109E3">
        <w:rPr>
          <w:rFonts w:ascii="Arial" w:hAnsi="Arial" w:cs="Arial"/>
        </w:rPr>
        <w:t xml:space="preserve"> Serum </w:t>
      </w:r>
      <w:r>
        <w:rPr>
          <w:rFonts w:ascii="Arial" w:hAnsi="Arial" w:cs="Arial"/>
        </w:rPr>
        <w:t>b</w:t>
      </w:r>
      <w:r w:rsidRPr="002109E3">
        <w:rPr>
          <w:rFonts w:ascii="Arial" w:hAnsi="Arial" w:cs="Arial"/>
        </w:rPr>
        <w:t>ioc</w:t>
      </w:r>
      <w:r>
        <w:rPr>
          <w:rFonts w:ascii="Arial" w:hAnsi="Arial" w:cs="Arial"/>
        </w:rPr>
        <w:t>hemistry v</w:t>
      </w:r>
      <w:r w:rsidRPr="002109E3">
        <w:rPr>
          <w:rFonts w:ascii="Arial" w:hAnsi="Arial" w:cs="Arial"/>
        </w:rPr>
        <w:t xml:space="preserve">alues </w:t>
      </w:r>
      <w:r>
        <w:rPr>
          <w:rFonts w:ascii="Arial" w:hAnsi="Arial" w:cs="Arial"/>
        </w:rPr>
        <w:t xml:space="preserve">by diet treatment and week </w:t>
      </w:r>
      <w:r w:rsidRPr="002109E3">
        <w:rPr>
          <w:rFonts w:ascii="Arial" w:hAnsi="Arial" w:cs="Arial"/>
        </w:rPr>
        <w:t>(Mean ± SEM)</w:t>
      </w:r>
    </w:p>
    <w:p w:rsidR="00330CF1" w:rsidRPr="007C0E23" w:rsidRDefault="00330CF1" w:rsidP="00E13F34">
      <w:pPr>
        <w:jc w:val="center"/>
        <w:rPr>
          <w:rFonts w:ascii="Arial" w:hAnsi="Arial" w:cs="Arial"/>
        </w:rPr>
      </w:pPr>
    </w:p>
    <w:tbl>
      <w:tblPr>
        <w:tblStyle w:val="TableGrid"/>
        <w:tblW w:w="9378" w:type="dxa"/>
        <w:tblLook w:val="04A0" w:firstRow="1" w:lastRow="0" w:firstColumn="1" w:lastColumn="0" w:noHBand="0" w:noVBand="1"/>
      </w:tblPr>
      <w:tblGrid>
        <w:gridCol w:w="2538"/>
        <w:gridCol w:w="2250"/>
        <w:gridCol w:w="2250"/>
        <w:gridCol w:w="2340"/>
      </w:tblGrid>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Analyte/ Week</w:t>
            </w:r>
          </w:p>
        </w:tc>
        <w:tc>
          <w:tcPr>
            <w:tcW w:w="2250" w:type="dxa"/>
          </w:tcPr>
          <w:p w:rsidR="00330CF1" w:rsidRPr="007C0E23" w:rsidRDefault="00330CF1" w:rsidP="004B53A0">
            <w:pPr>
              <w:jc w:val="center"/>
              <w:rPr>
                <w:rFonts w:ascii="Arial" w:hAnsi="Arial" w:cs="Arial"/>
              </w:rPr>
            </w:pPr>
            <w:r>
              <w:rPr>
                <w:rFonts w:ascii="Arial" w:hAnsi="Arial" w:cs="Arial"/>
              </w:rPr>
              <w:t>Control</w:t>
            </w:r>
          </w:p>
        </w:tc>
        <w:tc>
          <w:tcPr>
            <w:tcW w:w="2250" w:type="dxa"/>
          </w:tcPr>
          <w:p w:rsidR="00330CF1" w:rsidRPr="007C0E23" w:rsidRDefault="00330CF1" w:rsidP="004B53A0">
            <w:pPr>
              <w:jc w:val="center"/>
              <w:rPr>
                <w:rFonts w:ascii="Arial" w:hAnsi="Arial" w:cs="Arial"/>
              </w:rPr>
            </w:pPr>
            <w:r>
              <w:rPr>
                <w:rFonts w:ascii="Arial" w:hAnsi="Arial" w:cs="Arial"/>
              </w:rPr>
              <w:t>Commercial Raw</w:t>
            </w:r>
          </w:p>
        </w:tc>
        <w:tc>
          <w:tcPr>
            <w:tcW w:w="2340" w:type="dxa"/>
          </w:tcPr>
          <w:p w:rsidR="00330CF1" w:rsidRPr="007C0E23" w:rsidRDefault="00330CF1" w:rsidP="004B53A0">
            <w:pPr>
              <w:jc w:val="center"/>
              <w:rPr>
                <w:rFonts w:ascii="Arial" w:hAnsi="Arial" w:cs="Arial"/>
              </w:rPr>
            </w:pPr>
            <w:r>
              <w:rPr>
                <w:rFonts w:ascii="Arial" w:hAnsi="Arial" w:cs="Arial"/>
              </w:rPr>
              <w:t>Homemade Raw</w:t>
            </w:r>
          </w:p>
        </w:tc>
      </w:tr>
      <w:tr w:rsidR="00330CF1" w:rsidRPr="007C0E23" w:rsidTr="00B464EE">
        <w:tc>
          <w:tcPr>
            <w:tcW w:w="2538" w:type="dxa"/>
          </w:tcPr>
          <w:p w:rsidR="00330CF1" w:rsidRPr="007C0E23" w:rsidRDefault="00330CF1" w:rsidP="0045794D">
            <w:pPr>
              <w:rPr>
                <w:rFonts w:ascii="Arial" w:hAnsi="Arial" w:cs="Arial"/>
              </w:rPr>
            </w:pPr>
            <w:r>
              <w:rPr>
                <w:rFonts w:ascii="Arial" w:hAnsi="Arial" w:cs="Arial"/>
              </w:rPr>
              <w:t xml:space="preserve"> </w:t>
            </w:r>
            <w:r w:rsidRPr="007C0E23">
              <w:rPr>
                <w:rFonts w:ascii="Arial" w:hAnsi="Arial" w:cs="Arial"/>
              </w:rPr>
              <w:t xml:space="preserve">Total Protein </w:t>
            </w:r>
            <w:r>
              <w:rPr>
                <w:rFonts w:ascii="Arial" w:hAnsi="Arial" w:cs="Arial"/>
              </w:rPr>
              <w:t>(gm/dL)</w:t>
            </w:r>
          </w:p>
        </w:tc>
        <w:tc>
          <w:tcPr>
            <w:tcW w:w="2250" w:type="dxa"/>
          </w:tcPr>
          <w:p w:rsidR="00330CF1" w:rsidRPr="007C0E23" w:rsidRDefault="00330CF1" w:rsidP="004B53A0">
            <w:pPr>
              <w:jc w:val="center"/>
              <w:rPr>
                <w:rFonts w:ascii="Arial" w:hAnsi="Arial" w:cs="Arial"/>
              </w:rPr>
            </w:pPr>
          </w:p>
        </w:tc>
        <w:tc>
          <w:tcPr>
            <w:tcW w:w="2250" w:type="dxa"/>
          </w:tcPr>
          <w:p w:rsidR="00330CF1" w:rsidRPr="007C0E23" w:rsidRDefault="00330CF1" w:rsidP="004B53A0">
            <w:pPr>
              <w:jc w:val="center"/>
              <w:rPr>
                <w:rFonts w:ascii="Arial" w:hAnsi="Arial" w:cs="Arial"/>
              </w:rPr>
            </w:pPr>
          </w:p>
        </w:tc>
        <w:tc>
          <w:tcPr>
            <w:tcW w:w="2340" w:type="dxa"/>
          </w:tcPr>
          <w:p w:rsidR="00330CF1" w:rsidRPr="007C0E23" w:rsidRDefault="00330CF1" w:rsidP="004B53A0">
            <w:pPr>
              <w:jc w:val="center"/>
              <w:rPr>
                <w:rFonts w:ascii="Arial" w:hAnsi="Arial" w:cs="Arial"/>
              </w:rPr>
            </w:pP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0                      </w:t>
            </w:r>
          </w:p>
        </w:tc>
        <w:tc>
          <w:tcPr>
            <w:tcW w:w="2250" w:type="dxa"/>
          </w:tcPr>
          <w:p w:rsidR="00330CF1" w:rsidRPr="000B58C0" w:rsidRDefault="00330CF1" w:rsidP="004B53A0">
            <w:pPr>
              <w:jc w:val="center"/>
              <w:rPr>
                <w:rFonts w:ascii="Arial" w:hAnsi="Arial" w:cs="Arial"/>
              </w:rPr>
            </w:pPr>
            <w:r>
              <w:rPr>
                <w:rFonts w:ascii="Arial" w:hAnsi="Arial" w:cs="Arial"/>
              </w:rPr>
              <w:t>5.91</w:t>
            </w:r>
            <w:r w:rsidRPr="007C0E23">
              <w:rPr>
                <w:rFonts w:ascii="Arial" w:hAnsi="Arial" w:cs="Arial"/>
              </w:rPr>
              <w:t xml:space="preserve"> ± 0.1</w:t>
            </w:r>
            <w:r>
              <w:rPr>
                <w:rFonts w:ascii="Arial" w:hAnsi="Arial" w:cs="Arial"/>
              </w:rPr>
              <w:t>4</w:t>
            </w:r>
            <w:r>
              <w:rPr>
                <w:rFonts w:ascii="Arial" w:hAnsi="Arial" w:cs="Arial"/>
                <w:vertAlign w:val="superscript"/>
              </w:rPr>
              <w:t>d</w:t>
            </w:r>
          </w:p>
        </w:tc>
        <w:tc>
          <w:tcPr>
            <w:tcW w:w="2250" w:type="dxa"/>
          </w:tcPr>
          <w:p w:rsidR="00330CF1" w:rsidRPr="000B58C0" w:rsidRDefault="00330CF1" w:rsidP="004B53A0">
            <w:pPr>
              <w:jc w:val="center"/>
              <w:rPr>
                <w:rFonts w:ascii="Arial" w:hAnsi="Arial" w:cs="Arial"/>
              </w:rPr>
            </w:pPr>
            <w:r>
              <w:rPr>
                <w:rFonts w:ascii="Arial" w:hAnsi="Arial" w:cs="Arial"/>
              </w:rPr>
              <w:t>6.09</w:t>
            </w:r>
            <w:r w:rsidRPr="007C0E23">
              <w:rPr>
                <w:rFonts w:ascii="Arial" w:hAnsi="Arial" w:cs="Arial"/>
              </w:rPr>
              <w:t xml:space="preserve"> ± 0.1</w:t>
            </w:r>
            <w:r>
              <w:rPr>
                <w:rFonts w:ascii="Arial" w:hAnsi="Arial" w:cs="Arial"/>
              </w:rPr>
              <w:t>4</w:t>
            </w:r>
            <w:r>
              <w:rPr>
                <w:rFonts w:ascii="Arial" w:hAnsi="Arial" w:cs="Arial"/>
                <w:vertAlign w:val="superscript"/>
              </w:rPr>
              <w:t>bcd</w:t>
            </w:r>
          </w:p>
        </w:tc>
        <w:tc>
          <w:tcPr>
            <w:tcW w:w="2340" w:type="dxa"/>
          </w:tcPr>
          <w:p w:rsidR="00330CF1" w:rsidRPr="000B58C0" w:rsidRDefault="00330CF1" w:rsidP="004B53A0">
            <w:pPr>
              <w:jc w:val="center"/>
              <w:rPr>
                <w:rFonts w:ascii="Arial" w:hAnsi="Arial" w:cs="Arial"/>
              </w:rPr>
            </w:pPr>
            <w:r>
              <w:rPr>
                <w:rFonts w:ascii="Arial" w:hAnsi="Arial" w:cs="Arial"/>
              </w:rPr>
              <w:t>6.04</w:t>
            </w:r>
            <w:r w:rsidRPr="007C0E23">
              <w:rPr>
                <w:rFonts w:ascii="Arial" w:hAnsi="Arial" w:cs="Arial"/>
              </w:rPr>
              <w:t xml:space="preserve"> ± 0.1</w:t>
            </w:r>
            <w:r>
              <w:rPr>
                <w:rFonts w:ascii="Arial" w:hAnsi="Arial" w:cs="Arial"/>
              </w:rPr>
              <w:t>4</w:t>
            </w:r>
            <w:r>
              <w:rPr>
                <w:rFonts w:ascii="Arial" w:hAnsi="Arial" w:cs="Arial"/>
                <w:vertAlign w:val="superscript"/>
              </w:rPr>
              <w:t>cd</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5                                        </w:t>
            </w:r>
          </w:p>
        </w:tc>
        <w:tc>
          <w:tcPr>
            <w:tcW w:w="2250" w:type="dxa"/>
          </w:tcPr>
          <w:p w:rsidR="00330CF1" w:rsidRPr="000B58C0" w:rsidRDefault="00330CF1" w:rsidP="004B53A0">
            <w:pPr>
              <w:jc w:val="center"/>
              <w:rPr>
                <w:rFonts w:ascii="Arial" w:hAnsi="Arial" w:cs="Arial"/>
              </w:rPr>
            </w:pPr>
            <w:r>
              <w:rPr>
                <w:rFonts w:ascii="Arial" w:hAnsi="Arial" w:cs="Arial"/>
              </w:rPr>
              <w:t>6.24</w:t>
            </w:r>
            <w:r w:rsidRPr="007C0E23">
              <w:rPr>
                <w:rFonts w:ascii="Arial" w:hAnsi="Arial" w:cs="Arial"/>
              </w:rPr>
              <w:t xml:space="preserve"> ± 0.1</w:t>
            </w:r>
            <w:r>
              <w:rPr>
                <w:rFonts w:ascii="Arial" w:hAnsi="Arial" w:cs="Arial"/>
              </w:rPr>
              <w:t>4</w:t>
            </w:r>
            <w:r>
              <w:rPr>
                <w:rFonts w:ascii="Arial" w:hAnsi="Arial" w:cs="Arial"/>
                <w:vertAlign w:val="superscript"/>
              </w:rPr>
              <w:t>abc</w:t>
            </w:r>
          </w:p>
        </w:tc>
        <w:tc>
          <w:tcPr>
            <w:tcW w:w="2250" w:type="dxa"/>
          </w:tcPr>
          <w:p w:rsidR="00330CF1" w:rsidRPr="000B58C0" w:rsidRDefault="00330CF1" w:rsidP="004B53A0">
            <w:pPr>
              <w:jc w:val="center"/>
              <w:rPr>
                <w:rFonts w:ascii="Arial" w:hAnsi="Arial" w:cs="Arial"/>
              </w:rPr>
            </w:pPr>
            <w:r w:rsidRPr="007C0E23">
              <w:rPr>
                <w:rFonts w:ascii="Arial" w:hAnsi="Arial" w:cs="Arial"/>
              </w:rPr>
              <w:t>6.3</w:t>
            </w:r>
            <w:r>
              <w:rPr>
                <w:rFonts w:ascii="Arial" w:hAnsi="Arial" w:cs="Arial"/>
              </w:rPr>
              <w:t>0</w:t>
            </w:r>
            <w:r w:rsidRPr="007C0E23">
              <w:rPr>
                <w:rFonts w:ascii="Arial" w:hAnsi="Arial" w:cs="Arial"/>
              </w:rPr>
              <w:t xml:space="preserve"> ± 0.</w:t>
            </w:r>
            <w:r>
              <w:rPr>
                <w:rFonts w:ascii="Arial" w:hAnsi="Arial" w:cs="Arial"/>
              </w:rPr>
              <w:t>14</w:t>
            </w:r>
            <w:r>
              <w:rPr>
                <w:rFonts w:ascii="Arial" w:hAnsi="Arial" w:cs="Arial"/>
                <w:vertAlign w:val="superscript"/>
              </w:rPr>
              <w:t>abcd</w:t>
            </w:r>
          </w:p>
        </w:tc>
        <w:tc>
          <w:tcPr>
            <w:tcW w:w="2340" w:type="dxa"/>
          </w:tcPr>
          <w:p w:rsidR="00330CF1" w:rsidRPr="000B58C0" w:rsidRDefault="00330CF1" w:rsidP="004B53A0">
            <w:pPr>
              <w:jc w:val="center"/>
              <w:rPr>
                <w:rFonts w:ascii="Arial" w:hAnsi="Arial" w:cs="Arial"/>
              </w:rPr>
            </w:pPr>
            <w:r>
              <w:rPr>
                <w:rFonts w:ascii="Arial" w:hAnsi="Arial" w:cs="Arial"/>
              </w:rPr>
              <w:t>6.39</w:t>
            </w:r>
            <w:r w:rsidRPr="007C0E23">
              <w:rPr>
                <w:rFonts w:ascii="Arial" w:hAnsi="Arial" w:cs="Arial"/>
              </w:rPr>
              <w:t xml:space="preserve"> ± 0.1</w:t>
            </w:r>
            <w:r>
              <w:rPr>
                <w:rFonts w:ascii="Arial" w:hAnsi="Arial" w:cs="Arial"/>
              </w:rPr>
              <w:t>4</w:t>
            </w:r>
            <w:r>
              <w:rPr>
                <w:rFonts w:ascii="Arial" w:hAnsi="Arial" w:cs="Arial"/>
                <w:vertAlign w:val="superscript"/>
              </w:rPr>
              <w:t>ab</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10</w:t>
            </w:r>
          </w:p>
        </w:tc>
        <w:tc>
          <w:tcPr>
            <w:tcW w:w="2250" w:type="dxa"/>
          </w:tcPr>
          <w:p w:rsidR="00330CF1" w:rsidRPr="000B58C0" w:rsidRDefault="00330CF1" w:rsidP="004B53A0">
            <w:pPr>
              <w:jc w:val="center"/>
              <w:rPr>
                <w:rFonts w:ascii="Arial" w:hAnsi="Arial" w:cs="Arial"/>
              </w:rPr>
            </w:pPr>
            <w:r>
              <w:rPr>
                <w:rFonts w:ascii="Arial" w:hAnsi="Arial" w:cs="Arial"/>
              </w:rPr>
              <w:t>6.37</w:t>
            </w:r>
            <w:r w:rsidRPr="007C0E23">
              <w:rPr>
                <w:rFonts w:ascii="Arial" w:hAnsi="Arial" w:cs="Arial"/>
              </w:rPr>
              <w:t xml:space="preserve"> ± 0.</w:t>
            </w:r>
            <w:r>
              <w:rPr>
                <w:rFonts w:ascii="Arial" w:hAnsi="Arial" w:cs="Arial"/>
              </w:rPr>
              <w:t>14</w:t>
            </w:r>
            <w:r>
              <w:rPr>
                <w:rFonts w:ascii="Arial" w:hAnsi="Arial" w:cs="Arial"/>
                <w:vertAlign w:val="superscript"/>
              </w:rPr>
              <w:t>abc</w:t>
            </w:r>
          </w:p>
        </w:tc>
        <w:tc>
          <w:tcPr>
            <w:tcW w:w="2250" w:type="dxa"/>
          </w:tcPr>
          <w:p w:rsidR="00330CF1" w:rsidRPr="000B58C0" w:rsidRDefault="00330CF1" w:rsidP="004B53A0">
            <w:pPr>
              <w:jc w:val="center"/>
              <w:rPr>
                <w:rFonts w:ascii="Arial" w:hAnsi="Arial" w:cs="Arial"/>
              </w:rPr>
            </w:pPr>
            <w:r>
              <w:rPr>
                <w:rFonts w:ascii="Arial" w:hAnsi="Arial" w:cs="Arial"/>
              </w:rPr>
              <w:t>6.21</w:t>
            </w:r>
            <w:r w:rsidRPr="007C0E23">
              <w:rPr>
                <w:rFonts w:ascii="Arial" w:hAnsi="Arial" w:cs="Arial"/>
              </w:rPr>
              <w:t xml:space="preserve"> ± 0.1</w:t>
            </w:r>
            <w:r>
              <w:rPr>
                <w:rFonts w:ascii="Arial" w:hAnsi="Arial" w:cs="Arial"/>
              </w:rPr>
              <w:t>4</w:t>
            </w:r>
            <w:r>
              <w:rPr>
                <w:rFonts w:ascii="Arial" w:hAnsi="Arial" w:cs="Arial"/>
                <w:vertAlign w:val="superscript"/>
              </w:rPr>
              <w:t>abcd</w:t>
            </w:r>
          </w:p>
        </w:tc>
        <w:tc>
          <w:tcPr>
            <w:tcW w:w="2340" w:type="dxa"/>
          </w:tcPr>
          <w:p w:rsidR="00330CF1" w:rsidRPr="000B58C0" w:rsidRDefault="00330CF1" w:rsidP="004B53A0">
            <w:pPr>
              <w:jc w:val="center"/>
              <w:rPr>
                <w:rFonts w:ascii="Arial" w:hAnsi="Arial" w:cs="Arial"/>
                <w:caps/>
              </w:rPr>
            </w:pPr>
            <w:r>
              <w:rPr>
                <w:rFonts w:ascii="Arial" w:hAnsi="Arial" w:cs="Arial"/>
              </w:rPr>
              <w:t>6.52</w:t>
            </w:r>
            <w:r w:rsidRPr="007C0E23">
              <w:rPr>
                <w:rFonts w:ascii="Arial" w:hAnsi="Arial" w:cs="Arial"/>
              </w:rPr>
              <w:t xml:space="preserve"> ± 0.1</w:t>
            </w:r>
            <w:r>
              <w:rPr>
                <w:rFonts w:ascii="Arial" w:hAnsi="Arial" w:cs="Arial"/>
              </w:rPr>
              <w:t>4</w:t>
            </w:r>
            <w:r>
              <w:rPr>
                <w:rFonts w:ascii="Arial" w:hAnsi="Arial" w:cs="Arial"/>
                <w:vertAlign w:val="superscript"/>
              </w:rPr>
              <w:t>a</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Albumin</w:t>
            </w:r>
            <w:r>
              <w:rPr>
                <w:rFonts w:ascii="Arial" w:hAnsi="Arial" w:cs="Arial"/>
              </w:rPr>
              <w:t xml:space="preserve">  (gm/dL)</w:t>
            </w:r>
          </w:p>
        </w:tc>
        <w:tc>
          <w:tcPr>
            <w:tcW w:w="2250" w:type="dxa"/>
          </w:tcPr>
          <w:p w:rsidR="00330CF1" w:rsidRPr="007C0E23" w:rsidRDefault="00330CF1" w:rsidP="004B53A0">
            <w:pPr>
              <w:jc w:val="center"/>
              <w:rPr>
                <w:rFonts w:ascii="Arial" w:hAnsi="Arial" w:cs="Arial"/>
              </w:rPr>
            </w:pPr>
          </w:p>
        </w:tc>
        <w:tc>
          <w:tcPr>
            <w:tcW w:w="2250" w:type="dxa"/>
          </w:tcPr>
          <w:p w:rsidR="00330CF1" w:rsidRPr="007C0E23" w:rsidRDefault="00330CF1" w:rsidP="004B53A0">
            <w:pPr>
              <w:jc w:val="center"/>
              <w:rPr>
                <w:rFonts w:ascii="Arial" w:hAnsi="Arial" w:cs="Arial"/>
              </w:rPr>
            </w:pPr>
          </w:p>
        </w:tc>
        <w:tc>
          <w:tcPr>
            <w:tcW w:w="2340" w:type="dxa"/>
          </w:tcPr>
          <w:p w:rsidR="00330CF1" w:rsidRPr="007C0E23" w:rsidRDefault="00330CF1" w:rsidP="004B53A0">
            <w:pPr>
              <w:jc w:val="center"/>
              <w:rPr>
                <w:rFonts w:ascii="Arial" w:hAnsi="Arial" w:cs="Arial"/>
              </w:rPr>
            </w:pP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0</w:t>
            </w:r>
          </w:p>
        </w:tc>
        <w:tc>
          <w:tcPr>
            <w:tcW w:w="2250" w:type="dxa"/>
          </w:tcPr>
          <w:p w:rsidR="00330CF1" w:rsidRPr="001E6300" w:rsidRDefault="00330CF1" w:rsidP="004B53A0">
            <w:pPr>
              <w:jc w:val="center"/>
              <w:rPr>
                <w:rFonts w:ascii="Arial" w:hAnsi="Arial" w:cs="Arial"/>
              </w:rPr>
            </w:pPr>
            <w:r>
              <w:rPr>
                <w:rFonts w:ascii="Arial" w:hAnsi="Arial" w:cs="Arial"/>
              </w:rPr>
              <w:t>3.64</w:t>
            </w:r>
            <w:r w:rsidRPr="007C0E23">
              <w:rPr>
                <w:rFonts w:ascii="Arial" w:hAnsi="Arial" w:cs="Arial"/>
              </w:rPr>
              <w:t xml:space="preserve"> ± 0.07</w:t>
            </w:r>
            <w:r>
              <w:rPr>
                <w:rFonts w:ascii="Arial" w:hAnsi="Arial" w:cs="Arial"/>
                <w:vertAlign w:val="superscript"/>
              </w:rPr>
              <w:t>b</w:t>
            </w:r>
          </w:p>
        </w:tc>
        <w:tc>
          <w:tcPr>
            <w:tcW w:w="2250" w:type="dxa"/>
          </w:tcPr>
          <w:p w:rsidR="00330CF1" w:rsidRPr="001E6300" w:rsidRDefault="00330CF1" w:rsidP="004B53A0">
            <w:pPr>
              <w:jc w:val="center"/>
              <w:rPr>
                <w:rFonts w:ascii="Arial" w:hAnsi="Arial" w:cs="Arial"/>
              </w:rPr>
            </w:pPr>
            <w:r>
              <w:rPr>
                <w:rFonts w:ascii="Arial" w:hAnsi="Arial" w:cs="Arial"/>
              </w:rPr>
              <w:t>3.64</w:t>
            </w:r>
            <w:r w:rsidRPr="007C0E23">
              <w:rPr>
                <w:rFonts w:ascii="Arial" w:hAnsi="Arial" w:cs="Arial"/>
              </w:rPr>
              <w:t xml:space="preserve"> ± 0.</w:t>
            </w:r>
            <w:r>
              <w:rPr>
                <w:rFonts w:ascii="Arial" w:hAnsi="Arial" w:cs="Arial"/>
              </w:rPr>
              <w:t>07</w:t>
            </w:r>
            <w:r>
              <w:rPr>
                <w:rFonts w:ascii="Arial" w:hAnsi="Arial" w:cs="Arial"/>
                <w:vertAlign w:val="superscript"/>
              </w:rPr>
              <w:t>b</w:t>
            </w:r>
          </w:p>
        </w:tc>
        <w:tc>
          <w:tcPr>
            <w:tcW w:w="2340" w:type="dxa"/>
          </w:tcPr>
          <w:p w:rsidR="00330CF1" w:rsidRPr="001E6300" w:rsidRDefault="00330CF1" w:rsidP="004B53A0">
            <w:pPr>
              <w:jc w:val="center"/>
              <w:rPr>
                <w:rFonts w:ascii="Arial" w:hAnsi="Arial" w:cs="Arial"/>
                <w:vertAlign w:val="superscript"/>
              </w:rPr>
            </w:pPr>
            <w:r>
              <w:rPr>
                <w:rFonts w:ascii="Arial" w:hAnsi="Arial" w:cs="Arial"/>
              </w:rPr>
              <w:t>3.57</w:t>
            </w:r>
            <w:r w:rsidRPr="007C0E23">
              <w:rPr>
                <w:rFonts w:ascii="Arial" w:hAnsi="Arial" w:cs="Arial"/>
              </w:rPr>
              <w:t xml:space="preserve"> ± 0.0</w:t>
            </w:r>
            <w:r>
              <w:rPr>
                <w:rFonts w:ascii="Arial" w:hAnsi="Arial" w:cs="Arial"/>
              </w:rPr>
              <w:t>7</w:t>
            </w:r>
            <w:r>
              <w:rPr>
                <w:rFonts w:ascii="Arial" w:hAnsi="Arial" w:cs="Arial"/>
                <w:vertAlign w:val="superscript"/>
              </w:rPr>
              <w:t>b</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5</w:t>
            </w:r>
          </w:p>
        </w:tc>
        <w:tc>
          <w:tcPr>
            <w:tcW w:w="2250" w:type="dxa"/>
          </w:tcPr>
          <w:p w:rsidR="00330CF1" w:rsidRPr="001E6300" w:rsidRDefault="00330CF1" w:rsidP="004B53A0">
            <w:pPr>
              <w:jc w:val="center"/>
              <w:rPr>
                <w:rFonts w:ascii="Arial" w:hAnsi="Arial" w:cs="Arial"/>
              </w:rPr>
            </w:pPr>
            <w:r>
              <w:rPr>
                <w:rFonts w:ascii="Arial" w:hAnsi="Arial" w:cs="Arial"/>
              </w:rPr>
              <w:t>3.99</w:t>
            </w:r>
            <w:r w:rsidRPr="007C0E23">
              <w:rPr>
                <w:rFonts w:ascii="Arial" w:hAnsi="Arial" w:cs="Arial"/>
              </w:rPr>
              <w:t xml:space="preserve"> ± 0.0</w:t>
            </w:r>
            <w:r>
              <w:rPr>
                <w:rFonts w:ascii="Arial" w:hAnsi="Arial" w:cs="Arial"/>
              </w:rPr>
              <w:t>7</w:t>
            </w:r>
            <w:r>
              <w:rPr>
                <w:rFonts w:ascii="Arial" w:hAnsi="Arial" w:cs="Arial"/>
                <w:vertAlign w:val="superscript"/>
              </w:rPr>
              <w:t>a</w:t>
            </w:r>
          </w:p>
        </w:tc>
        <w:tc>
          <w:tcPr>
            <w:tcW w:w="2250" w:type="dxa"/>
          </w:tcPr>
          <w:p w:rsidR="00330CF1" w:rsidRPr="001E6300" w:rsidRDefault="00330CF1" w:rsidP="004B53A0">
            <w:pPr>
              <w:jc w:val="center"/>
              <w:rPr>
                <w:rFonts w:ascii="Arial" w:hAnsi="Arial" w:cs="Arial"/>
              </w:rPr>
            </w:pPr>
            <w:r>
              <w:rPr>
                <w:rFonts w:ascii="Arial" w:hAnsi="Arial" w:cs="Arial"/>
              </w:rPr>
              <w:t>3.67</w:t>
            </w:r>
            <w:r w:rsidRPr="007C0E23">
              <w:rPr>
                <w:rFonts w:ascii="Arial" w:hAnsi="Arial" w:cs="Arial"/>
              </w:rPr>
              <w:t xml:space="preserve"> ± 0.07</w:t>
            </w:r>
            <w:r>
              <w:rPr>
                <w:rFonts w:ascii="Arial" w:hAnsi="Arial" w:cs="Arial"/>
                <w:vertAlign w:val="superscript"/>
              </w:rPr>
              <w:t>b</w:t>
            </w:r>
          </w:p>
        </w:tc>
        <w:tc>
          <w:tcPr>
            <w:tcW w:w="2340" w:type="dxa"/>
          </w:tcPr>
          <w:p w:rsidR="00330CF1" w:rsidRPr="001E6300" w:rsidRDefault="00330CF1" w:rsidP="004B53A0">
            <w:pPr>
              <w:jc w:val="center"/>
              <w:rPr>
                <w:rFonts w:ascii="Arial" w:hAnsi="Arial" w:cs="Arial"/>
                <w:vertAlign w:val="superscript"/>
              </w:rPr>
            </w:pPr>
            <w:r>
              <w:rPr>
                <w:rFonts w:ascii="Arial" w:hAnsi="Arial" w:cs="Arial"/>
              </w:rPr>
              <w:t>3.67</w:t>
            </w:r>
            <w:r w:rsidRPr="007C0E23">
              <w:rPr>
                <w:rFonts w:ascii="Arial" w:hAnsi="Arial" w:cs="Arial"/>
              </w:rPr>
              <w:t xml:space="preserve"> ± 0.0</w:t>
            </w:r>
            <w:r>
              <w:rPr>
                <w:rFonts w:ascii="Arial" w:hAnsi="Arial" w:cs="Arial"/>
              </w:rPr>
              <w:t>7</w:t>
            </w:r>
            <w:r>
              <w:rPr>
                <w:rFonts w:ascii="Arial" w:hAnsi="Arial" w:cs="Arial"/>
                <w:vertAlign w:val="superscript"/>
              </w:rPr>
              <w:t>b</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10</w:t>
            </w:r>
          </w:p>
        </w:tc>
        <w:tc>
          <w:tcPr>
            <w:tcW w:w="2250" w:type="dxa"/>
          </w:tcPr>
          <w:p w:rsidR="00330CF1" w:rsidRPr="008439F8" w:rsidRDefault="00330CF1" w:rsidP="004B53A0">
            <w:pPr>
              <w:jc w:val="center"/>
              <w:rPr>
                <w:rFonts w:ascii="Arial" w:hAnsi="Arial" w:cs="Arial"/>
              </w:rPr>
            </w:pPr>
            <w:r>
              <w:rPr>
                <w:rFonts w:ascii="Arial" w:hAnsi="Arial" w:cs="Arial"/>
              </w:rPr>
              <w:t>4.01</w:t>
            </w:r>
            <w:r w:rsidRPr="007C0E23">
              <w:rPr>
                <w:rFonts w:ascii="Arial" w:hAnsi="Arial" w:cs="Arial"/>
              </w:rPr>
              <w:t xml:space="preserve"> ± 0.0</w:t>
            </w:r>
            <w:r>
              <w:rPr>
                <w:rFonts w:ascii="Arial" w:hAnsi="Arial" w:cs="Arial"/>
              </w:rPr>
              <w:t>7</w:t>
            </w:r>
            <w:r>
              <w:rPr>
                <w:rFonts w:ascii="Arial" w:hAnsi="Arial" w:cs="Arial"/>
                <w:vertAlign w:val="superscript"/>
              </w:rPr>
              <w:t>a</w:t>
            </w:r>
          </w:p>
        </w:tc>
        <w:tc>
          <w:tcPr>
            <w:tcW w:w="2250" w:type="dxa"/>
          </w:tcPr>
          <w:p w:rsidR="00330CF1" w:rsidRPr="00DD1943" w:rsidRDefault="00330CF1" w:rsidP="004B53A0">
            <w:pPr>
              <w:jc w:val="center"/>
              <w:rPr>
                <w:rFonts w:ascii="Arial" w:hAnsi="Arial" w:cs="Arial"/>
              </w:rPr>
            </w:pPr>
            <w:r w:rsidRPr="007C0E23">
              <w:rPr>
                <w:rFonts w:ascii="Arial" w:hAnsi="Arial" w:cs="Arial"/>
              </w:rPr>
              <w:t>3.65 ± 0.</w:t>
            </w:r>
            <w:r>
              <w:rPr>
                <w:rFonts w:ascii="Arial" w:hAnsi="Arial" w:cs="Arial"/>
              </w:rPr>
              <w:t>07</w:t>
            </w:r>
            <w:r>
              <w:rPr>
                <w:rFonts w:ascii="Arial" w:hAnsi="Arial" w:cs="Arial"/>
                <w:vertAlign w:val="superscript"/>
              </w:rPr>
              <w:t>b</w:t>
            </w:r>
          </w:p>
        </w:tc>
        <w:tc>
          <w:tcPr>
            <w:tcW w:w="2340" w:type="dxa"/>
          </w:tcPr>
          <w:p w:rsidR="00330CF1" w:rsidRPr="00DD1943" w:rsidRDefault="00330CF1" w:rsidP="004B53A0">
            <w:pPr>
              <w:jc w:val="center"/>
              <w:rPr>
                <w:rFonts w:ascii="Arial" w:hAnsi="Arial" w:cs="Arial"/>
                <w:vertAlign w:val="superscript"/>
              </w:rPr>
            </w:pPr>
            <w:r>
              <w:rPr>
                <w:rFonts w:ascii="Arial" w:hAnsi="Arial" w:cs="Arial"/>
              </w:rPr>
              <w:t>3.64</w:t>
            </w:r>
            <w:r w:rsidRPr="007C0E23">
              <w:rPr>
                <w:rFonts w:ascii="Arial" w:hAnsi="Arial" w:cs="Arial"/>
              </w:rPr>
              <w:t xml:space="preserve"> ± 0.0</w:t>
            </w:r>
            <w:r>
              <w:rPr>
                <w:rFonts w:ascii="Arial" w:hAnsi="Arial" w:cs="Arial"/>
              </w:rPr>
              <w:t>7</w:t>
            </w:r>
            <w:r>
              <w:rPr>
                <w:rFonts w:ascii="Arial" w:hAnsi="Arial" w:cs="Arial"/>
                <w:vertAlign w:val="superscript"/>
              </w:rPr>
              <w:t>b</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Globulin </w:t>
            </w:r>
            <w:r>
              <w:rPr>
                <w:rFonts w:ascii="Arial" w:hAnsi="Arial" w:cs="Arial"/>
              </w:rPr>
              <w:t>(gm/dL)</w:t>
            </w:r>
          </w:p>
        </w:tc>
        <w:tc>
          <w:tcPr>
            <w:tcW w:w="2250" w:type="dxa"/>
          </w:tcPr>
          <w:p w:rsidR="00330CF1" w:rsidRPr="007C0E23" w:rsidRDefault="00330CF1" w:rsidP="004B53A0">
            <w:pPr>
              <w:jc w:val="center"/>
              <w:rPr>
                <w:rFonts w:ascii="Arial" w:hAnsi="Arial" w:cs="Arial"/>
              </w:rPr>
            </w:pPr>
          </w:p>
        </w:tc>
        <w:tc>
          <w:tcPr>
            <w:tcW w:w="2250" w:type="dxa"/>
          </w:tcPr>
          <w:p w:rsidR="00330CF1" w:rsidRPr="007C0E23" w:rsidRDefault="00330CF1" w:rsidP="004B53A0">
            <w:pPr>
              <w:jc w:val="center"/>
              <w:rPr>
                <w:rFonts w:ascii="Arial" w:hAnsi="Arial" w:cs="Arial"/>
              </w:rPr>
            </w:pPr>
          </w:p>
        </w:tc>
        <w:tc>
          <w:tcPr>
            <w:tcW w:w="2340" w:type="dxa"/>
          </w:tcPr>
          <w:p w:rsidR="00330CF1" w:rsidRPr="007C0E23" w:rsidRDefault="00330CF1" w:rsidP="004B53A0">
            <w:pPr>
              <w:jc w:val="center"/>
              <w:rPr>
                <w:rFonts w:ascii="Arial" w:hAnsi="Arial" w:cs="Arial"/>
              </w:rPr>
            </w:pP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0</w:t>
            </w:r>
          </w:p>
        </w:tc>
        <w:tc>
          <w:tcPr>
            <w:tcW w:w="2250" w:type="dxa"/>
          </w:tcPr>
          <w:p w:rsidR="00330CF1" w:rsidRPr="00DD1943" w:rsidRDefault="00330CF1" w:rsidP="004B53A0">
            <w:pPr>
              <w:jc w:val="center"/>
              <w:rPr>
                <w:rFonts w:ascii="Arial" w:hAnsi="Arial" w:cs="Arial"/>
              </w:rPr>
            </w:pPr>
            <w:r>
              <w:rPr>
                <w:rFonts w:ascii="Arial" w:hAnsi="Arial" w:cs="Arial"/>
              </w:rPr>
              <w:t>2.27</w:t>
            </w:r>
            <w:r w:rsidRPr="007C0E23">
              <w:rPr>
                <w:rFonts w:ascii="Arial" w:hAnsi="Arial" w:cs="Arial"/>
              </w:rPr>
              <w:t xml:space="preserve"> ± 0.1</w:t>
            </w:r>
            <w:r>
              <w:rPr>
                <w:rFonts w:ascii="Arial" w:hAnsi="Arial" w:cs="Arial"/>
              </w:rPr>
              <w:t>2</w:t>
            </w:r>
            <w:r>
              <w:rPr>
                <w:rFonts w:ascii="Arial" w:hAnsi="Arial" w:cs="Arial"/>
                <w:vertAlign w:val="superscript"/>
              </w:rPr>
              <w:t>d</w:t>
            </w:r>
          </w:p>
        </w:tc>
        <w:tc>
          <w:tcPr>
            <w:tcW w:w="2250" w:type="dxa"/>
          </w:tcPr>
          <w:p w:rsidR="00330CF1" w:rsidRPr="00DD1943" w:rsidRDefault="00330CF1" w:rsidP="004B53A0">
            <w:pPr>
              <w:jc w:val="center"/>
              <w:rPr>
                <w:rFonts w:ascii="Arial" w:hAnsi="Arial" w:cs="Arial"/>
                <w:vertAlign w:val="superscript"/>
              </w:rPr>
            </w:pPr>
            <w:r w:rsidRPr="007C0E23">
              <w:rPr>
                <w:rFonts w:ascii="Arial" w:hAnsi="Arial" w:cs="Arial"/>
              </w:rPr>
              <w:t>2.45 ± 0.1</w:t>
            </w:r>
            <w:r>
              <w:rPr>
                <w:rFonts w:ascii="Arial" w:hAnsi="Arial" w:cs="Arial"/>
              </w:rPr>
              <w:t>2</w:t>
            </w:r>
            <w:r>
              <w:rPr>
                <w:rFonts w:ascii="Arial" w:hAnsi="Arial" w:cs="Arial"/>
                <w:vertAlign w:val="superscript"/>
              </w:rPr>
              <w:t>bcd</w:t>
            </w:r>
          </w:p>
        </w:tc>
        <w:tc>
          <w:tcPr>
            <w:tcW w:w="2340" w:type="dxa"/>
          </w:tcPr>
          <w:p w:rsidR="00330CF1" w:rsidRPr="008F2040" w:rsidRDefault="00330CF1" w:rsidP="004B53A0">
            <w:pPr>
              <w:jc w:val="center"/>
              <w:rPr>
                <w:rFonts w:ascii="Arial" w:hAnsi="Arial" w:cs="Arial"/>
              </w:rPr>
            </w:pPr>
            <w:r>
              <w:rPr>
                <w:rFonts w:ascii="Arial" w:hAnsi="Arial" w:cs="Arial"/>
              </w:rPr>
              <w:t>2.46</w:t>
            </w:r>
            <w:r w:rsidRPr="007C0E23">
              <w:rPr>
                <w:rFonts w:ascii="Arial" w:hAnsi="Arial" w:cs="Arial"/>
              </w:rPr>
              <w:t xml:space="preserve"> ± 0.1</w:t>
            </w:r>
            <w:r>
              <w:rPr>
                <w:rFonts w:ascii="Arial" w:hAnsi="Arial" w:cs="Arial"/>
              </w:rPr>
              <w:t>2</w:t>
            </w:r>
            <w:r>
              <w:rPr>
                <w:rFonts w:ascii="Arial" w:hAnsi="Arial" w:cs="Arial"/>
                <w:vertAlign w:val="superscript"/>
              </w:rPr>
              <w:t>cd</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5</w:t>
            </w:r>
          </w:p>
        </w:tc>
        <w:tc>
          <w:tcPr>
            <w:tcW w:w="2250" w:type="dxa"/>
          </w:tcPr>
          <w:p w:rsidR="00330CF1" w:rsidRPr="00DD1943" w:rsidRDefault="00330CF1" w:rsidP="004B53A0">
            <w:pPr>
              <w:jc w:val="center"/>
              <w:rPr>
                <w:rFonts w:ascii="Arial" w:hAnsi="Arial" w:cs="Arial"/>
              </w:rPr>
            </w:pPr>
            <w:r w:rsidRPr="007C0E23">
              <w:rPr>
                <w:rFonts w:ascii="Arial" w:hAnsi="Arial" w:cs="Arial"/>
              </w:rPr>
              <w:t>2.25 ± 0.1</w:t>
            </w:r>
            <w:r>
              <w:rPr>
                <w:rFonts w:ascii="Arial" w:hAnsi="Arial" w:cs="Arial"/>
              </w:rPr>
              <w:t>2</w:t>
            </w:r>
            <w:r>
              <w:rPr>
                <w:rFonts w:ascii="Arial" w:hAnsi="Arial" w:cs="Arial"/>
                <w:vertAlign w:val="superscript"/>
              </w:rPr>
              <w:t>d</w:t>
            </w:r>
          </w:p>
        </w:tc>
        <w:tc>
          <w:tcPr>
            <w:tcW w:w="2250" w:type="dxa"/>
          </w:tcPr>
          <w:p w:rsidR="00330CF1" w:rsidRPr="00DD1943" w:rsidRDefault="00330CF1" w:rsidP="004B53A0">
            <w:pPr>
              <w:jc w:val="center"/>
              <w:rPr>
                <w:rFonts w:ascii="Arial" w:hAnsi="Arial" w:cs="Arial"/>
                <w:vertAlign w:val="superscript"/>
              </w:rPr>
            </w:pPr>
            <w:r w:rsidRPr="007C0E23">
              <w:rPr>
                <w:rFonts w:ascii="Arial" w:hAnsi="Arial" w:cs="Arial"/>
              </w:rPr>
              <w:t>2.625 ± 0.1</w:t>
            </w:r>
            <w:r>
              <w:rPr>
                <w:rFonts w:ascii="Arial" w:hAnsi="Arial" w:cs="Arial"/>
              </w:rPr>
              <w:t>2</w:t>
            </w:r>
            <w:r>
              <w:rPr>
                <w:rFonts w:ascii="Arial" w:hAnsi="Arial" w:cs="Arial"/>
                <w:vertAlign w:val="superscript"/>
              </w:rPr>
              <w:t>abc</w:t>
            </w:r>
          </w:p>
        </w:tc>
        <w:tc>
          <w:tcPr>
            <w:tcW w:w="2340" w:type="dxa"/>
          </w:tcPr>
          <w:p w:rsidR="00330CF1" w:rsidRPr="008F2040" w:rsidRDefault="00330CF1" w:rsidP="004B53A0">
            <w:pPr>
              <w:jc w:val="center"/>
              <w:rPr>
                <w:rFonts w:ascii="Arial" w:hAnsi="Arial" w:cs="Arial"/>
              </w:rPr>
            </w:pPr>
            <w:r>
              <w:rPr>
                <w:rFonts w:ascii="Arial" w:hAnsi="Arial" w:cs="Arial"/>
              </w:rPr>
              <w:t>2.71</w:t>
            </w:r>
            <w:r w:rsidRPr="007C0E23">
              <w:rPr>
                <w:rFonts w:ascii="Arial" w:hAnsi="Arial" w:cs="Arial"/>
              </w:rPr>
              <w:t xml:space="preserve"> ± 0.</w:t>
            </w:r>
            <w:r>
              <w:rPr>
                <w:rFonts w:ascii="Arial" w:hAnsi="Arial" w:cs="Arial"/>
              </w:rPr>
              <w:t>12</w:t>
            </w:r>
            <w:r>
              <w:rPr>
                <w:rFonts w:ascii="Arial" w:hAnsi="Arial" w:cs="Arial"/>
                <w:vertAlign w:val="superscript"/>
              </w:rPr>
              <w:t>ab</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10</w:t>
            </w:r>
          </w:p>
        </w:tc>
        <w:tc>
          <w:tcPr>
            <w:tcW w:w="2250" w:type="dxa"/>
          </w:tcPr>
          <w:p w:rsidR="00330CF1" w:rsidRPr="00DD1943" w:rsidRDefault="00330CF1" w:rsidP="004B53A0">
            <w:pPr>
              <w:jc w:val="center"/>
              <w:rPr>
                <w:rFonts w:ascii="Arial" w:hAnsi="Arial" w:cs="Arial"/>
                <w:vertAlign w:val="superscript"/>
              </w:rPr>
            </w:pPr>
            <w:r>
              <w:rPr>
                <w:rFonts w:ascii="Arial" w:hAnsi="Arial" w:cs="Arial"/>
              </w:rPr>
              <w:t>2.36</w:t>
            </w:r>
            <w:r w:rsidRPr="007C0E23">
              <w:rPr>
                <w:rFonts w:ascii="Arial" w:hAnsi="Arial" w:cs="Arial"/>
              </w:rPr>
              <w:t xml:space="preserve"> ± 0.12</w:t>
            </w:r>
            <w:r>
              <w:rPr>
                <w:rFonts w:ascii="Arial" w:hAnsi="Arial" w:cs="Arial"/>
                <w:vertAlign w:val="superscript"/>
              </w:rPr>
              <w:t>cd</w:t>
            </w:r>
          </w:p>
        </w:tc>
        <w:tc>
          <w:tcPr>
            <w:tcW w:w="2250" w:type="dxa"/>
          </w:tcPr>
          <w:p w:rsidR="00330CF1" w:rsidRPr="00DD1943" w:rsidRDefault="00330CF1" w:rsidP="004B53A0">
            <w:pPr>
              <w:jc w:val="center"/>
              <w:rPr>
                <w:rFonts w:ascii="Arial" w:hAnsi="Arial" w:cs="Arial"/>
              </w:rPr>
            </w:pPr>
            <w:r>
              <w:rPr>
                <w:rFonts w:ascii="Arial" w:hAnsi="Arial" w:cs="Arial"/>
              </w:rPr>
              <w:t>2.56</w:t>
            </w:r>
            <w:r w:rsidRPr="007C0E23">
              <w:rPr>
                <w:rFonts w:ascii="Arial" w:hAnsi="Arial" w:cs="Arial"/>
              </w:rPr>
              <w:t xml:space="preserve"> ± 0.</w:t>
            </w:r>
            <w:r>
              <w:rPr>
                <w:rFonts w:ascii="Arial" w:hAnsi="Arial" w:cs="Arial"/>
              </w:rPr>
              <w:t>12</w:t>
            </w:r>
            <w:r>
              <w:rPr>
                <w:rFonts w:ascii="Arial" w:hAnsi="Arial" w:cs="Arial"/>
                <w:vertAlign w:val="superscript"/>
              </w:rPr>
              <w:t>abcd</w:t>
            </w:r>
          </w:p>
        </w:tc>
        <w:tc>
          <w:tcPr>
            <w:tcW w:w="2340" w:type="dxa"/>
          </w:tcPr>
          <w:p w:rsidR="00330CF1" w:rsidRPr="008F2040" w:rsidRDefault="00330CF1" w:rsidP="004B53A0">
            <w:pPr>
              <w:jc w:val="center"/>
              <w:rPr>
                <w:rFonts w:ascii="Arial" w:hAnsi="Arial" w:cs="Arial"/>
              </w:rPr>
            </w:pPr>
            <w:r>
              <w:rPr>
                <w:rFonts w:ascii="Arial" w:hAnsi="Arial" w:cs="Arial"/>
              </w:rPr>
              <w:t>2.89</w:t>
            </w:r>
            <w:r w:rsidRPr="007C0E23">
              <w:rPr>
                <w:rFonts w:ascii="Arial" w:hAnsi="Arial" w:cs="Arial"/>
              </w:rPr>
              <w:t xml:space="preserve"> ± 0.1</w:t>
            </w:r>
            <w:r>
              <w:rPr>
                <w:rFonts w:ascii="Arial" w:hAnsi="Arial" w:cs="Arial"/>
              </w:rPr>
              <w:t>2</w:t>
            </w:r>
            <w:r>
              <w:rPr>
                <w:rFonts w:ascii="Arial" w:hAnsi="Arial" w:cs="Arial"/>
                <w:vertAlign w:val="superscript"/>
              </w:rPr>
              <w:t>a</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Taurine</w:t>
            </w:r>
            <w:r>
              <w:rPr>
                <w:rFonts w:ascii="Arial" w:hAnsi="Arial" w:cs="Arial"/>
              </w:rPr>
              <w:t xml:space="preserve"> (nMol/mL)*</w:t>
            </w:r>
          </w:p>
        </w:tc>
        <w:tc>
          <w:tcPr>
            <w:tcW w:w="2250" w:type="dxa"/>
          </w:tcPr>
          <w:p w:rsidR="00330CF1" w:rsidRPr="007C0E23" w:rsidRDefault="00330CF1" w:rsidP="004B53A0">
            <w:pPr>
              <w:jc w:val="center"/>
              <w:rPr>
                <w:rFonts w:ascii="Arial" w:hAnsi="Arial" w:cs="Arial"/>
              </w:rPr>
            </w:pPr>
          </w:p>
        </w:tc>
        <w:tc>
          <w:tcPr>
            <w:tcW w:w="2250" w:type="dxa"/>
          </w:tcPr>
          <w:p w:rsidR="00330CF1" w:rsidRPr="007C0E23" w:rsidRDefault="00330CF1" w:rsidP="004B53A0">
            <w:pPr>
              <w:jc w:val="center"/>
              <w:rPr>
                <w:rFonts w:ascii="Arial" w:hAnsi="Arial" w:cs="Arial"/>
              </w:rPr>
            </w:pPr>
          </w:p>
        </w:tc>
        <w:tc>
          <w:tcPr>
            <w:tcW w:w="2340" w:type="dxa"/>
          </w:tcPr>
          <w:p w:rsidR="00330CF1" w:rsidRPr="007C0E23" w:rsidRDefault="00330CF1" w:rsidP="004B53A0">
            <w:pPr>
              <w:jc w:val="center"/>
              <w:rPr>
                <w:rFonts w:ascii="Arial" w:hAnsi="Arial" w:cs="Arial"/>
              </w:rPr>
            </w:pP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0</w:t>
            </w:r>
          </w:p>
        </w:tc>
        <w:tc>
          <w:tcPr>
            <w:tcW w:w="2250" w:type="dxa"/>
          </w:tcPr>
          <w:p w:rsidR="00330CF1" w:rsidRPr="008F2040" w:rsidRDefault="00330CF1" w:rsidP="004B53A0">
            <w:pPr>
              <w:jc w:val="center"/>
              <w:rPr>
                <w:rFonts w:ascii="Arial" w:hAnsi="Arial" w:cs="Arial"/>
              </w:rPr>
            </w:pPr>
            <w:r w:rsidRPr="007C0E23">
              <w:rPr>
                <w:rFonts w:ascii="Arial" w:hAnsi="Arial" w:cs="Arial"/>
              </w:rPr>
              <w:t>503</w:t>
            </w:r>
            <w:r>
              <w:rPr>
                <w:rFonts w:ascii="Arial" w:hAnsi="Arial" w:cs="Arial"/>
              </w:rPr>
              <w:t>.0</w:t>
            </w:r>
            <w:r w:rsidRPr="007C0E23">
              <w:rPr>
                <w:rFonts w:ascii="Arial" w:hAnsi="Arial" w:cs="Arial"/>
              </w:rPr>
              <w:t xml:space="preserve"> ± </w:t>
            </w:r>
            <w:r>
              <w:rPr>
                <w:rFonts w:ascii="Arial" w:hAnsi="Arial" w:cs="Arial"/>
              </w:rPr>
              <w:t>47.4</w:t>
            </w:r>
            <w:r>
              <w:rPr>
                <w:rFonts w:ascii="Arial" w:hAnsi="Arial" w:cs="Arial"/>
                <w:vertAlign w:val="superscript"/>
              </w:rPr>
              <w:t>bc</w:t>
            </w:r>
          </w:p>
        </w:tc>
        <w:tc>
          <w:tcPr>
            <w:tcW w:w="2250" w:type="dxa"/>
          </w:tcPr>
          <w:p w:rsidR="00330CF1" w:rsidRPr="008F2040" w:rsidRDefault="00330CF1" w:rsidP="004B53A0">
            <w:pPr>
              <w:jc w:val="center"/>
              <w:rPr>
                <w:rFonts w:ascii="Arial" w:hAnsi="Arial" w:cs="Arial"/>
              </w:rPr>
            </w:pPr>
            <w:r>
              <w:rPr>
                <w:rFonts w:ascii="Arial" w:hAnsi="Arial" w:cs="Arial"/>
              </w:rPr>
              <w:t>605.9</w:t>
            </w:r>
            <w:r w:rsidRPr="007C0E23">
              <w:rPr>
                <w:rFonts w:ascii="Arial" w:hAnsi="Arial" w:cs="Arial"/>
              </w:rPr>
              <w:t xml:space="preserve"> ± </w:t>
            </w:r>
            <w:r>
              <w:rPr>
                <w:rFonts w:ascii="Arial" w:hAnsi="Arial" w:cs="Arial"/>
              </w:rPr>
              <w:t>47.4</w:t>
            </w:r>
            <w:r>
              <w:rPr>
                <w:rFonts w:ascii="Arial" w:hAnsi="Arial" w:cs="Arial"/>
                <w:vertAlign w:val="superscript"/>
              </w:rPr>
              <w:t>ab</w:t>
            </w:r>
          </w:p>
        </w:tc>
        <w:tc>
          <w:tcPr>
            <w:tcW w:w="2340" w:type="dxa"/>
          </w:tcPr>
          <w:p w:rsidR="00330CF1" w:rsidRPr="008F2040" w:rsidRDefault="00330CF1" w:rsidP="004B53A0">
            <w:pPr>
              <w:jc w:val="center"/>
              <w:rPr>
                <w:rFonts w:ascii="Arial" w:hAnsi="Arial" w:cs="Arial"/>
              </w:rPr>
            </w:pPr>
            <w:r w:rsidRPr="007C0E23">
              <w:rPr>
                <w:rFonts w:ascii="Arial" w:hAnsi="Arial" w:cs="Arial"/>
              </w:rPr>
              <w:t>524</w:t>
            </w:r>
            <w:r>
              <w:rPr>
                <w:rFonts w:ascii="Arial" w:hAnsi="Arial" w:cs="Arial"/>
              </w:rPr>
              <w:t>.0</w:t>
            </w:r>
            <w:r w:rsidRPr="007C0E23">
              <w:rPr>
                <w:rFonts w:ascii="Arial" w:hAnsi="Arial" w:cs="Arial"/>
              </w:rPr>
              <w:t xml:space="preserve"> ± </w:t>
            </w:r>
            <w:r>
              <w:rPr>
                <w:rFonts w:ascii="Arial" w:hAnsi="Arial" w:cs="Arial"/>
              </w:rPr>
              <w:t>47.4</w:t>
            </w:r>
            <w:r>
              <w:rPr>
                <w:rFonts w:ascii="Arial" w:hAnsi="Arial" w:cs="Arial"/>
                <w:vertAlign w:val="superscript"/>
              </w:rPr>
              <w:t>bc</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5</w:t>
            </w:r>
          </w:p>
        </w:tc>
        <w:tc>
          <w:tcPr>
            <w:tcW w:w="2250" w:type="dxa"/>
          </w:tcPr>
          <w:p w:rsidR="00330CF1" w:rsidRPr="008F2040" w:rsidRDefault="00330CF1" w:rsidP="004B53A0">
            <w:pPr>
              <w:jc w:val="center"/>
              <w:rPr>
                <w:rFonts w:ascii="Arial" w:hAnsi="Arial" w:cs="Arial"/>
                <w:vertAlign w:val="superscript"/>
              </w:rPr>
            </w:pPr>
            <w:r>
              <w:rPr>
                <w:rFonts w:ascii="Arial" w:hAnsi="Arial" w:cs="Arial"/>
              </w:rPr>
              <w:t>575.6</w:t>
            </w:r>
            <w:r w:rsidRPr="007C0E23">
              <w:rPr>
                <w:rFonts w:ascii="Arial" w:hAnsi="Arial" w:cs="Arial"/>
              </w:rPr>
              <w:t xml:space="preserve"> ± </w:t>
            </w:r>
            <w:r>
              <w:rPr>
                <w:rFonts w:ascii="Arial" w:hAnsi="Arial" w:cs="Arial"/>
              </w:rPr>
              <w:t>47.4</w:t>
            </w:r>
            <w:r>
              <w:rPr>
                <w:rFonts w:ascii="Arial" w:hAnsi="Arial" w:cs="Arial"/>
                <w:vertAlign w:val="superscript"/>
              </w:rPr>
              <w:t>abc</w:t>
            </w:r>
          </w:p>
        </w:tc>
        <w:tc>
          <w:tcPr>
            <w:tcW w:w="2250" w:type="dxa"/>
          </w:tcPr>
          <w:p w:rsidR="00330CF1" w:rsidRPr="008F2040" w:rsidRDefault="00330CF1" w:rsidP="004B53A0">
            <w:pPr>
              <w:jc w:val="center"/>
              <w:rPr>
                <w:rFonts w:ascii="Arial" w:hAnsi="Arial" w:cs="Arial"/>
                <w:vertAlign w:val="superscript"/>
              </w:rPr>
            </w:pPr>
            <w:r>
              <w:rPr>
                <w:rFonts w:ascii="Arial" w:hAnsi="Arial" w:cs="Arial"/>
              </w:rPr>
              <w:t>553.6</w:t>
            </w:r>
            <w:r w:rsidRPr="007C0E23">
              <w:rPr>
                <w:rFonts w:ascii="Arial" w:hAnsi="Arial" w:cs="Arial"/>
              </w:rPr>
              <w:t xml:space="preserve"> ± </w:t>
            </w:r>
            <w:r>
              <w:rPr>
                <w:rFonts w:ascii="Arial" w:hAnsi="Arial" w:cs="Arial"/>
              </w:rPr>
              <w:t>47.4</w:t>
            </w:r>
            <w:r>
              <w:rPr>
                <w:rFonts w:ascii="Arial" w:hAnsi="Arial" w:cs="Arial"/>
                <w:vertAlign w:val="superscript"/>
              </w:rPr>
              <w:t>abc</w:t>
            </w:r>
          </w:p>
        </w:tc>
        <w:tc>
          <w:tcPr>
            <w:tcW w:w="2340" w:type="dxa"/>
          </w:tcPr>
          <w:p w:rsidR="00330CF1" w:rsidRPr="008F2040" w:rsidRDefault="00330CF1" w:rsidP="004B53A0">
            <w:pPr>
              <w:jc w:val="center"/>
              <w:rPr>
                <w:rFonts w:ascii="Arial" w:hAnsi="Arial" w:cs="Arial"/>
              </w:rPr>
            </w:pPr>
            <w:r>
              <w:rPr>
                <w:rFonts w:ascii="Arial" w:hAnsi="Arial" w:cs="Arial"/>
              </w:rPr>
              <w:t>652.7</w:t>
            </w:r>
            <w:r w:rsidRPr="007C0E23">
              <w:rPr>
                <w:rFonts w:ascii="Arial" w:hAnsi="Arial" w:cs="Arial"/>
              </w:rPr>
              <w:t xml:space="preserve"> ± </w:t>
            </w:r>
            <w:r>
              <w:rPr>
                <w:rFonts w:ascii="Arial" w:hAnsi="Arial" w:cs="Arial"/>
              </w:rPr>
              <w:t>47.4</w:t>
            </w:r>
            <w:r>
              <w:rPr>
                <w:rFonts w:ascii="Arial" w:hAnsi="Arial" w:cs="Arial"/>
                <w:vertAlign w:val="superscript"/>
              </w:rPr>
              <w:t>a</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10</w:t>
            </w:r>
          </w:p>
        </w:tc>
        <w:tc>
          <w:tcPr>
            <w:tcW w:w="2250" w:type="dxa"/>
          </w:tcPr>
          <w:p w:rsidR="00330CF1" w:rsidRPr="008F2040" w:rsidRDefault="00330CF1" w:rsidP="004B53A0">
            <w:pPr>
              <w:jc w:val="center"/>
              <w:rPr>
                <w:rFonts w:ascii="Arial" w:hAnsi="Arial" w:cs="Arial"/>
              </w:rPr>
            </w:pPr>
            <w:r>
              <w:rPr>
                <w:rFonts w:ascii="Arial" w:hAnsi="Arial" w:cs="Arial"/>
              </w:rPr>
              <w:t>502.1</w:t>
            </w:r>
            <w:r w:rsidRPr="007C0E23">
              <w:rPr>
                <w:rFonts w:ascii="Arial" w:hAnsi="Arial" w:cs="Arial"/>
              </w:rPr>
              <w:t xml:space="preserve"> ± 4</w:t>
            </w:r>
            <w:r>
              <w:rPr>
                <w:rFonts w:ascii="Arial" w:hAnsi="Arial" w:cs="Arial"/>
              </w:rPr>
              <w:t>7.4</w:t>
            </w:r>
            <w:r>
              <w:rPr>
                <w:rFonts w:ascii="Arial" w:hAnsi="Arial" w:cs="Arial"/>
                <w:vertAlign w:val="superscript"/>
              </w:rPr>
              <w:t>bc</w:t>
            </w:r>
          </w:p>
        </w:tc>
        <w:tc>
          <w:tcPr>
            <w:tcW w:w="2250" w:type="dxa"/>
          </w:tcPr>
          <w:p w:rsidR="00330CF1" w:rsidRPr="008F2040" w:rsidRDefault="00330CF1" w:rsidP="004B53A0">
            <w:pPr>
              <w:jc w:val="center"/>
              <w:rPr>
                <w:rFonts w:ascii="Arial" w:hAnsi="Arial" w:cs="Arial"/>
                <w:vertAlign w:val="superscript"/>
              </w:rPr>
            </w:pPr>
            <w:r w:rsidRPr="007C0E23">
              <w:rPr>
                <w:rFonts w:ascii="Arial" w:hAnsi="Arial" w:cs="Arial"/>
              </w:rPr>
              <w:t xml:space="preserve">470.5 ± </w:t>
            </w:r>
            <w:r>
              <w:rPr>
                <w:rFonts w:ascii="Arial" w:hAnsi="Arial" w:cs="Arial"/>
              </w:rPr>
              <w:t>47.4</w:t>
            </w:r>
            <w:r>
              <w:rPr>
                <w:rFonts w:ascii="Arial" w:hAnsi="Arial" w:cs="Arial"/>
                <w:vertAlign w:val="superscript"/>
              </w:rPr>
              <w:t>c</w:t>
            </w:r>
          </w:p>
        </w:tc>
        <w:tc>
          <w:tcPr>
            <w:tcW w:w="2340" w:type="dxa"/>
          </w:tcPr>
          <w:p w:rsidR="00330CF1" w:rsidRPr="008F2040" w:rsidRDefault="00330CF1" w:rsidP="004B53A0">
            <w:pPr>
              <w:jc w:val="center"/>
              <w:rPr>
                <w:rFonts w:ascii="Arial" w:hAnsi="Arial" w:cs="Arial"/>
                <w:vertAlign w:val="superscript"/>
              </w:rPr>
            </w:pPr>
            <w:r>
              <w:rPr>
                <w:rFonts w:ascii="Arial" w:hAnsi="Arial" w:cs="Arial"/>
              </w:rPr>
              <w:t>637.6</w:t>
            </w:r>
            <w:r w:rsidRPr="007C0E23">
              <w:rPr>
                <w:rFonts w:ascii="Arial" w:hAnsi="Arial" w:cs="Arial"/>
              </w:rPr>
              <w:t xml:space="preserve"> ± </w:t>
            </w:r>
            <w:r>
              <w:rPr>
                <w:rFonts w:ascii="Arial" w:hAnsi="Arial" w:cs="Arial"/>
              </w:rPr>
              <w:t>47.4</w:t>
            </w:r>
            <w:r>
              <w:rPr>
                <w:rFonts w:ascii="Arial" w:hAnsi="Arial" w:cs="Arial"/>
                <w:vertAlign w:val="superscript"/>
              </w:rPr>
              <w:t>a</w:t>
            </w:r>
          </w:p>
        </w:tc>
      </w:tr>
      <w:tr w:rsidR="00330CF1" w:rsidRPr="007C0E23" w:rsidTr="00B464EE">
        <w:tc>
          <w:tcPr>
            <w:tcW w:w="2538" w:type="dxa"/>
          </w:tcPr>
          <w:p w:rsidR="00330CF1" w:rsidRPr="007C0E23" w:rsidRDefault="00330CF1" w:rsidP="0045794D">
            <w:pPr>
              <w:rPr>
                <w:rFonts w:ascii="Arial" w:hAnsi="Arial" w:cs="Arial"/>
              </w:rPr>
            </w:pPr>
            <w:r>
              <w:rPr>
                <w:rFonts w:ascii="Arial" w:hAnsi="Arial" w:cs="Arial"/>
              </w:rPr>
              <w:t>BUN**  (mg/dL)</w:t>
            </w:r>
          </w:p>
        </w:tc>
        <w:tc>
          <w:tcPr>
            <w:tcW w:w="2250" w:type="dxa"/>
          </w:tcPr>
          <w:p w:rsidR="00330CF1" w:rsidRPr="007C0E23" w:rsidRDefault="00330CF1" w:rsidP="004B53A0">
            <w:pPr>
              <w:jc w:val="center"/>
              <w:rPr>
                <w:rFonts w:ascii="Arial" w:hAnsi="Arial" w:cs="Arial"/>
              </w:rPr>
            </w:pPr>
          </w:p>
        </w:tc>
        <w:tc>
          <w:tcPr>
            <w:tcW w:w="2250" w:type="dxa"/>
          </w:tcPr>
          <w:p w:rsidR="00330CF1" w:rsidRPr="007C0E23" w:rsidRDefault="00330CF1" w:rsidP="004B53A0">
            <w:pPr>
              <w:jc w:val="center"/>
              <w:rPr>
                <w:rFonts w:ascii="Arial" w:hAnsi="Arial" w:cs="Arial"/>
              </w:rPr>
            </w:pPr>
          </w:p>
        </w:tc>
        <w:tc>
          <w:tcPr>
            <w:tcW w:w="2340" w:type="dxa"/>
          </w:tcPr>
          <w:p w:rsidR="00330CF1" w:rsidRPr="007C0E23" w:rsidRDefault="00330CF1" w:rsidP="004B53A0">
            <w:pPr>
              <w:jc w:val="center"/>
              <w:rPr>
                <w:rFonts w:ascii="Arial" w:hAnsi="Arial" w:cs="Arial"/>
              </w:rPr>
            </w:pP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0</w:t>
            </w:r>
          </w:p>
        </w:tc>
        <w:tc>
          <w:tcPr>
            <w:tcW w:w="2250" w:type="dxa"/>
          </w:tcPr>
          <w:p w:rsidR="00330CF1" w:rsidRPr="00357D1D" w:rsidRDefault="00330CF1" w:rsidP="004B53A0">
            <w:pPr>
              <w:jc w:val="center"/>
              <w:rPr>
                <w:rFonts w:ascii="Arial" w:hAnsi="Arial" w:cs="Arial"/>
                <w:vertAlign w:val="superscript"/>
              </w:rPr>
            </w:pPr>
            <w:r>
              <w:rPr>
                <w:rFonts w:ascii="Arial" w:hAnsi="Arial" w:cs="Arial"/>
              </w:rPr>
              <w:t>19.12 ± 1.83</w:t>
            </w:r>
            <w:r>
              <w:rPr>
                <w:rFonts w:ascii="Arial" w:hAnsi="Arial" w:cs="Arial"/>
                <w:vertAlign w:val="superscript"/>
              </w:rPr>
              <w:t>c</w:t>
            </w:r>
          </w:p>
        </w:tc>
        <w:tc>
          <w:tcPr>
            <w:tcW w:w="2250" w:type="dxa"/>
          </w:tcPr>
          <w:p w:rsidR="00330CF1" w:rsidRPr="00357D1D" w:rsidRDefault="00330CF1" w:rsidP="004B53A0">
            <w:pPr>
              <w:jc w:val="center"/>
              <w:rPr>
                <w:rFonts w:ascii="Arial" w:hAnsi="Arial" w:cs="Arial"/>
                <w:vertAlign w:val="superscript"/>
              </w:rPr>
            </w:pPr>
            <w:r>
              <w:rPr>
                <w:rFonts w:ascii="Arial" w:hAnsi="Arial" w:cs="Arial"/>
              </w:rPr>
              <w:t>21.37 ± 1.83</w:t>
            </w:r>
            <w:r>
              <w:rPr>
                <w:rFonts w:ascii="Arial" w:hAnsi="Arial" w:cs="Arial"/>
                <w:vertAlign w:val="superscript"/>
              </w:rPr>
              <w:t>bc</w:t>
            </w:r>
          </w:p>
        </w:tc>
        <w:tc>
          <w:tcPr>
            <w:tcW w:w="2340" w:type="dxa"/>
          </w:tcPr>
          <w:p w:rsidR="00330CF1" w:rsidRPr="00357D1D" w:rsidRDefault="00330CF1" w:rsidP="004B53A0">
            <w:pPr>
              <w:jc w:val="center"/>
              <w:rPr>
                <w:rFonts w:ascii="Arial" w:hAnsi="Arial" w:cs="Arial"/>
                <w:vertAlign w:val="superscript"/>
              </w:rPr>
            </w:pPr>
            <w:r w:rsidRPr="007C0E23">
              <w:rPr>
                <w:rFonts w:ascii="Arial" w:hAnsi="Arial" w:cs="Arial"/>
              </w:rPr>
              <w:t>22.5</w:t>
            </w:r>
            <w:r>
              <w:rPr>
                <w:rFonts w:ascii="Arial" w:hAnsi="Arial" w:cs="Arial"/>
              </w:rPr>
              <w:t>0 ± 1.83</w:t>
            </w:r>
            <w:r>
              <w:rPr>
                <w:rFonts w:ascii="Arial" w:hAnsi="Arial" w:cs="Arial"/>
                <w:vertAlign w:val="superscript"/>
              </w:rPr>
              <w:t>bc</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5</w:t>
            </w:r>
          </w:p>
        </w:tc>
        <w:tc>
          <w:tcPr>
            <w:tcW w:w="2250" w:type="dxa"/>
          </w:tcPr>
          <w:p w:rsidR="00330CF1" w:rsidRPr="00357D1D" w:rsidRDefault="00330CF1" w:rsidP="004B53A0">
            <w:pPr>
              <w:jc w:val="center"/>
              <w:rPr>
                <w:rFonts w:ascii="Arial" w:hAnsi="Arial" w:cs="Arial"/>
                <w:vertAlign w:val="superscript"/>
              </w:rPr>
            </w:pPr>
            <w:r>
              <w:rPr>
                <w:rFonts w:ascii="Arial" w:hAnsi="Arial" w:cs="Arial"/>
              </w:rPr>
              <w:t>17.88  ±  1.83</w:t>
            </w:r>
            <w:r>
              <w:rPr>
                <w:rFonts w:ascii="Arial" w:hAnsi="Arial" w:cs="Arial"/>
                <w:vertAlign w:val="superscript"/>
              </w:rPr>
              <w:t>c</w:t>
            </w:r>
          </w:p>
        </w:tc>
        <w:tc>
          <w:tcPr>
            <w:tcW w:w="2250" w:type="dxa"/>
          </w:tcPr>
          <w:p w:rsidR="00330CF1" w:rsidRPr="00357D1D" w:rsidRDefault="00330CF1" w:rsidP="004B53A0">
            <w:pPr>
              <w:jc w:val="center"/>
              <w:rPr>
                <w:rFonts w:ascii="Arial" w:hAnsi="Arial" w:cs="Arial"/>
                <w:vertAlign w:val="superscript"/>
              </w:rPr>
            </w:pPr>
            <w:r w:rsidRPr="007C0E23">
              <w:rPr>
                <w:rFonts w:ascii="Arial" w:hAnsi="Arial" w:cs="Arial"/>
              </w:rPr>
              <w:t>22.</w:t>
            </w:r>
            <w:r>
              <w:rPr>
                <w:rFonts w:ascii="Arial" w:hAnsi="Arial" w:cs="Arial"/>
              </w:rPr>
              <w:t>75 ± 1.83</w:t>
            </w:r>
            <w:r>
              <w:rPr>
                <w:rFonts w:ascii="Arial" w:hAnsi="Arial" w:cs="Arial"/>
                <w:vertAlign w:val="superscript"/>
              </w:rPr>
              <w:t>bc</w:t>
            </w:r>
          </w:p>
        </w:tc>
        <w:tc>
          <w:tcPr>
            <w:tcW w:w="2340" w:type="dxa"/>
          </w:tcPr>
          <w:p w:rsidR="00330CF1" w:rsidRPr="00357D1D" w:rsidRDefault="00330CF1" w:rsidP="004B53A0">
            <w:pPr>
              <w:jc w:val="center"/>
              <w:rPr>
                <w:rFonts w:ascii="Arial" w:hAnsi="Arial" w:cs="Arial"/>
                <w:vertAlign w:val="superscript"/>
              </w:rPr>
            </w:pPr>
            <w:r>
              <w:rPr>
                <w:rFonts w:ascii="Arial" w:hAnsi="Arial" w:cs="Arial"/>
              </w:rPr>
              <w:t>28.62 ± 1.83</w:t>
            </w:r>
            <w:r>
              <w:rPr>
                <w:rFonts w:ascii="Arial" w:hAnsi="Arial" w:cs="Arial"/>
                <w:vertAlign w:val="superscript"/>
              </w:rPr>
              <w:t>ab</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10</w:t>
            </w:r>
          </w:p>
        </w:tc>
        <w:tc>
          <w:tcPr>
            <w:tcW w:w="2250" w:type="dxa"/>
          </w:tcPr>
          <w:p w:rsidR="00330CF1" w:rsidRPr="00357D1D" w:rsidRDefault="00330CF1" w:rsidP="004B53A0">
            <w:pPr>
              <w:jc w:val="center"/>
              <w:rPr>
                <w:rFonts w:ascii="Arial" w:hAnsi="Arial" w:cs="Arial"/>
                <w:vertAlign w:val="superscript"/>
              </w:rPr>
            </w:pPr>
            <w:r>
              <w:rPr>
                <w:rFonts w:ascii="Arial" w:hAnsi="Arial" w:cs="Arial"/>
              </w:rPr>
              <w:t>18.62 ± 1.83</w:t>
            </w:r>
            <w:r>
              <w:rPr>
                <w:rFonts w:ascii="Arial" w:hAnsi="Arial" w:cs="Arial"/>
                <w:vertAlign w:val="superscript"/>
              </w:rPr>
              <w:t>c</w:t>
            </w:r>
          </w:p>
        </w:tc>
        <w:tc>
          <w:tcPr>
            <w:tcW w:w="2250" w:type="dxa"/>
          </w:tcPr>
          <w:p w:rsidR="00330CF1" w:rsidRPr="00357D1D" w:rsidRDefault="00330CF1" w:rsidP="004B53A0">
            <w:pPr>
              <w:jc w:val="center"/>
              <w:rPr>
                <w:rFonts w:ascii="Arial" w:hAnsi="Arial" w:cs="Arial"/>
                <w:vertAlign w:val="superscript"/>
              </w:rPr>
            </w:pPr>
            <w:r>
              <w:rPr>
                <w:rFonts w:ascii="Arial" w:hAnsi="Arial" w:cs="Arial"/>
              </w:rPr>
              <w:t>19.37 ± 1.83</w:t>
            </w:r>
            <w:r>
              <w:rPr>
                <w:rFonts w:ascii="Arial" w:hAnsi="Arial" w:cs="Arial"/>
                <w:vertAlign w:val="superscript"/>
              </w:rPr>
              <w:t>c</w:t>
            </w:r>
          </w:p>
        </w:tc>
        <w:tc>
          <w:tcPr>
            <w:tcW w:w="2340" w:type="dxa"/>
          </w:tcPr>
          <w:p w:rsidR="00330CF1" w:rsidRPr="00357D1D" w:rsidRDefault="00330CF1" w:rsidP="004B53A0">
            <w:pPr>
              <w:jc w:val="center"/>
              <w:rPr>
                <w:rFonts w:ascii="Arial" w:hAnsi="Arial" w:cs="Arial"/>
                <w:vertAlign w:val="superscript"/>
              </w:rPr>
            </w:pPr>
            <w:r>
              <w:rPr>
                <w:rFonts w:ascii="Arial" w:hAnsi="Arial" w:cs="Arial"/>
              </w:rPr>
              <w:t>25.12 ± 1.83</w:t>
            </w:r>
            <w:r>
              <w:rPr>
                <w:rFonts w:ascii="Arial" w:hAnsi="Arial" w:cs="Arial"/>
                <w:vertAlign w:val="superscript"/>
              </w:rPr>
              <w:t>ab</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Creatinine</w:t>
            </w:r>
            <w:r>
              <w:rPr>
                <w:rFonts w:ascii="Arial" w:hAnsi="Arial" w:cs="Arial"/>
              </w:rPr>
              <w:t xml:space="preserve"> (mg/dL)</w:t>
            </w:r>
          </w:p>
        </w:tc>
        <w:tc>
          <w:tcPr>
            <w:tcW w:w="2250" w:type="dxa"/>
          </w:tcPr>
          <w:p w:rsidR="00330CF1" w:rsidRPr="007C0E23" w:rsidRDefault="00330CF1" w:rsidP="004B53A0">
            <w:pPr>
              <w:jc w:val="center"/>
              <w:rPr>
                <w:rFonts w:ascii="Arial" w:hAnsi="Arial" w:cs="Arial"/>
              </w:rPr>
            </w:pPr>
          </w:p>
        </w:tc>
        <w:tc>
          <w:tcPr>
            <w:tcW w:w="2250" w:type="dxa"/>
          </w:tcPr>
          <w:p w:rsidR="00330CF1" w:rsidRPr="007C0E23" w:rsidRDefault="00330CF1" w:rsidP="004B53A0">
            <w:pPr>
              <w:jc w:val="center"/>
              <w:rPr>
                <w:rFonts w:ascii="Arial" w:hAnsi="Arial" w:cs="Arial"/>
              </w:rPr>
            </w:pPr>
          </w:p>
        </w:tc>
        <w:tc>
          <w:tcPr>
            <w:tcW w:w="2340" w:type="dxa"/>
          </w:tcPr>
          <w:p w:rsidR="00330CF1" w:rsidRPr="007C0E23" w:rsidRDefault="00330CF1" w:rsidP="004B53A0">
            <w:pPr>
              <w:jc w:val="center"/>
              <w:rPr>
                <w:rFonts w:ascii="Arial" w:hAnsi="Arial" w:cs="Arial"/>
              </w:rPr>
            </w:pP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0</w:t>
            </w:r>
          </w:p>
        </w:tc>
        <w:tc>
          <w:tcPr>
            <w:tcW w:w="2250" w:type="dxa"/>
          </w:tcPr>
          <w:p w:rsidR="00330CF1" w:rsidRPr="00420B62" w:rsidRDefault="00330CF1" w:rsidP="004B53A0">
            <w:pPr>
              <w:jc w:val="center"/>
              <w:rPr>
                <w:rFonts w:ascii="Arial" w:hAnsi="Arial" w:cs="Arial"/>
                <w:vertAlign w:val="superscript"/>
              </w:rPr>
            </w:pPr>
            <w:r>
              <w:rPr>
                <w:rFonts w:ascii="Arial" w:hAnsi="Arial" w:cs="Arial"/>
              </w:rPr>
              <w:t>0.587 ± 0.047</w:t>
            </w:r>
            <w:r>
              <w:rPr>
                <w:rFonts w:ascii="Arial" w:hAnsi="Arial" w:cs="Arial"/>
                <w:vertAlign w:val="superscript"/>
              </w:rPr>
              <w:t>e</w:t>
            </w:r>
          </w:p>
        </w:tc>
        <w:tc>
          <w:tcPr>
            <w:tcW w:w="2250" w:type="dxa"/>
          </w:tcPr>
          <w:p w:rsidR="00330CF1" w:rsidRPr="00420B62" w:rsidRDefault="00330CF1" w:rsidP="004B53A0">
            <w:pPr>
              <w:jc w:val="center"/>
              <w:rPr>
                <w:rFonts w:ascii="Arial" w:hAnsi="Arial" w:cs="Arial"/>
                <w:vertAlign w:val="superscript"/>
              </w:rPr>
            </w:pPr>
            <w:r>
              <w:rPr>
                <w:rFonts w:ascii="Arial" w:hAnsi="Arial" w:cs="Arial"/>
              </w:rPr>
              <w:t>0.637 ± 0.047</w:t>
            </w:r>
            <w:r>
              <w:rPr>
                <w:rFonts w:ascii="Arial" w:hAnsi="Arial" w:cs="Arial"/>
                <w:vertAlign w:val="superscript"/>
              </w:rPr>
              <w:t>de</w:t>
            </w:r>
          </w:p>
        </w:tc>
        <w:tc>
          <w:tcPr>
            <w:tcW w:w="2340" w:type="dxa"/>
          </w:tcPr>
          <w:p w:rsidR="00330CF1" w:rsidRPr="00420B62" w:rsidRDefault="00330CF1" w:rsidP="004B53A0">
            <w:pPr>
              <w:jc w:val="center"/>
              <w:rPr>
                <w:rFonts w:ascii="Arial" w:hAnsi="Arial" w:cs="Arial"/>
                <w:vertAlign w:val="superscript"/>
              </w:rPr>
            </w:pPr>
            <w:r>
              <w:rPr>
                <w:rFonts w:ascii="Arial" w:hAnsi="Arial" w:cs="Arial"/>
              </w:rPr>
              <w:t>0.625 ± 0.047</w:t>
            </w:r>
            <w:r>
              <w:rPr>
                <w:rFonts w:ascii="Arial" w:hAnsi="Arial" w:cs="Arial"/>
                <w:vertAlign w:val="superscript"/>
              </w:rPr>
              <w:t>e</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5</w:t>
            </w:r>
          </w:p>
        </w:tc>
        <w:tc>
          <w:tcPr>
            <w:tcW w:w="2250" w:type="dxa"/>
          </w:tcPr>
          <w:p w:rsidR="00330CF1" w:rsidRPr="00420B62" w:rsidRDefault="00330CF1" w:rsidP="004B53A0">
            <w:pPr>
              <w:jc w:val="center"/>
              <w:rPr>
                <w:rFonts w:ascii="Arial" w:hAnsi="Arial" w:cs="Arial"/>
                <w:vertAlign w:val="superscript"/>
              </w:rPr>
            </w:pPr>
            <w:r>
              <w:rPr>
                <w:rFonts w:ascii="Arial" w:hAnsi="Arial" w:cs="Arial"/>
              </w:rPr>
              <w:t>0.937 ± 0.047</w:t>
            </w:r>
            <w:r>
              <w:rPr>
                <w:rFonts w:ascii="Arial" w:hAnsi="Arial" w:cs="Arial"/>
                <w:vertAlign w:val="superscript"/>
              </w:rPr>
              <w:t>b</w:t>
            </w:r>
          </w:p>
        </w:tc>
        <w:tc>
          <w:tcPr>
            <w:tcW w:w="2250" w:type="dxa"/>
          </w:tcPr>
          <w:p w:rsidR="00330CF1" w:rsidRPr="000B6376" w:rsidRDefault="00330CF1" w:rsidP="004B53A0">
            <w:pPr>
              <w:jc w:val="center"/>
              <w:rPr>
                <w:rFonts w:ascii="Arial" w:hAnsi="Arial" w:cs="Arial"/>
                <w:vertAlign w:val="superscript"/>
              </w:rPr>
            </w:pPr>
            <w:r>
              <w:rPr>
                <w:rFonts w:ascii="Arial" w:hAnsi="Arial" w:cs="Arial"/>
              </w:rPr>
              <w:t>0.787 ± 0.047</w:t>
            </w:r>
            <w:r>
              <w:rPr>
                <w:rFonts w:ascii="Arial" w:hAnsi="Arial" w:cs="Arial"/>
                <w:vertAlign w:val="superscript"/>
              </w:rPr>
              <w:t>c</w:t>
            </w:r>
          </w:p>
        </w:tc>
        <w:tc>
          <w:tcPr>
            <w:tcW w:w="2340" w:type="dxa"/>
          </w:tcPr>
          <w:p w:rsidR="00330CF1" w:rsidRPr="000B6376" w:rsidRDefault="00330CF1" w:rsidP="004B53A0">
            <w:pPr>
              <w:jc w:val="center"/>
              <w:rPr>
                <w:rFonts w:ascii="Arial" w:hAnsi="Arial" w:cs="Arial"/>
                <w:vertAlign w:val="superscript"/>
              </w:rPr>
            </w:pPr>
            <w:r>
              <w:rPr>
                <w:rFonts w:ascii="Arial" w:hAnsi="Arial" w:cs="Arial"/>
              </w:rPr>
              <w:t>0.737 ± 0.047</w:t>
            </w:r>
            <w:r>
              <w:rPr>
                <w:rFonts w:ascii="Arial" w:hAnsi="Arial" w:cs="Arial"/>
                <w:vertAlign w:val="superscript"/>
              </w:rPr>
              <w:t>cd</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10</w:t>
            </w:r>
          </w:p>
        </w:tc>
        <w:tc>
          <w:tcPr>
            <w:tcW w:w="2250" w:type="dxa"/>
          </w:tcPr>
          <w:p w:rsidR="00330CF1" w:rsidRPr="000B6376" w:rsidRDefault="00330CF1" w:rsidP="004B53A0">
            <w:pPr>
              <w:jc w:val="center"/>
              <w:rPr>
                <w:rFonts w:ascii="Arial" w:hAnsi="Arial" w:cs="Arial"/>
                <w:vertAlign w:val="superscript"/>
              </w:rPr>
            </w:pPr>
            <w:r>
              <w:rPr>
                <w:rFonts w:ascii="Arial" w:hAnsi="Arial" w:cs="Arial"/>
              </w:rPr>
              <w:t>1.075 ± 0.047</w:t>
            </w:r>
            <w:r>
              <w:rPr>
                <w:rFonts w:ascii="Arial" w:hAnsi="Arial" w:cs="Arial"/>
                <w:vertAlign w:val="superscript"/>
              </w:rPr>
              <w:t>a</w:t>
            </w:r>
          </w:p>
        </w:tc>
        <w:tc>
          <w:tcPr>
            <w:tcW w:w="2250" w:type="dxa"/>
          </w:tcPr>
          <w:p w:rsidR="00330CF1" w:rsidRPr="000B6376" w:rsidRDefault="00330CF1" w:rsidP="004B53A0">
            <w:pPr>
              <w:jc w:val="center"/>
              <w:rPr>
                <w:rFonts w:ascii="Arial" w:hAnsi="Arial" w:cs="Arial"/>
                <w:vertAlign w:val="superscript"/>
              </w:rPr>
            </w:pPr>
            <w:r>
              <w:rPr>
                <w:rFonts w:ascii="Arial" w:hAnsi="Arial" w:cs="Arial"/>
              </w:rPr>
              <w:t>1.012</w:t>
            </w:r>
            <w:r w:rsidRPr="007C0E23">
              <w:rPr>
                <w:rFonts w:ascii="Arial" w:hAnsi="Arial" w:cs="Arial"/>
              </w:rPr>
              <w:t xml:space="preserve"> ± </w:t>
            </w:r>
            <w:r>
              <w:rPr>
                <w:rFonts w:ascii="Arial" w:hAnsi="Arial" w:cs="Arial"/>
              </w:rPr>
              <w:t>0.047</w:t>
            </w:r>
            <w:r>
              <w:rPr>
                <w:rFonts w:ascii="Arial" w:hAnsi="Arial" w:cs="Arial"/>
                <w:vertAlign w:val="superscript"/>
              </w:rPr>
              <w:t>ab</w:t>
            </w:r>
          </w:p>
        </w:tc>
        <w:tc>
          <w:tcPr>
            <w:tcW w:w="2340" w:type="dxa"/>
          </w:tcPr>
          <w:p w:rsidR="00330CF1" w:rsidRPr="000B6376" w:rsidRDefault="00330CF1" w:rsidP="004B53A0">
            <w:pPr>
              <w:jc w:val="center"/>
              <w:rPr>
                <w:rFonts w:ascii="Arial" w:hAnsi="Arial" w:cs="Arial"/>
                <w:vertAlign w:val="superscript"/>
              </w:rPr>
            </w:pPr>
            <w:r>
              <w:rPr>
                <w:rFonts w:ascii="Arial" w:hAnsi="Arial" w:cs="Arial"/>
              </w:rPr>
              <w:t>1.025 ± 0.047</w:t>
            </w:r>
            <w:r>
              <w:rPr>
                <w:rFonts w:ascii="Arial" w:hAnsi="Arial" w:cs="Arial"/>
                <w:vertAlign w:val="superscript"/>
              </w:rPr>
              <w:t>ab</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Potassium</w:t>
            </w:r>
            <w:r>
              <w:rPr>
                <w:rFonts w:ascii="Arial" w:hAnsi="Arial" w:cs="Arial"/>
              </w:rPr>
              <w:t xml:space="preserve"> (mEq/L)</w:t>
            </w:r>
          </w:p>
        </w:tc>
        <w:tc>
          <w:tcPr>
            <w:tcW w:w="2250" w:type="dxa"/>
          </w:tcPr>
          <w:p w:rsidR="00330CF1" w:rsidRPr="007C0E23" w:rsidRDefault="00330CF1" w:rsidP="004B53A0">
            <w:pPr>
              <w:jc w:val="center"/>
              <w:rPr>
                <w:rFonts w:ascii="Arial" w:hAnsi="Arial" w:cs="Arial"/>
              </w:rPr>
            </w:pPr>
          </w:p>
        </w:tc>
        <w:tc>
          <w:tcPr>
            <w:tcW w:w="2250" w:type="dxa"/>
          </w:tcPr>
          <w:p w:rsidR="00330CF1" w:rsidRPr="007C0E23" w:rsidRDefault="00330CF1" w:rsidP="004B53A0">
            <w:pPr>
              <w:jc w:val="center"/>
              <w:rPr>
                <w:rFonts w:ascii="Arial" w:hAnsi="Arial" w:cs="Arial"/>
              </w:rPr>
            </w:pPr>
          </w:p>
        </w:tc>
        <w:tc>
          <w:tcPr>
            <w:tcW w:w="2340" w:type="dxa"/>
          </w:tcPr>
          <w:p w:rsidR="00330CF1" w:rsidRPr="007C0E23" w:rsidRDefault="00330CF1" w:rsidP="004B53A0">
            <w:pPr>
              <w:jc w:val="center"/>
              <w:rPr>
                <w:rFonts w:ascii="Arial" w:hAnsi="Arial" w:cs="Arial"/>
              </w:rPr>
            </w:pP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0</w:t>
            </w:r>
          </w:p>
        </w:tc>
        <w:tc>
          <w:tcPr>
            <w:tcW w:w="2250" w:type="dxa"/>
          </w:tcPr>
          <w:p w:rsidR="00330CF1" w:rsidRPr="00420B62" w:rsidRDefault="00330CF1" w:rsidP="004B53A0">
            <w:pPr>
              <w:jc w:val="center"/>
              <w:rPr>
                <w:rFonts w:ascii="Arial" w:hAnsi="Arial" w:cs="Arial"/>
                <w:vertAlign w:val="superscript"/>
              </w:rPr>
            </w:pPr>
            <w:r>
              <w:rPr>
                <w:rFonts w:ascii="Arial" w:hAnsi="Arial" w:cs="Arial"/>
              </w:rPr>
              <w:t>4.84 ± 0.19</w:t>
            </w:r>
            <w:r>
              <w:rPr>
                <w:rFonts w:ascii="Arial" w:hAnsi="Arial" w:cs="Arial"/>
                <w:vertAlign w:val="superscript"/>
              </w:rPr>
              <w:t>ab</w:t>
            </w:r>
          </w:p>
        </w:tc>
        <w:tc>
          <w:tcPr>
            <w:tcW w:w="2250" w:type="dxa"/>
          </w:tcPr>
          <w:p w:rsidR="00330CF1" w:rsidRPr="00420B62" w:rsidRDefault="00330CF1" w:rsidP="004B53A0">
            <w:pPr>
              <w:jc w:val="center"/>
              <w:rPr>
                <w:rFonts w:ascii="Arial" w:hAnsi="Arial" w:cs="Arial"/>
                <w:vertAlign w:val="superscript"/>
              </w:rPr>
            </w:pPr>
            <w:r>
              <w:rPr>
                <w:rFonts w:ascii="Arial" w:hAnsi="Arial" w:cs="Arial"/>
              </w:rPr>
              <w:t>4.82 ± 0.19</w:t>
            </w:r>
            <w:r>
              <w:rPr>
                <w:rFonts w:ascii="Arial" w:hAnsi="Arial" w:cs="Arial"/>
                <w:vertAlign w:val="superscript"/>
              </w:rPr>
              <w:t>abc</w:t>
            </w:r>
          </w:p>
        </w:tc>
        <w:tc>
          <w:tcPr>
            <w:tcW w:w="2340" w:type="dxa"/>
          </w:tcPr>
          <w:p w:rsidR="00330CF1" w:rsidRPr="00420B62" w:rsidRDefault="00330CF1" w:rsidP="004B53A0">
            <w:pPr>
              <w:jc w:val="center"/>
              <w:rPr>
                <w:rFonts w:ascii="Arial" w:hAnsi="Arial" w:cs="Arial"/>
                <w:vertAlign w:val="superscript"/>
              </w:rPr>
            </w:pPr>
            <w:r>
              <w:rPr>
                <w:rFonts w:ascii="Arial" w:hAnsi="Arial" w:cs="Arial"/>
              </w:rPr>
              <w:t>5.07 ± 0.19</w:t>
            </w:r>
            <w:r>
              <w:rPr>
                <w:rFonts w:ascii="Arial" w:hAnsi="Arial" w:cs="Arial"/>
                <w:vertAlign w:val="superscript"/>
              </w:rPr>
              <w:t>a</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5</w:t>
            </w:r>
          </w:p>
        </w:tc>
        <w:tc>
          <w:tcPr>
            <w:tcW w:w="2250" w:type="dxa"/>
          </w:tcPr>
          <w:p w:rsidR="00330CF1" w:rsidRPr="00420B62" w:rsidRDefault="00330CF1" w:rsidP="004B53A0">
            <w:pPr>
              <w:jc w:val="center"/>
              <w:rPr>
                <w:rFonts w:ascii="Arial" w:hAnsi="Arial" w:cs="Arial"/>
                <w:vertAlign w:val="superscript"/>
              </w:rPr>
            </w:pPr>
            <w:r w:rsidRPr="007C0E23">
              <w:rPr>
                <w:rFonts w:ascii="Arial" w:hAnsi="Arial" w:cs="Arial"/>
              </w:rPr>
              <w:t>4.3</w:t>
            </w:r>
            <w:r>
              <w:rPr>
                <w:rFonts w:ascii="Arial" w:hAnsi="Arial" w:cs="Arial"/>
              </w:rPr>
              <w:t>0 ± 0.19</w:t>
            </w:r>
            <w:r>
              <w:rPr>
                <w:rFonts w:ascii="Arial" w:hAnsi="Arial" w:cs="Arial"/>
                <w:vertAlign w:val="superscript"/>
              </w:rPr>
              <w:t>cd</w:t>
            </w:r>
          </w:p>
        </w:tc>
        <w:tc>
          <w:tcPr>
            <w:tcW w:w="2250" w:type="dxa"/>
          </w:tcPr>
          <w:p w:rsidR="00330CF1" w:rsidRPr="00420B62" w:rsidRDefault="00330CF1" w:rsidP="004B53A0">
            <w:pPr>
              <w:jc w:val="center"/>
              <w:rPr>
                <w:rFonts w:ascii="Arial" w:hAnsi="Arial" w:cs="Arial"/>
                <w:vertAlign w:val="superscript"/>
              </w:rPr>
            </w:pPr>
            <w:r w:rsidRPr="007C0E23">
              <w:rPr>
                <w:rFonts w:ascii="Arial" w:hAnsi="Arial" w:cs="Arial"/>
              </w:rPr>
              <w:t>4.4</w:t>
            </w:r>
            <w:r>
              <w:rPr>
                <w:rFonts w:ascii="Arial" w:hAnsi="Arial" w:cs="Arial"/>
              </w:rPr>
              <w:t>0 ± 0.19</w:t>
            </w:r>
            <w:r>
              <w:rPr>
                <w:rFonts w:ascii="Arial" w:hAnsi="Arial" w:cs="Arial"/>
                <w:vertAlign w:val="superscript"/>
              </w:rPr>
              <w:t>bcd</w:t>
            </w:r>
          </w:p>
        </w:tc>
        <w:tc>
          <w:tcPr>
            <w:tcW w:w="2340" w:type="dxa"/>
          </w:tcPr>
          <w:p w:rsidR="00330CF1" w:rsidRPr="00420B62" w:rsidRDefault="00330CF1" w:rsidP="004B53A0">
            <w:pPr>
              <w:jc w:val="center"/>
              <w:rPr>
                <w:rFonts w:ascii="Arial" w:hAnsi="Arial" w:cs="Arial"/>
                <w:vertAlign w:val="superscript"/>
              </w:rPr>
            </w:pPr>
            <w:r w:rsidRPr="007C0E23">
              <w:rPr>
                <w:rFonts w:ascii="Arial" w:hAnsi="Arial" w:cs="Arial"/>
              </w:rPr>
              <w:t>4.7</w:t>
            </w:r>
            <w:r>
              <w:rPr>
                <w:rFonts w:ascii="Arial" w:hAnsi="Arial" w:cs="Arial"/>
              </w:rPr>
              <w:t>0 ± 0.19</w:t>
            </w:r>
            <w:r>
              <w:rPr>
                <w:rFonts w:ascii="Arial" w:hAnsi="Arial" w:cs="Arial"/>
                <w:vertAlign w:val="superscript"/>
              </w:rPr>
              <w:t>abc</w:t>
            </w:r>
          </w:p>
        </w:tc>
      </w:tr>
      <w:tr w:rsidR="00330CF1" w:rsidRPr="007C0E23" w:rsidTr="00B464EE">
        <w:tc>
          <w:tcPr>
            <w:tcW w:w="2538" w:type="dxa"/>
          </w:tcPr>
          <w:p w:rsidR="00330CF1" w:rsidRPr="007C0E23" w:rsidRDefault="00330CF1" w:rsidP="0045794D">
            <w:pPr>
              <w:rPr>
                <w:rFonts w:ascii="Arial" w:hAnsi="Arial" w:cs="Arial"/>
              </w:rPr>
            </w:pPr>
            <w:r w:rsidRPr="007C0E23">
              <w:rPr>
                <w:rFonts w:ascii="Arial" w:hAnsi="Arial" w:cs="Arial"/>
              </w:rPr>
              <w:t xml:space="preserve">   Week 10</w:t>
            </w:r>
          </w:p>
        </w:tc>
        <w:tc>
          <w:tcPr>
            <w:tcW w:w="2250" w:type="dxa"/>
          </w:tcPr>
          <w:p w:rsidR="00330CF1" w:rsidRPr="00420B62" w:rsidRDefault="00330CF1" w:rsidP="004B53A0">
            <w:pPr>
              <w:jc w:val="center"/>
              <w:rPr>
                <w:rFonts w:ascii="Arial" w:hAnsi="Arial" w:cs="Arial"/>
                <w:vertAlign w:val="superscript"/>
              </w:rPr>
            </w:pPr>
            <w:r>
              <w:rPr>
                <w:rFonts w:ascii="Arial" w:hAnsi="Arial" w:cs="Arial"/>
              </w:rPr>
              <w:t>4.04 ± 0.19</w:t>
            </w:r>
            <w:r>
              <w:rPr>
                <w:rFonts w:ascii="Arial" w:hAnsi="Arial" w:cs="Arial"/>
                <w:vertAlign w:val="superscript"/>
              </w:rPr>
              <w:t>d</w:t>
            </w:r>
          </w:p>
        </w:tc>
        <w:tc>
          <w:tcPr>
            <w:tcW w:w="2250" w:type="dxa"/>
          </w:tcPr>
          <w:p w:rsidR="00330CF1" w:rsidRPr="00420B62" w:rsidRDefault="00330CF1" w:rsidP="004B53A0">
            <w:pPr>
              <w:jc w:val="center"/>
              <w:rPr>
                <w:rFonts w:ascii="Arial" w:hAnsi="Arial" w:cs="Arial"/>
                <w:vertAlign w:val="superscript"/>
              </w:rPr>
            </w:pPr>
            <w:r>
              <w:rPr>
                <w:rFonts w:ascii="Arial" w:hAnsi="Arial" w:cs="Arial"/>
              </w:rPr>
              <w:t>4.39 ± 0.19</w:t>
            </w:r>
            <w:r>
              <w:rPr>
                <w:rFonts w:ascii="Arial" w:hAnsi="Arial" w:cs="Arial"/>
                <w:vertAlign w:val="superscript"/>
              </w:rPr>
              <w:t>bcd</w:t>
            </w:r>
          </w:p>
        </w:tc>
        <w:tc>
          <w:tcPr>
            <w:tcW w:w="2340" w:type="dxa"/>
          </w:tcPr>
          <w:p w:rsidR="00330CF1" w:rsidRPr="00420B62" w:rsidRDefault="00330CF1" w:rsidP="004B53A0">
            <w:pPr>
              <w:jc w:val="center"/>
              <w:rPr>
                <w:rFonts w:ascii="Arial" w:hAnsi="Arial" w:cs="Arial"/>
                <w:vertAlign w:val="superscript"/>
              </w:rPr>
            </w:pPr>
            <w:r>
              <w:rPr>
                <w:rFonts w:ascii="Arial" w:hAnsi="Arial" w:cs="Arial"/>
              </w:rPr>
              <w:t>4.67 ± 0.19</w:t>
            </w:r>
            <w:r>
              <w:rPr>
                <w:rFonts w:ascii="Arial" w:hAnsi="Arial" w:cs="Arial"/>
                <w:vertAlign w:val="superscript"/>
              </w:rPr>
              <w:t>abcd</w:t>
            </w:r>
          </w:p>
        </w:tc>
      </w:tr>
      <w:tr w:rsidR="00330CF1" w:rsidRPr="007C0E23" w:rsidTr="00B464EE">
        <w:tc>
          <w:tcPr>
            <w:tcW w:w="2538" w:type="dxa"/>
          </w:tcPr>
          <w:p w:rsidR="00330CF1" w:rsidRPr="007C0E23" w:rsidRDefault="00330CF1" w:rsidP="0045794D">
            <w:pPr>
              <w:rPr>
                <w:rFonts w:ascii="Arial" w:hAnsi="Arial" w:cs="Arial"/>
              </w:rPr>
            </w:pPr>
            <w:r>
              <w:rPr>
                <w:rFonts w:ascii="Arial" w:hAnsi="Arial" w:cs="Arial"/>
              </w:rPr>
              <w:t>Bicarbonate (mMol/L)</w:t>
            </w:r>
          </w:p>
        </w:tc>
        <w:tc>
          <w:tcPr>
            <w:tcW w:w="2250" w:type="dxa"/>
          </w:tcPr>
          <w:p w:rsidR="00330CF1" w:rsidRPr="007C0E23" w:rsidRDefault="00330CF1" w:rsidP="004B53A0">
            <w:pPr>
              <w:jc w:val="center"/>
              <w:rPr>
                <w:rFonts w:ascii="Arial" w:hAnsi="Arial" w:cs="Arial"/>
              </w:rPr>
            </w:pPr>
          </w:p>
        </w:tc>
        <w:tc>
          <w:tcPr>
            <w:tcW w:w="2250" w:type="dxa"/>
          </w:tcPr>
          <w:p w:rsidR="00330CF1" w:rsidRPr="007C0E23" w:rsidRDefault="00330CF1" w:rsidP="004B53A0">
            <w:pPr>
              <w:jc w:val="center"/>
              <w:rPr>
                <w:rFonts w:ascii="Arial" w:hAnsi="Arial" w:cs="Arial"/>
              </w:rPr>
            </w:pPr>
          </w:p>
        </w:tc>
        <w:tc>
          <w:tcPr>
            <w:tcW w:w="2340" w:type="dxa"/>
          </w:tcPr>
          <w:p w:rsidR="00330CF1" w:rsidRPr="007C0E23" w:rsidRDefault="00330CF1" w:rsidP="004B53A0">
            <w:pPr>
              <w:jc w:val="center"/>
              <w:rPr>
                <w:rFonts w:ascii="Arial" w:hAnsi="Arial" w:cs="Arial"/>
              </w:rPr>
            </w:pPr>
          </w:p>
        </w:tc>
      </w:tr>
      <w:tr w:rsidR="00330CF1" w:rsidRPr="007C0E23" w:rsidTr="00B464EE">
        <w:tc>
          <w:tcPr>
            <w:tcW w:w="2538" w:type="dxa"/>
          </w:tcPr>
          <w:p w:rsidR="00330CF1" w:rsidRPr="007C0E23" w:rsidRDefault="00330CF1" w:rsidP="0045794D">
            <w:pPr>
              <w:rPr>
                <w:rFonts w:ascii="Arial" w:hAnsi="Arial" w:cs="Arial"/>
              </w:rPr>
            </w:pPr>
            <w:r>
              <w:rPr>
                <w:rFonts w:ascii="Arial" w:hAnsi="Arial" w:cs="Arial"/>
              </w:rPr>
              <w:t xml:space="preserve">   Week 0</w:t>
            </w:r>
          </w:p>
        </w:tc>
        <w:tc>
          <w:tcPr>
            <w:tcW w:w="2250" w:type="dxa"/>
          </w:tcPr>
          <w:p w:rsidR="00330CF1" w:rsidRPr="00702841" w:rsidRDefault="00330CF1" w:rsidP="004B53A0">
            <w:pPr>
              <w:jc w:val="center"/>
              <w:rPr>
                <w:rFonts w:ascii="Arial" w:hAnsi="Arial" w:cs="Arial"/>
              </w:rPr>
            </w:pPr>
            <w:r>
              <w:rPr>
                <w:rFonts w:ascii="Arial" w:hAnsi="Arial" w:cs="Arial"/>
              </w:rPr>
              <w:t>19.0 ± 1.05</w:t>
            </w:r>
            <w:r>
              <w:rPr>
                <w:rFonts w:ascii="Arial" w:hAnsi="Arial" w:cs="Arial"/>
                <w:vertAlign w:val="superscript"/>
              </w:rPr>
              <w:t>a</w:t>
            </w:r>
          </w:p>
        </w:tc>
        <w:tc>
          <w:tcPr>
            <w:tcW w:w="2250" w:type="dxa"/>
          </w:tcPr>
          <w:p w:rsidR="00330CF1" w:rsidRPr="00702841" w:rsidRDefault="00330CF1" w:rsidP="004B53A0">
            <w:pPr>
              <w:jc w:val="center"/>
              <w:rPr>
                <w:rFonts w:ascii="Arial" w:hAnsi="Arial" w:cs="Arial"/>
                <w:vertAlign w:val="superscript"/>
              </w:rPr>
            </w:pPr>
            <w:r>
              <w:rPr>
                <w:rFonts w:ascii="Arial" w:hAnsi="Arial" w:cs="Arial"/>
              </w:rPr>
              <w:t>18.0 ± 1.25</w:t>
            </w:r>
            <w:r>
              <w:rPr>
                <w:rFonts w:ascii="Arial" w:hAnsi="Arial" w:cs="Arial"/>
                <w:vertAlign w:val="superscript"/>
              </w:rPr>
              <w:t>a</w:t>
            </w:r>
          </w:p>
        </w:tc>
        <w:tc>
          <w:tcPr>
            <w:tcW w:w="2340" w:type="dxa"/>
          </w:tcPr>
          <w:p w:rsidR="00330CF1" w:rsidRPr="00702841" w:rsidRDefault="00330CF1" w:rsidP="004B53A0">
            <w:pPr>
              <w:jc w:val="center"/>
              <w:rPr>
                <w:rFonts w:ascii="Arial" w:hAnsi="Arial" w:cs="Arial"/>
                <w:vertAlign w:val="superscript"/>
              </w:rPr>
            </w:pPr>
            <w:r>
              <w:rPr>
                <w:rFonts w:ascii="Arial" w:hAnsi="Arial" w:cs="Arial"/>
              </w:rPr>
              <w:t>16.8 ± 1.25</w:t>
            </w:r>
            <w:r>
              <w:rPr>
                <w:rFonts w:ascii="Arial" w:hAnsi="Arial" w:cs="Arial"/>
                <w:vertAlign w:val="superscript"/>
              </w:rPr>
              <w:t>a</w:t>
            </w:r>
          </w:p>
        </w:tc>
      </w:tr>
      <w:tr w:rsidR="00330CF1" w:rsidRPr="007C0E23" w:rsidTr="00B464EE">
        <w:tc>
          <w:tcPr>
            <w:tcW w:w="2538" w:type="dxa"/>
          </w:tcPr>
          <w:p w:rsidR="00330CF1" w:rsidRPr="007C0E23" w:rsidRDefault="00330CF1" w:rsidP="0045794D">
            <w:pPr>
              <w:rPr>
                <w:rFonts w:ascii="Arial" w:hAnsi="Arial" w:cs="Arial"/>
              </w:rPr>
            </w:pPr>
            <w:r>
              <w:rPr>
                <w:rFonts w:ascii="Arial" w:hAnsi="Arial" w:cs="Arial"/>
              </w:rPr>
              <w:t xml:space="preserve">   Week 5</w:t>
            </w:r>
          </w:p>
        </w:tc>
        <w:tc>
          <w:tcPr>
            <w:tcW w:w="2250" w:type="dxa"/>
          </w:tcPr>
          <w:p w:rsidR="00330CF1" w:rsidRPr="00702841" w:rsidRDefault="00330CF1" w:rsidP="004B53A0">
            <w:pPr>
              <w:jc w:val="center"/>
              <w:rPr>
                <w:rFonts w:ascii="Arial" w:hAnsi="Arial" w:cs="Arial"/>
              </w:rPr>
            </w:pPr>
            <w:r>
              <w:rPr>
                <w:rFonts w:ascii="Arial" w:hAnsi="Arial" w:cs="Arial"/>
              </w:rPr>
              <w:t>19.3 ± 0.98</w:t>
            </w:r>
            <w:r>
              <w:rPr>
                <w:rFonts w:ascii="Arial" w:hAnsi="Arial" w:cs="Arial"/>
                <w:vertAlign w:val="superscript"/>
              </w:rPr>
              <w:t>a</w:t>
            </w:r>
          </w:p>
        </w:tc>
        <w:tc>
          <w:tcPr>
            <w:tcW w:w="2250" w:type="dxa"/>
          </w:tcPr>
          <w:p w:rsidR="00330CF1" w:rsidRPr="00702841" w:rsidRDefault="00330CF1" w:rsidP="004B53A0">
            <w:pPr>
              <w:jc w:val="center"/>
              <w:rPr>
                <w:rFonts w:ascii="Arial" w:hAnsi="Arial" w:cs="Arial"/>
              </w:rPr>
            </w:pPr>
            <w:r>
              <w:rPr>
                <w:rFonts w:ascii="Arial" w:hAnsi="Arial" w:cs="Arial"/>
              </w:rPr>
              <w:t>18.9 ± 0.98</w:t>
            </w:r>
            <w:r>
              <w:rPr>
                <w:rFonts w:ascii="Arial" w:hAnsi="Arial" w:cs="Arial"/>
                <w:vertAlign w:val="superscript"/>
              </w:rPr>
              <w:t>a</w:t>
            </w:r>
          </w:p>
        </w:tc>
        <w:tc>
          <w:tcPr>
            <w:tcW w:w="2340" w:type="dxa"/>
          </w:tcPr>
          <w:p w:rsidR="00330CF1" w:rsidRPr="00702841" w:rsidRDefault="00330CF1" w:rsidP="004B53A0">
            <w:pPr>
              <w:jc w:val="center"/>
              <w:rPr>
                <w:rFonts w:ascii="Arial" w:hAnsi="Arial" w:cs="Arial"/>
                <w:vertAlign w:val="superscript"/>
              </w:rPr>
            </w:pPr>
            <w:r>
              <w:rPr>
                <w:rFonts w:ascii="Arial" w:hAnsi="Arial" w:cs="Arial"/>
              </w:rPr>
              <w:t>18.5 ± 0.98</w:t>
            </w:r>
            <w:r>
              <w:rPr>
                <w:rFonts w:ascii="Arial" w:hAnsi="Arial" w:cs="Arial"/>
                <w:vertAlign w:val="superscript"/>
              </w:rPr>
              <w:t>a</w:t>
            </w:r>
          </w:p>
        </w:tc>
      </w:tr>
      <w:tr w:rsidR="00330CF1" w:rsidRPr="007C0E23" w:rsidTr="00B464EE">
        <w:tc>
          <w:tcPr>
            <w:tcW w:w="2538" w:type="dxa"/>
          </w:tcPr>
          <w:p w:rsidR="00330CF1" w:rsidRPr="007C0E23" w:rsidRDefault="00330CF1" w:rsidP="0045794D">
            <w:pPr>
              <w:rPr>
                <w:rFonts w:ascii="Arial" w:hAnsi="Arial" w:cs="Arial"/>
              </w:rPr>
            </w:pPr>
            <w:r>
              <w:rPr>
                <w:rFonts w:ascii="Arial" w:hAnsi="Arial" w:cs="Arial"/>
              </w:rPr>
              <w:t xml:space="preserve">   Week 10</w:t>
            </w:r>
          </w:p>
        </w:tc>
        <w:tc>
          <w:tcPr>
            <w:tcW w:w="2250" w:type="dxa"/>
          </w:tcPr>
          <w:p w:rsidR="00330CF1" w:rsidRPr="00702841" w:rsidRDefault="00330CF1" w:rsidP="004B53A0">
            <w:pPr>
              <w:jc w:val="center"/>
              <w:rPr>
                <w:rFonts w:ascii="Arial" w:hAnsi="Arial" w:cs="Arial"/>
                <w:vertAlign w:val="superscript"/>
              </w:rPr>
            </w:pPr>
            <w:r>
              <w:rPr>
                <w:rFonts w:ascii="Arial" w:hAnsi="Arial" w:cs="Arial"/>
              </w:rPr>
              <w:t>16.5 ± 0.98</w:t>
            </w:r>
            <w:r>
              <w:rPr>
                <w:rFonts w:ascii="Arial" w:hAnsi="Arial" w:cs="Arial"/>
                <w:vertAlign w:val="superscript"/>
              </w:rPr>
              <w:t>a</w:t>
            </w:r>
          </w:p>
        </w:tc>
        <w:tc>
          <w:tcPr>
            <w:tcW w:w="2250" w:type="dxa"/>
          </w:tcPr>
          <w:p w:rsidR="00330CF1" w:rsidRPr="00702841" w:rsidRDefault="00330CF1" w:rsidP="004B53A0">
            <w:pPr>
              <w:jc w:val="center"/>
              <w:rPr>
                <w:rFonts w:ascii="Arial" w:hAnsi="Arial" w:cs="Arial"/>
                <w:vertAlign w:val="superscript"/>
              </w:rPr>
            </w:pPr>
            <w:r>
              <w:rPr>
                <w:rFonts w:ascii="Arial" w:hAnsi="Arial" w:cs="Arial"/>
              </w:rPr>
              <w:t>18.4 ± 0.98</w:t>
            </w:r>
            <w:r>
              <w:rPr>
                <w:rFonts w:ascii="Arial" w:hAnsi="Arial" w:cs="Arial"/>
                <w:vertAlign w:val="superscript"/>
              </w:rPr>
              <w:t>a</w:t>
            </w:r>
          </w:p>
        </w:tc>
        <w:tc>
          <w:tcPr>
            <w:tcW w:w="2340" w:type="dxa"/>
          </w:tcPr>
          <w:p w:rsidR="00330CF1" w:rsidRPr="00702841" w:rsidRDefault="00330CF1" w:rsidP="004B53A0">
            <w:pPr>
              <w:jc w:val="center"/>
              <w:rPr>
                <w:rFonts w:ascii="Arial" w:hAnsi="Arial" w:cs="Arial"/>
                <w:vertAlign w:val="superscript"/>
              </w:rPr>
            </w:pPr>
            <w:r>
              <w:rPr>
                <w:rFonts w:ascii="Arial" w:hAnsi="Arial" w:cs="Arial"/>
              </w:rPr>
              <w:t>18.7 ± 0.98</w:t>
            </w:r>
            <w:r>
              <w:rPr>
                <w:rFonts w:ascii="Arial" w:hAnsi="Arial" w:cs="Arial"/>
                <w:vertAlign w:val="superscript"/>
              </w:rPr>
              <w:t>a</w:t>
            </w:r>
          </w:p>
        </w:tc>
      </w:tr>
      <w:tr w:rsidR="00330CF1" w:rsidRPr="007C0E23" w:rsidTr="00B464EE">
        <w:tc>
          <w:tcPr>
            <w:tcW w:w="2538" w:type="dxa"/>
          </w:tcPr>
          <w:p w:rsidR="00330CF1" w:rsidRPr="007C0E23" w:rsidRDefault="00330CF1" w:rsidP="0045794D">
            <w:pPr>
              <w:rPr>
                <w:rFonts w:ascii="Arial" w:hAnsi="Arial" w:cs="Arial"/>
              </w:rPr>
            </w:pPr>
            <w:r>
              <w:rPr>
                <w:rFonts w:ascii="Arial" w:hAnsi="Arial" w:cs="Arial"/>
              </w:rPr>
              <w:t>Anion Gap</w:t>
            </w:r>
          </w:p>
        </w:tc>
        <w:tc>
          <w:tcPr>
            <w:tcW w:w="2250" w:type="dxa"/>
          </w:tcPr>
          <w:p w:rsidR="00330CF1" w:rsidRPr="007C0E23" w:rsidRDefault="00330CF1" w:rsidP="004B53A0">
            <w:pPr>
              <w:jc w:val="center"/>
              <w:rPr>
                <w:rFonts w:ascii="Arial" w:hAnsi="Arial" w:cs="Arial"/>
              </w:rPr>
            </w:pPr>
          </w:p>
        </w:tc>
        <w:tc>
          <w:tcPr>
            <w:tcW w:w="2250" w:type="dxa"/>
          </w:tcPr>
          <w:p w:rsidR="00330CF1" w:rsidRPr="007C0E23" w:rsidRDefault="00330CF1" w:rsidP="004B53A0">
            <w:pPr>
              <w:jc w:val="center"/>
              <w:rPr>
                <w:rFonts w:ascii="Arial" w:hAnsi="Arial" w:cs="Arial"/>
              </w:rPr>
            </w:pPr>
          </w:p>
        </w:tc>
        <w:tc>
          <w:tcPr>
            <w:tcW w:w="2340" w:type="dxa"/>
          </w:tcPr>
          <w:p w:rsidR="00330CF1" w:rsidRPr="007C0E23" w:rsidRDefault="00330CF1" w:rsidP="004B53A0">
            <w:pPr>
              <w:jc w:val="center"/>
              <w:rPr>
                <w:rFonts w:ascii="Arial" w:hAnsi="Arial" w:cs="Arial"/>
              </w:rPr>
            </w:pPr>
          </w:p>
        </w:tc>
      </w:tr>
      <w:tr w:rsidR="00330CF1" w:rsidRPr="007C0E23" w:rsidTr="00B464EE">
        <w:tc>
          <w:tcPr>
            <w:tcW w:w="2538" w:type="dxa"/>
          </w:tcPr>
          <w:p w:rsidR="00330CF1" w:rsidRPr="007C0E23" w:rsidRDefault="00330CF1" w:rsidP="0045794D">
            <w:pPr>
              <w:rPr>
                <w:rFonts w:ascii="Arial" w:hAnsi="Arial" w:cs="Arial"/>
              </w:rPr>
            </w:pPr>
            <w:r>
              <w:rPr>
                <w:rFonts w:ascii="Arial" w:hAnsi="Arial" w:cs="Arial"/>
              </w:rPr>
              <w:t xml:space="preserve">   Week 0</w:t>
            </w:r>
          </w:p>
        </w:tc>
        <w:tc>
          <w:tcPr>
            <w:tcW w:w="2250" w:type="dxa"/>
          </w:tcPr>
          <w:p w:rsidR="00330CF1" w:rsidRPr="00702841" w:rsidRDefault="00330CF1" w:rsidP="004B53A0">
            <w:pPr>
              <w:jc w:val="center"/>
              <w:rPr>
                <w:rFonts w:ascii="Arial" w:hAnsi="Arial" w:cs="Arial"/>
                <w:vertAlign w:val="superscript"/>
              </w:rPr>
            </w:pPr>
            <w:r>
              <w:rPr>
                <w:rFonts w:ascii="Arial" w:hAnsi="Arial" w:cs="Arial"/>
              </w:rPr>
              <w:t>21.44 ± 1.51</w:t>
            </w:r>
            <w:r>
              <w:rPr>
                <w:rFonts w:ascii="Arial" w:hAnsi="Arial" w:cs="Arial"/>
                <w:vertAlign w:val="superscript"/>
              </w:rPr>
              <w:t>a</w:t>
            </w:r>
          </w:p>
        </w:tc>
        <w:tc>
          <w:tcPr>
            <w:tcW w:w="2250" w:type="dxa"/>
          </w:tcPr>
          <w:p w:rsidR="00330CF1" w:rsidRPr="00693C29" w:rsidRDefault="00330CF1" w:rsidP="004B53A0">
            <w:pPr>
              <w:jc w:val="center"/>
              <w:rPr>
                <w:rFonts w:ascii="Arial" w:hAnsi="Arial" w:cs="Arial"/>
                <w:vertAlign w:val="superscript"/>
              </w:rPr>
            </w:pPr>
            <w:r>
              <w:rPr>
                <w:rFonts w:ascii="Arial" w:hAnsi="Arial" w:cs="Arial"/>
              </w:rPr>
              <w:t>21.98 ± 1.78</w:t>
            </w:r>
            <w:r>
              <w:rPr>
                <w:rFonts w:ascii="Arial" w:hAnsi="Arial" w:cs="Arial"/>
                <w:vertAlign w:val="superscript"/>
              </w:rPr>
              <w:t>a</w:t>
            </w:r>
          </w:p>
        </w:tc>
        <w:tc>
          <w:tcPr>
            <w:tcW w:w="2340" w:type="dxa"/>
          </w:tcPr>
          <w:p w:rsidR="00330CF1" w:rsidRPr="00693C29" w:rsidRDefault="00330CF1" w:rsidP="004B53A0">
            <w:pPr>
              <w:jc w:val="center"/>
              <w:rPr>
                <w:rFonts w:ascii="Arial" w:hAnsi="Arial" w:cs="Arial"/>
                <w:vertAlign w:val="superscript"/>
              </w:rPr>
            </w:pPr>
            <w:r>
              <w:rPr>
                <w:rFonts w:ascii="Arial" w:hAnsi="Arial" w:cs="Arial"/>
              </w:rPr>
              <w:t>21.68 ± 1.78</w:t>
            </w:r>
            <w:r>
              <w:rPr>
                <w:rFonts w:ascii="Arial" w:hAnsi="Arial" w:cs="Arial"/>
                <w:vertAlign w:val="superscript"/>
              </w:rPr>
              <w:t>a</w:t>
            </w:r>
          </w:p>
        </w:tc>
      </w:tr>
      <w:tr w:rsidR="00330CF1" w:rsidRPr="007C0E23" w:rsidTr="00B464EE">
        <w:tc>
          <w:tcPr>
            <w:tcW w:w="2538" w:type="dxa"/>
          </w:tcPr>
          <w:p w:rsidR="00330CF1" w:rsidRPr="007C0E23" w:rsidRDefault="00330CF1" w:rsidP="0045794D">
            <w:pPr>
              <w:rPr>
                <w:rFonts w:ascii="Arial" w:hAnsi="Arial" w:cs="Arial"/>
              </w:rPr>
            </w:pPr>
            <w:r>
              <w:rPr>
                <w:rFonts w:ascii="Arial" w:hAnsi="Arial" w:cs="Arial"/>
              </w:rPr>
              <w:t xml:space="preserve">   Week 5</w:t>
            </w:r>
          </w:p>
        </w:tc>
        <w:tc>
          <w:tcPr>
            <w:tcW w:w="2250" w:type="dxa"/>
          </w:tcPr>
          <w:p w:rsidR="00330CF1" w:rsidRPr="00693C29" w:rsidRDefault="00330CF1" w:rsidP="004B53A0">
            <w:pPr>
              <w:jc w:val="center"/>
              <w:rPr>
                <w:rFonts w:ascii="Arial" w:hAnsi="Arial" w:cs="Arial"/>
                <w:vertAlign w:val="superscript"/>
              </w:rPr>
            </w:pPr>
            <w:r>
              <w:rPr>
                <w:rFonts w:ascii="Arial" w:hAnsi="Arial" w:cs="Arial"/>
              </w:rPr>
              <w:t>23.66 ± 1.41</w:t>
            </w:r>
            <w:r>
              <w:rPr>
                <w:rFonts w:ascii="Arial" w:hAnsi="Arial" w:cs="Arial"/>
                <w:vertAlign w:val="superscript"/>
              </w:rPr>
              <w:t>a</w:t>
            </w:r>
          </w:p>
        </w:tc>
        <w:tc>
          <w:tcPr>
            <w:tcW w:w="2250" w:type="dxa"/>
          </w:tcPr>
          <w:p w:rsidR="00330CF1" w:rsidRPr="00693C29" w:rsidRDefault="00330CF1" w:rsidP="004B53A0">
            <w:pPr>
              <w:jc w:val="center"/>
              <w:rPr>
                <w:rFonts w:ascii="Arial" w:hAnsi="Arial" w:cs="Arial"/>
                <w:vertAlign w:val="superscript"/>
              </w:rPr>
            </w:pPr>
            <w:r>
              <w:rPr>
                <w:rFonts w:ascii="Arial" w:hAnsi="Arial" w:cs="Arial"/>
              </w:rPr>
              <w:t>21.15 ± 1.41</w:t>
            </w:r>
            <w:r>
              <w:rPr>
                <w:rFonts w:ascii="Arial" w:hAnsi="Arial" w:cs="Arial"/>
                <w:vertAlign w:val="superscript"/>
              </w:rPr>
              <w:t>a</w:t>
            </w:r>
          </w:p>
        </w:tc>
        <w:tc>
          <w:tcPr>
            <w:tcW w:w="2340" w:type="dxa"/>
          </w:tcPr>
          <w:p w:rsidR="00330CF1" w:rsidRPr="00693C29" w:rsidRDefault="00330CF1" w:rsidP="004B53A0">
            <w:pPr>
              <w:jc w:val="center"/>
              <w:rPr>
                <w:rFonts w:ascii="Arial" w:hAnsi="Arial" w:cs="Arial"/>
                <w:vertAlign w:val="superscript"/>
              </w:rPr>
            </w:pPr>
            <w:r>
              <w:rPr>
                <w:rFonts w:ascii="Arial" w:hAnsi="Arial" w:cs="Arial"/>
              </w:rPr>
              <w:t>24.16 ± 1.41</w:t>
            </w:r>
            <w:r>
              <w:rPr>
                <w:rFonts w:ascii="Arial" w:hAnsi="Arial" w:cs="Arial"/>
                <w:vertAlign w:val="superscript"/>
              </w:rPr>
              <w:t>a</w:t>
            </w:r>
          </w:p>
        </w:tc>
      </w:tr>
      <w:tr w:rsidR="00330CF1" w:rsidRPr="007C0E23" w:rsidTr="00B464EE">
        <w:tc>
          <w:tcPr>
            <w:tcW w:w="2538" w:type="dxa"/>
          </w:tcPr>
          <w:p w:rsidR="00330CF1" w:rsidRDefault="00330CF1" w:rsidP="0045794D">
            <w:pPr>
              <w:rPr>
                <w:rFonts w:ascii="Arial" w:hAnsi="Arial" w:cs="Arial"/>
              </w:rPr>
            </w:pPr>
            <w:r>
              <w:rPr>
                <w:rFonts w:ascii="Arial" w:hAnsi="Arial" w:cs="Arial"/>
              </w:rPr>
              <w:t xml:space="preserve">   Week 10</w:t>
            </w:r>
          </w:p>
        </w:tc>
        <w:tc>
          <w:tcPr>
            <w:tcW w:w="2250" w:type="dxa"/>
          </w:tcPr>
          <w:p w:rsidR="00330CF1" w:rsidRPr="00693C29" w:rsidRDefault="00330CF1" w:rsidP="004B53A0">
            <w:pPr>
              <w:jc w:val="center"/>
              <w:rPr>
                <w:rFonts w:ascii="Arial" w:hAnsi="Arial" w:cs="Arial"/>
                <w:vertAlign w:val="superscript"/>
              </w:rPr>
            </w:pPr>
            <w:r>
              <w:rPr>
                <w:rFonts w:ascii="Arial" w:hAnsi="Arial" w:cs="Arial"/>
              </w:rPr>
              <w:t>24.84 ± 1.41</w:t>
            </w:r>
            <w:r>
              <w:rPr>
                <w:rFonts w:ascii="Arial" w:hAnsi="Arial" w:cs="Arial"/>
                <w:vertAlign w:val="superscript"/>
              </w:rPr>
              <w:t>a</w:t>
            </w:r>
          </w:p>
        </w:tc>
        <w:tc>
          <w:tcPr>
            <w:tcW w:w="2250" w:type="dxa"/>
          </w:tcPr>
          <w:p w:rsidR="00330CF1" w:rsidRPr="00693C29" w:rsidRDefault="00330CF1" w:rsidP="004B53A0">
            <w:pPr>
              <w:jc w:val="center"/>
              <w:rPr>
                <w:rFonts w:ascii="Arial" w:hAnsi="Arial" w:cs="Arial"/>
                <w:vertAlign w:val="superscript"/>
              </w:rPr>
            </w:pPr>
            <w:r>
              <w:rPr>
                <w:rFonts w:ascii="Arial" w:hAnsi="Arial" w:cs="Arial"/>
              </w:rPr>
              <w:t>21.56 ± 1.41</w:t>
            </w:r>
            <w:r>
              <w:rPr>
                <w:rFonts w:ascii="Arial" w:hAnsi="Arial" w:cs="Arial"/>
                <w:vertAlign w:val="superscript"/>
              </w:rPr>
              <w:t>a</w:t>
            </w:r>
          </w:p>
        </w:tc>
        <w:tc>
          <w:tcPr>
            <w:tcW w:w="2340" w:type="dxa"/>
          </w:tcPr>
          <w:p w:rsidR="00330CF1" w:rsidRPr="00693C29" w:rsidRDefault="00330CF1" w:rsidP="004B53A0">
            <w:pPr>
              <w:jc w:val="center"/>
              <w:rPr>
                <w:rFonts w:ascii="Arial" w:hAnsi="Arial" w:cs="Arial"/>
                <w:vertAlign w:val="superscript"/>
              </w:rPr>
            </w:pPr>
            <w:r>
              <w:rPr>
                <w:rFonts w:ascii="Arial" w:hAnsi="Arial" w:cs="Arial"/>
              </w:rPr>
              <w:t>22.21 ± 1.41</w:t>
            </w:r>
            <w:r>
              <w:rPr>
                <w:rFonts w:ascii="Arial" w:hAnsi="Arial" w:cs="Arial"/>
                <w:vertAlign w:val="superscript"/>
              </w:rPr>
              <w:t>a</w:t>
            </w:r>
          </w:p>
        </w:tc>
      </w:tr>
    </w:tbl>
    <w:p w:rsidR="00330CF1" w:rsidRDefault="00330CF1" w:rsidP="00F8239F">
      <w:pPr>
        <w:rPr>
          <w:rFonts w:ascii="Arial" w:hAnsi="Arial" w:cs="Arial"/>
        </w:rPr>
      </w:pPr>
      <w:r>
        <w:rPr>
          <w:rFonts w:ascii="Arial" w:hAnsi="Arial" w:cs="Arial"/>
        </w:rPr>
        <w:t>* Whole blood taurine analysis</w:t>
      </w:r>
    </w:p>
    <w:p w:rsidR="00330CF1" w:rsidRDefault="00330CF1" w:rsidP="00F8239F">
      <w:pPr>
        <w:rPr>
          <w:rFonts w:ascii="Arial" w:hAnsi="Arial" w:cs="Arial"/>
        </w:rPr>
      </w:pPr>
      <w:r>
        <w:rPr>
          <w:rFonts w:ascii="Arial" w:hAnsi="Arial" w:cs="Arial"/>
        </w:rPr>
        <w:t>** BUN= Blood Urea Nitrogen</w:t>
      </w:r>
    </w:p>
    <w:p w:rsidR="00330CF1" w:rsidRPr="00687E70" w:rsidRDefault="00330CF1" w:rsidP="00F8239F">
      <w:pPr>
        <w:rPr>
          <w:rFonts w:ascii="Arial" w:hAnsi="Arial" w:cs="Arial"/>
        </w:rPr>
      </w:pPr>
      <w:r>
        <w:rPr>
          <w:rFonts w:ascii="Arial" w:hAnsi="Arial" w:cs="Arial"/>
        </w:rPr>
        <w:t>NOTE: Different letter superscripts in both rows and columns indicate p values ≤ 0.05.</w:t>
      </w:r>
    </w:p>
    <w:p w:rsidR="00330CF1" w:rsidRDefault="00330CF1" w:rsidP="00F37925">
      <w:pPr>
        <w:rPr>
          <w:rFonts w:ascii="Arial" w:hAnsi="Arial" w:cs="Arial"/>
        </w:rPr>
      </w:pPr>
    </w:p>
    <w:p w:rsidR="00330CF1" w:rsidRPr="007C0E23" w:rsidRDefault="00330CF1" w:rsidP="00F37925">
      <w:pPr>
        <w:rPr>
          <w:rFonts w:ascii="Arial" w:hAnsi="Arial" w:cs="Arial"/>
        </w:rPr>
      </w:pPr>
      <w:r>
        <w:rPr>
          <w:rFonts w:ascii="Arial" w:hAnsi="Arial" w:cs="Arial"/>
        </w:rPr>
        <w:lastRenderedPageBreak/>
        <w:t xml:space="preserve"> </w:t>
      </w:r>
    </w:p>
    <w:p w:rsidR="00330CF1" w:rsidRDefault="00330CF1" w:rsidP="00D160E6">
      <w:pPr>
        <w:rPr>
          <w:rFonts w:ascii="Arial" w:hAnsi="Arial" w:cs="Arial"/>
          <w:b/>
          <w:i/>
        </w:rPr>
      </w:pPr>
      <w:r>
        <w:rPr>
          <w:rFonts w:ascii="Arial" w:hAnsi="Arial" w:cs="Arial"/>
          <w:b/>
          <w:i/>
        </w:rPr>
        <w:t>Complete blood cell counts</w:t>
      </w:r>
    </w:p>
    <w:p w:rsidR="00330CF1" w:rsidRDefault="00330CF1" w:rsidP="00D160E6">
      <w:pPr>
        <w:rPr>
          <w:rFonts w:ascii="Arial" w:hAnsi="Arial" w:cs="Arial"/>
        </w:rPr>
      </w:pPr>
      <w:r>
        <w:rPr>
          <w:rFonts w:ascii="Arial" w:hAnsi="Arial" w:cs="Arial"/>
        </w:rPr>
        <w:t xml:space="preserve">     Hematological mean values for the three treatment groups at weeks 0, 5 and 10 are shown in Table 2.10.  Hemoglobin (p=0.0013) at weeks 5 and 10 was significantly higher in the control and commercial raw group compared to week 0 while the homemade raw diet group saw minimal hemoglobin change over the 10 week period.  Hematocrit was also significantly higher (p=0.0012) at weeks 5 and 10 compared to week 0 in the control group while both raw diet groups saw no significant changes in hematocrit over the 10 week period.  Red cell mean corpuscular volume in the homemade raw diet was significantly lower (p=0.001) at weeks 5 and 10 compared to week 0 and was significantly lower at week 10 (p= 0.0009) </w:t>
      </w:r>
      <w:r w:rsidRPr="00176DB4">
        <w:rPr>
          <w:rFonts w:ascii="Arial" w:hAnsi="Arial" w:cs="Arial"/>
        </w:rPr>
        <w:t xml:space="preserve">compared to the other two diets. </w:t>
      </w:r>
      <w:r>
        <w:rPr>
          <w:rFonts w:ascii="Arial" w:hAnsi="Arial" w:cs="Arial"/>
        </w:rPr>
        <w:t xml:space="preserve"> There was no statistically significant differences in white blood cell i.e. neutrophil, monocyte or eosinophil, numbers between the three treatment groups.  Since mean hemoglobin levels were </w:t>
      </w:r>
      <w:r>
        <w:rPr>
          <w:rFonts w:ascii="Gill Sans MT Ext Condensed Bold" w:hAnsi="Gill Sans MT Ext Condensed Bold" w:cs="Arial"/>
        </w:rPr>
        <w:t xml:space="preserve">≥  </w:t>
      </w:r>
      <w:r>
        <w:rPr>
          <w:rFonts w:ascii="Arial" w:hAnsi="Arial" w:cs="Arial"/>
        </w:rPr>
        <w:t xml:space="preserve">10.0 and mean hematocrit levels were </w:t>
      </w:r>
      <w:r>
        <w:rPr>
          <w:rFonts w:ascii="Gill Sans MT Ext Condensed Bold" w:hAnsi="Gill Sans MT Ext Condensed Bold" w:cs="Arial"/>
        </w:rPr>
        <w:t>≥</w:t>
      </w:r>
      <w:r>
        <w:rPr>
          <w:rFonts w:ascii="Arial" w:hAnsi="Arial" w:cs="Arial"/>
        </w:rPr>
        <w:t xml:space="preserve"> 29%, both raw diets fulfilled the AAFCO requirements for providing a growth claim.  </w:t>
      </w: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Pr="00ED6F4A"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D160E6">
      <w:pPr>
        <w:rPr>
          <w:rFonts w:ascii="Arial" w:hAnsi="Arial" w:cs="Arial"/>
        </w:rPr>
      </w:pPr>
    </w:p>
    <w:p w:rsidR="00330CF1" w:rsidRDefault="00330CF1" w:rsidP="00E148CD">
      <w:pPr>
        <w:jc w:val="center"/>
        <w:rPr>
          <w:rFonts w:ascii="Arial" w:hAnsi="Arial" w:cs="Arial"/>
        </w:rPr>
      </w:pPr>
      <w:r w:rsidRPr="009B7972">
        <w:rPr>
          <w:rFonts w:ascii="Arial" w:hAnsi="Arial" w:cs="Arial"/>
          <w:b/>
        </w:rPr>
        <w:lastRenderedPageBreak/>
        <w:t>Table 2.10</w:t>
      </w:r>
      <w:r w:rsidRPr="009B7972">
        <w:rPr>
          <w:rFonts w:ascii="Arial" w:hAnsi="Arial" w:cs="Arial"/>
        </w:rPr>
        <w:t xml:space="preserve"> </w:t>
      </w:r>
      <w:r>
        <w:rPr>
          <w:rFonts w:ascii="Arial" w:hAnsi="Arial" w:cs="Arial"/>
        </w:rPr>
        <w:t>Hematology v</w:t>
      </w:r>
      <w:r w:rsidRPr="00B0368F">
        <w:rPr>
          <w:rFonts w:ascii="Arial" w:hAnsi="Arial" w:cs="Arial"/>
        </w:rPr>
        <w:t xml:space="preserve">alues </w:t>
      </w:r>
      <w:r>
        <w:rPr>
          <w:rFonts w:ascii="Arial" w:hAnsi="Arial" w:cs="Arial"/>
        </w:rPr>
        <w:t>by diet treatment and week (</w:t>
      </w:r>
      <w:r w:rsidRPr="00B0368F">
        <w:rPr>
          <w:rFonts w:ascii="Arial" w:hAnsi="Arial" w:cs="Arial"/>
        </w:rPr>
        <w:t>Mean ± SEM</w:t>
      </w:r>
      <w:r>
        <w:rPr>
          <w:rFonts w:ascii="Arial" w:hAnsi="Arial" w:cs="Arial"/>
        </w:rPr>
        <w:t>)</w:t>
      </w:r>
    </w:p>
    <w:p w:rsidR="00330CF1" w:rsidRPr="00B0368F" w:rsidRDefault="00330CF1" w:rsidP="00E148CD">
      <w:pPr>
        <w:jc w:val="center"/>
        <w:rPr>
          <w:rFonts w:ascii="Arial" w:hAnsi="Arial" w:cs="Arial"/>
        </w:rPr>
      </w:pPr>
    </w:p>
    <w:tbl>
      <w:tblPr>
        <w:tblStyle w:val="TableGrid"/>
        <w:tblW w:w="0" w:type="auto"/>
        <w:tblLook w:val="04A0" w:firstRow="1" w:lastRow="0" w:firstColumn="1" w:lastColumn="0" w:noHBand="0" w:noVBand="1"/>
      </w:tblPr>
      <w:tblGrid>
        <w:gridCol w:w="2448"/>
        <w:gridCol w:w="2026"/>
        <w:gridCol w:w="2191"/>
        <w:gridCol w:w="2191"/>
      </w:tblGrid>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Analyte/ Week</w:t>
            </w:r>
          </w:p>
        </w:tc>
        <w:tc>
          <w:tcPr>
            <w:tcW w:w="2026" w:type="dxa"/>
          </w:tcPr>
          <w:p w:rsidR="00330CF1" w:rsidRPr="00B0368F" w:rsidRDefault="00330CF1" w:rsidP="00FE7996">
            <w:pPr>
              <w:jc w:val="center"/>
              <w:rPr>
                <w:rFonts w:ascii="Arial" w:hAnsi="Arial" w:cs="Arial"/>
              </w:rPr>
            </w:pPr>
            <w:r>
              <w:rPr>
                <w:rFonts w:ascii="Arial" w:hAnsi="Arial" w:cs="Arial"/>
              </w:rPr>
              <w:t>Control</w:t>
            </w:r>
          </w:p>
        </w:tc>
        <w:tc>
          <w:tcPr>
            <w:tcW w:w="2191" w:type="dxa"/>
          </w:tcPr>
          <w:p w:rsidR="00330CF1" w:rsidRPr="00B0368F" w:rsidRDefault="00330CF1" w:rsidP="00FE7996">
            <w:pPr>
              <w:jc w:val="center"/>
              <w:rPr>
                <w:rFonts w:ascii="Arial" w:hAnsi="Arial" w:cs="Arial"/>
              </w:rPr>
            </w:pPr>
            <w:r>
              <w:rPr>
                <w:rFonts w:ascii="Arial" w:hAnsi="Arial" w:cs="Arial"/>
              </w:rPr>
              <w:t>Commercial Raw</w:t>
            </w:r>
          </w:p>
        </w:tc>
        <w:tc>
          <w:tcPr>
            <w:tcW w:w="2191" w:type="dxa"/>
          </w:tcPr>
          <w:p w:rsidR="00330CF1" w:rsidRPr="00B0368F" w:rsidRDefault="00330CF1" w:rsidP="00FE7996">
            <w:pPr>
              <w:jc w:val="center"/>
              <w:rPr>
                <w:rFonts w:ascii="Arial" w:hAnsi="Arial" w:cs="Arial"/>
              </w:rPr>
            </w:pPr>
            <w:r>
              <w:rPr>
                <w:rFonts w:ascii="Arial" w:hAnsi="Arial" w:cs="Arial"/>
              </w:rPr>
              <w:t>Homemade Raw</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Hemoglobin</w:t>
            </w:r>
            <w:r>
              <w:rPr>
                <w:rFonts w:ascii="Arial" w:hAnsi="Arial" w:cs="Arial"/>
              </w:rPr>
              <w:t xml:space="preserve"> (g/dL)</w:t>
            </w:r>
          </w:p>
        </w:tc>
        <w:tc>
          <w:tcPr>
            <w:tcW w:w="2026"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0</w:t>
            </w:r>
          </w:p>
        </w:tc>
        <w:tc>
          <w:tcPr>
            <w:tcW w:w="2026" w:type="dxa"/>
          </w:tcPr>
          <w:p w:rsidR="00330CF1" w:rsidRPr="00CA32FB" w:rsidRDefault="00330CF1" w:rsidP="00FE7996">
            <w:pPr>
              <w:jc w:val="center"/>
              <w:rPr>
                <w:rFonts w:ascii="Arial" w:hAnsi="Arial" w:cs="Arial"/>
                <w:vertAlign w:val="superscript"/>
              </w:rPr>
            </w:pPr>
            <w:r>
              <w:rPr>
                <w:rFonts w:ascii="Arial" w:hAnsi="Arial" w:cs="Arial"/>
              </w:rPr>
              <w:t>10.28 ± 0.3</w:t>
            </w:r>
            <w:r w:rsidRPr="00B0368F">
              <w:rPr>
                <w:rFonts w:ascii="Arial" w:hAnsi="Arial" w:cs="Arial"/>
              </w:rPr>
              <w:t>9</w:t>
            </w:r>
            <w:r>
              <w:rPr>
                <w:rFonts w:ascii="Arial" w:hAnsi="Arial" w:cs="Arial"/>
                <w:vertAlign w:val="superscript"/>
              </w:rPr>
              <w:t>d</w:t>
            </w:r>
          </w:p>
        </w:tc>
        <w:tc>
          <w:tcPr>
            <w:tcW w:w="2191" w:type="dxa"/>
          </w:tcPr>
          <w:p w:rsidR="00330CF1" w:rsidRPr="00CA32FB" w:rsidRDefault="00330CF1" w:rsidP="00FE7996">
            <w:pPr>
              <w:jc w:val="center"/>
              <w:rPr>
                <w:rFonts w:ascii="Arial" w:hAnsi="Arial" w:cs="Arial"/>
                <w:vertAlign w:val="superscript"/>
              </w:rPr>
            </w:pPr>
            <w:r>
              <w:rPr>
                <w:rFonts w:ascii="Arial" w:hAnsi="Arial" w:cs="Arial"/>
              </w:rPr>
              <w:t>10.86</w:t>
            </w:r>
            <w:r w:rsidRPr="00B0368F">
              <w:rPr>
                <w:rFonts w:ascii="Arial" w:hAnsi="Arial" w:cs="Arial"/>
              </w:rPr>
              <w:t xml:space="preserve"> ± 0.3</w:t>
            </w:r>
            <w:r>
              <w:rPr>
                <w:rFonts w:ascii="Arial" w:hAnsi="Arial" w:cs="Arial"/>
              </w:rPr>
              <w:t>9</w:t>
            </w:r>
            <w:r>
              <w:rPr>
                <w:rFonts w:ascii="Arial" w:hAnsi="Arial" w:cs="Arial"/>
                <w:vertAlign w:val="superscript"/>
              </w:rPr>
              <w:t>cd</w:t>
            </w:r>
          </w:p>
        </w:tc>
        <w:tc>
          <w:tcPr>
            <w:tcW w:w="2191" w:type="dxa"/>
          </w:tcPr>
          <w:p w:rsidR="00330CF1" w:rsidRPr="00FE7996" w:rsidRDefault="00330CF1" w:rsidP="00FE7996">
            <w:pPr>
              <w:jc w:val="center"/>
              <w:rPr>
                <w:rFonts w:ascii="Arial" w:hAnsi="Arial" w:cs="Arial"/>
                <w:vertAlign w:val="superscript"/>
              </w:rPr>
            </w:pPr>
            <w:r>
              <w:rPr>
                <w:rFonts w:ascii="Arial" w:hAnsi="Arial" w:cs="Arial"/>
              </w:rPr>
              <w:t>10.81</w:t>
            </w:r>
            <w:r w:rsidRPr="00B0368F">
              <w:rPr>
                <w:rFonts w:ascii="Arial" w:hAnsi="Arial" w:cs="Arial"/>
              </w:rPr>
              <w:t xml:space="preserve"> ± 0.</w:t>
            </w:r>
            <w:r>
              <w:rPr>
                <w:rFonts w:ascii="Arial" w:hAnsi="Arial" w:cs="Arial"/>
              </w:rPr>
              <w:t>39</w:t>
            </w:r>
            <w:r>
              <w:rPr>
                <w:rFonts w:ascii="Arial" w:hAnsi="Arial" w:cs="Arial"/>
                <w:vertAlign w:val="superscript"/>
              </w:rPr>
              <w:t>cd</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5</w:t>
            </w:r>
          </w:p>
        </w:tc>
        <w:tc>
          <w:tcPr>
            <w:tcW w:w="2026" w:type="dxa"/>
          </w:tcPr>
          <w:p w:rsidR="00330CF1" w:rsidRPr="00CA32FB" w:rsidRDefault="00330CF1" w:rsidP="00FE7996">
            <w:pPr>
              <w:jc w:val="center"/>
              <w:rPr>
                <w:rFonts w:ascii="Arial" w:hAnsi="Arial" w:cs="Arial"/>
                <w:vertAlign w:val="superscript"/>
              </w:rPr>
            </w:pPr>
            <w:r>
              <w:rPr>
                <w:rFonts w:ascii="Arial" w:hAnsi="Arial" w:cs="Arial"/>
              </w:rPr>
              <w:t>11.52</w:t>
            </w:r>
            <w:r w:rsidRPr="00B0368F">
              <w:rPr>
                <w:rFonts w:ascii="Arial" w:hAnsi="Arial" w:cs="Arial"/>
              </w:rPr>
              <w:t xml:space="preserve"> ± 0.</w:t>
            </w:r>
            <w:r>
              <w:rPr>
                <w:rFonts w:ascii="Arial" w:hAnsi="Arial" w:cs="Arial"/>
              </w:rPr>
              <w:t>39</w:t>
            </w:r>
            <w:r>
              <w:rPr>
                <w:rFonts w:ascii="Arial" w:hAnsi="Arial" w:cs="Arial"/>
                <w:vertAlign w:val="superscript"/>
              </w:rPr>
              <w:t>abc</w:t>
            </w:r>
          </w:p>
        </w:tc>
        <w:tc>
          <w:tcPr>
            <w:tcW w:w="2191" w:type="dxa"/>
          </w:tcPr>
          <w:p w:rsidR="00330CF1" w:rsidRPr="00CA32FB" w:rsidRDefault="00330CF1" w:rsidP="00FE7996">
            <w:pPr>
              <w:jc w:val="center"/>
              <w:rPr>
                <w:rFonts w:ascii="Arial" w:hAnsi="Arial" w:cs="Arial"/>
                <w:vertAlign w:val="superscript"/>
              </w:rPr>
            </w:pPr>
            <w:r>
              <w:rPr>
                <w:rFonts w:ascii="Arial" w:hAnsi="Arial" w:cs="Arial"/>
              </w:rPr>
              <w:t>12.18</w:t>
            </w:r>
            <w:r w:rsidRPr="00B0368F">
              <w:rPr>
                <w:rFonts w:ascii="Arial" w:hAnsi="Arial" w:cs="Arial"/>
              </w:rPr>
              <w:t xml:space="preserve"> ± 0.3</w:t>
            </w:r>
            <w:r>
              <w:rPr>
                <w:rFonts w:ascii="Arial" w:hAnsi="Arial" w:cs="Arial"/>
              </w:rPr>
              <w:t>9</w:t>
            </w:r>
            <w:r>
              <w:rPr>
                <w:rFonts w:ascii="Arial" w:hAnsi="Arial" w:cs="Arial"/>
                <w:vertAlign w:val="superscript"/>
              </w:rPr>
              <w:t>a</w:t>
            </w:r>
          </w:p>
        </w:tc>
        <w:tc>
          <w:tcPr>
            <w:tcW w:w="2191" w:type="dxa"/>
          </w:tcPr>
          <w:p w:rsidR="00330CF1" w:rsidRPr="00FE7996" w:rsidRDefault="00330CF1" w:rsidP="00FE7996">
            <w:pPr>
              <w:jc w:val="center"/>
              <w:rPr>
                <w:rFonts w:ascii="Arial" w:hAnsi="Arial" w:cs="Arial"/>
                <w:vertAlign w:val="superscript"/>
              </w:rPr>
            </w:pPr>
            <w:r w:rsidRPr="00B0368F">
              <w:rPr>
                <w:rFonts w:ascii="Arial" w:hAnsi="Arial" w:cs="Arial"/>
              </w:rPr>
              <w:t>11.35 ± 0.</w:t>
            </w:r>
            <w:r>
              <w:rPr>
                <w:rFonts w:ascii="Arial" w:hAnsi="Arial" w:cs="Arial"/>
              </w:rPr>
              <w:t>39</w:t>
            </w:r>
            <w:r>
              <w:rPr>
                <w:rFonts w:ascii="Arial" w:hAnsi="Arial" w:cs="Arial"/>
                <w:vertAlign w:val="superscript"/>
              </w:rPr>
              <w:t>abcd</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10</w:t>
            </w:r>
          </w:p>
        </w:tc>
        <w:tc>
          <w:tcPr>
            <w:tcW w:w="2026" w:type="dxa"/>
          </w:tcPr>
          <w:p w:rsidR="00330CF1" w:rsidRPr="00CA32FB" w:rsidRDefault="00330CF1" w:rsidP="00FE7996">
            <w:pPr>
              <w:jc w:val="center"/>
              <w:rPr>
                <w:rFonts w:ascii="Arial" w:hAnsi="Arial" w:cs="Arial"/>
                <w:vertAlign w:val="superscript"/>
              </w:rPr>
            </w:pPr>
            <w:r>
              <w:rPr>
                <w:rFonts w:ascii="Arial" w:hAnsi="Arial" w:cs="Arial"/>
              </w:rPr>
              <w:t>11.94</w:t>
            </w:r>
            <w:r w:rsidRPr="00B0368F">
              <w:rPr>
                <w:rFonts w:ascii="Arial" w:hAnsi="Arial" w:cs="Arial"/>
              </w:rPr>
              <w:t xml:space="preserve"> ± 0.3</w:t>
            </w:r>
            <w:r>
              <w:rPr>
                <w:rFonts w:ascii="Arial" w:hAnsi="Arial" w:cs="Arial"/>
              </w:rPr>
              <w:t>9</w:t>
            </w:r>
            <w:r>
              <w:rPr>
                <w:rFonts w:ascii="Arial" w:hAnsi="Arial" w:cs="Arial"/>
                <w:vertAlign w:val="superscript"/>
              </w:rPr>
              <w:t>ab</w:t>
            </w:r>
          </w:p>
        </w:tc>
        <w:tc>
          <w:tcPr>
            <w:tcW w:w="2191" w:type="dxa"/>
          </w:tcPr>
          <w:p w:rsidR="00330CF1" w:rsidRPr="00CA32FB" w:rsidRDefault="00330CF1" w:rsidP="00FE7996">
            <w:pPr>
              <w:jc w:val="center"/>
              <w:rPr>
                <w:rFonts w:ascii="Arial" w:hAnsi="Arial" w:cs="Arial"/>
                <w:vertAlign w:val="superscript"/>
              </w:rPr>
            </w:pPr>
            <w:r>
              <w:rPr>
                <w:rFonts w:ascii="Arial" w:hAnsi="Arial" w:cs="Arial"/>
              </w:rPr>
              <w:t>11.99</w:t>
            </w:r>
            <w:r w:rsidRPr="00B0368F">
              <w:rPr>
                <w:rFonts w:ascii="Arial" w:hAnsi="Arial" w:cs="Arial"/>
              </w:rPr>
              <w:t xml:space="preserve"> ± 0.</w:t>
            </w:r>
            <w:r>
              <w:rPr>
                <w:rFonts w:ascii="Arial" w:hAnsi="Arial" w:cs="Arial"/>
              </w:rPr>
              <w:t>39</w:t>
            </w:r>
            <w:r>
              <w:rPr>
                <w:rFonts w:ascii="Arial" w:hAnsi="Arial" w:cs="Arial"/>
                <w:vertAlign w:val="superscript"/>
              </w:rPr>
              <w:t>ab</w:t>
            </w:r>
          </w:p>
        </w:tc>
        <w:tc>
          <w:tcPr>
            <w:tcW w:w="2191" w:type="dxa"/>
          </w:tcPr>
          <w:p w:rsidR="00330CF1" w:rsidRPr="00FE7996" w:rsidRDefault="00330CF1" w:rsidP="00FE7996">
            <w:pPr>
              <w:jc w:val="center"/>
              <w:rPr>
                <w:rFonts w:ascii="Arial" w:hAnsi="Arial" w:cs="Arial"/>
                <w:vertAlign w:val="superscript"/>
              </w:rPr>
            </w:pPr>
            <w:r>
              <w:rPr>
                <w:rFonts w:ascii="Arial" w:hAnsi="Arial" w:cs="Arial"/>
              </w:rPr>
              <w:t>10.86 ± 0.39</w:t>
            </w:r>
            <w:r>
              <w:rPr>
                <w:rFonts w:ascii="Arial" w:hAnsi="Arial" w:cs="Arial"/>
                <w:vertAlign w:val="superscript"/>
              </w:rPr>
              <w:t>bcd</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Hematocrit</w:t>
            </w:r>
            <w:r>
              <w:rPr>
                <w:rFonts w:ascii="Arial" w:hAnsi="Arial" w:cs="Arial"/>
              </w:rPr>
              <w:t xml:space="preserve"> (%)</w:t>
            </w:r>
          </w:p>
        </w:tc>
        <w:tc>
          <w:tcPr>
            <w:tcW w:w="2026"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0</w:t>
            </w:r>
          </w:p>
        </w:tc>
        <w:tc>
          <w:tcPr>
            <w:tcW w:w="2026" w:type="dxa"/>
          </w:tcPr>
          <w:p w:rsidR="00330CF1" w:rsidRPr="00FE7996" w:rsidRDefault="00330CF1" w:rsidP="00FE7996">
            <w:pPr>
              <w:jc w:val="center"/>
              <w:rPr>
                <w:rFonts w:ascii="Arial" w:hAnsi="Arial" w:cs="Arial"/>
                <w:vertAlign w:val="superscript"/>
              </w:rPr>
            </w:pPr>
            <w:r w:rsidRPr="00B0368F">
              <w:rPr>
                <w:rFonts w:ascii="Arial" w:hAnsi="Arial" w:cs="Arial"/>
              </w:rPr>
              <w:t>31.3</w:t>
            </w:r>
            <w:r>
              <w:rPr>
                <w:rFonts w:ascii="Arial" w:hAnsi="Arial" w:cs="Arial"/>
              </w:rPr>
              <w:t>0</w:t>
            </w:r>
            <w:r w:rsidRPr="00B0368F">
              <w:rPr>
                <w:rFonts w:ascii="Arial" w:hAnsi="Arial" w:cs="Arial"/>
              </w:rPr>
              <w:t xml:space="preserve"> ± </w:t>
            </w:r>
            <w:r>
              <w:rPr>
                <w:rFonts w:ascii="Arial" w:hAnsi="Arial" w:cs="Arial"/>
              </w:rPr>
              <w:t>1.13</w:t>
            </w:r>
            <w:r>
              <w:rPr>
                <w:rFonts w:ascii="Arial" w:hAnsi="Arial" w:cs="Arial"/>
                <w:vertAlign w:val="superscript"/>
              </w:rPr>
              <w:t>d</w:t>
            </w:r>
          </w:p>
        </w:tc>
        <w:tc>
          <w:tcPr>
            <w:tcW w:w="2191" w:type="dxa"/>
          </w:tcPr>
          <w:p w:rsidR="00330CF1" w:rsidRPr="00FE7996" w:rsidRDefault="00330CF1" w:rsidP="00FE7996">
            <w:pPr>
              <w:jc w:val="center"/>
              <w:rPr>
                <w:rFonts w:ascii="Arial" w:hAnsi="Arial" w:cs="Arial"/>
                <w:vertAlign w:val="superscript"/>
              </w:rPr>
            </w:pPr>
            <w:r>
              <w:rPr>
                <w:rFonts w:ascii="Arial" w:hAnsi="Arial" w:cs="Arial"/>
              </w:rPr>
              <w:t>33.09 ± 1.13</w:t>
            </w:r>
            <w:r>
              <w:rPr>
                <w:rFonts w:ascii="Arial" w:hAnsi="Arial" w:cs="Arial"/>
                <w:vertAlign w:val="superscript"/>
              </w:rPr>
              <w:t>bcd</w:t>
            </w:r>
          </w:p>
        </w:tc>
        <w:tc>
          <w:tcPr>
            <w:tcW w:w="2191" w:type="dxa"/>
          </w:tcPr>
          <w:p w:rsidR="00330CF1" w:rsidRPr="00FE7996" w:rsidRDefault="00330CF1" w:rsidP="00FE7996">
            <w:pPr>
              <w:jc w:val="center"/>
              <w:rPr>
                <w:rFonts w:ascii="Arial" w:hAnsi="Arial" w:cs="Arial"/>
                <w:vertAlign w:val="superscript"/>
              </w:rPr>
            </w:pPr>
            <w:r w:rsidRPr="00B0368F">
              <w:rPr>
                <w:rFonts w:ascii="Arial" w:hAnsi="Arial" w:cs="Arial"/>
              </w:rPr>
              <w:t>32.1</w:t>
            </w:r>
            <w:r>
              <w:rPr>
                <w:rFonts w:ascii="Arial" w:hAnsi="Arial" w:cs="Arial"/>
              </w:rPr>
              <w:t>0</w:t>
            </w:r>
            <w:r w:rsidRPr="00B0368F">
              <w:rPr>
                <w:rFonts w:ascii="Arial" w:hAnsi="Arial" w:cs="Arial"/>
              </w:rPr>
              <w:t xml:space="preserve"> ± 1.</w:t>
            </w:r>
            <w:r>
              <w:rPr>
                <w:rFonts w:ascii="Arial" w:hAnsi="Arial" w:cs="Arial"/>
              </w:rPr>
              <w:t>13</w:t>
            </w:r>
            <w:r>
              <w:rPr>
                <w:rFonts w:ascii="Arial" w:hAnsi="Arial" w:cs="Arial"/>
                <w:vertAlign w:val="superscript"/>
              </w:rPr>
              <w:t>cd</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5</w:t>
            </w:r>
          </w:p>
        </w:tc>
        <w:tc>
          <w:tcPr>
            <w:tcW w:w="2026" w:type="dxa"/>
          </w:tcPr>
          <w:p w:rsidR="00330CF1" w:rsidRPr="00FE7996" w:rsidRDefault="00330CF1" w:rsidP="00FE7996">
            <w:pPr>
              <w:jc w:val="center"/>
              <w:rPr>
                <w:rFonts w:ascii="Arial" w:hAnsi="Arial" w:cs="Arial"/>
                <w:vertAlign w:val="superscript"/>
              </w:rPr>
            </w:pPr>
            <w:r>
              <w:rPr>
                <w:rFonts w:ascii="Arial" w:hAnsi="Arial" w:cs="Arial"/>
              </w:rPr>
              <w:t>35.41 ± 1.13</w:t>
            </w:r>
            <w:r>
              <w:rPr>
                <w:rFonts w:ascii="Arial" w:hAnsi="Arial" w:cs="Arial"/>
                <w:vertAlign w:val="superscript"/>
              </w:rPr>
              <w:t>ab</w:t>
            </w:r>
          </w:p>
        </w:tc>
        <w:tc>
          <w:tcPr>
            <w:tcW w:w="2191" w:type="dxa"/>
          </w:tcPr>
          <w:p w:rsidR="00330CF1" w:rsidRPr="00FE7996" w:rsidRDefault="00330CF1" w:rsidP="00FE7996">
            <w:pPr>
              <w:jc w:val="center"/>
              <w:rPr>
                <w:rFonts w:ascii="Arial" w:hAnsi="Arial" w:cs="Arial"/>
                <w:vertAlign w:val="superscript"/>
              </w:rPr>
            </w:pPr>
            <w:r w:rsidRPr="00B0368F">
              <w:rPr>
                <w:rFonts w:ascii="Arial" w:hAnsi="Arial" w:cs="Arial"/>
              </w:rPr>
              <w:t>36</w:t>
            </w:r>
            <w:r>
              <w:rPr>
                <w:rFonts w:ascii="Arial" w:hAnsi="Arial" w:cs="Arial"/>
              </w:rPr>
              <w:t>.00 ± 1.13</w:t>
            </w:r>
            <w:r>
              <w:rPr>
                <w:rFonts w:ascii="Arial" w:hAnsi="Arial" w:cs="Arial"/>
                <w:vertAlign w:val="superscript"/>
              </w:rPr>
              <w:t>ab</w:t>
            </w:r>
          </w:p>
        </w:tc>
        <w:tc>
          <w:tcPr>
            <w:tcW w:w="2191" w:type="dxa"/>
          </w:tcPr>
          <w:p w:rsidR="00330CF1" w:rsidRPr="00FE7996" w:rsidRDefault="00330CF1" w:rsidP="00FE7996">
            <w:pPr>
              <w:jc w:val="center"/>
              <w:rPr>
                <w:rFonts w:ascii="Arial" w:hAnsi="Arial" w:cs="Arial"/>
                <w:vertAlign w:val="superscript"/>
              </w:rPr>
            </w:pPr>
            <w:r>
              <w:rPr>
                <w:rFonts w:ascii="Arial" w:hAnsi="Arial" w:cs="Arial"/>
              </w:rPr>
              <w:t>34.61 ± 1.13</w:t>
            </w:r>
            <w:r>
              <w:rPr>
                <w:rFonts w:ascii="Arial" w:hAnsi="Arial" w:cs="Arial"/>
                <w:vertAlign w:val="superscript"/>
              </w:rPr>
              <w:t>abc</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10</w:t>
            </w:r>
          </w:p>
        </w:tc>
        <w:tc>
          <w:tcPr>
            <w:tcW w:w="2026" w:type="dxa"/>
          </w:tcPr>
          <w:p w:rsidR="00330CF1" w:rsidRPr="00FE7996" w:rsidRDefault="00330CF1" w:rsidP="00FE7996">
            <w:pPr>
              <w:jc w:val="center"/>
              <w:rPr>
                <w:rFonts w:ascii="Arial" w:hAnsi="Arial" w:cs="Arial"/>
                <w:vertAlign w:val="superscript"/>
              </w:rPr>
            </w:pPr>
            <w:r>
              <w:rPr>
                <w:rFonts w:ascii="Arial" w:hAnsi="Arial" w:cs="Arial"/>
              </w:rPr>
              <w:t>36.46</w:t>
            </w:r>
            <w:r w:rsidRPr="00B0368F">
              <w:rPr>
                <w:rFonts w:ascii="Arial" w:hAnsi="Arial" w:cs="Arial"/>
              </w:rPr>
              <w:t xml:space="preserve"> ± 1.1</w:t>
            </w:r>
            <w:r>
              <w:rPr>
                <w:rFonts w:ascii="Arial" w:hAnsi="Arial" w:cs="Arial"/>
              </w:rPr>
              <w:t>3</w:t>
            </w:r>
            <w:r>
              <w:rPr>
                <w:rFonts w:ascii="Arial" w:hAnsi="Arial" w:cs="Arial"/>
                <w:vertAlign w:val="superscript"/>
              </w:rPr>
              <w:t>a</w:t>
            </w:r>
          </w:p>
        </w:tc>
        <w:tc>
          <w:tcPr>
            <w:tcW w:w="2191" w:type="dxa"/>
          </w:tcPr>
          <w:p w:rsidR="00330CF1" w:rsidRPr="00FE7996" w:rsidRDefault="00330CF1" w:rsidP="00FE7996">
            <w:pPr>
              <w:jc w:val="center"/>
              <w:rPr>
                <w:rFonts w:ascii="Arial" w:hAnsi="Arial" w:cs="Arial"/>
                <w:vertAlign w:val="superscript"/>
              </w:rPr>
            </w:pPr>
            <w:r>
              <w:rPr>
                <w:rFonts w:ascii="Arial" w:hAnsi="Arial" w:cs="Arial"/>
              </w:rPr>
              <w:t>35.51</w:t>
            </w:r>
            <w:r w:rsidRPr="00B0368F">
              <w:rPr>
                <w:rFonts w:ascii="Arial" w:hAnsi="Arial" w:cs="Arial"/>
              </w:rPr>
              <w:t xml:space="preserve"> ± 1.</w:t>
            </w:r>
            <w:r>
              <w:rPr>
                <w:rFonts w:ascii="Arial" w:hAnsi="Arial" w:cs="Arial"/>
              </w:rPr>
              <w:t>13</w:t>
            </w:r>
            <w:r>
              <w:rPr>
                <w:rFonts w:ascii="Arial" w:hAnsi="Arial" w:cs="Arial"/>
                <w:vertAlign w:val="superscript"/>
              </w:rPr>
              <w:t>ab</w:t>
            </w:r>
          </w:p>
        </w:tc>
        <w:tc>
          <w:tcPr>
            <w:tcW w:w="2191" w:type="dxa"/>
          </w:tcPr>
          <w:p w:rsidR="00330CF1" w:rsidRPr="00FE7996" w:rsidRDefault="00330CF1" w:rsidP="00FE7996">
            <w:pPr>
              <w:jc w:val="center"/>
              <w:rPr>
                <w:rFonts w:ascii="Arial" w:hAnsi="Arial" w:cs="Arial"/>
                <w:vertAlign w:val="superscript"/>
              </w:rPr>
            </w:pPr>
            <w:r>
              <w:rPr>
                <w:rFonts w:ascii="Arial" w:hAnsi="Arial" w:cs="Arial"/>
              </w:rPr>
              <w:t>33.51</w:t>
            </w:r>
            <w:r w:rsidRPr="00B0368F">
              <w:rPr>
                <w:rFonts w:ascii="Arial" w:hAnsi="Arial" w:cs="Arial"/>
              </w:rPr>
              <w:t xml:space="preserve"> ± 1.</w:t>
            </w:r>
            <w:r>
              <w:rPr>
                <w:rFonts w:ascii="Arial" w:hAnsi="Arial" w:cs="Arial"/>
              </w:rPr>
              <w:t>13</w:t>
            </w:r>
            <w:r>
              <w:rPr>
                <w:rFonts w:ascii="Arial" w:hAnsi="Arial" w:cs="Arial"/>
                <w:vertAlign w:val="superscript"/>
              </w:rPr>
              <w:t>abcd</w:t>
            </w:r>
          </w:p>
        </w:tc>
      </w:tr>
      <w:tr w:rsidR="00330CF1" w:rsidRPr="00B0368F" w:rsidTr="00B464EE">
        <w:tc>
          <w:tcPr>
            <w:tcW w:w="2448" w:type="dxa"/>
          </w:tcPr>
          <w:p w:rsidR="00330CF1" w:rsidRPr="00B0368F" w:rsidRDefault="00330CF1" w:rsidP="0045794D">
            <w:pPr>
              <w:rPr>
                <w:rFonts w:ascii="Arial" w:hAnsi="Arial" w:cs="Arial"/>
              </w:rPr>
            </w:pPr>
            <w:r>
              <w:rPr>
                <w:rFonts w:ascii="Arial" w:hAnsi="Arial" w:cs="Arial"/>
              </w:rPr>
              <w:t>MCV* (fL)</w:t>
            </w:r>
          </w:p>
        </w:tc>
        <w:tc>
          <w:tcPr>
            <w:tcW w:w="2026" w:type="dxa"/>
          </w:tcPr>
          <w:p w:rsidR="00330CF1" w:rsidRDefault="00330CF1" w:rsidP="00FE7996">
            <w:pPr>
              <w:jc w:val="center"/>
              <w:rPr>
                <w:rFonts w:ascii="Arial" w:hAnsi="Arial" w:cs="Arial"/>
              </w:rPr>
            </w:pPr>
          </w:p>
        </w:tc>
        <w:tc>
          <w:tcPr>
            <w:tcW w:w="2191" w:type="dxa"/>
          </w:tcPr>
          <w:p w:rsidR="00330CF1" w:rsidRDefault="00330CF1" w:rsidP="00FE7996">
            <w:pPr>
              <w:jc w:val="center"/>
              <w:rPr>
                <w:rFonts w:ascii="Arial" w:hAnsi="Arial" w:cs="Arial"/>
              </w:rPr>
            </w:pPr>
          </w:p>
        </w:tc>
        <w:tc>
          <w:tcPr>
            <w:tcW w:w="2191" w:type="dxa"/>
          </w:tcPr>
          <w:p w:rsidR="00330CF1" w:rsidRDefault="00330CF1" w:rsidP="00FE7996">
            <w:pPr>
              <w:jc w:val="center"/>
              <w:rPr>
                <w:rFonts w:ascii="Arial" w:hAnsi="Arial" w:cs="Arial"/>
              </w:rPr>
            </w:pPr>
          </w:p>
        </w:tc>
      </w:tr>
      <w:tr w:rsidR="00330CF1" w:rsidRPr="00B0368F" w:rsidTr="00B464EE">
        <w:tc>
          <w:tcPr>
            <w:tcW w:w="2448" w:type="dxa"/>
          </w:tcPr>
          <w:p w:rsidR="00330CF1" w:rsidRPr="00B0368F" w:rsidRDefault="00330CF1" w:rsidP="0045794D">
            <w:pPr>
              <w:rPr>
                <w:rFonts w:ascii="Arial" w:hAnsi="Arial" w:cs="Arial"/>
              </w:rPr>
            </w:pPr>
            <w:r>
              <w:rPr>
                <w:rFonts w:ascii="Arial" w:hAnsi="Arial" w:cs="Arial"/>
              </w:rPr>
              <w:t xml:space="preserve">   Week 0</w:t>
            </w:r>
          </w:p>
        </w:tc>
        <w:tc>
          <w:tcPr>
            <w:tcW w:w="2026" w:type="dxa"/>
          </w:tcPr>
          <w:p w:rsidR="00330CF1" w:rsidRPr="009E4605" w:rsidRDefault="00330CF1" w:rsidP="00FE7996">
            <w:pPr>
              <w:jc w:val="center"/>
              <w:rPr>
                <w:rFonts w:ascii="Arial" w:hAnsi="Arial" w:cs="Arial"/>
                <w:vertAlign w:val="superscript"/>
              </w:rPr>
            </w:pPr>
            <w:r>
              <w:rPr>
                <w:rFonts w:ascii="Arial" w:hAnsi="Arial" w:cs="Arial"/>
              </w:rPr>
              <w:t>43.62 ± 0.56</w:t>
            </w:r>
            <w:r>
              <w:rPr>
                <w:rFonts w:ascii="Arial" w:hAnsi="Arial" w:cs="Arial"/>
                <w:vertAlign w:val="superscript"/>
              </w:rPr>
              <w:t>abc</w:t>
            </w:r>
          </w:p>
        </w:tc>
        <w:tc>
          <w:tcPr>
            <w:tcW w:w="2191" w:type="dxa"/>
          </w:tcPr>
          <w:p w:rsidR="00330CF1" w:rsidRPr="009E4605" w:rsidRDefault="00330CF1" w:rsidP="00FE7996">
            <w:pPr>
              <w:jc w:val="center"/>
              <w:rPr>
                <w:rFonts w:ascii="Arial" w:hAnsi="Arial" w:cs="Arial"/>
                <w:vertAlign w:val="superscript"/>
              </w:rPr>
            </w:pPr>
            <w:r>
              <w:rPr>
                <w:rFonts w:ascii="Arial" w:hAnsi="Arial" w:cs="Arial"/>
              </w:rPr>
              <w:t>44.89 ± 0.56</w:t>
            </w:r>
            <w:r>
              <w:rPr>
                <w:rFonts w:ascii="Arial" w:hAnsi="Arial" w:cs="Arial"/>
                <w:vertAlign w:val="superscript"/>
              </w:rPr>
              <w:t>a</w:t>
            </w:r>
          </w:p>
        </w:tc>
        <w:tc>
          <w:tcPr>
            <w:tcW w:w="2191" w:type="dxa"/>
          </w:tcPr>
          <w:p w:rsidR="00330CF1" w:rsidRPr="009E4605" w:rsidRDefault="00330CF1" w:rsidP="009E4605">
            <w:pPr>
              <w:tabs>
                <w:tab w:val="left" w:pos="534"/>
              </w:tabs>
              <w:jc w:val="center"/>
              <w:rPr>
                <w:rFonts w:ascii="Arial" w:hAnsi="Arial" w:cs="Arial"/>
                <w:vertAlign w:val="superscript"/>
              </w:rPr>
            </w:pPr>
            <w:r>
              <w:rPr>
                <w:rFonts w:ascii="Arial" w:hAnsi="Arial" w:cs="Arial"/>
              </w:rPr>
              <w:t>44.91 ± 0.56</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Pr>
                <w:rFonts w:ascii="Arial" w:hAnsi="Arial" w:cs="Arial"/>
              </w:rPr>
              <w:t xml:space="preserve">   Week 5</w:t>
            </w:r>
          </w:p>
        </w:tc>
        <w:tc>
          <w:tcPr>
            <w:tcW w:w="2026" w:type="dxa"/>
          </w:tcPr>
          <w:p w:rsidR="00330CF1" w:rsidRPr="009E4605" w:rsidRDefault="00330CF1" w:rsidP="00FE7996">
            <w:pPr>
              <w:jc w:val="center"/>
              <w:rPr>
                <w:rFonts w:ascii="Arial" w:hAnsi="Arial" w:cs="Arial"/>
                <w:vertAlign w:val="superscript"/>
              </w:rPr>
            </w:pPr>
            <w:r>
              <w:rPr>
                <w:rFonts w:ascii="Arial" w:hAnsi="Arial" w:cs="Arial"/>
              </w:rPr>
              <w:t>42.99 ± 0.56</w:t>
            </w:r>
            <w:r>
              <w:rPr>
                <w:rFonts w:ascii="Arial" w:hAnsi="Arial" w:cs="Arial"/>
                <w:vertAlign w:val="superscript"/>
              </w:rPr>
              <w:t>bc</w:t>
            </w:r>
          </w:p>
        </w:tc>
        <w:tc>
          <w:tcPr>
            <w:tcW w:w="2191" w:type="dxa"/>
          </w:tcPr>
          <w:p w:rsidR="00330CF1" w:rsidRPr="009E4605" w:rsidRDefault="00330CF1" w:rsidP="00FE7996">
            <w:pPr>
              <w:jc w:val="center"/>
              <w:rPr>
                <w:rFonts w:ascii="Arial" w:hAnsi="Arial" w:cs="Arial"/>
                <w:vertAlign w:val="superscript"/>
              </w:rPr>
            </w:pPr>
            <w:r>
              <w:rPr>
                <w:rFonts w:ascii="Arial" w:hAnsi="Arial" w:cs="Arial"/>
              </w:rPr>
              <w:t>43.81 ± 0.56</w:t>
            </w:r>
            <w:r>
              <w:rPr>
                <w:rFonts w:ascii="Arial" w:hAnsi="Arial" w:cs="Arial"/>
                <w:vertAlign w:val="superscript"/>
              </w:rPr>
              <w:t>abc</w:t>
            </w:r>
          </w:p>
        </w:tc>
        <w:tc>
          <w:tcPr>
            <w:tcW w:w="2191" w:type="dxa"/>
          </w:tcPr>
          <w:p w:rsidR="00330CF1" w:rsidRPr="009E4605" w:rsidRDefault="00330CF1" w:rsidP="00FE7996">
            <w:pPr>
              <w:jc w:val="center"/>
              <w:rPr>
                <w:rFonts w:ascii="Arial" w:hAnsi="Arial" w:cs="Arial"/>
                <w:vertAlign w:val="superscript"/>
              </w:rPr>
            </w:pPr>
            <w:r>
              <w:rPr>
                <w:rFonts w:ascii="Arial" w:hAnsi="Arial" w:cs="Arial"/>
              </w:rPr>
              <w:t>42.47 ± 0.56</w:t>
            </w:r>
            <w:r>
              <w:rPr>
                <w:rFonts w:ascii="Arial" w:hAnsi="Arial" w:cs="Arial"/>
                <w:vertAlign w:val="superscript"/>
              </w:rPr>
              <w:t>c</w:t>
            </w:r>
          </w:p>
        </w:tc>
      </w:tr>
      <w:tr w:rsidR="00330CF1" w:rsidRPr="00B0368F" w:rsidTr="00B464EE">
        <w:tc>
          <w:tcPr>
            <w:tcW w:w="2448" w:type="dxa"/>
          </w:tcPr>
          <w:p w:rsidR="00330CF1" w:rsidRPr="00B0368F" w:rsidRDefault="00330CF1" w:rsidP="0045794D">
            <w:pPr>
              <w:rPr>
                <w:rFonts w:ascii="Arial" w:hAnsi="Arial" w:cs="Arial"/>
              </w:rPr>
            </w:pPr>
            <w:r>
              <w:rPr>
                <w:rFonts w:ascii="Arial" w:hAnsi="Arial" w:cs="Arial"/>
              </w:rPr>
              <w:t xml:space="preserve">   Week 10</w:t>
            </w:r>
          </w:p>
        </w:tc>
        <w:tc>
          <w:tcPr>
            <w:tcW w:w="2026" w:type="dxa"/>
          </w:tcPr>
          <w:p w:rsidR="00330CF1" w:rsidRPr="009E4605" w:rsidRDefault="00330CF1" w:rsidP="00FE7996">
            <w:pPr>
              <w:jc w:val="center"/>
              <w:rPr>
                <w:rFonts w:ascii="Arial" w:hAnsi="Arial" w:cs="Arial"/>
                <w:vertAlign w:val="superscript"/>
              </w:rPr>
            </w:pPr>
            <w:r>
              <w:rPr>
                <w:rFonts w:ascii="Arial" w:hAnsi="Arial" w:cs="Arial"/>
              </w:rPr>
              <w:t>44.15 ± 0.56</w:t>
            </w:r>
            <w:r>
              <w:rPr>
                <w:rFonts w:ascii="Arial" w:hAnsi="Arial" w:cs="Arial"/>
                <w:vertAlign w:val="superscript"/>
              </w:rPr>
              <w:t>ab</w:t>
            </w:r>
          </w:p>
        </w:tc>
        <w:tc>
          <w:tcPr>
            <w:tcW w:w="2191" w:type="dxa"/>
          </w:tcPr>
          <w:p w:rsidR="00330CF1" w:rsidRPr="009E4605" w:rsidRDefault="00330CF1" w:rsidP="00FE7996">
            <w:pPr>
              <w:jc w:val="center"/>
              <w:rPr>
                <w:rFonts w:ascii="Arial" w:hAnsi="Arial" w:cs="Arial"/>
                <w:vertAlign w:val="superscript"/>
              </w:rPr>
            </w:pPr>
            <w:r>
              <w:rPr>
                <w:rFonts w:ascii="Arial" w:hAnsi="Arial" w:cs="Arial"/>
              </w:rPr>
              <w:t>44.65 ± 0.56</w:t>
            </w:r>
            <w:r>
              <w:rPr>
                <w:rFonts w:ascii="Arial" w:hAnsi="Arial" w:cs="Arial"/>
                <w:vertAlign w:val="superscript"/>
              </w:rPr>
              <w:t>a</w:t>
            </w:r>
          </w:p>
        </w:tc>
        <w:tc>
          <w:tcPr>
            <w:tcW w:w="2191" w:type="dxa"/>
          </w:tcPr>
          <w:p w:rsidR="00330CF1" w:rsidRPr="009E4605" w:rsidRDefault="00330CF1" w:rsidP="00FE7996">
            <w:pPr>
              <w:jc w:val="center"/>
              <w:rPr>
                <w:rFonts w:ascii="Arial" w:hAnsi="Arial" w:cs="Arial"/>
                <w:vertAlign w:val="superscript"/>
              </w:rPr>
            </w:pPr>
            <w:r>
              <w:rPr>
                <w:rFonts w:ascii="Arial" w:hAnsi="Arial" w:cs="Arial"/>
              </w:rPr>
              <w:t>39.54 ± 0.56</w:t>
            </w:r>
            <w:r>
              <w:rPr>
                <w:rFonts w:ascii="Arial" w:hAnsi="Arial" w:cs="Arial"/>
                <w:vertAlign w:val="superscript"/>
              </w:rPr>
              <w:t>d</w:t>
            </w:r>
          </w:p>
        </w:tc>
      </w:tr>
      <w:tr w:rsidR="00330CF1" w:rsidRPr="00B0368F" w:rsidTr="00B464EE">
        <w:tc>
          <w:tcPr>
            <w:tcW w:w="2448" w:type="dxa"/>
          </w:tcPr>
          <w:p w:rsidR="00330CF1" w:rsidRPr="00B0368F" w:rsidRDefault="00330CF1" w:rsidP="0045794D">
            <w:pPr>
              <w:rPr>
                <w:rFonts w:ascii="Arial" w:hAnsi="Arial" w:cs="Arial"/>
              </w:rPr>
            </w:pPr>
            <w:r>
              <w:rPr>
                <w:rFonts w:ascii="Arial" w:hAnsi="Arial" w:cs="Arial"/>
              </w:rPr>
              <w:t>MCHC** (g/dL)</w:t>
            </w:r>
          </w:p>
        </w:tc>
        <w:tc>
          <w:tcPr>
            <w:tcW w:w="2026" w:type="dxa"/>
          </w:tcPr>
          <w:p w:rsidR="00330CF1" w:rsidRDefault="00330CF1" w:rsidP="00FE7996">
            <w:pPr>
              <w:jc w:val="center"/>
              <w:rPr>
                <w:rFonts w:ascii="Arial" w:hAnsi="Arial" w:cs="Arial"/>
              </w:rPr>
            </w:pPr>
          </w:p>
        </w:tc>
        <w:tc>
          <w:tcPr>
            <w:tcW w:w="2191" w:type="dxa"/>
          </w:tcPr>
          <w:p w:rsidR="00330CF1" w:rsidRDefault="00330CF1" w:rsidP="00FE7996">
            <w:pPr>
              <w:jc w:val="center"/>
              <w:rPr>
                <w:rFonts w:ascii="Arial" w:hAnsi="Arial" w:cs="Arial"/>
              </w:rPr>
            </w:pPr>
          </w:p>
        </w:tc>
        <w:tc>
          <w:tcPr>
            <w:tcW w:w="2191" w:type="dxa"/>
          </w:tcPr>
          <w:p w:rsidR="00330CF1" w:rsidRDefault="00330CF1" w:rsidP="00FE7996">
            <w:pPr>
              <w:jc w:val="center"/>
              <w:rPr>
                <w:rFonts w:ascii="Arial" w:hAnsi="Arial" w:cs="Arial"/>
              </w:rPr>
            </w:pPr>
          </w:p>
        </w:tc>
      </w:tr>
      <w:tr w:rsidR="00330CF1" w:rsidRPr="00B0368F" w:rsidTr="00B464EE">
        <w:tc>
          <w:tcPr>
            <w:tcW w:w="2448" w:type="dxa"/>
          </w:tcPr>
          <w:p w:rsidR="00330CF1" w:rsidRPr="00B0368F" w:rsidRDefault="00330CF1" w:rsidP="0045794D">
            <w:pPr>
              <w:rPr>
                <w:rFonts w:ascii="Arial" w:hAnsi="Arial" w:cs="Arial"/>
              </w:rPr>
            </w:pPr>
            <w:r>
              <w:rPr>
                <w:rFonts w:ascii="Arial" w:hAnsi="Arial" w:cs="Arial"/>
              </w:rPr>
              <w:t xml:space="preserve">   Week 0</w:t>
            </w:r>
          </w:p>
        </w:tc>
        <w:tc>
          <w:tcPr>
            <w:tcW w:w="2026" w:type="dxa"/>
          </w:tcPr>
          <w:p w:rsidR="00330CF1" w:rsidRPr="000E0BEF" w:rsidRDefault="00330CF1" w:rsidP="00FE7996">
            <w:pPr>
              <w:jc w:val="center"/>
              <w:rPr>
                <w:rFonts w:ascii="Arial" w:hAnsi="Arial" w:cs="Arial"/>
                <w:vertAlign w:val="superscript"/>
              </w:rPr>
            </w:pPr>
            <w:r>
              <w:rPr>
                <w:rFonts w:ascii="Arial" w:hAnsi="Arial" w:cs="Arial"/>
              </w:rPr>
              <w:t>33.07 ± 0.36</w:t>
            </w:r>
            <w:r>
              <w:rPr>
                <w:rFonts w:ascii="Arial" w:hAnsi="Arial" w:cs="Arial"/>
                <w:vertAlign w:val="superscript"/>
              </w:rPr>
              <w:t>a</w:t>
            </w:r>
          </w:p>
        </w:tc>
        <w:tc>
          <w:tcPr>
            <w:tcW w:w="2191" w:type="dxa"/>
          </w:tcPr>
          <w:p w:rsidR="00330CF1" w:rsidRPr="000E0BEF" w:rsidRDefault="00330CF1" w:rsidP="00FE7996">
            <w:pPr>
              <w:jc w:val="center"/>
              <w:rPr>
                <w:rFonts w:ascii="Arial" w:hAnsi="Arial" w:cs="Arial"/>
                <w:vertAlign w:val="superscript"/>
              </w:rPr>
            </w:pPr>
            <w:r>
              <w:rPr>
                <w:rFonts w:ascii="Arial" w:hAnsi="Arial" w:cs="Arial"/>
              </w:rPr>
              <w:t>32.84 ± 0.36</w:t>
            </w:r>
            <w:r>
              <w:rPr>
                <w:rFonts w:ascii="Arial" w:hAnsi="Arial" w:cs="Arial"/>
                <w:vertAlign w:val="superscript"/>
              </w:rPr>
              <w:t>a</w:t>
            </w:r>
          </w:p>
        </w:tc>
        <w:tc>
          <w:tcPr>
            <w:tcW w:w="2191" w:type="dxa"/>
          </w:tcPr>
          <w:p w:rsidR="00330CF1" w:rsidRPr="000E0BEF" w:rsidRDefault="00330CF1" w:rsidP="00FE7996">
            <w:pPr>
              <w:jc w:val="center"/>
              <w:rPr>
                <w:rFonts w:ascii="Arial" w:hAnsi="Arial" w:cs="Arial"/>
                <w:vertAlign w:val="superscript"/>
              </w:rPr>
            </w:pPr>
            <w:r>
              <w:rPr>
                <w:rFonts w:ascii="Arial" w:hAnsi="Arial" w:cs="Arial"/>
              </w:rPr>
              <w:t>33.60 ± 0.36</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Pr>
                <w:rFonts w:ascii="Arial" w:hAnsi="Arial" w:cs="Arial"/>
              </w:rPr>
              <w:t xml:space="preserve">   Week 5</w:t>
            </w:r>
          </w:p>
        </w:tc>
        <w:tc>
          <w:tcPr>
            <w:tcW w:w="2026" w:type="dxa"/>
          </w:tcPr>
          <w:p w:rsidR="00330CF1" w:rsidRPr="000E0BEF" w:rsidRDefault="00330CF1" w:rsidP="00FE7996">
            <w:pPr>
              <w:jc w:val="center"/>
              <w:rPr>
                <w:rFonts w:ascii="Arial" w:hAnsi="Arial" w:cs="Arial"/>
                <w:vertAlign w:val="superscript"/>
              </w:rPr>
            </w:pPr>
            <w:r>
              <w:rPr>
                <w:rFonts w:ascii="Arial" w:hAnsi="Arial" w:cs="Arial"/>
              </w:rPr>
              <w:t>32.57 ± 0.36</w:t>
            </w:r>
            <w:r>
              <w:rPr>
                <w:rFonts w:ascii="Arial" w:hAnsi="Arial" w:cs="Arial"/>
                <w:vertAlign w:val="superscript"/>
              </w:rPr>
              <w:t>a</w:t>
            </w:r>
          </w:p>
        </w:tc>
        <w:tc>
          <w:tcPr>
            <w:tcW w:w="2191" w:type="dxa"/>
          </w:tcPr>
          <w:p w:rsidR="00330CF1" w:rsidRPr="000E0BEF" w:rsidRDefault="00330CF1" w:rsidP="00FE7996">
            <w:pPr>
              <w:jc w:val="center"/>
              <w:rPr>
                <w:rFonts w:ascii="Arial" w:hAnsi="Arial" w:cs="Arial"/>
                <w:vertAlign w:val="superscript"/>
              </w:rPr>
            </w:pPr>
            <w:r>
              <w:rPr>
                <w:rFonts w:ascii="Arial" w:hAnsi="Arial" w:cs="Arial"/>
              </w:rPr>
              <w:t>33.81 ± 0.36</w:t>
            </w:r>
            <w:r>
              <w:rPr>
                <w:rFonts w:ascii="Arial" w:hAnsi="Arial" w:cs="Arial"/>
                <w:vertAlign w:val="superscript"/>
              </w:rPr>
              <w:t>a</w:t>
            </w:r>
          </w:p>
        </w:tc>
        <w:tc>
          <w:tcPr>
            <w:tcW w:w="2191" w:type="dxa"/>
          </w:tcPr>
          <w:p w:rsidR="00330CF1" w:rsidRPr="000E0BEF" w:rsidRDefault="00330CF1" w:rsidP="00FE7996">
            <w:pPr>
              <w:jc w:val="center"/>
              <w:rPr>
                <w:rFonts w:ascii="Arial" w:hAnsi="Arial" w:cs="Arial"/>
                <w:vertAlign w:val="superscript"/>
              </w:rPr>
            </w:pPr>
            <w:r>
              <w:rPr>
                <w:rFonts w:ascii="Arial" w:hAnsi="Arial" w:cs="Arial"/>
              </w:rPr>
              <w:t>32.84 ± 0.36</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Pr>
                <w:rFonts w:ascii="Arial" w:hAnsi="Arial" w:cs="Arial"/>
              </w:rPr>
              <w:t xml:space="preserve">   Week 10</w:t>
            </w:r>
          </w:p>
        </w:tc>
        <w:tc>
          <w:tcPr>
            <w:tcW w:w="2026" w:type="dxa"/>
          </w:tcPr>
          <w:p w:rsidR="00330CF1" w:rsidRPr="000E0BEF" w:rsidRDefault="00330CF1" w:rsidP="00FE7996">
            <w:pPr>
              <w:jc w:val="center"/>
              <w:rPr>
                <w:rFonts w:ascii="Arial" w:hAnsi="Arial" w:cs="Arial"/>
                <w:vertAlign w:val="superscript"/>
              </w:rPr>
            </w:pPr>
            <w:r>
              <w:rPr>
                <w:rFonts w:ascii="Arial" w:hAnsi="Arial" w:cs="Arial"/>
              </w:rPr>
              <w:t>32.71 ± 0.36</w:t>
            </w:r>
            <w:r>
              <w:rPr>
                <w:rFonts w:ascii="Arial" w:hAnsi="Arial" w:cs="Arial"/>
                <w:vertAlign w:val="superscript"/>
              </w:rPr>
              <w:t>a</w:t>
            </w:r>
          </w:p>
        </w:tc>
        <w:tc>
          <w:tcPr>
            <w:tcW w:w="2191" w:type="dxa"/>
          </w:tcPr>
          <w:p w:rsidR="00330CF1" w:rsidRPr="000E0BEF" w:rsidRDefault="00330CF1" w:rsidP="00FE7996">
            <w:pPr>
              <w:jc w:val="center"/>
              <w:rPr>
                <w:rFonts w:ascii="Arial" w:hAnsi="Arial" w:cs="Arial"/>
                <w:vertAlign w:val="superscript"/>
              </w:rPr>
            </w:pPr>
            <w:r>
              <w:rPr>
                <w:rFonts w:ascii="Arial" w:hAnsi="Arial" w:cs="Arial"/>
              </w:rPr>
              <w:t>33.75 ± 0.36</w:t>
            </w:r>
            <w:r>
              <w:rPr>
                <w:rFonts w:ascii="Arial" w:hAnsi="Arial" w:cs="Arial"/>
                <w:vertAlign w:val="superscript"/>
              </w:rPr>
              <w:t>a</w:t>
            </w:r>
          </w:p>
        </w:tc>
        <w:tc>
          <w:tcPr>
            <w:tcW w:w="2191" w:type="dxa"/>
          </w:tcPr>
          <w:p w:rsidR="00330CF1" w:rsidRPr="000E0BEF" w:rsidRDefault="00330CF1" w:rsidP="00FE7996">
            <w:pPr>
              <w:jc w:val="center"/>
              <w:rPr>
                <w:rFonts w:ascii="Arial" w:hAnsi="Arial" w:cs="Arial"/>
                <w:vertAlign w:val="superscript"/>
              </w:rPr>
            </w:pPr>
            <w:r>
              <w:rPr>
                <w:rFonts w:ascii="Arial" w:hAnsi="Arial" w:cs="Arial"/>
              </w:rPr>
              <w:t>32.36 ± 0.36</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Total WBC</w:t>
            </w:r>
          </w:p>
        </w:tc>
        <w:tc>
          <w:tcPr>
            <w:tcW w:w="2026"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0</w:t>
            </w:r>
          </w:p>
        </w:tc>
        <w:tc>
          <w:tcPr>
            <w:tcW w:w="2026" w:type="dxa"/>
          </w:tcPr>
          <w:p w:rsidR="00330CF1" w:rsidRPr="00DA1D2B" w:rsidRDefault="00330CF1" w:rsidP="00FE7996">
            <w:pPr>
              <w:jc w:val="center"/>
              <w:rPr>
                <w:rFonts w:ascii="Arial" w:hAnsi="Arial" w:cs="Arial"/>
                <w:vertAlign w:val="superscript"/>
              </w:rPr>
            </w:pPr>
            <w:r w:rsidRPr="00B0368F">
              <w:rPr>
                <w:rFonts w:ascii="Arial" w:hAnsi="Arial" w:cs="Arial"/>
              </w:rPr>
              <w:t>11,400 ± 1,</w:t>
            </w:r>
            <w:r>
              <w:rPr>
                <w:rFonts w:ascii="Arial" w:hAnsi="Arial" w:cs="Arial"/>
              </w:rPr>
              <w:t>187</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10,437 ± 1,187</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10,887 ± 1,187</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5</w:t>
            </w:r>
          </w:p>
        </w:tc>
        <w:tc>
          <w:tcPr>
            <w:tcW w:w="2026" w:type="dxa"/>
          </w:tcPr>
          <w:p w:rsidR="00330CF1" w:rsidRPr="00DA1D2B" w:rsidRDefault="00330CF1" w:rsidP="00FE7996">
            <w:pPr>
              <w:jc w:val="center"/>
              <w:rPr>
                <w:rFonts w:ascii="Arial" w:hAnsi="Arial" w:cs="Arial"/>
                <w:vertAlign w:val="superscript"/>
              </w:rPr>
            </w:pPr>
            <w:r w:rsidRPr="00B0368F">
              <w:rPr>
                <w:rFonts w:ascii="Arial" w:hAnsi="Arial" w:cs="Arial"/>
              </w:rPr>
              <w:t>11,187 ± 1,1</w:t>
            </w:r>
            <w:r>
              <w:rPr>
                <w:rFonts w:ascii="Arial" w:hAnsi="Arial" w:cs="Arial"/>
              </w:rPr>
              <w:t>87</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12,012 ± 1,187</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10,725 ± 1,187</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10</w:t>
            </w:r>
          </w:p>
        </w:tc>
        <w:tc>
          <w:tcPr>
            <w:tcW w:w="2026" w:type="dxa"/>
          </w:tcPr>
          <w:p w:rsidR="00330CF1" w:rsidRPr="00DA1D2B" w:rsidRDefault="00330CF1" w:rsidP="00FE7996">
            <w:pPr>
              <w:jc w:val="center"/>
              <w:rPr>
                <w:rFonts w:ascii="Arial" w:hAnsi="Arial" w:cs="Arial"/>
                <w:vertAlign w:val="superscript"/>
              </w:rPr>
            </w:pPr>
            <w:r w:rsidRPr="00B0368F">
              <w:rPr>
                <w:rFonts w:ascii="Arial" w:hAnsi="Arial" w:cs="Arial"/>
              </w:rPr>
              <w:t>11,575 ± 1,</w:t>
            </w:r>
            <w:r>
              <w:rPr>
                <w:rFonts w:ascii="Arial" w:hAnsi="Arial" w:cs="Arial"/>
              </w:rPr>
              <w:t>187</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10,887 ± 1,187</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13,650 ± 1,187</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Abs. Neutrophils</w:t>
            </w:r>
          </w:p>
        </w:tc>
        <w:tc>
          <w:tcPr>
            <w:tcW w:w="2026"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0</w:t>
            </w:r>
          </w:p>
        </w:tc>
        <w:tc>
          <w:tcPr>
            <w:tcW w:w="2026" w:type="dxa"/>
          </w:tcPr>
          <w:p w:rsidR="00330CF1" w:rsidRPr="00DA1D2B" w:rsidRDefault="00330CF1" w:rsidP="00FE7996">
            <w:pPr>
              <w:jc w:val="center"/>
              <w:rPr>
                <w:rFonts w:ascii="Arial" w:hAnsi="Arial" w:cs="Arial"/>
                <w:vertAlign w:val="superscript"/>
              </w:rPr>
            </w:pPr>
            <w:r w:rsidRPr="00B0368F">
              <w:rPr>
                <w:rFonts w:ascii="Arial" w:hAnsi="Arial" w:cs="Arial"/>
              </w:rPr>
              <w:t xml:space="preserve">5,641 ± </w:t>
            </w:r>
            <w:r>
              <w:rPr>
                <w:rFonts w:ascii="Arial" w:hAnsi="Arial" w:cs="Arial"/>
              </w:rPr>
              <w:t>641</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4,900 ± 641</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5,444 ± 641</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5</w:t>
            </w:r>
          </w:p>
        </w:tc>
        <w:tc>
          <w:tcPr>
            <w:tcW w:w="2026" w:type="dxa"/>
          </w:tcPr>
          <w:p w:rsidR="00330CF1" w:rsidRPr="00DA1D2B" w:rsidRDefault="00330CF1" w:rsidP="00FE7996">
            <w:pPr>
              <w:jc w:val="center"/>
              <w:rPr>
                <w:rFonts w:ascii="Arial" w:hAnsi="Arial" w:cs="Arial"/>
                <w:vertAlign w:val="superscript"/>
              </w:rPr>
            </w:pPr>
            <w:r w:rsidRPr="00B0368F">
              <w:rPr>
                <w:rFonts w:ascii="Arial" w:hAnsi="Arial" w:cs="Arial"/>
              </w:rPr>
              <w:t xml:space="preserve">4,637 ± </w:t>
            </w:r>
            <w:r>
              <w:rPr>
                <w:rFonts w:ascii="Arial" w:hAnsi="Arial" w:cs="Arial"/>
              </w:rPr>
              <w:t>641</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6,075 ± 641</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5,150 ± 641</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10</w:t>
            </w:r>
          </w:p>
        </w:tc>
        <w:tc>
          <w:tcPr>
            <w:tcW w:w="2026" w:type="dxa"/>
          </w:tcPr>
          <w:p w:rsidR="00330CF1" w:rsidRPr="00DA1D2B" w:rsidRDefault="00330CF1" w:rsidP="00FE7996">
            <w:pPr>
              <w:jc w:val="center"/>
              <w:rPr>
                <w:rFonts w:ascii="Arial" w:hAnsi="Arial" w:cs="Arial"/>
                <w:vertAlign w:val="superscript"/>
              </w:rPr>
            </w:pPr>
            <w:r w:rsidRPr="00B0368F">
              <w:rPr>
                <w:rFonts w:ascii="Arial" w:hAnsi="Arial" w:cs="Arial"/>
              </w:rPr>
              <w:t xml:space="preserve">4,086 ± </w:t>
            </w:r>
            <w:r>
              <w:rPr>
                <w:rFonts w:ascii="Arial" w:hAnsi="Arial" w:cs="Arial"/>
              </w:rPr>
              <w:t>641</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4,446 ± 641</w:t>
            </w:r>
            <w:r>
              <w:rPr>
                <w:rFonts w:ascii="Arial" w:hAnsi="Arial" w:cs="Arial"/>
                <w:vertAlign w:val="superscript"/>
              </w:rPr>
              <w:t>a</w:t>
            </w:r>
          </w:p>
        </w:tc>
        <w:tc>
          <w:tcPr>
            <w:tcW w:w="2191" w:type="dxa"/>
          </w:tcPr>
          <w:p w:rsidR="00330CF1" w:rsidRPr="00DA1D2B" w:rsidRDefault="00330CF1" w:rsidP="00FE7996">
            <w:pPr>
              <w:jc w:val="center"/>
              <w:rPr>
                <w:rFonts w:ascii="Arial" w:hAnsi="Arial" w:cs="Arial"/>
                <w:vertAlign w:val="superscript"/>
              </w:rPr>
            </w:pPr>
            <w:r>
              <w:rPr>
                <w:rFonts w:ascii="Arial" w:hAnsi="Arial" w:cs="Arial"/>
              </w:rPr>
              <w:t>4,920 ± 641</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Abs. Monocytes</w:t>
            </w:r>
          </w:p>
        </w:tc>
        <w:tc>
          <w:tcPr>
            <w:tcW w:w="2026"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0</w:t>
            </w:r>
          </w:p>
        </w:tc>
        <w:tc>
          <w:tcPr>
            <w:tcW w:w="2026" w:type="dxa"/>
          </w:tcPr>
          <w:p w:rsidR="00330CF1" w:rsidRPr="00FE7996" w:rsidRDefault="00330CF1" w:rsidP="00FE7996">
            <w:pPr>
              <w:jc w:val="center"/>
              <w:rPr>
                <w:rFonts w:ascii="Arial" w:hAnsi="Arial" w:cs="Arial"/>
                <w:vertAlign w:val="superscript"/>
              </w:rPr>
            </w:pPr>
            <w:r w:rsidRPr="00B0368F">
              <w:rPr>
                <w:rFonts w:ascii="Arial" w:hAnsi="Arial" w:cs="Arial"/>
              </w:rPr>
              <w:t xml:space="preserve">315 ± </w:t>
            </w:r>
            <w:r>
              <w:rPr>
                <w:rFonts w:ascii="Arial" w:hAnsi="Arial" w:cs="Arial"/>
              </w:rPr>
              <w:t>73</w:t>
            </w:r>
            <w:r>
              <w:rPr>
                <w:rFonts w:ascii="Arial" w:hAnsi="Arial" w:cs="Arial"/>
                <w:vertAlign w:val="superscript"/>
              </w:rPr>
              <w:t>a</w:t>
            </w:r>
          </w:p>
        </w:tc>
        <w:tc>
          <w:tcPr>
            <w:tcW w:w="2191" w:type="dxa"/>
          </w:tcPr>
          <w:p w:rsidR="00330CF1" w:rsidRPr="00FE7996" w:rsidRDefault="00330CF1" w:rsidP="00FE7996">
            <w:pPr>
              <w:jc w:val="center"/>
              <w:rPr>
                <w:rFonts w:ascii="Arial" w:hAnsi="Arial" w:cs="Arial"/>
                <w:vertAlign w:val="superscript"/>
              </w:rPr>
            </w:pPr>
            <w:r w:rsidRPr="00B0368F">
              <w:rPr>
                <w:rFonts w:ascii="Arial" w:hAnsi="Arial" w:cs="Arial"/>
              </w:rPr>
              <w:t xml:space="preserve">304 ± </w:t>
            </w:r>
            <w:r>
              <w:rPr>
                <w:rFonts w:ascii="Arial" w:hAnsi="Arial" w:cs="Arial"/>
              </w:rPr>
              <w:t>73</w:t>
            </w:r>
            <w:r>
              <w:rPr>
                <w:rFonts w:ascii="Arial" w:hAnsi="Arial" w:cs="Arial"/>
                <w:vertAlign w:val="superscript"/>
              </w:rPr>
              <w:t>a</w:t>
            </w:r>
          </w:p>
        </w:tc>
        <w:tc>
          <w:tcPr>
            <w:tcW w:w="2191" w:type="dxa"/>
          </w:tcPr>
          <w:p w:rsidR="00330CF1" w:rsidRPr="00FE7996" w:rsidRDefault="00330CF1" w:rsidP="00FE7996">
            <w:pPr>
              <w:jc w:val="center"/>
              <w:rPr>
                <w:rFonts w:ascii="Arial" w:hAnsi="Arial" w:cs="Arial"/>
                <w:vertAlign w:val="superscript"/>
              </w:rPr>
            </w:pPr>
            <w:r w:rsidRPr="00B0368F">
              <w:rPr>
                <w:rFonts w:ascii="Arial" w:hAnsi="Arial" w:cs="Arial"/>
              </w:rPr>
              <w:t xml:space="preserve">367 ± </w:t>
            </w:r>
            <w:r>
              <w:rPr>
                <w:rFonts w:ascii="Arial" w:hAnsi="Arial" w:cs="Arial"/>
              </w:rPr>
              <w:t>73</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5</w:t>
            </w:r>
          </w:p>
        </w:tc>
        <w:tc>
          <w:tcPr>
            <w:tcW w:w="2026" w:type="dxa"/>
          </w:tcPr>
          <w:p w:rsidR="00330CF1" w:rsidRPr="00FE7996" w:rsidRDefault="00330CF1" w:rsidP="00FE7996">
            <w:pPr>
              <w:jc w:val="center"/>
              <w:rPr>
                <w:rFonts w:ascii="Arial" w:hAnsi="Arial" w:cs="Arial"/>
                <w:vertAlign w:val="superscript"/>
              </w:rPr>
            </w:pPr>
            <w:r w:rsidRPr="00B0368F">
              <w:rPr>
                <w:rFonts w:ascii="Arial" w:hAnsi="Arial" w:cs="Arial"/>
              </w:rPr>
              <w:t xml:space="preserve">242 ± </w:t>
            </w:r>
            <w:r>
              <w:rPr>
                <w:rFonts w:ascii="Arial" w:hAnsi="Arial" w:cs="Arial"/>
              </w:rPr>
              <w:t>73</w:t>
            </w:r>
            <w:r>
              <w:rPr>
                <w:rFonts w:ascii="Arial" w:hAnsi="Arial" w:cs="Arial"/>
                <w:vertAlign w:val="superscript"/>
              </w:rPr>
              <w:t>a</w:t>
            </w:r>
          </w:p>
        </w:tc>
        <w:tc>
          <w:tcPr>
            <w:tcW w:w="2191" w:type="dxa"/>
          </w:tcPr>
          <w:p w:rsidR="00330CF1" w:rsidRPr="00FE7996" w:rsidRDefault="00330CF1" w:rsidP="00FE7996">
            <w:pPr>
              <w:jc w:val="center"/>
              <w:rPr>
                <w:rFonts w:ascii="Arial" w:hAnsi="Arial" w:cs="Arial"/>
                <w:vertAlign w:val="superscript"/>
              </w:rPr>
            </w:pPr>
            <w:r w:rsidRPr="00B0368F">
              <w:rPr>
                <w:rFonts w:ascii="Arial" w:hAnsi="Arial" w:cs="Arial"/>
              </w:rPr>
              <w:t xml:space="preserve">246 ± </w:t>
            </w:r>
            <w:r>
              <w:rPr>
                <w:rFonts w:ascii="Arial" w:hAnsi="Arial" w:cs="Arial"/>
              </w:rPr>
              <w:t>73</w:t>
            </w:r>
            <w:r>
              <w:rPr>
                <w:rFonts w:ascii="Arial" w:hAnsi="Arial" w:cs="Arial"/>
                <w:vertAlign w:val="superscript"/>
              </w:rPr>
              <w:t>a</w:t>
            </w:r>
          </w:p>
        </w:tc>
        <w:tc>
          <w:tcPr>
            <w:tcW w:w="2191" w:type="dxa"/>
          </w:tcPr>
          <w:p w:rsidR="00330CF1" w:rsidRPr="00FE7996" w:rsidRDefault="00330CF1" w:rsidP="00FE7996">
            <w:pPr>
              <w:jc w:val="center"/>
              <w:rPr>
                <w:rFonts w:ascii="Arial" w:hAnsi="Arial" w:cs="Arial"/>
                <w:vertAlign w:val="superscript"/>
              </w:rPr>
            </w:pPr>
            <w:r w:rsidRPr="00B0368F">
              <w:rPr>
                <w:rFonts w:ascii="Arial" w:hAnsi="Arial" w:cs="Arial"/>
              </w:rPr>
              <w:t xml:space="preserve">378 ± </w:t>
            </w:r>
            <w:r>
              <w:rPr>
                <w:rFonts w:ascii="Arial" w:hAnsi="Arial" w:cs="Arial"/>
              </w:rPr>
              <w:t>73</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10</w:t>
            </w:r>
          </w:p>
        </w:tc>
        <w:tc>
          <w:tcPr>
            <w:tcW w:w="2026" w:type="dxa"/>
          </w:tcPr>
          <w:p w:rsidR="00330CF1" w:rsidRPr="00FE7996" w:rsidRDefault="00330CF1" w:rsidP="00FE7996">
            <w:pPr>
              <w:jc w:val="center"/>
              <w:rPr>
                <w:rFonts w:ascii="Arial" w:hAnsi="Arial" w:cs="Arial"/>
                <w:vertAlign w:val="superscript"/>
              </w:rPr>
            </w:pPr>
            <w:r w:rsidRPr="00B0368F">
              <w:rPr>
                <w:rFonts w:ascii="Arial" w:hAnsi="Arial" w:cs="Arial"/>
              </w:rPr>
              <w:t xml:space="preserve">200 ± </w:t>
            </w:r>
            <w:r>
              <w:rPr>
                <w:rFonts w:ascii="Arial" w:hAnsi="Arial" w:cs="Arial"/>
              </w:rPr>
              <w:t>73</w:t>
            </w:r>
            <w:r>
              <w:rPr>
                <w:rFonts w:ascii="Arial" w:hAnsi="Arial" w:cs="Arial"/>
                <w:vertAlign w:val="superscript"/>
              </w:rPr>
              <w:t>a</w:t>
            </w:r>
          </w:p>
        </w:tc>
        <w:tc>
          <w:tcPr>
            <w:tcW w:w="2191" w:type="dxa"/>
          </w:tcPr>
          <w:p w:rsidR="00330CF1" w:rsidRPr="00FE7996" w:rsidRDefault="00330CF1" w:rsidP="00FE7996">
            <w:pPr>
              <w:jc w:val="center"/>
              <w:rPr>
                <w:rFonts w:ascii="Arial" w:hAnsi="Arial" w:cs="Arial"/>
                <w:vertAlign w:val="superscript"/>
              </w:rPr>
            </w:pPr>
            <w:r w:rsidRPr="00B0368F">
              <w:rPr>
                <w:rFonts w:ascii="Arial" w:hAnsi="Arial" w:cs="Arial"/>
              </w:rPr>
              <w:t>278 ± 7</w:t>
            </w:r>
            <w:r>
              <w:rPr>
                <w:rFonts w:ascii="Arial" w:hAnsi="Arial" w:cs="Arial"/>
              </w:rPr>
              <w:t>3</w:t>
            </w:r>
            <w:r>
              <w:rPr>
                <w:rFonts w:ascii="Arial" w:hAnsi="Arial" w:cs="Arial"/>
                <w:vertAlign w:val="superscript"/>
              </w:rPr>
              <w:t>a</w:t>
            </w:r>
          </w:p>
        </w:tc>
        <w:tc>
          <w:tcPr>
            <w:tcW w:w="2191" w:type="dxa"/>
          </w:tcPr>
          <w:p w:rsidR="00330CF1" w:rsidRPr="00FE7996" w:rsidRDefault="00330CF1" w:rsidP="00FE7996">
            <w:pPr>
              <w:jc w:val="center"/>
              <w:rPr>
                <w:rFonts w:ascii="Arial" w:hAnsi="Arial" w:cs="Arial"/>
                <w:vertAlign w:val="superscript"/>
              </w:rPr>
            </w:pPr>
            <w:r w:rsidRPr="00B0368F">
              <w:rPr>
                <w:rFonts w:ascii="Arial" w:hAnsi="Arial" w:cs="Arial"/>
              </w:rPr>
              <w:t>396 ± 7</w:t>
            </w:r>
            <w:r>
              <w:rPr>
                <w:rFonts w:ascii="Arial" w:hAnsi="Arial" w:cs="Arial"/>
              </w:rPr>
              <w:t>3</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Abs. Eosinophils</w:t>
            </w:r>
          </w:p>
        </w:tc>
        <w:tc>
          <w:tcPr>
            <w:tcW w:w="2026"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c>
          <w:tcPr>
            <w:tcW w:w="2191" w:type="dxa"/>
          </w:tcPr>
          <w:p w:rsidR="00330CF1" w:rsidRPr="00B0368F" w:rsidRDefault="00330CF1" w:rsidP="00FE7996">
            <w:pPr>
              <w:jc w:val="center"/>
              <w:rPr>
                <w:rFonts w:ascii="Arial" w:hAnsi="Arial" w:cs="Arial"/>
              </w:rPr>
            </w:pP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0</w:t>
            </w:r>
          </w:p>
        </w:tc>
        <w:tc>
          <w:tcPr>
            <w:tcW w:w="2026" w:type="dxa"/>
          </w:tcPr>
          <w:p w:rsidR="00330CF1" w:rsidRPr="004300B6" w:rsidRDefault="00330CF1" w:rsidP="00FE7996">
            <w:pPr>
              <w:jc w:val="center"/>
              <w:rPr>
                <w:rFonts w:ascii="Arial" w:hAnsi="Arial" w:cs="Arial"/>
                <w:vertAlign w:val="superscript"/>
              </w:rPr>
            </w:pPr>
            <w:r w:rsidRPr="00B0368F">
              <w:rPr>
                <w:rFonts w:ascii="Arial" w:hAnsi="Arial" w:cs="Arial"/>
              </w:rPr>
              <w:t xml:space="preserve">509 ± </w:t>
            </w:r>
            <w:r>
              <w:rPr>
                <w:rFonts w:ascii="Arial" w:hAnsi="Arial" w:cs="Arial"/>
              </w:rPr>
              <w:t>90</w:t>
            </w:r>
            <w:r>
              <w:rPr>
                <w:rFonts w:ascii="Arial" w:hAnsi="Arial" w:cs="Arial"/>
                <w:vertAlign w:val="superscript"/>
              </w:rPr>
              <w:t>a</w:t>
            </w:r>
          </w:p>
        </w:tc>
        <w:tc>
          <w:tcPr>
            <w:tcW w:w="2191" w:type="dxa"/>
          </w:tcPr>
          <w:p w:rsidR="00330CF1" w:rsidRPr="004300B6" w:rsidRDefault="00330CF1" w:rsidP="00FE7996">
            <w:pPr>
              <w:jc w:val="center"/>
              <w:rPr>
                <w:rFonts w:ascii="Arial" w:hAnsi="Arial" w:cs="Arial"/>
                <w:vertAlign w:val="superscript"/>
              </w:rPr>
            </w:pPr>
            <w:r w:rsidRPr="00B0368F">
              <w:rPr>
                <w:rFonts w:ascii="Arial" w:hAnsi="Arial" w:cs="Arial"/>
              </w:rPr>
              <w:t xml:space="preserve">441 ± </w:t>
            </w:r>
            <w:r>
              <w:rPr>
                <w:rFonts w:ascii="Arial" w:hAnsi="Arial" w:cs="Arial"/>
              </w:rPr>
              <w:t>90</w:t>
            </w:r>
            <w:r>
              <w:rPr>
                <w:rFonts w:ascii="Arial" w:hAnsi="Arial" w:cs="Arial"/>
                <w:vertAlign w:val="superscript"/>
              </w:rPr>
              <w:t>a</w:t>
            </w:r>
          </w:p>
        </w:tc>
        <w:tc>
          <w:tcPr>
            <w:tcW w:w="2191" w:type="dxa"/>
          </w:tcPr>
          <w:p w:rsidR="00330CF1" w:rsidRPr="004300B6" w:rsidRDefault="00330CF1" w:rsidP="00FE7996">
            <w:pPr>
              <w:jc w:val="center"/>
              <w:rPr>
                <w:rFonts w:ascii="Arial" w:hAnsi="Arial" w:cs="Arial"/>
                <w:vertAlign w:val="superscript"/>
              </w:rPr>
            </w:pPr>
            <w:r w:rsidRPr="00B0368F">
              <w:rPr>
                <w:rFonts w:ascii="Arial" w:hAnsi="Arial" w:cs="Arial"/>
              </w:rPr>
              <w:t xml:space="preserve">574 ± </w:t>
            </w:r>
            <w:r>
              <w:rPr>
                <w:rFonts w:ascii="Arial" w:hAnsi="Arial" w:cs="Arial"/>
              </w:rPr>
              <w:t>90</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5</w:t>
            </w:r>
          </w:p>
        </w:tc>
        <w:tc>
          <w:tcPr>
            <w:tcW w:w="2026" w:type="dxa"/>
          </w:tcPr>
          <w:p w:rsidR="00330CF1" w:rsidRPr="004300B6" w:rsidRDefault="00330CF1" w:rsidP="00FE7996">
            <w:pPr>
              <w:jc w:val="center"/>
              <w:rPr>
                <w:rFonts w:ascii="Arial" w:hAnsi="Arial" w:cs="Arial"/>
                <w:vertAlign w:val="superscript"/>
              </w:rPr>
            </w:pPr>
            <w:r w:rsidRPr="00B0368F">
              <w:rPr>
                <w:rFonts w:ascii="Arial" w:hAnsi="Arial" w:cs="Arial"/>
              </w:rPr>
              <w:t xml:space="preserve">596 ± </w:t>
            </w:r>
            <w:r>
              <w:rPr>
                <w:rFonts w:ascii="Arial" w:hAnsi="Arial" w:cs="Arial"/>
              </w:rPr>
              <w:t>90</w:t>
            </w:r>
            <w:r>
              <w:rPr>
                <w:rFonts w:ascii="Arial" w:hAnsi="Arial" w:cs="Arial"/>
                <w:vertAlign w:val="superscript"/>
              </w:rPr>
              <w:t>a</w:t>
            </w:r>
          </w:p>
        </w:tc>
        <w:tc>
          <w:tcPr>
            <w:tcW w:w="2191" w:type="dxa"/>
          </w:tcPr>
          <w:p w:rsidR="00330CF1" w:rsidRPr="004300B6" w:rsidRDefault="00330CF1" w:rsidP="00FE7996">
            <w:pPr>
              <w:jc w:val="center"/>
              <w:rPr>
                <w:rFonts w:ascii="Arial" w:hAnsi="Arial" w:cs="Arial"/>
                <w:vertAlign w:val="superscript"/>
              </w:rPr>
            </w:pPr>
            <w:r w:rsidRPr="00B0368F">
              <w:rPr>
                <w:rFonts w:ascii="Arial" w:hAnsi="Arial" w:cs="Arial"/>
              </w:rPr>
              <w:t>653 ± 9</w:t>
            </w:r>
            <w:r>
              <w:rPr>
                <w:rFonts w:ascii="Arial" w:hAnsi="Arial" w:cs="Arial"/>
              </w:rPr>
              <w:t>0</w:t>
            </w:r>
            <w:r>
              <w:rPr>
                <w:rFonts w:ascii="Arial" w:hAnsi="Arial" w:cs="Arial"/>
                <w:vertAlign w:val="superscript"/>
              </w:rPr>
              <w:t>a</w:t>
            </w:r>
          </w:p>
        </w:tc>
        <w:tc>
          <w:tcPr>
            <w:tcW w:w="2191" w:type="dxa"/>
          </w:tcPr>
          <w:p w:rsidR="00330CF1" w:rsidRPr="004300B6" w:rsidRDefault="00330CF1" w:rsidP="00FE7996">
            <w:pPr>
              <w:jc w:val="center"/>
              <w:rPr>
                <w:rFonts w:ascii="Arial" w:hAnsi="Arial" w:cs="Arial"/>
                <w:vertAlign w:val="superscript"/>
              </w:rPr>
            </w:pPr>
            <w:r w:rsidRPr="00B0368F">
              <w:rPr>
                <w:rFonts w:ascii="Arial" w:hAnsi="Arial" w:cs="Arial"/>
              </w:rPr>
              <w:t xml:space="preserve">491 ± </w:t>
            </w:r>
            <w:r>
              <w:rPr>
                <w:rFonts w:ascii="Arial" w:hAnsi="Arial" w:cs="Arial"/>
              </w:rPr>
              <w:t>90</w:t>
            </w:r>
            <w:r>
              <w:rPr>
                <w:rFonts w:ascii="Arial" w:hAnsi="Arial" w:cs="Arial"/>
                <w:vertAlign w:val="superscript"/>
              </w:rPr>
              <w:t>a</w:t>
            </w:r>
          </w:p>
        </w:tc>
      </w:tr>
      <w:tr w:rsidR="00330CF1" w:rsidRPr="00B0368F" w:rsidTr="00B464EE">
        <w:tc>
          <w:tcPr>
            <w:tcW w:w="2448" w:type="dxa"/>
          </w:tcPr>
          <w:p w:rsidR="00330CF1" w:rsidRPr="00B0368F" w:rsidRDefault="00330CF1" w:rsidP="0045794D">
            <w:pPr>
              <w:rPr>
                <w:rFonts w:ascii="Arial" w:hAnsi="Arial" w:cs="Arial"/>
              </w:rPr>
            </w:pPr>
            <w:r w:rsidRPr="00B0368F">
              <w:rPr>
                <w:rFonts w:ascii="Arial" w:hAnsi="Arial" w:cs="Arial"/>
              </w:rPr>
              <w:t xml:space="preserve">   Week 10</w:t>
            </w:r>
          </w:p>
        </w:tc>
        <w:tc>
          <w:tcPr>
            <w:tcW w:w="2026" w:type="dxa"/>
          </w:tcPr>
          <w:p w:rsidR="00330CF1" w:rsidRPr="004300B6" w:rsidRDefault="00330CF1" w:rsidP="00FE7996">
            <w:pPr>
              <w:jc w:val="center"/>
              <w:rPr>
                <w:rFonts w:ascii="Arial" w:hAnsi="Arial" w:cs="Arial"/>
                <w:vertAlign w:val="superscript"/>
              </w:rPr>
            </w:pPr>
            <w:r w:rsidRPr="00B0368F">
              <w:rPr>
                <w:rFonts w:ascii="Arial" w:hAnsi="Arial" w:cs="Arial"/>
              </w:rPr>
              <w:t xml:space="preserve">627 ± </w:t>
            </w:r>
            <w:r>
              <w:rPr>
                <w:rFonts w:ascii="Arial" w:hAnsi="Arial" w:cs="Arial"/>
              </w:rPr>
              <w:t>90</w:t>
            </w:r>
            <w:r>
              <w:rPr>
                <w:rFonts w:ascii="Arial" w:hAnsi="Arial" w:cs="Arial"/>
                <w:vertAlign w:val="superscript"/>
              </w:rPr>
              <w:t>a</w:t>
            </w:r>
          </w:p>
        </w:tc>
        <w:tc>
          <w:tcPr>
            <w:tcW w:w="2191" w:type="dxa"/>
          </w:tcPr>
          <w:p w:rsidR="00330CF1" w:rsidRPr="004300B6" w:rsidRDefault="00330CF1" w:rsidP="00FE7996">
            <w:pPr>
              <w:jc w:val="center"/>
              <w:rPr>
                <w:rFonts w:ascii="Arial" w:hAnsi="Arial" w:cs="Arial"/>
                <w:vertAlign w:val="superscript"/>
              </w:rPr>
            </w:pPr>
            <w:r w:rsidRPr="00B0368F">
              <w:rPr>
                <w:rFonts w:ascii="Arial" w:hAnsi="Arial" w:cs="Arial"/>
              </w:rPr>
              <w:t xml:space="preserve">611 ± </w:t>
            </w:r>
            <w:r>
              <w:rPr>
                <w:rFonts w:ascii="Arial" w:hAnsi="Arial" w:cs="Arial"/>
              </w:rPr>
              <w:t>90</w:t>
            </w:r>
            <w:r>
              <w:rPr>
                <w:rFonts w:ascii="Arial" w:hAnsi="Arial" w:cs="Arial"/>
                <w:vertAlign w:val="superscript"/>
              </w:rPr>
              <w:t>a</w:t>
            </w:r>
          </w:p>
        </w:tc>
        <w:tc>
          <w:tcPr>
            <w:tcW w:w="2191" w:type="dxa"/>
          </w:tcPr>
          <w:p w:rsidR="00330CF1" w:rsidRPr="004300B6" w:rsidRDefault="00330CF1" w:rsidP="00FE7996">
            <w:pPr>
              <w:jc w:val="center"/>
              <w:rPr>
                <w:rFonts w:ascii="Arial" w:hAnsi="Arial" w:cs="Arial"/>
                <w:vertAlign w:val="superscript"/>
              </w:rPr>
            </w:pPr>
            <w:r w:rsidRPr="00B0368F">
              <w:rPr>
                <w:rFonts w:ascii="Arial" w:hAnsi="Arial" w:cs="Arial"/>
              </w:rPr>
              <w:t xml:space="preserve">652 ± </w:t>
            </w:r>
            <w:r>
              <w:rPr>
                <w:rFonts w:ascii="Arial" w:hAnsi="Arial" w:cs="Arial"/>
              </w:rPr>
              <w:t>90</w:t>
            </w:r>
            <w:r>
              <w:rPr>
                <w:rFonts w:ascii="Arial" w:hAnsi="Arial" w:cs="Arial"/>
                <w:vertAlign w:val="superscript"/>
              </w:rPr>
              <w:t>a</w:t>
            </w:r>
          </w:p>
        </w:tc>
      </w:tr>
    </w:tbl>
    <w:p w:rsidR="00330CF1" w:rsidRDefault="00330CF1" w:rsidP="00F8239F">
      <w:pPr>
        <w:rPr>
          <w:rFonts w:ascii="Arial" w:hAnsi="Arial" w:cs="Arial"/>
        </w:rPr>
      </w:pPr>
      <w:r>
        <w:rPr>
          <w:rFonts w:ascii="Arial" w:hAnsi="Arial" w:cs="Arial"/>
        </w:rPr>
        <w:t>*MCV= Mean corpuscle volume</w:t>
      </w:r>
    </w:p>
    <w:p w:rsidR="00330CF1" w:rsidRDefault="00330CF1" w:rsidP="00F8239F">
      <w:pPr>
        <w:rPr>
          <w:rFonts w:ascii="Arial" w:hAnsi="Arial" w:cs="Arial"/>
        </w:rPr>
      </w:pPr>
      <w:r>
        <w:rPr>
          <w:rFonts w:ascii="Arial" w:hAnsi="Arial" w:cs="Arial"/>
        </w:rPr>
        <w:t>**MCHC= Mean corpuscle hemoglobin concentration</w:t>
      </w:r>
    </w:p>
    <w:p w:rsidR="00330CF1" w:rsidRPr="00687E70" w:rsidRDefault="00330CF1" w:rsidP="00F8239F">
      <w:pPr>
        <w:rPr>
          <w:rFonts w:ascii="Arial" w:hAnsi="Arial" w:cs="Arial"/>
        </w:rPr>
      </w:pPr>
      <w:r>
        <w:rPr>
          <w:rFonts w:ascii="Arial" w:hAnsi="Arial" w:cs="Arial"/>
        </w:rPr>
        <w:t>NOTE: Different letter superscripts in both rows and columns indicate p values ≤ 0.05.</w:t>
      </w:r>
    </w:p>
    <w:p w:rsidR="00330CF1" w:rsidRDefault="00330CF1" w:rsidP="00BC5438">
      <w:pPr>
        <w:rPr>
          <w:rFonts w:ascii="Arial" w:hAnsi="Arial" w:cs="Arial"/>
        </w:rPr>
      </w:pPr>
    </w:p>
    <w:p w:rsidR="00330CF1" w:rsidRDefault="00330CF1" w:rsidP="00BC5438">
      <w:pPr>
        <w:rPr>
          <w:rFonts w:ascii="Arial" w:hAnsi="Arial" w:cs="Arial"/>
        </w:rPr>
      </w:pPr>
    </w:p>
    <w:p w:rsidR="00330CF1" w:rsidRDefault="00330CF1" w:rsidP="00BC5438">
      <w:pPr>
        <w:rPr>
          <w:rFonts w:ascii="Arial" w:hAnsi="Arial" w:cs="Arial"/>
        </w:rPr>
      </w:pPr>
    </w:p>
    <w:p w:rsidR="00330CF1" w:rsidRDefault="00330CF1" w:rsidP="00BC5438">
      <w:pPr>
        <w:rPr>
          <w:rFonts w:ascii="Arial" w:hAnsi="Arial" w:cs="Arial"/>
        </w:rPr>
      </w:pPr>
    </w:p>
    <w:p w:rsidR="00330CF1" w:rsidRDefault="00330CF1" w:rsidP="00BC5438">
      <w:pPr>
        <w:rPr>
          <w:rFonts w:ascii="Arial" w:hAnsi="Arial" w:cs="Arial"/>
        </w:rPr>
      </w:pPr>
    </w:p>
    <w:p w:rsidR="00330CF1" w:rsidRPr="00B0368F" w:rsidRDefault="00330CF1" w:rsidP="00BC5438">
      <w:pPr>
        <w:rPr>
          <w:rFonts w:ascii="Arial" w:hAnsi="Arial" w:cs="Arial"/>
        </w:rPr>
      </w:pPr>
    </w:p>
    <w:p w:rsidR="00330CF1" w:rsidRDefault="00330CF1" w:rsidP="00BC5438">
      <w:pPr>
        <w:rPr>
          <w:rFonts w:ascii="Arial" w:hAnsi="Arial" w:cs="Arial"/>
          <w:b/>
          <w:i/>
        </w:rPr>
      </w:pPr>
      <w:r>
        <w:rPr>
          <w:rFonts w:ascii="Arial" w:hAnsi="Arial" w:cs="Arial"/>
          <w:b/>
          <w:i/>
        </w:rPr>
        <w:lastRenderedPageBreak/>
        <w:t>Feed efficiency, protein efficiency ratio, and body condition score</w:t>
      </w:r>
    </w:p>
    <w:p w:rsidR="00330CF1" w:rsidRDefault="00330CF1" w:rsidP="00BC5438">
      <w:pPr>
        <w:rPr>
          <w:rFonts w:ascii="Arial" w:hAnsi="Arial" w:cs="Arial"/>
        </w:rPr>
      </w:pPr>
      <w:r>
        <w:rPr>
          <w:rFonts w:ascii="Arial" w:hAnsi="Arial" w:cs="Arial"/>
        </w:rPr>
        <w:t xml:space="preserve">     Mean feed efficiency ratios for males and females within the three diet treatment groups are shown in Table 2.11 and Figure 2.13.  Males on the commercial raw diet had significantly improved feed efficiency (p =0.007) compared to either the homemade raw or control group males and all the female groups.</w:t>
      </w:r>
    </w:p>
    <w:p w:rsidR="00330CF1" w:rsidRDefault="00330CF1" w:rsidP="00F96149">
      <w:pPr>
        <w:rPr>
          <w:rFonts w:ascii="Arial" w:hAnsi="Arial" w:cs="Arial"/>
        </w:rPr>
      </w:pPr>
      <w:r>
        <w:rPr>
          <w:rFonts w:ascii="Arial" w:hAnsi="Arial" w:cs="Arial"/>
        </w:rPr>
        <w:t xml:space="preserve">     Protein Efficiency Ratio (PER) is shown for males and females within the three treatment groups in Table 2.12 and Figure 2.14.  PER was significantly different for males in all three treatment groups (p &lt; 0.0001) with the commercial raw having the highest protein efficiency, followed by the control and homemade raw diet groups.   Males on the commercial raw had significantly higher PER than the females on that diet (p = 0.044), while there was no significant differences between the male and female PER within the other two diet treatments.  The homemade raw diet had significantly lower PER (p &lt;0.0001) in both males and females than either the control or commercial raw.</w:t>
      </w:r>
    </w:p>
    <w:p w:rsidR="00330CF1" w:rsidRDefault="00330CF1" w:rsidP="00F96149">
      <w:pPr>
        <w:rPr>
          <w:rFonts w:ascii="Arial" w:hAnsi="Arial" w:cs="Arial"/>
        </w:rPr>
      </w:pPr>
    </w:p>
    <w:p w:rsidR="00330CF1" w:rsidRDefault="00330CF1" w:rsidP="00F96149">
      <w:pPr>
        <w:rPr>
          <w:rFonts w:ascii="Arial" w:hAnsi="Arial" w:cs="Arial"/>
        </w:rPr>
      </w:pPr>
    </w:p>
    <w:p w:rsidR="00330CF1" w:rsidRDefault="00330CF1" w:rsidP="00F96149">
      <w:pPr>
        <w:rPr>
          <w:rFonts w:ascii="Arial" w:hAnsi="Arial" w:cs="Arial"/>
        </w:rPr>
      </w:pPr>
    </w:p>
    <w:p w:rsidR="00330CF1" w:rsidRDefault="00330CF1" w:rsidP="00963187">
      <w:pPr>
        <w:jc w:val="center"/>
        <w:rPr>
          <w:rFonts w:ascii="Arial" w:hAnsi="Arial" w:cs="Arial"/>
        </w:rPr>
      </w:pPr>
      <w:r w:rsidRPr="009B7972">
        <w:rPr>
          <w:rFonts w:ascii="Arial" w:hAnsi="Arial" w:cs="Arial"/>
          <w:b/>
        </w:rPr>
        <w:t>Table 2.11</w:t>
      </w:r>
      <w:r>
        <w:rPr>
          <w:rFonts w:ascii="Arial" w:hAnsi="Arial" w:cs="Arial"/>
          <w:color w:val="C00000"/>
        </w:rPr>
        <w:t xml:space="preserve"> </w:t>
      </w:r>
      <w:r>
        <w:rPr>
          <w:rFonts w:ascii="Arial" w:hAnsi="Arial" w:cs="Arial"/>
        </w:rPr>
        <w:t>Feed e</w:t>
      </w:r>
      <w:r w:rsidRPr="009B7972">
        <w:rPr>
          <w:rFonts w:ascii="Arial" w:hAnsi="Arial" w:cs="Arial"/>
        </w:rPr>
        <w:t>fficiency rati</w:t>
      </w:r>
      <w:r>
        <w:rPr>
          <w:rFonts w:ascii="Arial" w:hAnsi="Arial" w:cs="Arial"/>
        </w:rPr>
        <w:t>o</w:t>
      </w:r>
      <w:r w:rsidRPr="009B7972">
        <w:rPr>
          <w:rFonts w:ascii="Arial" w:hAnsi="Arial" w:cs="Arial"/>
        </w:rPr>
        <w:t xml:space="preserve"> </w:t>
      </w:r>
      <w:r>
        <w:rPr>
          <w:rFonts w:ascii="Arial" w:hAnsi="Arial" w:cs="Arial"/>
        </w:rPr>
        <w:t xml:space="preserve">(Mean ± SEM) </w:t>
      </w:r>
    </w:p>
    <w:p w:rsidR="00330CF1" w:rsidRPr="009B7972" w:rsidRDefault="00330CF1" w:rsidP="00A776AD">
      <w:pPr>
        <w:jc w:val="center"/>
        <w:rPr>
          <w:rFonts w:ascii="Arial" w:hAnsi="Arial" w:cs="Arial"/>
        </w:rPr>
      </w:pPr>
      <w:r>
        <w:rPr>
          <w:rFonts w:ascii="Arial" w:hAnsi="Arial" w:cs="Arial"/>
        </w:rPr>
        <w:t>(</w:t>
      </w:r>
      <w:r w:rsidRPr="009B7972">
        <w:rPr>
          <w:rFonts w:ascii="Arial" w:hAnsi="Arial" w:cs="Arial"/>
        </w:rPr>
        <w:t>weight gain per grams of dry matter ingested</w:t>
      </w:r>
      <w:r>
        <w:rPr>
          <w:rFonts w:ascii="Arial" w:hAnsi="Arial" w:cs="Arial"/>
        </w:rPr>
        <w:t xml:space="preserve">) </w:t>
      </w:r>
    </w:p>
    <w:p w:rsidR="00330CF1" w:rsidRPr="009B7972" w:rsidRDefault="00330CF1" w:rsidP="00963187">
      <w:pPr>
        <w:jc w:val="center"/>
        <w:rPr>
          <w:rFonts w:ascii="Arial" w:hAnsi="Arial" w:cs="Arial"/>
        </w:rPr>
      </w:pPr>
    </w:p>
    <w:p w:rsidR="00330CF1" w:rsidRPr="00F006CC" w:rsidRDefault="00330CF1" w:rsidP="00963187">
      <w:pPr>
        <w:rPr>
          <w:rFonts w:ascii="Arial" w:hAnsi="Arial" w:cs="Arial"/>
        </w:rPr>
      </w:pPr>
    </w:p>
    <w:tbl>
      <w:tblPr>
        <w:tblStyle w:val="TableGrid"/>
        <w:tblW w:w="9738" w:type="dxa"/>
        <w:tblLook w:val="04A0" w:firstRow="1" w:lastRow="0" w:firstColumn="1" w:lastColumn="0" w:noHBand="0" w:noVBand="1"/>
      </w:tblPr>
      <w:tblGrid>
        <w:gridCol w:w="1728"/>
        <w:gridCol w:w="2700"/>
        <w:gridCol w:w="2700"/>
        <w:gridCol w:w="2610"/>
      </w:tblGrid>
      <w:tr w:rsidR="00330CF1" w:rsidTr="00F13840">
        <w:trPr>
          <w:trHeight w:val="386"/>
        </w:trPr>
        <w:tc>
          <w:tcPr>
            <w:tcW w:w="1728" w:type="dxa"/>
          </w:tcPr>
          <w:p w:rsidR="00330CF1" w:rsidRPr="008D021A" w:rsidRDefault="00330CF1" w:rsidP="004218C0">
            <w:pPr>
              <w:rPr>
                <w:rFonts w:ascii="Arial" w:hAnsi="Arial" w:cs="Arial"/>
              </w:rPr>
            </w:pPr>
          </w:p>
        </w:tc>
        <w:tc>
          <w:tcPr>
            <w:tcW w:w="2700" w:type="dxa"/>
          </w:tcPr>
          <w:p w:rsidR="00330CF1" w:rsidRPr="008D021A" w:rsidRDefault="00330CF1" w:rsidP="004218C0">
            <w:pPr>
              <w:jc w:val="center"/>
              <w:rPr>
                <w:rFonts w:ascii="Arial" w:hAnsi="Arial" w:cs="Arial"/>
              </w:rPr>
            </w:pPr>
            <w:r>
              <w:rPr>
                <w:rFonts w:ascii="Arial" w:hAnsi="Arial" w:cs="Arial"/>
              </w:rPr>
              <w:t>Control</w:t>
            </w:r>
          </w:p>
        </w:tc>
        <w:tc>
          <w:tcPr>
            <w:tcW w:w="2700" w:type="dxa"/>
          </w:tcPr>
          <w:p w:rsidR="00330CF1" w:rsidRPr="008D021A" w:rsidRDefault="00330CF1" w:rsidP="004218C0">
            <w:pPr>
              <w:jc w:val="center"/>
              <w:rPr>
                <w:rFonts w:ascii="Arial" w:hAnsi="Arial" w:cs="Arial"/>
              </w:rPr>
            </w:pPr>
            <w:r>
              <w:rPr>
                <w:rFonts w:ascii="Arial" w:hAnsi="Arial" w:cs="Arial"/>
              </w:rPr>
              <w:t>Commercial Raw</w:t>
            </w:r>
          </w:p>
        </w:tc>
        <w:tc>
          <w:tcPr>
            <w:tcW w:w="2610" w:type="dxa"/>
          </w:tcPr>
          <w:p w:rsidR="00330CF1" w:rsidRPr="008D021A" w:rsidRDefault="00330CF1" w:rsidP="004218C0">
            <w:pPr>
              <w:jc w:val="center"/>
              <w:rPr>
                <w:rFonts w:ascii="Arial" w:hAnsi="Arial" w:cs="Arial"/>
              </w:rPr>
            </w:pPr>
            <w:r>
              <w:rPr>
                <w:rFonts w:ascii="Arial" w:hAnsi="Arial" w:cs="Arial"/>
              </w:rPr>
              <w:t>Homemade Raw</w:t>
            </w:r>
          </w:p>
        </w:tc>
      </w:tr>
      <w:tr w:rsidR="00330CF1" w:rsidTr="00F13840">
        <w:trPr>
          <w:trHeight w:val="363"/>
        </w:trPr>
        <w:tc>
          <w:tcPr>
            <w:tcW w:w="1728" w:type="dxa"/>
          </w:tcPr>
          <w:p w:rsidR="00330CF1" w:rsidRPr="008D021A" w:rsidRDefault="00330CF1" w:rsidP="004218C0">
            <w:pPr>
              <w:rPr>
                <w:rFonts w:ascii="Arial" w:hAnsi="Arial" w:cs="Arial"/>
              </w:rPr>
            </w:pPr>
            <w:r w:rsidRPr="008D021A">
              <w:rPr>
                <w:rFonts w:ascii="Arial" w:hAnsi="Arial" w:cs="Arial"/>
              </w:rPr>
              <w:t>Male</w:t>
            </w:r>
          </w:p>
        </w:tc>
        <w:tc>
          <w:tcPr>
            <w:tcW w:w="2700" w:type="dxa"/>
          </w:tcPr>
          <w:p w:rsidR="00330CF1" w:rsidRPr="00D33F13" w:rsidRDefault="00330CF1" w:rsidP="004218C0">
            <w:pPr>
              <w:jc w:val="center"/>
              <w:rPr>
                <w:rFonts w:ascii="Arial" w:hAnsi="Arial" w:cs="Arial"/>
              </w:rPr>
            </w:pPr>
            <w:r w:rsidRPr="008D021A">
              <w:rPr>
                <w:rFonts w:ascii="Arial" w:hAnsi="Arial" w:cs="Arial"/>
              </w:rPr>
              <w:t>0.356 ± 0.0</w:t>
            </w:r>
            <w:r>
              <w:rPr>
                <w:rFonts w:ascii="Arial" w:hAnsi="Arial" w:cs="Arial"/>
              </w:rPr>
              <w:t>19</w:t>
            </w:r>
            <w:r>
              <w:rPr>
                <w:rFonts w:ascii="Arial" w:hAnsi="Arial" w:cs="Arial"/>
                <w:vertAlign w:val="superscript"/>
              </w:rPr>
              <w:t>b</w:t>
            </w:r>
          </w:p>
        </w:tc>
        <w:tc>
          <w:tcPr>
            <w:tcW w:w="2700" w:type="dxa"/>
          </w:tcPr>
          <w:p w:rsidR="00330CF1" w:rsidRPr="00D33F13" w:rsidRDefault="00330CF1" w:rsidP="004218C0">
            <w:pPr>
              <w:jc w:val="center"/>
              <w:rPr>
                <w:rFonts w:ascii="Arial" w:hAnsi="Arial" w:cs="Arial"/>
              </w:rPr>
            </w:pPr>
            <w:r w:rsidRPr="008D021A">
              <w:rPr>
                <w:rFonts w:ascii="Arial" w:hAnsi="Arial" w:cs="Arial"/>
              </w:rPr>
              <w:t>0.485 ± 0.</w:t>
            </w:r>
            <w:r>
              <w:rPr>
                <w:rFonts w:ascii="Arial" w:hAnsi="Arial" w:cs="Arial"/>
              </w:rPr>
              <w:t>019</w:t>
            </w:r>
            <w:r>
              <w:rPr>
                <w:rFonts w:ascii="Arial" w:hAnsi="Arial" w:cs="Arial"/>
                <w:vertAlign w:val="superscript"/>
              </w:rPr>
              <w:t>a</w:t>
            </w:r>
          </w:p>
        </w:tc>
        <w:tc>
          <w:tcPr>
            <w:tcW w:w="2610" w:type="dxa"/>
          </w:tcPr>
          <w:p w:rsidR="00330CF1" w:rsidRPr="00D33F13" w:rsidRDefault="00330CF1" w:rsidP="004218C0">
            <w:pPr>
              <w:jc w:val="center"/>
              <w:rPr>
                <w:rFonts w:ascii="Arial" w:hAnsi="Arial" w:cs="Arial"/>
              </w:rPr>
            </w:pPr>
            <w:r w:rsidRPr="008D021A">
              <w:rPr>
                <w:rFonts w:ascii="Arial" w:hAnsi="Arial" w:cs="Arial"/>
              </w:rPr>
              <w:t>0.391 ± 0.0</w:t>
            </w:r>
            <w:r>
              <w:rPr>
                <w:rFonts w:ascii="Arial" w:hAnsi="Arial" w:cs="Arial"/>
              </w:rPr>
              <w:t>17</w:t>
            </w:r>
            <w:r>
              <w:rPr>
                <w:rFonts w:ascii="Arial" w:hAnsi="Arial" w:cs="Arial"/>
                <w:vertAlign w:val="superscript"/>
              </w:rPr>
              <w:t>b</w:t>
            </w:r>
          </w:p>
        </w:tc>
      </w:tr>
      <w:tr w:rsidR="00330CF1" w:rsidTr="00F13840">
        <w:trPr>
          <w:trHeight w:val="386"/>
        </w:trPr>
        <w:tc>
          <w:tcPr>
            <w:tcW w:w="1728" w:type="dxa"/>
          </w:tcPr>
          <w:p w:rsidR="00330CF1" w:rsidRPr="008D021A" w:rsidRDefault="00330CF1" w:rsidP="004218C0">
            <w:pPr>
              <w:rPr>
                <w:rFonts w:ascii="Arial" w:hAnsi="Arial" w:cs="Arial"/>
              </w:rPr>
            </w:pPr>
            <w:r w:rsidRPr="008D021A">
              <w:rPr>
                <w:rFonts w:ascii="Arial" w:hAnsi="Arial" w:cs="Arial"/>
              </w:rPr>
              <w:t>Female</w:t>
            </w:r>
          </w:p>
        </w:tc>
        <w:tc>
          <w:tcPr>
            <w:tcW w:w="2700" w:type="dxa"/>
          </w:tcPr>
          <w:p w:rsidR="00330CF1" w:rsidRPr="00D33F13" w:rsidRDefault="00330CF1" w:rsidP="004218C0">
            <w:pPr>
              <w:jc w:val="center"/>
              <w:rPr>
                <w:rFonts w:ascii="Arial" w:hAnsi="Arial" w:cs="Arial"/>
              </w:rPr>
            </w:pPr>
            <w:r w:rsidRPr="008D021A">
              <w:rPr>
                <w:rFonts w:ascii="Arial" w:hAnsi="Arial" w:cs="Arial"/>
              </w:rPr>
              <w:t>0.389 ± 0.0</w:t>
            </w:r>
            <w:r>
              <w:rPr>
                <w:rFonts w:ascii="Arial" w:hAnsi="Arial" w:cs="Arial"/>
              </w:rPr>
              <w:t>25</w:t>
            </w:r>
            <w:r>
              <w:rPr>
                <w:rFonts w:ascii="Arial" w:hAnsi="Arial" w:cs="Arial"/>
                <w:vertAlign w:val="superscript"/>
              </w:rPr>
              <w:t>b</w:t>
            </w:r>
          </w:p>
        </w:tc>
        <w:tc>
          <w:tcPr>
            <w:tcW w:w="2700" w:type="dxa"/>
          </w:tcPr>
          <w:p w:rsidR="00330CF1" w:rsidRPr="00D33F13" w:rsidRDefault="00330CF1" w:rsidP="004218C0">
            <w:pPr>
              <w:jc w:val="center"/>
              <w:rPr>
                <w:rFonts w:ascii="Arial" w:hAnsi="Arial" w:cs="Arial"/>
              </w:rPr>
            </w:pPr>
            <w:r w:rsidRPr="008D021A">
              <w:rPr>
                <w:rFonts w:ascii="Arial" w:hAnsi="Arial" w:cs="Arial"/>
              </w:rPr>
              <w:t>0.395 ± 0.0</w:t>
            </w:r>
            <w:r>
              <w:rPr>
                <w:rFonts w:ascii="Arial" w:hAnsi="Arial" w:cs="Arial"/>
              </w:rPr>
              <w:t>25</w:t>
            </w:r>
            <w:r>
              <w:rPr>
                <w:rFonts w:ascii="Arial" w:hAnsi="Arial" w:cs="Arial"/>
                <w:vertAlign w:val="superscript"/>
              </w:rPr>
              <w:t>b</w:t>
            </w:r>
          </w:p>
        </w:tc>
        <w:tc>
          <w:tcPr>
            <w:tcW w:w="2610" w:type="dxa"/>
          </w:tcPr>
          <w:p w:rsidR="00330CF1" w:rsidRPr="00D33F13" w:rsidRDefault="00330CF1" w:rsidP="004218C0">
            <w:pPr>
              <w:jc w:val="center"/>
              <w:rPr>
                <w:rFonts w:ascii="Arial" w:hAnsi="Arial" w:cs="Arial"/>
              </w:rPr>
            </w:pPr>
            <w:r w:rsidRPr="008D021A">
              <w:rPr>
                <w:rFonts w:ascii="Arial" w:hAnsi="Arial" w:cs="Arial"/>
              </w:rPr>
              <w:t>0.362 ± 0.</w:t>
            </w:r>
            <w:r>
              <w:rPr>
                <w:rFonts w:ascii="Arial" w:hAnsi="Arial" w:cs="Arial"/>
              </w:rPr>
              <w:t>030</w:t>
            </w:r>
            <w:r>
              <w:rPr>
                <w:rFonts w:ascii="Arial" w:hAnsi="Arial" w:cs="Arial"/>
                <w:vertAlign w:val="superscript"/>
              </w:rPr>
              <w:t>b</w:t>
            </w:r>
          </w:p>
        </w:tc>
      </w:tr>
    </w:tbl>
    <w:p w:rsidR="00330CF1" w:rsidRPr="00687E70" w:rsidRDefault="00330CF1" w:rsidP="00963187">
      <w:pPr>
        <w:rPr>
          <w:rFonts w:ascii="Arial" w:hAnsi="Arial" w:cs="Arial"/>
        </w:rPr>
      </w:pPr>
      <w:r>
        <w:rPr>
          <w:rFonts w:ascii="Arial" w:hAnsi="Arial" w:cs="Arial"/>
        </w:rPr>
        <w:t>NOTE: Different letter superscripts in both rows and columns indicate p values ≤ 0.05.</w:t>
      </w:r>
    </w:p>
    <w:p w:rsidR="00330CF1" w:rsidRDefault="00330CF1" w:rsidP="00963187"/>
    <w:p w:rsidR="00330CF1" w:rsidRDefault="00330CF1" w:rsidP="00963187"/>
    <w:p w:rsidR="00330CF1" w:rsidRDefault="00330CF1" w:rsidP="00963187"/>
    <w:p w:rsidR="00330CF1" w:rsidRPr="009B7972" w:rsidRDefault="00330CF1" w:rsidP="009B7972">
      <w:pPr>
        <w:jc w:val="center"/>
        <w:rPr>
          <w:rFonts w:ascii="Arial" w:hAnsi="Arial" w:cs="Arial"/>
        </w:rPr>
      </w:pPr>
      <w:r w:rsidRPr="009B7972">
        <w:rPr>
          <w:rFonts w:ascii="Arial" w:hAnsi="Arial" w:cs="Arial"/>
          <w:b/>
        </w:rPr>
        <w:t>Table 2.12</w:t>
      </w:r>
      <w:r w:rsidRPr="009B7972">
        <w:rPr>
          <w:rFonts w:ascii="Arial" w:hAnsi="Arial" w:cs="Arial"/>
        </w:rPr>
        <w:t xml:space="preserve"> </w:t>
      </w:r>
      <w:r>
        <w:rPr>
          <w:rFonts w:ascii="Arial" w:hAnsi="Arial" w:cs="Arial"/>
        </w:rPr>
        <w:t>P</w:t>
      </w:r>
      <w:r w:rsidRPr="009B7972">
        <w:rPr>
          <w:rFonts w:ascii="Arial" w:hAnsi="Arial" w:cs="Arial"/>
        </w:rPr>
        <w:t xml:space="preserve">rotein efficiency ratios </w:t>
      </w:r>
      <w:r>
        <w:rPr>
          <w:rFonts w:ascii="Arial" w:hAnsi="Arial" w:cs="Arial"/>
        </w:rPr>
        <w:t xml:space="preserve">(Mean </w:t>
      </w:r>
      <w:r w:rsidRPr="009B7972">
        <w:rPr>
          <w:rFonts w:ascii="Arial" w:hAnsi="Arial" w:cs="Arial"/>
        </w:rPr>
        <w:t>± SEM</w:t>
      </w:r>
      <w:r>
        <w:rPr>
          <w:rFonts w:ascii="Arial" w:hAnsi="Arial" w:cs="Arial"/>
        </w:rPr>
        <w:t>)</w:t>
      </w:r>
    </w:p>
    <w:p w:rsidR="00330CF1" w:rsidRPr="009B7972" w:rsidRDefault="00330CF1" w:rsidP="009B7972">
      <w:pPr>
        <w:jc w:val="center"/>
        <w:rPr>
          <w:rFonts w:ascii="Arial" w:hAnsi="Arial" w:cs="Arial"/>
        </w:rPr>
      </w:pPr>
      <w:r w:rsidRPr="009B7972">
        <w:rPr>
          <w:rFonts w:ascii="Arial" w:hAnsi="Arial" w:cs="Arial"/>
        </w:rPr>
        <w:t>(grams weight gain per gram of dry matter protein ingested)</w:t>
      </w:r>
    </w:p>
    <w:p w:rsidR="00330CF1" w:rsidRPr="00F006CC" w:rsidRDefault="00330CF1" w:rsidP="00963187">
      <w:pPr>
        <w:rPr>
          <w:rFonts w:ascii="Arial" w:hAnsi="Arial" w:cs="Arial"/>
        </w:rPr>
      </w:pPr>
    </w:p>
    <w:tbl>
      <w:tblPr>
        <w:tblStyle w:val="TableGrid"/>
        <w:tblW w:w="10192" w:type="dxa"/>
        <w:tblLook w:val="04A0" w:firstRow="1" w:lastRow="0" w:firstColumn="1" w:lastColumn="0" w:noHBand="0" w:noVBand="1"/>
      </w:tblPr>
      <w:tblGrid>
        <w:gridCol w:w="1728"/>
        <w:gridCol w:w="2700"/>
        <w:gridCol w:w="2700"/>
        <w:gridCol w:w="3064"/>
      </w:tblGrid>
      <w:tr w:rsidR="00330CF1" w:rsidRPr="00F006CC" w:rsidTr="00F13840">
        <w:trPr>
          <w:trHeight w:val="355"/>
        </w:trPr>
        <w:tc>
          <w:tcPr>
            <w:tcW w:w="1728" w:type="dxa"/>
          </w:tcPr>
          <w:p w:rsidR="00330CF1" w:rsidRPr="00F006CC" w:rsidRDefault="00330CF1" w:rsidP="004218C0">
            <w:pPr>
              <w:rPr>
                <w:rFonts w:ascii="Arial" w:hAnsi="Arial" w:cs="Arial"/>
              </w:rPr>
            </w:pPr>
          </w:p>
        </w:tc>
        <w:tc>
          <w:tcPr>
            <w:tcW w:w="2700" w:type="dxa"/>
          </w:tcPr>
          <w:p w:rsidR="00330CF1" w:rsidRPr="00F006CC" w:rsidRDefault="00330CF1" w:rsidP="004218C0">
            <w:pPr>
              <w:jc w:val="center"/>
              <w:rPr>
                <w:rFonts w:ascii="Arial" w:hAnsi="Arial" w:cs="Arial"/>
              </w:rPr>
            </w:pPr>
            <w:r>
              <w:rPr>
                <w:rFonts w:ascii="Arial" w:hAnsi="Arial" w:cs="Arial"/>
              </w:rPr>
              <w:t>Control</w:t>
            </w:r>
          </w:p>
        </w:tc>
        <w:tc>
          <w:tcPr>
            <w:tcW w:w="2700" w:type="dxa"/>
          </w:tcPr>
          <w:p w:rsidR="00330CF1" w:rsidRPr="00F006CC" w:rsidRDefault="00330CF1" w:rsidP="004218C0">
            <w:pPr>
              <w:jc w:val="center"/>
              <w:rPr>
                <w:rFonts w:ascii="Arial" w:hAnsi="Arial" w:cs="Arial"/>
              </w:rPr>
            </w:pPr>
            <w:r>
              <w:rPr>
                <w:rFonts w:ascii="Arial" w:hAnsi="Arial" w:cs="Arial"/>
              </w:rPr>
              <w:t>Commercial Raw</w:t>
            </w:r>
          </w:p>
        </w:tc>
        <w:tc>
          <w:tcPr>
            <w:tcW w:w="3064" w:type="dxa"/>
          </w:tcPr>
          <w:p w:rsidR="00330CF1" w:rsidRPr="00F006CC" w:rsidRDefault="00330CF1" w:rsidP="004218C0">
            <w:pPr>
              <w:jc w:val="center"/>
              <w:rPr>
                <w:rFonts w:ascii="Arial" w:hAnsi="Arial" w:cs="Arial"/>
              </w:rPr>
            </w:pPr>
            <w:r>
              <w:rPr>
                <w:rFonts w:ascii="Arial" w:hAnsi="Arial" w:cs="Arial"/>
              </w:rPr>
              <w:t>Homemade Raw</w:t>
            </w:r>
          </w:p>
        </w:tc>
      </w:tr>
      <w:tr w:rsidR="00330CF1" w:rsidRPr="00F006CC" w:rsidTr="00F13840">
        <w:trPr>
          <w:trHeight w:val="355"/>
        </w:trPr>
        <w:tc>
          <w:tcPr>
            <w:tcW w:w="1728" w:type="dxa"/>
          </w:tcPr>
          <w:p w:rsidR="00330CF1" w:rsidRPr="00F006CC" w:rsidRDefault="00330CF1" w:rsidP="004218C0">
            <w:pPr>
              <w:rPr>
                <w:rFonts w:ascii="Arial" w:hAnsi="Arial" w:cs="Arial"/>
              </w:rPr>
            </w:pPr>
            <w:r w:rsidRPr="00F006CC">
              <w:rPr>
                <w:rFonts w:ascii="Arial" w:hAnsi="Arial" w:cs="Arial"/>
              </w:rPr>
              <w:t>Males</w:t>
            </w:r>
          </w:p>
        </w:tc>
        <w:tc>
          <w:tcPr>
            <w:tcW w:w="2700" w:type="dxa"/>
          </w:tcPr>
          <w:p w:rsidR="00330CF1" w:rsidRPr="00D33F13" w:rsidRDefault="00330CF1" w:rsidP="004218C0">
            <w:pPr>
              <w:jc w:val="center"/>
              <w:rPr>
                <w:rFonts w:ascii="Arial" w:hAnsi="Arial" w:cs="Arial"/>
              </w:rPr>
            </w:pPr>
            <w:r w:rsidRPr="00F006CC">
              <w:rPr>
                <w:rFonts w:ascii="Arial" w:hAnsi="Arial" w:cs="Arial"/>
              </w:rPr>
              <w:t>0.762 ± 0.0</w:t>
            </w:r>
            <w:r>
              <w:rPr>
                <w:rFonts w:ascii="Arial" w:hAnsi="Arial" w:cs="Arial"/>
              </w:rPr>
              <w:t>37</w:t>
            </w:r>
            <w:r>
              <w:rPr>
                <w:rFonts w:ascii="Arial" w:hAnsi="Arial" w:cs="Arial"/>
                <w:vertAlign w:val="superscript"/>
              </w:rPr>
              <w:t>b</w:t>
            </w:r>
          </w:p>
        </w:tc>
        <w:tc>
          <w:tcPr>
            <w:tcW w:w="2700" w:type="dxa"/>
          </w:tcPr>
          <w:p w:rsidR="00330CF1" w:rsidRPr="00D33F13" w:rsidRDefault="00330CF1" w:rsidP="004218C0">
            <w:pPr>
              <w:jc w:val="center"/>
              <w:rPr>
                <w:rFonts w:ascii="Arial" w:hAnsi="Arial" w:cs="Arial"/>
              </w:rPr>
            </w:pPr>
            <w:r w:rsidRPr="00F006CC">
              <w:rPr>
                <w:rFonts w:ascii="Arial" w:hAnsi="Arial" w:cs="Arial"/>
              </w:rPr>
              <w:t>1.003 ± 0.0</w:t>
            </w:r>
            <w:r>
              <w:rPr>
                <w:rFonts w:ascii="Arial" w:hAnsi="Arial" w:cs="Arial"/>
              </w:rPr>
              <w:t>33</w:t>
            </w:r>
            <w:r>
              <w:rPr>
                <w:rFonts w:ascii="Arial" w:hAnsi="Arial" w:cs="Arial"/>
                <w:vertAlign w:val="superscript"/>
              </w:rPr>
              <w:t>a</w:t>
            </w:r>
          </w:p>
        </w:tc>
        <w:tc>
          <w:tcPr>
            <w:tcW w:w="3064" w:type="dxa"/>
          </w:tcPr>
          <w:p w:rsidR="00330CF1" w:rsidRPr="00D33F13" w:rsidRDefault="00330CF1" w:rsidP="004218C0">
            <w:pPr>
              <w:jc w:val="center"/>
              <w:rPr>
                <w:rFonts w:ascii="Arial" w:hAnsi="Arial" w:cs="Arial"/>
              </w:rPr>
            </w:pPr>
            <w:r w:rsidRPr="00F006CC">
              <w:rPr>
                <w:rFonts w:ascii="Arial" w:hAnsi="Arial" w:cs="Arial"/>
              </w:rPr>
              <w:t>0.499 ± 0.0</w:t>
            </w:r>
            <w:r>
              <w:rPr>
                <w:rFonts w:ascii="Arial" w:hAnsi="Arial" w:cs="Arial"/>
              </w:rPr>
              <w:t>33</w:t>
            </w:r>
            <w:r>
              <w:rPr>
                <w:rFonts w:ascii="Arial" w:hAnsi="Arial" w:cs="Arial"/>
                <w:vertAlign w:val="superscript"/>
              </w:rPr>
              <w:t>c</w:t>
            </w:r>
          </w:p>
        </w:tc>
      </w:tr>
      <w:tr w:rsidR="00330CF1" w:rsidRPr="00F006CC" w:rsidTr="00F13840">
        <w:trPr>
          <w:trHeight w:val="377"/>
        </w:trPr>
        <w:tc>
          <w:tcPr>
            <w:tcW w:w="1728" w:type="dxa"/>
          </w:tcPr>
          <w:p w:rsidR="00330CF1" w:rsidRPr="00F006CC" w:rsidRDefault="00330CF1" w:rsidP="004218C0">
            <w:pPr>
              <w:rPr>
                <w:rFonts w:ascii="Arial" w:hAnsi="Arial" w:cs="Arial"/>
              </w:rPr>
            </w:pPr>
            <w:r w:rsidRPr="00F006CC">
              <w:rPr>
                <w:rFonts w:ascii="Arial" w:hAnsi="Arial" w:cs="Arial"/>
              </w:rPr>
              <w:t>Females</w:t>
            </w:r>
          </w:p>
        </w:tc>
        <w:tc>
          <w:tcPr>
            <w:tcW w:w="2700" w:type="dxa"/>
          </w:tcPr>
          <w:p w:rsidR="00330CF1" w:rsidRPr="00D33F13" w:rsidRDefault="00330CF1" w:rsidP="004218C0">
            <w:pPr>
              <w:jc w:val="center"/>
              <w:rPr>
                <w:rFonts w:ascii="Arial" w:hAnsi="Arial" w:cs="Arial"/>
              </w:rPr>
            </w:pPr>
            <w:r w:rsidRPr="00F006CC">
              <w:rPr>
                <w:rFonts w:ascii="Arial" w:hAnsi="Arial" w:cs="Arial"/>
              </w:rPr>
              <w:t>0.831 ± 0.0</w:t>
            </w:r>
            <w:r>
              <w:rPr>
                <w:rFonts w:ascii="Arial" w:hAnsi="Arial" w:cs="Arial"/>
              </w:rPr>
              <w:t>47</w:t>
            </w:r>
            <w:r>
              <w:rPr>
                <w:rFonts w:ascii="Arial" w:hAnsi="Arial" w:cs="Arial"/>
                <w:vertAlign w:val="superscript"/>
              </w:rPr>
              <w:t>b</w:t>
            </w:r>
          </w:p>
        </w:tc>
        <w:tc>
          <w:tcPr>
            <w:tcW w:w="2700" w:type="dxa"/>
          </w:tcPr>
          <w:p w:rsidR="00330CF1" w:rsidRPr="00D33F13" w:rsidRDefault="00330CF1" w:rsidP="004218C0">
            <w:pPr>
              <w:jc w:val="center"/>
              <w:rPr>
                <w:rFonts w:ascii="Arial" w:hAnsi="Arial" w:cs="Arial"/>
                <w:vertAlign w:val="superscript"/>
              </w:rPr>
            </w:pPr>
            <w:r w:rsidRPr="00F006CC">
              <w:rPr>
                <w:rFonts w:ascii="Arial" w:hAnsi="Arial" w:cs="Arial"/>
              </w:rPr>
              <w:t>0.841 ± 0.0</w:t>
            </w:r>
            <w:r>
              <w:rPr>
                <w:rFonts w:ascii="Arial" w:hAnsi="Arial" w:cs="Arial"/>
              </w:rPr>
              <w:t>58</w:t>
            </w:r>
            <w:r>
              <w:rPr>
                <w:rFonts w:ascii="Arial" w:hAnsi="Arial" w:cs="Arial"/>
                <w:vertAlign w:val="superscript"/>
              </w:rPr>
              <w:t>b</w:t>
            </w:r>
          </w:p>
        </w:tc>
        <w:tc>
          <w:tcPr>
            <w:tcW w:w="3064" w:type="dxa"/>
          </w:tcPr>
          <w:p w:rsidR="00330CF1" w:rsidRPr="00D33F13" w:rsidRDefault="00330CF1" w:rsidP="004218C0">
            <w:pPr>
              <w:jc w:val="center"/>
              <w:rPr>
                <w:rFonts w:ascii="Arial" w:hAnsi="Arial" w:cs="Arial"/>
              </w:rPr>
            </w:pPr>
            <w:r w:rsidRPr="00F006CC">
              <w:rPr>
                <w:rFonts w:ascii="Arial" w:hAnsi="Arial" w:cs="Arial"/>
              </w:rPr>
              <w:t>0.462 ± 0.0</w:t>
            </w:r>
            <w:r>
              <w:rPr>
                <w:rFonts w:ascii="Arial" w:hAnsi="Arial" w:cs="Arial"/>
              </w:rPr>
              <w:t>58</w:t>
            </w:r>
            <w:r>
              <w:rPr>
                <w:rFonts w:ascii="Arial" w:hAnsi="Arial" w:cs="Arial"/>
                <w:vertAlign w:val="superscript"/>
              </w:rPr>
              <w:t>c</w:t>
            </w:r>
          </w:p>
        </w:tc>
      </w:tr>
    </w:tbl>
    <w:p w:rsidR="00330CF1" w:rsidRDefault="00330CF1" w:rsidP="00963187">
      <w:pPr>
        <w:rPr>
          <w:rFonts w:ascii="Arial" w:hAnsi="Arial" w:cs="Arial"/>
        </w:rPr>
      </w:pPr>
      <w:r>
        <w:rPr>
          <w:rFonts w:ascii="Arial" w:hAnsi="Arial" w:cs="Arial"/>
        </w:rPr>
        <w:t>NOTE: Different letter superscripts values in both rows and columns indicate p values ≤ 0.05.</w:t>
      </w:r>
    </w:p>
    <w:p w:rsidR="00330CF1" w:rsidRDefault="00330CF1" w:rsidP="00963187"/>
    <w:p w:rsidR="00330CF1" w:rsidRDefault="00330CF1" w:rsidP="00BC5438">
      <w:pPr>
        <w:rPr>
          <w:rFonts w:ascii="Arial" w:hAnsi="Arial" w:cs="Arial"/>
        </w:rPr>
      </w:pPr>
      <w:r>
        <w:rPr>
          <w:rFonts w:ascii="Arial" w:hAnsi="Arial" w:cs="Arial"/>
        </w:rPr>
        <w:t xml:space="preserve"> </w:t>
      </w:r>
    </w:p>
    <w:p w:rsidR="00330CF1" w:rsidRDefault="00330CF1" w:rsidP="00BC5438">
      <w:pPr>
        <w:rPr>
          <w:rFonts w:ascii="Arial" w:hAnsi="Arial" w:cs="Arial"/>
        </w:rPr>
      </w:pPr>
      <w:r>
        <w:rPr>
          <w:noProof/>
        </w:rPr>
        <w:lastRenderedPageBreak/>
        <w:drawing>
          <wp:inline distT="0" distB="0" distL="0" distR="0" wp14:anchorId="5C0100EB" wp14:editId="2D8D2F1C">
            <wp:extent cx="4089115" cy="2899250"/>
            <wp:effectExtent l="0" t="0" r="6985" b="0"/>
            <wp:docPr id="17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095145" cy="2903525"/>
                    </a:xfrm>
                    <a:prstGeom prst="rect">
                      <a:avLst/>
                    </a:prstGeom>
                    <a:noFill/>
                    <a:ln>
                      <a:noFill/>
                    </a:ln>
                    <a:effectLst/>
                    <a:extLst/>
                  </pic:spPr>
                </pic:pic>
              </a:graphicData>
            </a:graphic>
          </wp:inline>
        </w:drawing>
      </w:r>
    </w:p>
    <w:p w:rsidR="00330CF1" w:rsidRPr="00963187" w:rsidRDefault="00330CF1" w:rsidP="00F96149">
      <w:pPr>
        <w:rPr>
          <w:rFonts w:ascii="Arial" w:hAnsi="Arial" w:cs="Arial"/>
        </w:rPr>
      </w:pPr>
    </w:p>
    <w:p w:rsidR="00330CF1" w:rsidRPr="00873BD8" w:rsidRDefault="00330CF1" w:rsidP="00873BD8">
      <w:pPr>
        <w:pStyle w:val="NormalWeb"/>
        <w:spacing w:before="0" w:beforeAutospacing="0" w:after="0" w:afterAutospacing="0"/>
        <w:rPr>
          <w:rFonts w:ascii="Arial" w:hAnsi="Arial" w:cs="Arial"/>
        </w:rPr>
      </w:pPr>
      <w:bookmarkStart w:id="35" w:name="OLE_LINK8"/>
      <w:r>
        <w:rPr>
          <w:rFonts w:ascii="Arial" w:hAnsi="Arial" w:cs="Arial"/>
          <w:b/>
        </w:rPr>
        <w:t xml:space="preserve">Figure 2.13 </w:t>
      </w:r>
      <w:r w:rsidRPr="00963187">
        <w:rPr>
          <w:rFonts w:ascii="Arial" w:hAnsi="Arial" w:cs="Arial"/>
        </w:rPr>
        <w:t>Feed efficiency by diet treatment and sex</w:t>
      </w:r>
      <w:r>
        <w:rPr>
          <w:rFonts w:ascii="Arial" w:hAnsi="Arial" w:cs="Arial"/>
        </w:rPr>
        <w:t xml:space="preserve">. </w:t>
      </w:r>
      <w:r w:rsidRPr="00963187">
        <w:rPr>
          <w:rFonts w:ascii="Arial" w:hAnsi="Arial" w:cs="Arial"/>
        </w:rPr>
        <w:t xml:space="preserve"> </w:t>
      </w:r>
      <w:r>
        <w:rPr>
          <w:rFonts w:ascii="Arial" w:eastAsiaTheme="minorEastAsia" w:hAnsi="Arial" w:cs="Arial"/>
          <w:color w:val="000000" w:themeColor="text1"/>
          <w:kern w:val="24"/>
        </w:rPr>
        <w:t>The top and bottom of the box</w:t>
      </w:r>
      <w:r w:rsidRPr="00873BD8">
        <w:rPr>
          <w:rFonts w:ascii="Arial" w:eastAsiaTheme="minorEastAsia" w:hAnsi="Arial" w:cs="Arial"/>
          <w:color w:val="000000" w:themeColor="text1"/>
          <w:kern w:val="24"/>
        </w:rPr>
        <w:t xml:space="preserve"> represent </w:t>
      </w:r>
      <w:r>
        <w:rPr>
          <w:rFonts w:ascii="Arial" w:eastAsiaTheme="minorEastAsia" w:hAnsi="Arial" w:cs="Arial"/>
          <w:color w:val="000000" w:themeColor="text1"/>
          <w:kern w:val="24"/>
        </w:rPr>
        <w:t xml:space="preserve">the </w:t>
      </w:r>
      <w:r w:rsidRPr="00873BD8">
        <w:rPr>
          <w:rFonts w:ascii="Arial" w:eastAsiaTheme="minorEastAsia" w:hAnsi="Arial" w:cs="Arial"/>
          <w:color w:val="000000" w:themeColor="text1"/>
          <w:kern w:val="24"/>
        </w:rPr>
        <w:t>25% and 75%,</w:t>
      </w:r>
      <w:r>
        <w:rPr>
          <w:rFonts w:ascii="Arial" w:eastAsiaTheme="minorEastAsia" w:hAnsi="Arial" w:cs="Arial"/>
          <w:color w:val="000000" w:themeColor="text1"/>
          <w:kern w:val="24"/>
        </w:rPr>
        <w:t xml:space="preserve"> while the band near the middle is the median.  Whiskers go from the smallest to the highest value.</w:t>
      </w:r>
      <w:r w:rsidRPr="00873BD8">
        <w:rPr>
          <w:rFonts w:ascii="Arial" w:eastAsiaTheme="minorEastAsia" w:hAnsi="Arial" w:cs="Arial"/>
          <w:color w:val="000000" w:themeColor="text1"/>
          <w:kern w:val="24"/>
        </w:rPr>
        <w:t xml:space="preserve"> </w:t>
      </w:r>
    </w:p>
    <w:p w:rsidR="00330CF1" w:rsidRDefault="00330CF1" w:rsidP="00873BD8">
      <w:pPr>
        <w:rPr>
          <w:rFonts w:ascii="Arial" w:hAnsi="Arial" w:cs="Arial"/>
          <w:b/>
        </w:rPr>
      </w:pPr>
    </w:p>
    <w:p w:rsidR="00330CF1" w:rsidRDefault="00330CF1">
      <w:pPr>
        <w:rPr>
          <w:rFonts w:ascii="Arial" w:hAnsi="Arial" w:cs="Arial"/>
        </w:rPr>
      </w:pPr>
    </w:p>
    <w:bookmarkEnd w:id="35"/>
    <w:p w:rsidR="00330CF1" w:rsidRDefault="00330CF1">
      <w:pPr>
        <w:rPr>
          <w:rFonts w:ascii="Arial" w:hAnsi="Arial" w:cs="Arial"/>
        </w:rPr>
      </w:pPr>
    </w:p>
    <w:p w:rsidR="00330CF1" w:rsidRDefault="00330CF1" w:rsidP="00873BD8">
      <w:pPr>
        <w:rPr>
          <w:rFonts w:ascii="Arial" w:hAnsi="Arial" w:cs="Arial"/>
          <w:b/>
        </w:rPr>
      </w:pPr>
      <w:r>
        <w:rPr>
          <w:noProof/>
        </w:rPr>
        <w:drawing>
          <wp:inline distT="0" distB="0" distL="0" distR="0" wp14:anchorId="1C5502B1" wp14:editId="0454F8A7">
            <wp:extent cx="3914454" cy="2895734"/>
            <wp:effectExtent l="0" t="0" r="0" b="0"/>
            <wp:docPr id="18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14022" cy="2895414"/>
                    </a:xfrm>
                    <a:prstGeom prst="rect">
                      <a:avLst/>
                    </a:prstGeom>
                    <a:noFill/>
                    <a:ln>
                      <a:noFill/>
                    </a:ln>
                    <a:effectLst/>
                    <a:extLst/>
                  </pic:spPr>
                </pic:pic>
              </a:graphicData>
            </a:graphic>
          </wp:inline>
        </w:drawing>
      </w:r>
    </w:p>
    <w:p w:rsidR="00330CF1" w:rsidRDefault="00330CF1" w:rsidP="00873BD8">
      <w:pPr>
        <w:rPr>
          <w:rFonts w:ascii="Arial" w:hAnsi="Arial" w:cs="Arial"/>
          <w:b/>
        </w:rPr>
      </w:pPr>
    </w:p>
    <w:p w:rsidR="00330CF1" w:rsidRPr="00873BD8" w:rsidRDefault="00330CF1" w:rsidP="00873BD8">
      <w:pPr>
        <w:rPr>
          <w:rFonts w:ascii="Arial" w:hAnsi="Arial" w:cs="Arial"/>
        </w:rPr>
      </w:pPr>
      <w:r>
        <w:rPr>
          <w:rFonts w:ascii="Arial" w:hAnsi="Arial" w:cs="Arial"/>
          <w:b/>
        </w:rPr>
        <w:t xml:space="preserve">Figure 2.14 </w:t>
      </w:r>
      <w:r w:rsidRPr="00610740">
        <w:rPr>
          <w:rFonts w:ascii="Arial" w:hAnsi="Arial" w:cs="Arial"/>
        </w:rPr>
        <w:t>Protein efficiency ratio by di</w:t>
      </w:r>
      <w:r>
        <w:rPr>
          <w:rFonts w:ascii="Arial" w:hAnsi="Arial" w:cs="Arial"/>
        </w:rPr>
        <w:t>et treatment and sex.</w:t>
      </w:r>
      <w:r w:rsidRPr="00873BD8">
        <w:rPr>
          <w:rFonts w:ascii="Arial" w:eastAsiaTheme="minorEastAsia" w:hAnsi="Arial" w:cs="Arial"/>
          <w:color w:val="000000" w:themeColor="text1"/>
          <w:kern w:val="24"/>
        </w:rPr>
        <w:t xml:space="preserve"> </w:t>
      </w:r>
      <w:r>
        <w:rPr>
          <w:rFonts w:ascii="Arial" w:eastAsiaTheme="minorEastAsia" w:hAnsi="Arial" w:cs="Arial"/>
          <w:color w:val="000000" w:themeColor="text1"/>
          <w:kern w:val="24"/>
        </w:rPr>
        <w:t>The top and bottom of the box</w:t>
      </w:r>
      <w:r w:rsidRPr="00873BD8">
        <w:rPr>
          <w:rFonts w:ascii="Arial" w:eastAsiaTheme="minorEastAsia" w:hAnsi="Arial" w:cs="Arial"/>
          <w:color w:val="000000" w:themeColor="text1"/>
          <w:kern w:val="24"/>
        </w:rPr>
        <w:t xml:space="preserve"> represent </w:t>
      </w:r>
      <w:r>
        <w:rPr>
          <w:rFonts w:ascii="Arial" w:eastAsiaTheme="minorEastAsia" w:hAnsi="Arial" w:cs="Arial"/>
          <w:color w:val="000000" w:themeColor="text1"/>
          <w:kern w:val="24"/>
        </w:rPr>
        <w:t xml:space="preserve">the </w:t>
      </w:r>
      <w:r w:rsidRPr="00873BD8">
        <w:rPr>
          <w:rFonts w:ascii="Arial" w:eastAsiaTheme="minorEastAsia" w:hAnsi="Arial" w:cs="Arial"/>
          <w:color w:val="000000" w:themeColor="text1"/>
          <w:kern w:val="24"/>
        </w:rPr>
        <w:t>25% and 75%,</w:t>
      </w:r>
      <w:r>
        <w:rPr>
          <w:rFonts w:ascii="Arial" w:eastAsiaTheme="minorEastAsia" w:hAnsi="Arial" w:cs="Arial"/>
          <w:color w:val="000000" w:themeColor="text1"/>
          <w:kern w:val="24"/>
        </w:rPr>
        <w:t xml:space="preserve"> while the band near the middle is the median.  Whiskers go from the smallest to the highest value.</w:t>
      </w:r>
      <w:r w:rsidRPr="00873BD8">
        <w:rPr>
          <w:rFonts w:ascii="Arial" w:eastAsiaTheme="minorEastAsia" w:hAnsi="Arial" w:cs="Arial"/>
          <w:color w:val="000000" w:themeColor="text1"/>
          <w:kern w:val="24"/>
        </w:rPr>
        <w:t xml:space="preserve"> </w:t>
      </w:r>
    </w:p>
    <w:p w:rsidR="00330CF1" w:rsidRPr="00F96149" w:rsidRDefault="00330CF1" w:rsidP="004F13A2">
      <w:pPr>
        <w:rPr>
          <w:rFonts w:ascii="Arial" w:hAnsi="Arial" w:cs="Arial"/>
          <w:b/>
        </w:rPr>
      </w:pPr>
    </w:p>
    <w:p w:rsidR="00330CF1" w:rsidRDefault="00330CF1" w:rsidP="004F13A2">
      <w:pPr>
        <w:rPr>
          <w:rFonts w:ascii="Arial" w:hAnsi="Arial" w:cs="Arial"/>
          <w:color w:val="C00000"/>
        </w:rPr>
      </w:pPr>
      <w:r>
        <w:rPr>
          <w:rFonts w:ascii="Arial" w:hAnsi="Arial" w:cs="Arial"/>
        </w:rPr>
        <w:lastRenderedPageBreak/>
        <w:t xml:space="preserve">     Table 2.13 lists the mean total and body weight corrected (gm/kg) dry matter intake, protein dry matter intake and kcal per day along with mean body condition score (BCS).  Both the control and homemade raw diets seemed to have greater palatability compared to the commercial raw diet, as these kittens ate in excess of energy needs.  Males on the commercial raw diet had significantly less total dry matter intake (p=0.0085) compared to both the control and homemade raw diet males, with a trend toward less dry matter on a weight corrected basis (p=0.101) compared to males on the control diet.  Similarly, males on the commercial raw diet had a trend toward less total (p=0.065) and weight-corrected kcal (P=0.098) compared to males on both the control and homemade raw diets.  There were no significant differences between females on the three diet treatments with respect to total or weight-corrected dry matter intake or kcal/day.  Both absolute and dry matter protein intake was significantly higher in both males and females on the homemade raw diet compared to the other two diet treatments.  </w:t>
      </w:r>
    </w:p>
    <w:p w:rsidR="00330CF1" w:rsidRPr="00F006CC" w:rsidRDefault="00330CF1" w:rsidP="004F13A2">
      <w:pPr>
        <w:rPr>
          <w:rFonts w:ascii="Arial" w:hAnsi="Arial" w:cs="Arial"/>
        </w:rPr>
      </w:pPr>
      <w:r w:rsidRPr="00C0535D">
        <w:rPr>
          <w:rFonts w:ascii="Arial" w:hAnsi="Arial" w:cs="Arial"/>
          <w:color w:val="C00000"/>
        </w:rPr>
        <w:t xml:space="preserve">  </w:t>
      </w:r>
      <w:r>
        <w:rPr>
          <w:rFonts w:ascii="Arial" w:hAnsi="Arial" w:cs="Arial"/>
        </w:rPr>
        <w:t xml:space="preserve">There were no significant differences in body condition score between the 3 diet treatments within sex but males on the homemade raw diet had significantly higher BCS compared to the females on either the control or commercial raw diets. </w:t>
      </w:r>
    </w:p>
    <w:p w:rsidR="00330CF1" w:rsidRPr="00BC5438" w:rsidRDefault="00330CF1" w:rsidP="00D160E6">
      <w:pPr>
        <w:rPr>
          <w:rFonts w:ascii="Arial" w:hAnsi="Arial" w:cs="Arial"/>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Default="00330CF1" w:rsidP="00205C2A">
      <w:pPr>
        <w:rPr>
          <w:rFonts w:ascii="Arial" w:hAnsi="Arial" w:cs="Arial"/>
          <w:b/>
          <w:bCs/>
          <w:iCs/>
          <w:sz w:val="28"/>
          <w:szCs w:val="28"/>
        </w:rPr>
      </w:pPr>
    </w:p>
    <w:p w:rsidR="00330CF1" w:rsidRPr="00205C2A" w:rsidRDefault="00330CF1" w:rsidP="00205C2A">
      <w:pPr>
        <w:jc w:val="center"/>
        <w:rPr>
          <w:rFonts w:ascii="Arial" w:hAnsi="Arial" w:cs="Arial"/>
          <w:b/>
          <w:bCs/>
          <w:iCs/>
          <w:sz w:val="28"/>
          <w:szCs w:val="28"/>
        </w:rPr>
      </w:pPr>
      <w:r w:rsidRPr="009B7972">
        <w:rPr>
          <w:rFonts w:ascii="Arial" w:hAnsi="Arial" w:cs="Arial"/>
          <w:b/>
        </w:rPr>
        <w:t>Table 2.13</w:t>
      </w:r>
      <w:r w:rsidRPr="00C0535D">
        <w:rPr>
          <w:rFonts w:ascii="Arial" w:hAnsi="Arial" w:cs="Arial"/>
          <w:color w:val="C00000"/>
        </w:rPr>
        <w:t xml:space="preserve"> </w:t>
      </w:r>
      <w:r>
        <w:rPr>
          <w:rFonts w:ascii="Arial" w:hAnsi="Arial" w:cs="Arial"/>
        </w:rPr>
        <w:t xml:space="preserve">Dry matter, protein dry matter, </w:t>
      </w:r>
      <w:r w:rsidRPr="009B7972">
        <w:rPr>
          <w:rFonts w:ascii="Arial" w:hAnsi="Arial" w:cs="Arial"/>
        </w:rPr>
        <w:t>cal</w:t>
      </w:r>
      <w:r>
        <w:rPr>
          <w:rFonts w:ascii="Arial" w:hAnsi="Arial" w:cs="Arial"/>
        </w:rPr>
        <w:t>oric</w:t>
      </w:r>
      <w:r w:rsidRPr="009B7972">
        <w:rPr>
          <w:rFonts w:ascii="Arial" w:hAnsi="Arial" w:cs="Arial"/>
        </w:rPr>
        <w:t xml:space="preserve"> intake</w:t>
      </w:r>
    </w:p>
    <w:p w:rsidR="00330CF1" w:rsidRPr="009B7972" w:rsidRDefault="00330CF1" w:rsidP="009B7972">
      <w:pPr>
        <w:jc w:val="center"/>
        <w:rPr>
          <w:rFonts w:ascii="Arial" w:hAnsi="Arial" w:cs="Arial"/>
        </w:rPr>
      </w:pPr>
      <w:r>
        <w:rPr>
          <w:rFonts w:ascii="Arial" w:hAnsi="Arial" w:cs="Arial"/>
        </w:rPr>
        <w:t>and body condition score</w:t>
      </w:r>
      <w:r w:rsidRPr="009B7972">
        <w:rPr>
          <w:rFonts w:ascii="Arial" w:hAnsi="Arial" w:cs="Arial"/>
        </w:rPr>
        <w:t xml:space="preserve"> by diet treatment and sex (Mean ± SEM)</w:t>
      </w:r>
    </w:p>
    <w:p w:rsidR="00330CF1" w:rsidRPr="008A0DCC" w:rsidRDefault="00330CF1" w:rsidP="00F96149">
      <w:pPr>
        <w:jc w:val="center"/>
        <w:rPr>
          <w:rFonts w:ascii="Arial" w:hAnsi="Arial" w:cs="Arial"/>
        </w:rPr>
      </w:pPr>
    </w:p>
    <w:tbl>
      <w:tblPr>
        <w:tblStyle w:val="TableGrid"/>
        <w:tblW w:w="0" w:type="auto"/>
        <w:tblLook w:val="04A0" w:firstRow="1" w:lastRow="0" w:firstColumn="1" w:lastColumn="0" w:noHBand="0" w:noVBand="1"/>
      </w:tblPr>
      <w:tblGrid>
        <w:gridCol w:w="2394"/>
        <w:gridCol w:w="2394"/>
        <w:gridCol w:w="2394"/>
        <w:gridCol w:w="2394"/>
      </w:tblGrid>
      <w:tr w:rsidR="00330CF1" w:rsidRPr="008A0DCC" w:rsidTr="00530C2E">
        <w:tc>
          <w:tcPr>
            <w:tcW w:w="2394" w:type="dxa"/>
          </w:tcPr>
          <w:p w:rsidR="00330CF1" w:rsidRPr="008A0DCC" w:rsidRDefault="00330CF1" w:rsidP="00530C2E">
            <w:pPr>
              <w:rPr>
                <w:rFonts w:ascii="Arial" w:hAnsi="Arial" w:cs="Arial"/>
                <w:b/>
              </w:rPr>
            </w:pPr>
            <w:r>
              <w:rPr>
                <w:rFonts w:ascii="Arial" w:hAnsi="Arial" w:cs="Arial"/>
                <w:b/>
              </w:rPr>
              <w:t>Total</w:t>
            </w:r>
          </w:p>
        </w:tc>
        <w:tc>
          <w:tcPr>
            <w:tcW w:w="2394" w:type="dxa"/>
          </w:tcPr>
          <w:p w:rsidR="00330CF1" w:rsidRPr="008A0DCC" w:rsidRDefault="00330CF1" w:rsidP="00530C2E">
            <w:pPr>
              <w:jc w:val="center"/>
              <w:rPr>
                <w:rFonts w:ascii="Arial" w:hAnsi="Arial" w:cs="Arial"/>
              </w:rPr>
            </w:pPr>
            <w:r>
              <w:rPr>
                <w:rFonts w:ascii="Arial" w:hAnsi="Arial" w:cs="Arial"/>
              </w:rPr>
              <w:t>Control</w:t>
            </w:r>
          </w:p>
        </w:tc>
        <w:tc>
          <w:tcPr>
            <w:tcW w:w="2394" w:type="dxa"/>
          </w:tcPr>
          <w:p w:rsidR="00330CF1" w:rsidRPr="008A0DCC" w:rsidRDefault="00330CF1" w:rsidP="00530C2E">
            <w:pPr>
              <w:jc w:val="center"/>
              <w:rPr>
                <w:rFonts w:ascii="Arial" w:hAnsi="Arial" w:cs="Arial"/>
              </w:rPr>
            </w:pPr>
            <w:r>
              <w:rPr>
                <w:rFonts w:ascii="Arial" w:hAnsi="Arial" w:cs="Arial"/>
              </w:rPr>
              <w:t>Commercial Raw</w:t>
            </w:r>
          </w:p>
        </w:tc>
        <w:tc>
          <w:tcPr>
            <w:tcW w:w="2394" w:type="dxa"/>
          </w:tcPr>
          <w:p w:rsidR="00330CF1" w:rsidRPr="008A0DCC" w:rsidRDefault="00330CF1" w:rsidP="00530C2E">
            <w:pPr>
              <w:jc w:val="center"/>
              <w:rPr>
                <w:rFonts w:ascii="Arial" w:hAnsi="Arial" w:cs="Arial"/>
              </w:rPr>
            </w:pPr>
            <w:r>
              <w:rPr>
                <w:rFonts w:ascii="Arial" w:hAnsi="Arial" w:cs="Arial"/>
              </w:rPr>
              <w:t>Homemade Raw</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Kcal/day</w:t>
            </w: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Male</w:t>
            </w:r>
          </w:p>
        </w:tc>
        <w:tc>
          <w:tcPr>
            <w:tcW w:w="2394" w:type="dxa"/>
          </w:tcPr>
          <w:p w:rsidR="00330CF1" w:rsidRPr="002A766B" w:rsidRDefault="00330CF1" w:rsidP="00530C2E">
            <w:pPr>
              <w:jc w:val="center"/>
              <w:rPr>
                <w:rFonts w:ascii="Arial" w:hAnsi="Arial" w:cs="Arial"/>
              </w:rPr>
            </w:pPr>
            <w:r w:rsidRPr="008A0DCC">
              <w:rPr>
                <w:rFonts w:ascii="Arial" w:hAnsi="Arial" w:cs="Arial"/>
              </w:rPr>
              <w:t>352.13</w:t>
            </w:r>
            <w:r>
              <w:rPr>
                <w:rFonts w:ascii="Arial" w:hAnsi="Arial" w:cs="Arial"/>
              </w:rPr>
              <w:t xml:space="preserve"> ± 17.40</w:t>
            </w:r>
            <w:r>
              <w:rPr>
                <w:rFonts w:ascii="Arial" w:hAnsi="Arial" w:cs="Arial"/>
                <w:vertAlign w:val="superscript"/>
              </w:rPr>
              <w:t>a</w:t>
            </w:r>
          </w:p>
        </w:tc>
        <w:tc>
          <w:tcPr>
            <w:tcW w:w="2394" w:type="dxa"/>
          </w:tcPr>
          <w:p w:rsidR="00330CF1" w:rsidRPr="002A766B" w:rsidRDefault="00330CF1" w:rsidP="00530C2E">
            <w:pPr>
              <w:jc w:val="center"/>
              <w:rPr>
                <w:rFonts w:ascii="Arial" w:hAnsi="Arial" w:cs="Arial"/>
              </w:rPr>
            </w:pPr>
            <w:r w:rsidRPr="008A0DCC">
              <w:rPr>
                <w:rFonts w:ascii="Arial" w:hAnsi="Arial" w:cs="Arial"/>
              </w:rPr>
              <w:t>284.08</w:t>
            </w:r>
            <w:r>
              <w:rPr>
                <w:rFonts w:ascii="Arial" w:hAnsi="Arial" w:cs="Arial"/>
              </w:rPr>
              <w:t xml:space="preserve"> ± 17.40</w:t>
            </w:r>
            <w:r>
              <w:rPr>
                <w:rFonts w:ascii="Arial" w:hAnsi="Arial" w:cs="Arial"/>
                <w:vertAlign w:val="superscript"/>
              </w:rPr>
              <w:t>b</w:t>
            </w:r>
          </w:p>
        </w:tc>
        <w:tc>
          <w:tcPr>
            <w:tcW w:w="2394" w:type="dxa"/>
          </w:tcPr>
          <w:p w:rsidR="00330CF1" w:rsidRPr="00C04980" w:rsidRDefault="00330CF1" w:rsidP="00530C2E">
            <w:pPr>
              <w:jc w:val="center"/>
              <w:rPr>
                <w:rFonts w:ascii="Arial" w:hAnsi="Arial" w:cs="Arial"/>
                <w:vertAlign w:val="superscript"/>
              </w:rPr>
            </w:pPr>
            <w:r w:rsidRPr="008A0DCC">
              <w:rPr>
                <w:rFonts w:ascii="Arial" w:hAnsi="Arial" w:cs="Arial"/>
              </w:rPr>
              <w:t>340.</w:t>
            </w:r>
            <w:r>
              <w:rPr>
                <w:rFonts w:ascii="Arial" w:hAnsi="Arial" w:cs="Arial"/>
              </w:rPr>
              <w:t>60 ± 15.88</w:t>
            </w:r>
            <w:r>
              <w:rPr>
                <w:rFonts w:ascii="Arial" w:hAnsi="Arial" w:cs="Arial"/>
                <w:vertAlign w:val="superscript"/>
              </w:rPr>
              <w:t>a</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Female</w:t>
            </w:r>
          </w:p>
        </w:tc>
        <w:tc>
          <w:tcPr>
            <w:tcW w:w="2394" w:type="dxa"/>
          </w:tcPr>
          <w:p w:rsidR="00330CF1" w:rsidRPr="001313AC" w:rsidRDefault="00330CF1" w:rsidP="00530C2E">
            <w:pPr>
              <w:jc w:val="center"/>
              <w:rPr>
                <w:rFonts w:ascii="Arial" w:hAnsi="Arial" w:cs="Arial"/>
                <w:vertAlign w:val="superscript"/>
              </w:rPr>
            </w:pPr>
            <w:r w:rsidRPr="008A0DCC">
              <w:rPr>
                <w:rFonts w:ascii="Arial" w:hAnsi="Arial" w:cs="Arial"/>
              </w:rPr>
              <w:t>301.48</w:t>
            </w:r>
            <w:r>
              <w:rPr>
                <w:rFonts w:ascii="Arial" w:hAnsi="Arial" w:cs="Arial"/>
              </w:rPr>
              <w:t xml:space="preserve"> ± 22.46</w:t>
            </w:r>
            <w:r>
              <w:rPr>
                <w:rFonts w:ascii="Arial" w:hAnsi="Arial" w:cs="Arial"/>
                <w:vertAlign w:val="superscript"/>
              </w:rPr>
              <w:t>ab</w:t>
            </w:r>
          </w:p>
        </w:tc>
        <w:tc>
          <w:tcPr>
            <w:tcW w:w="2394" w:type="dxa"/>
          </w:tcPr>
          <w:p w:rsidR="00330CF1" w:rsidRPr="00C04980" w:rsidRDefault="00330CF1" w:rsidP="00530C2E">
            <w:pPr>
              <w:jc w:val="center"/>
              <w:rPr>
                <w:rFonts w:ascii="Arial" w:hAnsi="Arial" w:cs="Arial"/>
              </w:rPr>
            </w:pPr>
            <w:r w:rsidRPr="008A0DCC">
              <w:rPr>
                <w:rFonts w:ascii="Arial" w:hAnsi="Arial" w:cs="Arial"/>
              </w:rPr>
              <w:t>268.3</w:t>
            </w:r>
            <w:r>
              <w:rPr>
                <w:rFonts w:ascii="Arial" w:hAnsi="Arial" w:cs="Arial"/>
              </w:rPr>
              <w:t>0 ± 22.46</w:t>
            </w:r>
            <w:r>
              <w:rPr>
                <w:rFonts w:ascii="Arial" w:hAnsi="Arial" w:cs="Arial"/>
                <w:vertAlign w:val="superscript"/>
              </w:rPr>
              <w:t>b</w:t>
            </w:r>
          </w:p>
        </w:tc>
        <w:tc>
          <w:tcPr>
            <w:tcW w:w="2394" w:type="dxa"/>
          </w:tcPr>
          <w:p w:rsidR="00330CF1" w:rsidRPr="00C04980" w:rsidRDefault="00330CF1" w:rsidP="00530C2E">
            <w:pPr>
              <w:jc w:val="center"/>
              <w:rPr>
                <w:rFonts w:ascii="Arial" w:hAnsi="Arial" w:cs="Arial"/>
                <w:vertAlign w:val="superscript"/>
              </w:rPr>
            </w:pPr>
            <w:r w:rsidRPr="008A0DCC">
              <w:rPr>
                <w:rFonts w:ascii="Arial" w:hAnsi="Arial" w:cs="Arial"/>
              </w:rPr>
              <w:t>268.7</w:t>
            </w:r>
            <w:r>
              <w:rPr>
                <w:rFonts w:ascii="Arial" w:hAnsi="Arial" w:cs="Arial"/>
              </w:rPr>
              <w:t>1 ± 27.51</w:t>
            </w:r>
            <w:r>
              <w:rPr>
                <w:rFonts w:ascii="Arial" w:hAnsi="Arial" w:cs="Arial"/>
                <w:vertAlign w:val="superscript"/>
              </w:rPr>
              <w:t>b</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DM g/day</w:t>
            </w: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Male</w:t>
            </w:r>
          </w:p>
        </w:tc>
        <w:tc>
          <w:tcPr>
            <w:tcW w:w="2394" w:type="dxa"/>
          </w:tcPr>
          <w:p w:rsidR="00330CF1" w:rsidRPr="001313AC" w:rsidRDefault="00330CF1" w:rsidP="00530C2E">
            <w:pPr>
              <w:jc w:val="center"/>
              <w:rPr>
                <w:rFonts w:ascii="Arial" w:hAnsi="Arial" w:cs="Arial"/>
              </w:rPr>
            </w:pPr>
            <w:r w:rsidRPr="008A0DCC">
              <w:rPr>
                <w:rFonts w:ascii="Arial" w:hAnsi="Arial" w:cs="Arial"/>
              </w:rPr>
              <w:t>56.37</w:t>
            </w:r>
            <w:r>
              <w:rPr>
                <w:rFonts w:ascii="Arial" w:hAnsi="Arial" w:cs="Arial"/>
              </w:rPr>
              <w:t xml:space="preserve"> ± 2.91</w:t>
            </w:r>
            <w:r>
              <w:rPr>
                <w:rFonts w:ascii="Arial" w:hAnsi="Arial" w:cs="Arial"/>
                <w:vertAlign w:val="superscript"/>
              </w:rPr>
              <w:t>ab</w:t>
            </w:r>
          </w:p>
        </w:tc>
        <w:tc>
          <w:tcPr>
            <w:tcW w:w="2394" w:type="dxa"/>
          </w:tcPr>
          <w:p w:rsidR="00330CF1" w:rsidRPr="001313AC" w:rsidRDefault="00330CF1" w:rsidP="00530C2E">
            <w:pPr>
              <w:jc w:val="center"/>
              <w:rPr>
                <w:rFonts w:ascii="Arial" w:hAnsi="Arial" w:cs="Arial"/>
              </w:rPr>
            </w:pPr>
            <w:r w:rsidRPr="008A0DCC">
              <w:rPr>
                <w:rFonts w:ascii="Arial" w:hAnsi="Arial" w:cs="Arial"/>
              </w:rPr>
              <w:t>45.4</w:t>
            </w:r>
            <w:r>
              <w:rPr>
                <w:rFonts w:ascii="Arial" w:hAnsi="Arial" w:cs="Arial"/>
              </w:rPr>
              <w:t>1 ± 2.91</w:t>
            </w:r>
            <w:r>
              <w:rPr>
                <w:rFonts w:ascii="Arial" w:hAnsi="Arial" w:cs="Arial"/>
                <w:vertAlign w:val="superscript"/>
              </w:rPr>
              <w:t>c</w:t>
            </w:r>
          </w:p>
        </w:tc>
        <w:tc>
          <w:tcPr>
            <w:tcW w:w="2394" w:type="dxa"/>
          </w:tcPr>
          <w:p w:rsidR="00330CF1" w:rsidRPr="001313AC" w:rsidRDefault="00330CF1" w:rsidP="00530C2E">
            <w:pPr>
              <w:jc w:val="center"/>
              <w:rPr>
                <w:rFonts w:ascii="Arial" w:hAnsi="Arial" w:cs="Arial"/>
              </w:rPr>
            </w:pPr>
            <w:r w:rsidRPr="008A0DCC">
              <w:rPr>
                <w:rFonts w:ascii="Arial" w:hAnsi="Arial" w:cs="Arial"/>
              </w:rPr>
              <w:t>62.6</w:t>
            </w:r>
            <w:r>
              <w:rPr>
                <w:rFonts w:ascii="Arial" w:hAnsi="Arial" w:cs="Arial"/>
              </w:rPr>
              <w:t>5 ± 2.65</w:t>
            </w:r>
            <w:r>
              <w:rPr>
                <w:rFonts w:ascii="Arial" w:hAnsi="Arial" w:cs="Arial"/>
                <w:vertAlign w:val="superscript"/>
              </w:rPr>
              <w:t>a</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Female</w:t>
            </w:r>
          </w:p>
        </w:tc>
        <w:tc>
          <w:tcPr>
            <w:tcW w:w="2394" w:type="dxa"/>
          </w:tcPr>
          <w:p w:rsidR="00330CF1" w:rsidRPr="008C2A36" w:rsidRDefault="00330CF1" w:rsidP="00530C2E">
            <w:pPr>
              <w:jc w:val="center"/>
              <w:rPr>
                <w:rFonts w:ascii="Arial" w:hAnsi="Arial" w:cs="Arial"/>
              </w:rPr>
            </w:pPr>
            <w:r w:rsidRPr="008A0DCC">
              <w:rPr>
                <w:rFonts w:ascii="Arial" w:hAnsi="Arial" w:cs="Arial"/>
              </w:rPr>
              <w:t>48.2</w:t>
            </w:r>
            <w:r>
              <w:rPr>
                <w:rFonts w:ascii="Arial" w:hAnsi="Arial" w:cs="Arial"/>
              </w:rPr>
              <w:t>9 ± 3.75</w:t>
            </w:r>
            <w:r>
              <w:rPr>
                <w:rFonts w:ascii="Arial" w:hAnsi="Arial" w:cs="Arial"/>
                <w:vertAlign w:val="superscript"/>
              </w:rPr>
              <w:t>bc</w:t>
            </w:r>
          </w:p>
        </w:tc>
        <w:tc>
          <w:tcPr>
            <w:tcW w:w="2394" w:type="dxa"/>
          </w:tcPr>
          <w:p w:rsidR="00330CF1" w:rsidRPr="008C2A36" w:rsidRDefault="00330CF1" w:rsidP="00530C2E">
            <w:pPr>
              <w:jc w:val="center"/>
              <w:rPr>
                <w:rFonts w:ascii="Arial" w:hAnsi="Arial" w:cs="Arial"/>
              </w:rPr>
            </w:pPr>
            <w:r w:rsidRPr="008A0DCC">
              <w:rPr>
                <w:rFonts w:ascii="Arial" w:hAnsi="Arial" w:cs="Arial"/>
              </w:rPr>
              <w:t>42.4</w:t>
            </w:r>
            <w:r>
              <w:rPr>
                <w:rFonts w:ascii="Arial" w:hAnsi="Arial" w:cs="Arial"/>
              </w:rPr>
              <w:t>5 ± 3.75</w:t>
            </w:r>
            <w:r>
              <w:rPr>
                <w:rFonts w:ascii="Arial" w:hAnsi="Arial" w:cs="Arial"/>
                <w:vertAlign w:val="superscript"/>
              </w:rPr>
              <w:t>c</w:t>
            </w:r>
          </w:p>
        </w:tc>
        <w:tc>
          <w:tcPr>
            <w:tcW w:w="2394" w:type="dxa"/>
          </w:tcPr>
          <w:p w:rsidR="00330CF1" w:rsidRPr="008C2A36" w:rsidRDefault="00330CF1" w:rsidP="00530C2E">
            <w:pPr>
              <w:jc w:val="center"/>
              <w:rPr>
                <w:rFonts w:ascii="Arial" w:hAnsi="Arial" w:cs="Arial"/>
                <w:vertAlign w:val="superscript"/>
              </w:rPr>
            </w:pPr>
            <w:r w:rsidRPr="008A0DCC">
              <w:rPr>
                <w:rFonts w:ascii="Arial" w:hAnsi="Arial" w:cs="Arial"/>
              </w:rPr>
              <w:t>49.42</w:t>
            </w:r>
            <w:r>
              <w:rPr>
                <w:rFonts w:ascii="Arial" w:hAnsi="Arial" w:cs="Arial"/>
              </w:rPr>
              <w:t xml:space="preserve"> ± 4.60</w:t>
            </w:r>
            <w:r>
              <w:rPr>
                <w:rFonts w:ascii="Arial" w:hAnsi="Arial" w:cs="Arial"/>
                <w:vertAlign w:val="superscript"/>
              </w:rPr>
              <w:t>bc</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Prot DM g/day</w:t>
            </w: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Male</w:t>
            </w:r>
          </w:p>
        </w:tc>
        <w:tc>
          <w:tcPr>
            <w:tcW w:w="2394" w:type="dxa"/>
          </w:tcPr>
          <w:p w:rsidR="00330CF1" w:rsidRPr="008C2A36" w:rsidRDefault="00330CF1" w:rsidP="00530C2E">
            <w:pPr>
              <w:jc w:val="center"/>
              <w:rPr>
                <w:rFonts w:ascii="Arial" w:hAnsi="Arial" w:cs="Arial"/>
              </w:rPr>
            </w:pPr>
            <w:r w:rsidRPr="008A0DCC">
              <w:rPr>
                <w:rFonts w:ascii="Arial" w:hAnsi="Arial" w:cs="Arial"/>
              </w:rPr>
              <w:t>26.32</w:t>
            </w:r>
            <w:r>
              <w:rPr>
                <w:rFonts w:ascii="Arial" w:hAnsi="Arial" w:cs="Arial"/>
              </w:rPr>
              <w:t xml:space="preserve"> ± 1.99</w:t>
            </w:r>
            <w:r>
              <w:rPr>
                <w:rFonts w:ascii="Arial" w:hAnsi="Arial" w:cs="Arial"/>
                <w:vertAlign w:val="superscript"/>
              </w:rPr>
              <w:t>c</w:t>
            </w:r>
          </w:p>
        </w:tc>
        <w:tc>
          <w:tcPr>
            <w:tcW w:w="2394" w:type="dxa"/>
          </w:tcPr>
          <w:p w:rsidR="00330CF1" w:rsidRPr="008C2A36" w:rsidRDefault="00330CF1" w:rsidP="00530C2E">
            <w:pPr>
              <w:jc w:val="center"/>
              <w:rPr>
                <w:rFonts w:ascii="Arial" w:hAnsi="Arial" w:cs="Arial"/>
              </w:rPr>
            </w:pPr>
            <w:r w:rsidRPr="008A0DCC">
              <w:rPr>
                <w:rFonts w:ascii="Arial" w:hAnsi="Arial" w:cs="Arial"/>
              </w:rPr>
              <w:t>22.5</w:t>
            </w:r>
            <w:r>
              <w:rPr>
                <w:rFonts w:ascii="Arial" w:hAnsi="Arial" w:cs="Arial"/>
              </w:rPr>
              <w:t>7 ± 1.99</w:t>
            </w:r>
            <w:r>
              <w:rPr>
                <w:rFonts w:ascii="Arial" w:hAnsi="Arial" w:cs="Arial"/>
                <w:vertAlign w:val="superscript"/>
              </w:rPr>
              <w:t>c</w:t>
            </w:r>
          </w:p>
        </w:tc>
        <w:tc>
          <w:tcPr>
            <w:tcW w:w="2394" w:type="dxa"/>
          </w:tcPr>
          <w:p w:rsidR="00330CF1" w:rsidRPr="008C2A36" w:rsidRDefault="00330CF1" w:rsidP="00530C2E">
            <w:pPr>
              <w:jc w:val="center"/>
              <w:rPr>
                <w:rFonts w:ascii="Arial" w:hAnsi="Arial" w:cs="Arial"/>
                <w:vertAlign w:val="superscript"/>
              </w:rPr>
            </w:pPr>
            <w:r w:rsidRPr="008A0DCC">
              <w:rPr>
                <w:rFonts w:ascii="Arial" w:hAnsi="Arial" w:cs="Arial"/>
              </w:rPr>
              <w:t>48.9</w:t>
            </w:r>
            <w:r>
              <w:rPr>
                <w:rFonts w:ascii="Arial" w:hAnsi="Arial" w:cs="Arial"/>
              </w:rPr>
              <w:t>9 ± 1.82</w:t>
            </w:r>
            <w:r>
              <w:rPr>
                <w:rFonts w:ascii="Arial" w:hAnsi="Arial" w:cs="Arial"/>
                <w:vertAlign w:val="superscript"/>
              </w:rPr>
              <w:t>a</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Female</w:t>
            </w:r>
          </w:p>
        </w:tc>
        <w:tc>
          <w:tcPr>
            <w:tcW w:w="2394" w:type="dxa"/>
          </w:tcPr>
          <w:p w:rsidR="00330CF1" w:rsidRPr="008C2A36" w:rsidRDefault="00330CF1" w:rsidP="00530C2E">
            <w:pPr>
              <w:jc w:val="center"/>
              <w:rPr>
                <w:rFonts w:ascii="Arial" w:hAnsi="Arial" w:cs="Arial"/>
              </w:rPr>
            </w:pPr>
            <w:r w:rsidRPr="008A0DCC">
              <w:rPr>
                <w:rFonts w:ascii="Arial" w:hAnsi="Arial" w:cs="Arial"/>
              </w:rPr>
              <w:t>22.55</w:t>
            </w:r>
            <w:r>
              <w:rPr>
                <w:rFonts w:ascii="Arial" w:hAnsi="Arial" w:cs="Arial"/>
              </w:rPr>
              <w:t xml:space="preserve"> ± 2.57</w:t>
            </w:r>
            <w:r>
              <w:rPr>
                <w:rFonts w:ascii="Arial" w:hAnsi="Arial" w:cs="Arial"/>
                <w:vertAlign w:val="superscript"/>
              </w:rPr>
              <w:t>c</w:t>
            </w:r>
          </w:p>
        </w:tc>
        <w:tc>
          <w:tcPr>
            <w:tcW w:w="2394" w:type="dxa"/>
          </w:tcPr>
          <w:p w:rsidR="00330CF1" w:rsidRPr="007C775D" w:rsidRDefault="00330CF1" w:rsidP="00530C2E">
            <w:pPr>
              <w:jc w:val="center"/>
              <w:rPr>
                <w:rFonts w:ascii="Arial" w:hAnsi="Arial" w:cs="Arial"/>
              </w:rPr>
            </w:pPr>
            <w:r w:rsidRPr="008A0DCC">
              <w:rPr>
                <w:rFonts w:ascii="Arial" w:hAnsi="Arial" w:cs="Arial"/>
              </w:rPr>
              <w:t>24.76</w:t>
            </w:r>
            <w:r>
              <w:rPr>
                <w:rFonts w:ascii="Arial" w:hAnsi="Arial" w:cs="Arial"/>
              </w:rPr>
              <w:t xml:space="preserve"> ± 2.57</w:t>
            </w:r>
            <w:r>
              <w:rPr>
                <w:rFonts w:ascii="Arial" w:hAnsi="Arial" w:cs="Arial"/>
                <w:vertAlign w:val="superscript"/>
              </w:rPr>
              <w:t>c</w:t>
            </w:r>
          </w:p>
        </w:tc>
        <w:tc>
          <w:tcPr>
            <w:tcW w:w="2394" w:type="dxa"/>
          </w:tcPr>
          <w:p w:rsidR="00330CF1" w:rsidRPr="008C2A36" w:rsidRDefault="00330CF1" w:rsidP="00530C2E">
            <w:pPr>
              <w:jc w:val="center"/>
              <w:rPr>
                <w:rFonts w:ascii="Arial" w:hAnsi="Arial" w:cs="Arial"/>
              </w:rPr>
            </w:pPr>
            <w:r w:rsidRPr="008A0DCC">
              <w:rPr>
                <w:rFonts w:ascii="Arial" w:hAnsi="Arial" w:cs="Arial"/>
              </w:rPr>
              <w:t>38.6</w:t>
            </w:r>
            <w:r>
              <w:rPr>
                <w:rFonts w:ascii="Arial" w:hAnsi="Arial" w:cs="Arial"/>
              </w:rPr>
              <w:t>5 ± 3.15</w:t>
            </w:r>
            <w:r>
              <w:rPr>
                <w:rFonts w:ascii="Arial" w:hAnsi="Arial" w:cs="Arial"/>
                <w:vertAlign w:val="superscript"/>
              </w:rPr>
              <w:t>b</w:t>
            </w:r>
          </w:p>
        </w:tc>
      </w:tr>
      <w:tr w:rsidR="00330CF1" w:rsidRPr="008A0DCC" w:rsidTr="00530C2E">
        <w:tc>
          <w:tcPr>
            <w:tcW w:w="2394" w:type="dxa"/>
          </w:tcPr>
          <w:p w:rsidR="00330CF1" w:rsidRPr="008A0DCC" w:rsidRDefault="00330CF1" w:rsidP="00530C2E">
            <w:pPr>
              <w:rPr>
                <w:rFonts w:ascii="Arial" w:hAnsi="Arial" w:cs="Arial"/>
                <w:b/>
              </w:rPr>
            </w:pPr>
            <w:r w:rsidRPr="008A0DCC">
              <w:rPr>
                <w:rFonts w:ascii="Arial" w:hAnsi="Arial" w:cs="Arial"/>
                <w:b/>
              </w:rPr>
              <w:t>Weight Corrected (WC)</w:t>
            </w: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r>
      <w:tr w:rsidR="00330CF1" w:rsidRPr="008A0DCC" w:rsidTr="00530C2E">
        <w:tc>
          <w:tcPr>
            <w:tcW w:w="2394" w:type="dxa"/>
          </w:tcPr>
          <w:p w:rsidR="00330CF1" w:rsidRPr="008A0DCC" w:rsidRDefault="00330CF1" w:rsidP="00530C2E">
            <w:pPr>
              <w:rPr>
                <w:rFonts w:ascii="Arial" w:hAnsi="Arial" w:cs="Arial"/>
              </w:rPr>
            </w:pPr>
            <w:r>
              <w:rPr>
                <w:rFonts w:ascii="Arial" w:hAnsi="Arial" w:cs="Arial"/>
              </w:rPr>
              <w:t>K</w:t>
            </w:r>
            <w:r w:rsidRPr="008A0DCC">
              <w:rPr>
                <w:rFonts w:ascii="Arial" w:hAnsi="Arial" w:cs="Arial"/>
              </w:rPr>
              <w:t>cal/ kg day</w:t>
            </w: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Male</w:t>
            </w:r>
          </w:p>
        </w:tc>
        <w:tc>
          <w:tcPr>
            <w:tcW w:w="2394" w:type="dxa"/>
          </w:tcPr>
          <w:p w:rsidR="00330CF1" w:rsidRPr="008C2A36" w:rsidRDefault="00330CF1" w:rsidP="00530C2E">
            <w:pPr>
              <w:jc w:val="center"/>
              <w:rPr>
                <w:rFonts w:ascii="Arial" w:hAnsi="Arial" w:cs="Arial"/>
              </w:rPr>
            </w:pPr>
            <w:r w:rsidRPr="008A0DCC">
              <w:rPr>
                <w:rFonts w:ascii="Arial" w:hAnsi="Arial" w:cs="Arial"/>
              </w:rPr>
              <w:t>183.96</w:t>
            </w:r>
            <w:r>
              <w:rPr>
                <w:rFonts w:ascii="Arial" w:hAnsi="Arial" w:cs="Arial"/>
              </w:rPr>
              <w:t xml:space="preserve"> ± 7.88</w:t>
            </w:r>
            <w:r>
              <w:rPr>
                <w:rFonts w:ascii="Arial" w:hAnsi="Arial" w:cs="Arial"/>
                <w:vertAlign w:val="superscript"/>
              </w:rPr>
              <w:t>a</w:t>
            </w:r>
          </w:p>
        </w:tc>
        <w:tc>
          <w:tcPr>
            <w:tcW w:w="2394" w:type="dxa"/>
          </w:tcPr>
          <w:p w:rsidR="00330CF1" w:rsidRPr="008C2A36" w:rsidRDefault="00330CF1" w:rsidP="00530C2E">
            <w:pPr>
              <w:jc w:val="center"/>
              <w:rPr>
                <w:rFonts w:ascii="Arial" w:hAnsi="Arial" w:cs="Arial"/>
              </w:rPr>
            </w:pPr>
            <w:r w:rsidRPr="008A0DCC">
              <w:rPr>
                <w:rFonts w:ascii="Arial" w:hAnsi="Arial" w:cs="Arial"/>
              </w:rPr>
              <w:t>149.5</w:t>
            </w:r>
            <w:r>
              <w:rPr>
                <w:rFonts w:ascii="Arial" w:hAnsi="Arial" w:cs="Arial"/>
              </w:rPr>
              <w:t>8 ± 7.88</w:t>
            </w:r>
            <w:r>
              <w:rPr>
                <w:rFonts w:ascii="Arial" w:hAnsi="Arial" w:cs="Arial"/>
                <w:vertAlign w:val="superscript"/>
              </w:rPr>
              <w:t>ab</w:t>
            </w:r>
          </w:p>
        </w:tc>
        <w:tc>
          <w:tcPr>
            <w:tcW w:w="2394" w:type="dxa"/>
          </w:tcPr>
          <w:p w:rsidR="00330CF1" w:rsidRPr="008C2A36" w:rsidRDefault="00330CF1" w:rsidP="00530C2E">
            <w:pPr>
              <w:jc w:val="center"/>
              <w:rPr>
                <w:rFonts w:ascii="Arial" w:hAnsi="Arial" w:cs="Arial"/>
              </w:rPr>
            </w:pPr>
            <w:r w:rsidRPr="008A0DCC">
              <w:rPr>
                <w:rFonts w:ascii="Arial" w:hAnsi="Arial" w:cs="Arial"/>
              </w:rPr>
              <w:t>165.90</w:t>
            </w:r>
            <w:r>
              <w:rPr>
                <w:rFonts w:ascii="Arial" w:hAnsi="Arial" w:cs="Arial"/>
              </w:rPr>
              <w:t xml:space="preserve"> ± 7.19</w:t>
            </w:r>
            <w:r>
              <w:rPr>
                <w:rFonts w:ascii="Arial" w:hAnsi="Arial" w:cs="Arial"/>
                <w:vertAlign w:val="superscript"/>
              </w:rPr>
              <w:t>ab</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Female</w:t>
            </w:r>
          </w:p>
        </w:tc>
        <w:tc>
          <w:tcPr>
            <w:tcW w:w="2394" w:type="dxa"/>
          </w:tcPr>
          <w:p w:rsidR="00330CF1" w:rsidRPr="00716767" w:rsidRDefault="00330CF1" w:rsidP="00530C2E">
            <w:pPr>
              <w:jc w:val="center"/>
              <w:rPr>
                <w:rFonts w:ascii="Arial" w:hAnsi="Arial" w:cs="Arial"/>
              </w:rPr>
            </w:pPr>
            <w:r w:rsidRPr="008A0DCC">
              <w:rPr>
                <w:rFonts w:ascii="Arial" w:hAnsi="Arial" w:cs="Arial"/>
              </w:rPr>
              <w:t>162.77</w:t>
            </w:r>
            <w:r>
              <w:rPr>
                <w:rFonts w:ascii="Arial" w:hAnsi="Arial" w:cs="Arial"/>
              </w:rPr>
              <w:t xml:space="preserve"> ± 10.17</w:t>
            </w:r>
            <w:r>
              <w:rPr>
                <w:rFonts w:ascii="Arial" w:hAnsi="Arial" w:cs="Arial"/>
                <w:vertAlign w:val="superscript"/>
              </w:rPr>
              <w:t>ab</w:t>
            </w:r>
          </w:p>
        </w:tc>
        <w:tc>
          <w:tcPr>
            <w:tcW w:w="2394" w:type="dxa"/>
          </w:tcPr>
          <w:p w:rsidR="00330CF1" w:rsidRPr="00716767" w:rsidRDefault="00330CF1" w:rsidP="00530C2E">
            <w:pPr>
              <w:jc w:val="center"/>
              <w:rPr>
                <w:rFonts w:ascii="Arial" w:hAnsi="Arial" w:cs="Arial"/>
              </w:rPr>
            </w:pPr>
            <w:r w:rsidRPr="008A0DCC">
              <w:rPr>
                <w:rFonts w:ascii="Arial" w:hAnsi="Arial" w:cs="Arial"/>
              </w:rPr>
              <w:t>156.44</w:t>
            </w:r>
            <w:r>
              <w:rPr>
                <w:rFonts w:ascii="Arial" w:hAnsi="Arial" w:cs="Arial"/>
              </w:rPr>
              <w:t xml:space="preserve"> ± 10.17</w:t>
            </w:r>
            <w:r>
              <w:rPr>
                <w:rFonts w:ascii="Arial" w:hAnsi="Arial" w:cs="Arial"/>
                <w:vertAlign w:val="superscript"/>
              </w:rPr>
              <w:t>ab</w:t>
            </w:r>
          </w:p>
        </w:tc>
        <w:tc>
          <w:tcPr>
            <w:tcW w:w="2394" w:type="dxa"/>
          </w:tcPr>
          <w:p w:rsidR="00330CF1" w:rsidRPr="00716767" w:rsidRDefault="00330CF1" w:rsidP="00530C2E">
            <w:pPr>
              <w:jc w:val="center"/>
              <w:rPr>
                <w:rFonts w:ascii="Arial" w:hAnsi="Arial" w:cs="Arial"/>
              </w:rPr>
            </w:pPr>
            <w:r w:rsidRPr="008A0DCC">
              <w:rPr>
                <w:rFonts w:ascii="Arial" w:hAnsi="Arial" w:cs="Arial"/>
              </w:rPr>
              <w:t>151.51</w:t>
            </w:r>
            <w:r>
              <w:rPr>
                <w:rFonts w:ascii="Arial" w:hAnsi="Arial" w:cs="Arial"/>
              </w:rPr>
              <w:t xml:space="preserve"> ± 12.46</w:t>
            </w:r>
            <w:r>
              <w:rPr>
                <w:rFonts w:ascii="Arial" w:hAnsi="Arial" w:cs="Arial"/>
                <w:vertAlign w:val="superscript"/>
              </w:rPr>
              <w:t>ab</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DM g/kg day</w:t>
            </w: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Male</w:t>
            </w:r>
          </w:p>
        </w:tc>
        <w:tc>
          <w:tcPr>
            <w:tcW w:w="2394" w:type="dxa"/>
          </w:tcPr>
          <w:p w:rsidR="00330CF1" w:rsidRPr="00CF725B" w:rsidRDefault="00330CF1" w:rsidP="00530C2E">
            <w:pPr>
              <w:jc w:val="center"/>
              <w:rPr>
                <w:rFonts w:ascii="Arial" w:hAnsi="Arial" w:cs="Arial"/>
                <w:vertAlign w:val="superscript"/>
              </w:rPr>
            </w:pPr>
            <w:r w:rsidRPr="008A0DCC">
              <w:rPr>
                <w:rFonts w:ascii="Arial" w:hAnsi="Arial" w:cs="Arial"/>
              </w:rPr>
              <w:t>29.44</w:t>
            </w:r>
            <w:r>
              <w:rPr>
                <w:rFonts w:ascii="Arial" w:hAnsi="Arial" w:cs="Arial"/>
              </w:rPr>
              <w:t xml:space="preserve"> ± 1.67</w:t>
            </w:r>
            <w:r>
              <w:rPr>
                <w:rFonts w:ascii="Arial" w:hAnsi="Arial" w:cs="Arial"/>
                <w:vertAlign w:val="superscript"/>
              </w:rPr>
              <w:t>ab</w:t>
            </w:r>
          </w:p>
        </w:tc>
        <w:tc>
          <w:tcPr>
            <w:tcW w:w="2394" w:type="dxa"/>
          </w:tcPr>
          <w:p w:rsidR="00330CF1" w:rsidRPr="00CF725B" w:rsidRDefault="00330CF1" w:rsidP="00530C2E">
            <w:pPr>
              <w:jc w:val="center"/>
              <w:rPr>
                <w:rFonts w:ascii="Arial" w:hAnsi="Arial" w:cs="Arial"/>
                <w:vertAlign w:val="superscript"/>
              </w:rPr>
            </w:pPr>
            <w:r>
              <w:rPr>
                <w:rFonts w:ascii="Arial" w:hAnsi="Arial" w:cs="Arial"/>
              </w:rPr>
              <w:t>25.12 ± 1.67</w:t>
            </w:r>
            <w:r>
              <w:rPr>
                <w:rFonts w:ascii="Arial" w:hAnsi="Arial" w:cs="Arial"/>
                <w:vertAlign w:val="superscript"/>
              </w:rPr>
              <w:t>ab</w:t>
            </w:r>
          </w:p>
        </w:tc>
        <w:tc>
          <w:tcPr>
            <w:tcW w:w="2394" w:type="dxa"/>
          </w:tcPr>
          <w:p w:rsidR="00330CF1" w:rsidRPr="00CF725B" w:rsidRDefault="00330CF1" w:rsidP="00530C2E">
            <w:pPr>
              <w:jc w:val="center"/>
              <w:rPr>
                <w:rFonts w:ascii="Arial" w:hAnsi="Arial" w:cs="Arial"/>
                <w:vertAlign w:val="superscript"/>
              </w:rPr>
            </w:pPr>
            <w:r>
              <w:rPr>
                <w:rFonts w:ascii="Arial" w:hAnsi="Arial" w:cs="Arial"/>
              </w:rPr>
              <w:t>30.94 ± 1.53</w:t>
            </w:r>
            <w:r>
              <w:rPr>
                <w:rFonts w:ascii="Arial" w:hAnsi="Arial" w:cs="Arial"/>
                <w:vertAlign w:val="superscript"/>
              </w:rPr>
              <w:t>ab</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Female</w:t>
            </w:r>
          </w:p>
        </w:tc>
        <w:tc>
          <w:tcPr>
            <w:tcW w:w="2394" w:type="dxa"/>
          </w:tcPr>
          <w:p w:rsidR="00330CF1" w:rsidRPr="00D16312" w:rsidRDefault="00330CF1" w:rsidP="00530C2E">
            <w:pPr>
              <w:jc w:val="center"/>
              <w:rPr>
                <w:rFonts w:ascii="Arial" w:hAnsi="Arial" w:cs="Arial"/>
              </w:rPr>
            </w:pPr>
            <w:r w:rsidRPr="008A0DCC">
              <w:rPr>
                <w:rFonts w:ascii="Arial" w:hAnsi="Arial" w:cs="Arial"/>
              </w:rPr>
              <w:t>26.6</w:t>
            </w:r>
            <w:r>
              <w:rPr>
                <w:rFonts w:ascii="Arial" w:hAnsi="Arial" w:cs="Arial"/>
              </w:rPr>
              <w:t>9 ± 2.16</w:t>
            </w:r>
            <w:r>
              <w:rPr>
                <w:rFonts w:ascii="Arial" w:hAnsi="Arial" w:cs="Arial"/>
                <w:vertAlign w:val="superscript"/>
              </w:rPr>
              <w:t>ab</w:t>
            </w:r>
          </w:p>
        </w:tc>
        <w:tc>
          <w:tcPr>
            <w:tcW w:w="2394" w:type="dxa"/>
          </w:tcPr>
          <w:p w:rsidR="00330CF1" w:rsidRPr="00D16312" w:rsidRDefault="00330CF1" w:rsidP="00530C2E">
            <w:pPr>
              <w:jc w:val="center"/>
              <w:rPr>
                <w:rFonts w:ascii="Arial" w:hAnsi="Arial" w:cs="Arial"/>
              </w:rPr>
            </w:pPr>
            <w:r w:rsidRPr="008A0DCC">
              <w:rPr>
                <w:rFonts w:ascii="Arial" w:hAnsi="Arial" w:cs="Arial"/>
              </w:rPr>
              <w:t>24.75</w:t>
            </w:r>
            <w:r>
              <w:rPr>
                <w:rFonts w:ascii="Arial" w:hAnsi="Arial" w:cs="Arial"/>
              </w:rPr>
              <w:t xml:space="preserve"> ± 2.16</w:t>
            </w:r>
            <w:r>
              <w:rPr>
                <w:rFonts w:ascii="Arial" w:hAnsi="Arial" w:cs="Arial"/>
                <w:vertAlign w:val="superscript"/>
              </w:rPr>
              <w:t>b</w:t>
            </w:r>
          </w:p>
        </w:tc>
        <w:tc>
          <w:tcPr>
            <w:tcW w:w="2394" w:type="dxa"/>
          </w:tcPr>
          <w:p w:rsidR="00330CF1" w:rsidRPr="00D16312" w:rsidRDefault="00330CF1" w:rsidP="00530C2E">
            <w:pPr>
              <w:jc w:val="center"/>
              <w:rPr>
                <w:rFonts w:ascii="Arial" w:hAnsi="Arial" w:cs="Arial"/>
              </w:rPr>
            </w:pPr>
            <w:r w:rsidRPr="008A0DCC">
              <w:rPr>
                <w:rFonts w:ascii="Arial" w:hAnsi="Arial" w:cs="Arial"/>
              </w:rPr>
              <w:t>27.8</w:t>
            </w:r>
            <w:r>
              <w:rPr>
                <w:rFonts w:ascii="Arial" w:hAnsi="Arial" w:cs="Arial"/>
              </w:rPr>
              <w:t>7 ± 2.64</w:t>
            </w:r>
            <w:r>
              <w:rPr>
                <w:rFonts w:ascii="Arial" w:hAnsi="Arial" w:cs="Arial"/>
                <w:vertAlign w:val="superscript"/>
              </w:rPr>
              <w:t>ab</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Prot DM g/kg day</w:t>
            </w: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Male</w:t>
            </w:r>
          </w:p>
        </w:tc>
        <w:tc>
          <w:tcPr>
            <w:tcW w:w="2394" w:type="dxa"/>
          </w:tcPr>
          <w:p w:rsidR="00330CF1" w:rsidRPr="00716767" w:rsidRDefault="00330CF1" w:rsidP="00530C2E">
            <w:pPr>
              <w:jc w:val="center"/>
              <w:rPr>
                <w:rFonts w:ascii="Arial" w:hAnsi="Arial" w:cs="Arial"/>
              </w:rPr>
            </w:pPr>
            <w:r w:rsidRPr="008A0DCC">
              <w:rPr>
                <w:rFonts w:ascii="Arial" w:hAnsi="Arial" w:cs="Arial"/>
              </w:rPr>
              <w:t>13.75</w:t>
            </w:r>
            <w:r>
              <w:rPr>
                <w:rFonts w:ascii="Arial" w:hAnsi="Arial" w:cs="Arial"/>
              </w:rPr>
              <w:t xml:space="preserve"> ± 0.71</w:t>
            </w:r>
            <w:r>
              <w:rPr>
                <w:rFonts w:ascii="Arial" w:hAnsi="Arial" w:cs="Arial"/>
                <w:vertAlign w:val="superscript"/>
              </w:rPr>
              <w:t>b</w:t>
            </w:r>
          </w:p>
        </w:tc>
        <w:tc>
          <w:tcPr>
            <w:tcW w:w="2394" w:type="dxa"/>
          </w:tcPr>
          <w:p w:rsidR="00330CF1" w:rsidRPr="00716767" w:rsidRDefault="00330CF1" w:rsidP="00530C2E">
            <w:pPr>
              <w:jc w:val="center"/>
              <w:rPr>
                <w:rFonts w:ascii="Arial" w:hAnsi="Arial" w:cs="Arial"/>
              </w:rPr>
            </w:pPr>
            <w:r w:rsidRPr="008A0DCC">
              <w:rPr>
                <w:rFonts w:ascii="Arial" w:hAnsi="Arial" w:cs="Arial"/>
              </w:rPr>
              <w:t>11.8</w:t>
            </w:r>
            <w:r>
              <w:rPr>
                <w:rFonts w:ascii="Arial" w:hAnsi="Arial" w:cs="Arial"/>
              </w:rPr>
              <w:t>5 ± 0.71</w:t>
            </w:r>
            <w:r>
              <w:rPr>
                <w:rFonts w:ascii="Arial" w:hAnsi="Arial" w:cs="Arial"/>
                <w:vertAlign w:val="superscript"/>
              </w:rPr>
              <w:t>b</w:t>
            </w:r>
          </w:p>
        </w:tc>
        <w:tc>
          <w:tcPr>
            <w:tcW w:w="2394" w:type="dxa"/>
          </w:tcPr>
          <w:p w:rsidR="00330CF1" w:rsidRPr="00716767" w:rsidRDefault="00330CF1" w:rsidP="00530C2E">
            <w:pPr>
              <w:jc w:val="center"/>
              <w:rPr>
                <w:rFonts w:ascii="Arial" w:hAnsi="Arial" w:cs="Arial"/>
              </w:rPr>
            </w:pPr>
            <w:r w:rsidRPr="008A0DCC">
              <w:rPr>
                <w:rFonts w:ascii="Arial" w:hAnsi="Arial" w:cs="Arial"/>
              </w:rPr>
              <w:t>23.85</w:t>
            </w:r>
            <w:r>
              <w:rPr>
                <w:rFonts w:ascii="Arial" w:hAnsi="Arial" w:cs="Arial"/>
              </w:rPr>
              <w:t xml:space="preserve"> ± 0.64</w:t>
            </w:r>
            <w:r>
              <w:rPr>
                <w:rFonts w:ascii="Arial" w:hAnsi="Arial" w:cs="Arial"/>
                <w:vertAlign w:val="superscript"/>
              </w:rPr>
              <w:t>a</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Female</w:t>
            </w:r>
          </w:p>
        </w:tc>
        <w:tc>
          <w:tcPr>
            <w:tcW w:w="2394" w:type="dxa"/>
          </w:tcPr>
          <w:p w:rsidR="00330CF1" w:rsidRPr="00716767" w:rsidRDefault="00330CF1" w:rsidP="00530C2E">
            <w:pPr>
              <w:jc w:val="center"/>
              <w:rPr>
                <w:rFonts w:ascii="Arial" w:hAnsi="Arial" w:cs="Arial"/>
              </w:rPr>
            </w:pPr>
            <w:r w:rsidRPr="008A0DCC">
              <w:rPr>
                <w:rFonts w:ascii="Arial" w:hAnsi="Arial" w:cs="Arial"/>
              </w:rPr>
              <w:t>12.5</w:t>
            </w:r>
            <w:r>
              <w:rPr>
                <w:rFonts w:ascii="Arial" w:hAnsi="Arial" w:cs="Arial"/>
              </w:rPr>
              <w:t>3 ± 0.91</w:t>
            </w:r>
            <w:r>
              <w:rPr>
                <w:rFonts w:ascii="Arial" w:hAnsi="Arial" w:cs="Arial"/>
                <w:vertAlign w:val="superscript"/>
              </w:rPr>
              <w:t>b</w:t>
            </w:r>
          </w:p>
        </w:tc>
        <w:tc>
          <w:tcPr>
            <w:tcW w:w="2394" w:type="dxa"/>
          </w:tcPr>
          <w:p w:rsidR="00330CF1" w:rsidRPr="00716767" w:rsidRDefault="00330CF1" w:rsidP="00530C2E">
            <w:pPr>
              <w:jc w:val="center"/>
              <w:rPr>
                <w:rFonts w:ascii="Arial" w:hAnsi="Arial" w:cs="Arial"/>
                <w:vertAlign w:val="superscript"/>
              </w:rPr>
            </w:pPr>
            <w:r w:rsidRPr="008A0DCC">
              <w:rPr>
                <w:rFonts w:ascii="Arial" w:hAnsi="Arial" w:cs="Arial"/>
              </w:rPr>
              <w:t>12.30</w:t>
            </w:r>
            <w:r>
              <w:rPr>
                <w:rFonts w:ascii="Arial" w:hAnsi="Arial" w:cs="Arial"/>
              </w:rPr>
              <w:t xml:space="preserve"> ± 0.91</w:t>
            </w:r>
            <w:r>
              <w:rPr>
                <w:rFonts w:ascii="Arial" w:hAnsi="Arial" w:cs="Arial"/>
                <w:vertAlign w:val="superscript"/>
              </w:rPr>
              <w:t>b</w:t>
            </w:r>
          </w:p>
        </w:tc>
        <w:tc>
          <w:tcPr>
            <w:tcW w:w="2394" w:type="dxa"/>
          </w:tcPr>
          <w:p w:rsidR="00330CF1" w:rsidRPr="00716767" w:rsidRDefault="00330CF1" w:rsidP="00530C2E">
            <w:pPr>
              <w:jc w:val="center"/>
              <w:rPr>
                <w:rFonts w:ascii="Arial" w:hAnsi="Arial" w:cs="Arial"/>
              </w:rPr>
            </w:pPr>
            <w:r w:rsidRPr="008A0DCC">
              <w:rPr>
                <w:rFonts w:ascii="Arial" w:hAnsi="Arial" w:cs="Arial"/>
              </w:rPr>
              <w:t>21.66</w:t>
            </w:r>
            <w:r>
              <w:rPr>
                <w:rFonts w:ascii="Arial" w:hAnsi="Arial" w:cs="Arial"/>
              </w:rPr>
              <w:t xml:space="preserve"> ± 1.12</w:t>
            </w:r>
            <w:r>
              <w:rPr>
                <w:rFonts w:ascii="Arial" w:hAnsi="Arial" w:cs="Arial"/>
                <w:vertAlign w:val="superscript"/>
              </w:rPr>
              <w:t>a</w:t>
            </w:r>
          </w:p>
        </w:tc>
      </w:tr>
      <w:tr w:rsidR="00330CF1" w:rsidRPr="008A0DCC" w:rsidTr="00530C2E">
        <w:tc>
          <w:tcPr>
            <w:tcW w:w="2394" w:type="dxa"/>
          </w:tcPr>
          <w:p w:rsidR="00330CF1" w:rsidRPr="008A0DCC" w:rsidRDefault="00330CF1" w:rsidP="00530C2E">
            <w:pPr>
              <w:rPr>
                <w:rFonts w:ascii="Arial" w:hAnsi="Arial" w:cs="Arial"/>
                <w:b/>
              </w:rPr>
            </w:pPr>
            <w:r w:rsidRPr="008A0DCC">
              <w:rPr>
                <w:rFonts w:ascii="Arial" w:hAnsi="Arial" w:cs="Arial"/>
                <w:b/>
              </w:rPr>
              <w:t>BCS</w:t>
            </w: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c>
          <w:tcPr>
            <w:tcW w:w="2394" w:type="dxa"/>
          </w:tcPr>
          <w:p w:rsidR="00330CF1" w:rsidRPr="008A0DCC" w:rsidRDefault="00330CF1" w:rsidP="00530C2E">
            <w:pPr>
              <w:jc w:val="center"/>
              <w:rPr>
                <w:rFonts w:ascii="Arial" w:hAnsi="Arial" w:cs="Arial"/>
              </w:rPr>
            </w:pP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Male</w:t>
            </w:r>
          </w:p>
        </w:tc>
        <w:tc>
          <w:tcPr>
            <w:tcW w:w="2394" w:type="dxa"/>
          </w:tcPr>
          <w:p w:rsidR="00330CF1" w:rsidRPr="00716767" w:rsidRDefault="00330CF1" w:rsidP="00530C2E">
            <w:pPr>
              <w:jc w:val="center"/>
              <w:rPr>
                <w:rFonts w:ascii="Arial" w:hAnsi="Arial" w:cs="Arial"/>
              </w:rPr>
            </w:pPr>
            <w:r w:rsidRPr="008A0DCC">
              <w:rPr>
                <w:rFonts w:ascii="Arial" w:hAnsi="Arial" w:cs="Arial"/>
              </w:rPr>
              <w:t>5.47</w:t>
            </w:r>
            <w:r>
              <w:rPr>
                <w:rFonts w:ascii="Arial" w:hAnsi="Arial" w:cs="Arial"/>
              </w:rPr>
              <w:t xml:space="preserve"> ± 0.14</w:t>
            </w:r>
            <w:r>
              <w:rPr>
                <w:rFonts w:ascii="Arial" w:hAnsi="Arial" w:cs="Arial"/>
                <w:vertAlign w:val="superscript"/>
              </w:rPr>
              <w:t>ab</w:t>
            </w:r>
          </w:p>
        </w:tc>
        <w:tc>
          <w:tcPr>
            <w:tcW w:w="2394" w:type="dxa"/>
          </w:tcPr>
          <w:p w:rsidR="00330CF1" w:rsidRPr="00716767" w:rsidRDefault="00330CF1" w:rsidP="00530C2E">
            <w:pPr>
              <w:jc w:val="center"/>
              <w:rPr>
                <w:rFonts w:ascii="Arial" w:hAnsi="Arial" w:cs="Arial"/>
              </w:rPr>
            </w:pPr>
            <w:r w:rsidRPr="008A0DCC">
              <w:rPr>
                <w:rFonts w:ascii="Arial" w:hAnsi="Arial" w:cs="Arial"/>
              </w:rPr>
              <w:t>5.15</w:t>
            </w:r>
            <w:r>
              <w:rPr>
                <w:rFonts w:ascii="Arial" w:hAnsi="Arial" w:cs="Arial"/>
              </w:rPr>
              <w:t xml:space="preserve"> ± 0.14</w:t>
            </w:r>
            <w:r>
              <w:rPr>
                <w:rFonts w:ascii="Arial" w:hAnsi="Arial" w:cs="Arial"/>
                <w:vertAlign w:val="superscript"/>
              </w:rPr>
              <w:t>ab</w:t>
            </w:r>
          </w:p>
        </w:tc>
        <w:tc>
          <w:tcPr>
            <w:tcW w:w="2394" w:type="dxa"/>
          </w:tcPr>
          <w:p w:rsidR="00330CF1" w:rsidRPr="00716767" w:rsidRDefault="00330CF1" w:rsidP="00530C2E">
            <w:pPr>
              <w:jc w:val="center"/>
              <w:rPr>
                <w:rFonts w:ascii="Arial" w:hAnsi="Arial" w:cs="Arial"/>
              </w:rPr>
            </w:pPr>
            <w:r w:rsidRPr="008A0DCC">
              <w:rPr>
                <w:rFonts w:ascii="Arial" w:hAnsi="Arial" w:cs="Arial"/>
              </w:rPr>
              <w:t>5.54</w:t>
            </w:r>
            <w:r>
              <w:rPr>
                <w:rFonts w:ascii="Arial" w:hAnsi="Arial" w:cs="Arial"/>
              </w:rPr>
              <w:t xml:space="preserve"> ± 0.13</w:t>
            </w:r>
            <w:r>
              <w:rPr>
                <w:rFonts w:ascii="Arial" w:hAnsi="Arial" w:cs="Arial"/>
                <w:vertAlign w:val="superscript"/>
              </w:rPr>
              <w:t>a</w:t>
            </w:r>
          </w:p>
        </w:tc>
      </w:tr>
      <w:tr w:rsidR="00330CF1" w:rsidRPr="008A0DCC" w:rsidTr="00530C2E">
        <w:tc>
          <w:tcPr>
            <w:tcW w:w="2394" w:type="dxa"/>
          </w:tcPr>
          <w:p w:rsidR="00330CF1" w:rsidRPr="008A0DCC" w:rsidRDefault="00330CF1" w:rsidP="00530C2E">
            <w:pPr>
              <w:rPr>
                <w:rFonts w:ascii="Arial" w:hAnsi="Arial" w:cs="Arial"/>
              </w:rPr>
            </w:pPr>
            <w:r w:rsidRPr="008A0DCC">
              <w:rPr>
                <w:rFonts w:ascii="Arial" w:hAnsi="Arial" w:cs="Arial"/>
              </w:rPr>
              <w:t xml:space="preserve">   Female</w:t>
            </w:r>
          </w:p>
        </w:tc>
        <w:tc>
          <w:tcPr>
            <w:tcW w:w="2394" w:type="dxa"/>
          </w:tcPr>
          <w:p w:rsidR="00330CF1" w:rsidRPr="00716767" w:rsidRDefault="00330CF1" w:rsidP="00530C2E">
            <w:pPr>
              <w:jc w:val="center"/>
              <w:rPr>
                <w:rFonts w:ascii="Arial" w:hAnsi="Arial" w:cs="Arial"/>
              </w:rPr>
            </w:pPr>
            <w:r w:rsidRPr="008A0DCC">
              <w:rPr>
                <w:rFonts w:ascii="Arial" w:hAnsi="Arial" w:cs="Arial"/>
              </w:rPr>
              <w:t>5.06</w:t>
            </w:r>
            <w:r>
              <w:rPr>
                <w:rFonts w:ascii="Arial" w:hAnsi="Arial" w:cs="Arial"/>
              </w:rPr>
              <w:t xml:space="preserve"> ± 0.18</w:t>
            </w:r>
            <w:r>
              <w:rPr>
                <w:rFonts w:ascii="Arial" w:hAnsi="Arial" w:cs="Arial"/>
                <w:vertAlign w:val="superscript"/>
              </w:rPr>
              <w:t>b</w:t>
            </w:r>
          </w:p>
        </w:tc>
        <w:tc>
          <w:tcPr>
            <w:tcW w:w="2394" w:type="dxa"/>
          </w:tcPr>
          <w:p w:rsidR="00330CF1" w:rsidRPr="00716767" w:rsidRDefault="00330CF1" w:rsidP="00530C2E">
            <w:pPr>
              <w:jc w:val="center"/>
              <w:rPr>
                <w:rFonts w:ascii="Arial" w:hAnsi="Arial" w:cs="Arial"/>
              </w:rPr>
            </w:pPr>
            <w:r w:rsidRPr="008A0DCC">
              <w:rPr>
                <w:rFonts w:ascii="Arial" w:hAnsi="Arial" w:cs="Arial"/>
              </w:rPr>
              <w:t>5.03</w:t>
            </w:r>
            <w:r>
              <w:rPr>
                <w:rFonts w:ascii="Arial" w:hAnsi="Arial" w:cs="Arial"/>
              </w:rPr>
              <w:t xml:space="preserve"> ± 0.18</w:t>
            </w:r>
            <w:r>
              <w:rPr>
                <w:rFonts w:ascii="Arial" w:hAnsi="Arial" w:cs="Arial"/>
                <w:vertAlign w:val="superscript"/>
              </w:rPr>
              <w:t>b</w:t>
            </w:r>
          </w:p>
        </w:tc>
        <w:tc>
          <w:tcPr>
            <w:tcW w:w="2394" w:type="dxa"/>
          </w:tcPr>
          <w:p w:rsidR="00330CF1" w:rsidRPr="00716767" w:rsidRDefault="00330CF1" w:rsidP="00530C2E">
            <w:pPr>
              <w:jc w:val="center"/>
              <w:rPr>
                <w:rFonts w:ascii="Arial" w:hAnsi="Arial" w:cs="Arial"/>
              </w:rPr>
            </w:pPr>
            <w:r w:rsidRPr="008A0DCC">
              <w:rPr>
                <w:rFonts w:ascii="Arial" w:hAnsi="Arial" w:cs="Arial"/>
              </w:rPr>
              <w:t>5.55</w:t>
            </w:r>
            <w:r>
              <w:rPr>
                <w:rFonts w:ascii="Arial" w:hAnsi="Arial" w:cs="Arial"/>
              </w:rPr>
              <w:t xml:space="preserve"> ± 0.22</w:t>
            </w:r>
            <w:r>
              <w:rPr>
                <w:rFonts w:ascii="Arial" w:hAnsi="Arial" w:cs="Arial"/>
                <w:vertAlign w:val="superscript"/>
              </w:rPr>
              <w:t>ab</w:t>
            </w:r>
          </w:p>
        </w:tc>
      </w:tr>
    </w:tbl>
    <w:p w:rsidR="00330CF1" w:rsidRPr="00687E70" w:rsidRDefault="00330CF1" w:rsidP="00F96149">
      <w:pPr>
        <w:rPr>
          <w:rFonts w:ascii="Arial" w:hAnsi="Arial" w:cs="Arial"/>
        </w:rPr>
      </w:pPr>
      <w:r>
        <w:t xml:space="preserve"> </w:t>
      </w:r>
      <w:r w:rsidRPr="00E148CD">
        <w:rPr>
          <w:rFonts w:ascii="Arial" w:hAnsi="Arial" w:cs="Arial"/>
        </w:rPr>
        <w:t>NOTE</w:t>
      </w:r>
      <w:r>
        <w:t xml:space="preserve">: </w:t>
      </w:r>
      <w:r>
        <w:rPr>
          <w:rFonts w:ascii="Arial" w:hAnsi="Arial" w:cs="Arial"/>
        </w:rPr>
        <w:t>Different letter superscripts in both rows and columns indicate p values ≤ 0.05</w:t>
      </w:r>
    </w:p>
    <w:p w:rsidR="00330CF1" w:rsidRDefault="00330CF1" w:rsidP="009B4AE0">
      <w:pPr>
        <w:pStyle w:val="Heading2"/>
        <w:jc w:val="left"/>
      </w:pPr>
    </w:p>
    <w:p w:rsidR="00330CF1" w:rsidRPr="00F96149" w:rsidRDefault="00330CF1" w:rsidP="00F96149">
      <w:pPr>
        <w:rPr>
          <w:rFonts w:ascii="Arial" w:hAnsi="Arial" w:cs="Arial"/>
          <w:b/>
          <w:bCs/>
          <w:iCs/>
          <w:sz w:val="28"/>
          <w:szCs w:val="28"/>
        </w:rPr>
      </w:pPr>
      <w:r>
        <w:br w:type="page"/>
      </w:r>
    </w:p>
    <w:p w:rsidR="00330CF1" w:rsidRDefault="00330CF1" w:rsidP="00C42E6F">
      <w:pPr>
        <w:pStyle w:val="Heading2"/>
      </w:pPr>
      <w:r>
        <w:lastRenderedPageBreak/>
        <w:t>Discussion</w:t>
      </w:r>
      <w:bookmarkEnd w:id="31"/>
    </w:p>
    <w:p w:rsidR="00330CF1" w:rsidRDefault="00330CF1" w:rsidP="00E73920">
      <w:pPr>
        <w:rPr>
          <w:rFonts w:ascii="Arial" w:hAnsi="Arial" w:cs="Arial"/>
          <w:color w:val="C00000"/>
        </w:rPr>
      </w:pPr>
      <w:r>
        <w:t xml:space="preserve">     </w:t>
      </w:r>
      <w:r>
        <w:rPr>
          <w:rFonts w:ascii="Arial" w:hAnsi="Arial" w:cs="Arial"/>
        </w:rPr>
        <w:t>Optimal growth rates in young animals is dependent on supplying adequate amounts of essential amino acids along with crude protein for synthesis of non-essential amino acids.  Taylor found that kittens showed maximal weight gains at a wide dietary E:T ratio(essential amino acid nitrogen to total amino acid nitrogen).</w:t>
      </w:r>
      <w:r>
        <w:rPr>
          <w:rFonts w:ascii="Arial" w:hAnsi="Arial" w:cs="Arial"/>
          <w:noProof/>
        </w:rPr>
        <w:t>[27]</w:t>
      </w:r>
      <w:r>
        <w:rPr>
          <w:rFonts w:ascii="Arial" w:hAnsi="Arial" w:cs="Arial"/>
        </w:rPr>
        <w:t xml:space="preserve">  Compared to previously reported data on weight gain in kittens </w:t>
      </w:r>
      <w:r>
        <w:rPr>
          <w:rFonts w:ascii="Arial" w:hAnsi="Arial" w:cs="Arial"/>
          <w:noProof/>
        </w:rPr>
        <w:t>[51]</w:t>
      </w:r>
      <w:r>
        <w:rPr>
          <w:rFonts w:ascii="Arial" w:hAnsi="Arial" w:cs="Arial"/>
        </w:rPr>
        <w:t>, the kittens in our study on all 3 dietary treatments had weight gains that were at the high end or above these previously reported ranges.  Males on the homemade diet had the highest weight gains but neither of the raw diets had significantly higher weight, height or length gains.  It is likely that the essential amino acid and total nitrogen required for optimal tissue accrual was maximized at levels of 50% dry matter protein.  Thus, the significantly higher protein level of 78% DM in the homemade raw diet did not result in improved growth rates.  This is not meant to minimize other potential physiological parameters that may have been influenced by the higher protein level in the homemade raw diet.</w:t>
      </w:r>
    </w:p>
    <w:p w:rsidR="00330CF1" w:rsidRDefault="00330CF1" w:rsidP="00E73920">
      <w:pPr>
        <w:rPr>
          <w:rFonts w:ascii="Arial" w:hAnsi="Arial" w:cs="Arial"/>
        </w:rPr>
      </w:pPr>
      <w:r>
        <w:rPr>
          <w:rFonts w:ascii="Arial" w:hAnsi="Arial" w:cs="Arial"/>
          <w:color w:val="C00000"/>
        </w:rPr>
        <w:t xml:space="preserve">     </w:t>
      </w:r>
      <w:r w:rsidRPr="00D51D32">
        <w:rPr>
          <w:rFonts w:ascii="Arial" w:hAnsi="Arial" w:cs="Arial"/>
        </w:rPr>
        <w:t>In general, mean birth weights for male and female kittens do not differ until six weeks of age when males become heavier than females.</w:t>
      </w:r>
      <w:r w:rsidRPr="00D51D32">
        <w:rPr>
          <w:rFonts w:ascii="Arial" w:hAnsi="Arial" w:cs="Arial"/>
          <w:noProof/>
        </w:rPr>
        <w:t>[51]</w:t>
      </w:r>
      <w:r w:rsidRPr="00D51D32">
        <w:rPr>
          <w:rFonts w:ascii="Arial" w:hAnsi="Arial" w:cs="Arial"/>
        </w:rPr>
        <w:t xml:space="preserve">  </w:t>
      </w:r>
      <w:r>
        <w:rPr>
          <w:rFonts w:ascii="Arial" w:hAnsi="Arial" w:cs="Arial"/>
        </w:rPr>
        <w:t>Average daily and weekly weight gains were found significantly higher in males compared to females.  Androgens stimulate growth hormone secretion, a major regulator of growth and development accounting for increased growth rates seen in males.</w:t>
      </w:r>
      <w:r>
        <w:rPr>
          <w:rFonts w:ascii="Arial" w:hAnsi="Arial" w:cs="Arial"/>
          <w:noProof/>
        </w:rPr>
        <w:t>[327]</w:t>
      </w:r>
      <w:r>
        <w:rPr>
          <w:rFonts w:ascii="Arial" w:hAnsi="Arial" w:cs="Arial"/>
        </w:rPr>
        <w:t xml:space="preserve">  The average onset of puberty, with associated androgen secretion, in toms occurs at 8-10 months of age or at body weights of 2.5 kg, whichever occurs first.</w:t>
      </w:r>
      <w:r>
        <w:rPr>
          <w:rFonts w:ascii="Arial" w:hAnsi="Arial" w:cs="Arial"/>
          <w:noProof/>
        </w:rPr>
        <w:t>[328]</w:t>
      </w:r>
      <w:r>
        <w:rPr>
          <w:rFonts w:ascii="Arial" w:hAnsi="Arial" w:cs="Arial"/>
        </w:rPr>
        <w:t xml:space="preserve">  Although some of the male kittens reached this weight toward the end of the feeding trial, it is unlikely that sex steroids played a factor in higher weight gains seen in the males.  Coinciding with a lack of testosterone secretion, no differences were found in the amount of muscle tissue between males and females as determined by the DEXA scanning.  With the exception of the commercial raw diet, the males ingested more food and energy accounting for their increased weight gains.  </w:t>
      </w:r>
    </w:p>
    <w:p w:rsidR="00330CF1" w:rsidRDefault="00330CF1" w:rsidP="00E73920">
      <w:pPr>
        <w:rPr>
          <w:rFonts w:ascii="Arial" w:hAnsi="Arial" w:cs="Arial"/>
        </w:rPr>
      </w:pPr>
      <w:r>
        <w:rPr>
          <w:rFonts w:ascii="Arial" w:hAnsi="Arial" w:cs="Arial"/>
        </w:rPr>
        <w:t xml:space="preserve">     Overall, there were minimal differences in body composition as determined by DEXA scanning between the three dietary treatments.  Limited number of kittens scanned though, prevent drawing firm conclusions.  All the groups had increased percentage and grams of bone tissue associated with linear growth.  Fat tissue percentage increased in all 3 diets, particularly the control and homemade raw diet.  Both of these diets seemed highly palatable to the kittens due to their rapid consumption and overfeeding.  AAFCO growth feeding trials state kittens should be fed </w:t>
      </w:r>
      <w:r>
        <w:rPr>
          <w:rFonts w:ascii="Arial" w:hAnsi="Arial" w:cs="Arial"/>
          <w:i/>
        </w:rPr>
        <w:t>ad libitum</w:t>
      </w:r>
      <w:r>
        <w:rPr>
          <w:rFonts w:ascii="Arial" w:hAnsi="Arial" w:cs="Arial"/>
        </w:rPr>
        <w:t xml:space="preserve"> or to meet energy needs.</w:t>
      </w:r>
      <w:r>
        <w:rPr>
          <w:rFonts w:ascii="Arial" w:hAnsi="Arial" w:cs="Arial"/>
          <w:noProof/>
        </w:rPr>
        <w:t>[25]</w:t>
      </w:r>
      <w:r>
        <w:rPr>
          <w:rFonts w:ascii="Arial" w:hAnsi="Arial" w:cs="Arial"/>
        </w:rPr>
        <w:t xml:space="preserve">  The kittens in our study were fed </w:t>
      </w:r>
      <w:r>
        <w:rPr>
          <w:rFonts w:ascii="Arial" w:hAnsi="Arial" w:cs="Arial"/>
          <w:i/>
        </w:rPr>
        <w:t>ad libitum</w:t>
      </w:r>
      <w:r>
        <w:rPr>
          <w:rFonts w:ascii="Arial" w:hAnsi="Arial" w:cs="Arial"/>
        </w:rPr>
        <w:t xml:space="preserve"> with the stipulation that there was always a small amount of food left uneaten.  Feeding to their energy needs rather than </w:t>
      </w:r>
      <w:r w:rsidRPr="00EF3F4C">
        <w:rPr>
          <w:rFonts w:ascii="Arial" w:hAnsi="Arial" w:cs="Arial"/>
          <w:i/>
        </w:rPr>
        <w:t>ad libitum</w:t>
      </w:r>
      <w:r>
        <w:rPr>
          <w:rFonts w:ascii="Arial" w:hAnsi="Arial" w:cs="Arial"/>
        </w:rPr>
        <w:t xml:space="preserve"> may have resulted in differences in muscle and fat tissue acclimation between the diets but this would require additional study.  </w:t>
      </w:r>
      <w:r w:rsidRPr="00EF3F4C">
        <w:rPr>
          <w:rFonts w:ascii="Arial" w:hAnsi="Arial" w:cs="Arial"/>
          <w:i/>
        </w:rPr>
        <w:t>Ad libitum</w:t>
      </w:r>
      <w:r>
        <w:rPr>
          <w:rFonts w:ascii="Arial" w:hAnsi="Arial" w:cs="Arial"/>
        </w:rPr>
        <w:t xml:space="preserve"> feeding though did dispel the myth that raw fed animals do not become obese.</w:t>
      </w:r>
      <w:r>
        <w:rPr>
          <w:rFonts w:ascii="Arial" w:hAnsi="Arial" w:cs="Arial"/>
          <w:noProof/>
        </w:rPr>
        <w:t>[329]</w:t>
      </w:r>
      <w:r>
        <w:rPr>
          <w:rFonts w:ascii="Arial" w:hAnsi="Arial" w:cs="Arial"/>
        </w:rPr>
        <w:t xml:space="preserve">  Several of the males on both the homemade raw diet and control diet had body condition scores of 7/</w:t>
      </w:r>
      <w:r w:rsidRPr="00896498">
        <w:rPr>
          <w:rFonts w:ascii="Arial" w:hAnsi="Arial" w:cs="Arial"/>
        </w:rPr>
        <w:t xml:space="preserve">9 toward the end </w:t>
      </w:r>
      <w:r>
        <w:rPr>
          <w:rFonts w:ascii="Arial" w:hAnsi="Arial" w:cs="Arial"/>
        </w:rPr>
        <w:t>of the feeding trial.</w:t>
      </w:r>
    </w:p>
    <w:p w:rsidR="00330CF1" w:rsidRPr="00C0535D" w:rsidRDefault="00330CF1" w:rsidP="00661979">
      <w:pPr>
        <w:rPr>
          <w:rFonts w:ascii="Arial" w:hAnsi="Arial" w:cs="Arial"/>
          <w:color w:val="C00000"/>
        </w:rPr>
      </w:pPr>
      <w:r>
        <w:rPr>
          <w:rFonts w:ascii="Arial" w:hAnsi="Arial" w:cs="Arial"/>
        </w:rPr>
        <w:t xml:space="preserve">     Protein-energy nutrition is known to have a direct effect on albumin production  Both of the raw diet groups had significantly lower albumin levels at week 5 and 10 compared to the control.  As all the albumin values were within previously published normal reference ranges </w:t>
      </w:r>
      <w:r>
        <w:rPr>
          <w:rFonts w:ascii="Arial" w:hAnsi="Arial" w:cs="Arial"/>
          <w:noProof/>
        </w:rPr>
        <w:t>[68]</w:t>
      </w:r>
      <w:r>
        <w:rPr>
          <w:rFonts w:ascii="Arial" w:hAnsi="Arial" w:cs="Arial"/>
        </w:rPr>
        <w:t xml:space="preserve">, the clinical significance of the different between diet groups is </w:t>
      </w:r>
      <w:r>
        <w:rPr>
          <w:rFonts w:ascii="Arial" w:hAnsi="Arial" w:cs="Arial"/>
        </w:rPr>
        <w:lastRenderedPageBreak/>
        <w:t xml:space="preserve">probably negligible.  Along with a lower albumin concentration, there was significantly higher globulin concentrations at week 10 in the homemade diet group.  Albumin synthesis is primarily influenced by oncotic pressure, but inflammation with associated acute phase proteins and cytokine production, along with metabolic acidosis can inhibit synthesis.  No acid-base differences were noted between the groups.  Inflammation cannot be ruled out as a source of decreased albumin in the raw diet groups as serum acute phase proteins and cytokines were not analyzed.  Neutrophil and monocyte numbers were not significantly different or above reference ranges in the raw fed kittens.  It is probable that there was a compensatory reduction in albumin concentration in the raw diet groups to maintain oncotic pressure.  Higher globulin concentrations in the homemade raw diet group was traced back to 3 specific kittens, two of which had diarrhea which was not cultured and a third with a known positive </w:t>
      </w:r>
      <w:r w:rsidRPr="00FF4EA2">
        <w:rPr>
          <w:rFonts w:ascii="Arial" w:hAnsi="Arial" w:cs="Arial"/>
          <w:i/>
        </w:rPr>
        <w:t>Salmonella</w:t>
      </w:r>
      <w:r>
        <w:rPr>
          <w:rFonts w:ascii="Arial" w:hAnsi="Arial" w:cs="Arial"/>
        </w:rPr>
        <w:t xml:space="preserve"> spp. fecal culture. </w:t>
      </w:r>
    </w:p>
    <w:p w:rsidR="00330CF1" w:rsidRPr="003E3992" w:rsidRDefault="00330CF1" w:rsidP="009B4AE0">
      <w:pPr>
        <w:rPr>
          <w:rFonts w:ascii="Arial" w:hAnsi="Arial" w:cs="Arial"/>
        </w:rPr>
      </w:pPr>
      <w:r>
        <w:rPr>
          <w:rFonts w:ascii="Arial" w:hAnsi="Arial" w:cs="Arial"/>
        </w:rPr>
        <w:t xml:space="preserve">     High serum creatinine and blood urea nitrogen </w:t>
      </w:r>
      <w:r w:rsidRPr="00844466">
        <w:rPr>
          <w:rFonts w:ascii="Arial" w:hAnsi="Arial" w:cs="Arial"/>
        </w:rPr>
        <w:t>concentrations</w:t>
      </w:r>
      <w:r w:rsidRPr="00531512">
        <w:rPr>
          <w:rFonts w:ascii="Arial" w:hAnsi="Arial" w:cs="Arial"/>
          <w:color w:val="C00000"/>
        </w:rPr>
        <w:t xml:space="preserve"> </w:t>
      </w:r>
      <w:r>
        <w:rPr>
          <w:rFonts w:ascii="Arial" w:hAnsi="Arial" w:cs="Arial"/>
        </w:rPr>
        <w:t>have been previously reported in non-domestic felines fed high protein diets.</w:t>
      </w:r>
      <w:r>
        <w:rPr>
          <w:rFonts w:ascii="Arial" w:hAnsi="Arial" w:cs="Arial"/>
          <w:noProof/>
        </w:rPr>
        <w:t>[205]</w:t>
      </w:r>
      <w:r w:rsidRPr="005511B2">
        <w:rPr>
          <w:rFonts w:ascii="Arial" w:hAnsi="Arial" w:cs="Arial"/>
        </w:rPr>
        <w:t xml:space="preserve">  </w:t>
      </w:r>
      <w:r>
        <w:rPr>
          <w:rFonts w:ascii="Arial" w:hAnsi="Arial" w:cs="Arial"/>
        </w:rPr>
        <w:t>All the groups had creatinine levels higher than previously published reference values.</w:t>
      </w:r>
      <w:r>
        <w:rPr>
          <w:rFonts w:ascii="Arial" w:hAnsi="Arial" w:cs="Arial"/>
          <w:noProof/>
        </w:rPr>
        <w:t>[68]</w:t>
      </w:r>
      <w:r>
        <w:rPr>
          <w:rFonts w:ascii="Arial" w:hAnsi="Arial" w:cs="Arial"/>
        </w:rPr>
        <w:t xml:space="preserve">  Blood urea nitrogen, a more consistent indicator of dietary nitrogen intake, was significantly higher in the homemade raw diet secondary to its very high protein level (78% DM) compared to the control and commercial raw (47-50% DM).  </w:t>
      </w:r>
    </w:p>
    <w:p w:rsidR="00330CF1" w:rsidRDefault="00330CF1" w:rsidP="009B4AE0">
      <w:pPr>
        <w:rPr>
          <w:rFonts w:ascii="Arial" w:hAnsi="Arial" w:cs="Arial"/>
        </w:rPr>
      </w:pPr>
      <w:r>
        <w:rPr>
          <w:rFonts w:ascii="Arial" w:hAnsi="Arial" w:cs="Arial"/>
        </w:rPr>
        <w:t xml:space="preserve">    Serum potassium </w:t>
      </w:r>
      <w:r w:rsidRPr="00844466">
        <w:rPr>
          <w:rFonts w:ascii="Arial" w:hAnsi="Arial" w:cs="Arial"/>
        </w:rPr>
        <w:t>concentration</w:t>
      </w:r>
      <w:r w:rsidRPr="00531512">
        <w:rPr>
          <w:rFonts w:ascii="Arial" w:hAnsi="Arial" w:cs="Arial"/>
          <w:color w:val="C00000"/>
        </w:rPr>
        <w:t xml:space="preserve"> </w:t>
      </w:r>
      <w:r>
        <w:rPr>
          <w:rFonts w:ascii="Arial" w:hAnsi="Arial" w:cs="Arial"/>
        </w:rPr>
        <w:t>was found to be significantly lower in the control diet compared to the raw diets at weeks 5 and 10.  High protein diets can increase metabolic acid load secondary to the metabolism of methionine and cysteine to hydrogen sulfite and sulfate.  With metabolic acidosis, potassium moves from the intracellular to extracellular environment in exchange for hydrogen ions.  Because there were no differences in bicarbonate or anion gap between the three diets, acid-base balance does not seem likely as a cause of increased serum potassium seen in the raw diets.  Potassium requirement in young felids is dependent on the level of protein in the diet.</w:t>
      </w:r>
      <w:r>
        <w:rPr>
          <w:rFonts w:ascii="Arial" w:hAnsi="Arial" w:cs="Arial"/>
          <w:noProof/>
        </w:rPr>
        <w:t>[50]</w:t>
      </w:r>
      <w:r>
        <w:rPr>
          <w:rFonts w:ascii="Arial" w:hAnsi="Arial" w:cs="Arial"/>
        </w:rPr>
        <w:t xml:space="preserve">  The uptake of cation amino acids into the cell is exchanged for intracellular potassium.  This exchange could account for the different levels found between the control (lower protein) and homemade raw diet (higher protein).  The source of potassium in the homemade diet and commercial raw diets were kelp and/or freeze-dried krill compared to potassium iodide in the control diet.  Analysis of the actual potassium level and it’s bioavailability may account for the differences noted in serum potassium concentrations between the three diets.</w:t>
      </w:r>
    </w:p>
    <w:p w:rsidR="00330CF1" w:rsidRDefault="00330CF1" w:rsidP="009B4AE0">
      <w:pPr>
        <w:rPr>
          <w:rFonts w:ascii="Arial" w:hAnsi="Arial" w:cs="Arial"/>
        </w:rPr>
      </w:pPr>
      <w:r>
        <w:rPr>
          <w:rFonts w:ascii="Arial" w:hAnsi="Arial" w:cs="Arial"/>
        </w:rPr>
        <w:t xml:space="preserve">     Replacement of large fetal red blood cells by smaller postnatal red cells occurs in the neonate within the first few weeks of life.</w:t>
      </w:r>
      <w:r>
        <w:rPr>
          <w:rFonts w:ascii="Arial" w:hAnsi="Arial" w:cs="Arial"/>
          <w:noProof/>
        </w:rPr>
        <w:t>[330]</w:t>
      </w:r>
      <w:r>
        <w:rPr>
          <w:rFonts w:ascii="Arial" w:hAnsi="Arial" w:cs="Arial"/>
        </w:rPr>
        <w:t xml:space="preserve">  These changes are associated with reductions in hemoglobin, hematocrit, mean corpuscular volume and mean cell </w:t>
      </w:r>
      <w:r w:rsidRPr="00416B2B">
        <w:rPr>
          <w:rFonts w:ascii="Arial" w:hAnsi="Arial" w:cs="Arial"/>
        </w:rPr>
        <w:t>hemoglobin content</w:t>
      </w:r>
      <w:r>
        <w:rPr>
          <w:rFonts w:ascii="Arial" w:hAnsi="Arial" w:cs="Arial"/>
        </w:rPr>
        <w:t xml:space="preserve">.  Red cell levels reach their nadir at 4 weeks of age.  Maturation of red cell indices similar to adult levels occurs by 3-4 months of age.  </w:t>
      </w:r>
      <w:r>
        <w:rPr>
          <w:rFonts w:ascii="Arial" w:hAnsi="Arial" w:cs="Arial"/>
          <w:noProof/>
        </w:rPr>
        <w:t>[331]</w:t>
      </w:r>
      <w:r>
        <w:rPr>
          <w:rFonts w:ascii="Arial" w:hAnsi="Arial" w:cs="Arial"/>
        </w:rPr>
        <w:t xml:space="preserve">  Hemoglobin levels may not reach adult levels until 4-6 months of age, depending on the availability of iron in the diet.</w:t>
      </w:r>
      <w:r>
        <w:rPr>
          <w:rFonts w:ascii="Arial" w:hAnsi="Arial" w:cs="Arial"/>
          <w:noProof/>
        </w:rPr>
        <w:t>[331]</w:t>
      </w:r>
      <w:r>
        <w:rPr>
          <w:rFonts w:ascii="Arial" w:hAnsi="Arial" w:cs="Arial"/>
        </w:rPr>
        <w:t xml:space="preserve">  As common with other mammals, hemoglobin levels are reduced during the nursing period because of lower concentrations of iron in milk along with lagging hemoglobin production and a rapidly proliferating red cell volume.</w:t>
      </w:r>
      <w:r>
        <w:rPr>
          <w:rFonts w:ascii="Arial" w:hAnsi="Arial" w:cs="Arial"/>
          <w:noProof/>
        </w:rPr>
        <w:t>[331, 332]</w:t>
      </w:r>
      <w:r>
        <w:rPr>
          <w:rFonts w:ascii="Arial" w:hAnsi="Arial" w:cs="Arial"/>
        </w:rPr>
        <w:t xml:space="preserve"> In our kittens, both hemoglobin and hematocrit continued to rise in the control diet group as would be expected with further maturation of the hematopoietic system.  In contrast, </w:t>
      </w:r>
      <w:r>
        <w:rPr>
          <w:rFonts w:ascii="Arial" w:hAnsi="Arial" w:cs="Arial"/>
        </w:rPr>
        <w:lastRenderedPageBreak/>
        <w:t xml:space="preserve">both raw diets saw modest increases in hematocrit and </w:t>
      </w:r>
      <w:r w:rsidRPr="00844466">
        <w:rPr>
          <w:rFonts w:ascii="Arial" w:hAnsi="Arial" w:cs="Arial"/>
        </w:rPr>
        <w:t>hemoglobin</w:t>
      </w:r>
      <w:r w:rsidRPr="00531512">
        <w:rPr>
          <w:rFonts w:ascii="Arial" w:hAnsi="Arial" w:cs="Arial"/>
          <w:color w:val="C00000"/>
        </w:rPr>
        <w:t xml:space="preserve"> </w:t>
      </w:r>
      <w:r>
        <w:rPr>
          <w:rFonts w:ascii="Arial" w:hAnsi="Arial" w:cs="Arial"/>
        </w:rPr>
        <w:t xml:space="preserve">which tended to plateau as the feeding trial progressed.  Red cell microcytosis, as determined by </w:t>
      </w:r>
      <w:r w:rsidRPr="00844466">
        <w:rPr>
          <w:rFonts w:ascii="Arial" w:hAnsi="Arial" w:cs="Arial"/>
        </w:rPr>
        <w:t xml:space="preserve">previously published pediatric reference ranges (43.0-54.2) </w:t>
      </w:r>
      <w:r>
        <w:rPr>
          <w:rFonts w:ascii="Arial" w:hAnsi="Arial" w:cs="Arial"/>
          <w:noProof/>
        </w:rPr>
        <w:t>[333]</w:t>
      </w:r>
      <w:r>
        <w:rPr>
          <w:rFonts w:ascii="Arial" w:hAnsi="Arial" w:cs="Arial"/>
        </w:rPr>
        <w:t xml:space="preserve">, was also noted in the homemade diet as the feeding trial progressed.  </w:t>
      </w:r>
    </w:p>
    <w:p w:rsidR="00330CF1" w:rsidRDefault="00330CF1" w:rsidP="009B4AE0">
      <w:pPr>
        <w:rPr>
          <w:rFonts w:ascii="Arial" w:hAnsi="Arial" w:cs="Arial"/>
        </w:rPr>
      </w:pPr>
      <w:r>
        <w:rPr>
          <w:rFonts w:ascii="Arial" w:hAnsi="Arial" w:cs="Arial"/>
        </w:rPr>
        <w:t xml:space="preserve">     Nutritional factors associated with reduced erythroid cell production and accompanying microcytosis include inadequate levels of pyridoxine, iron or copper.  Deficiencies of these nutrients in the homemade diet was unlikely as raw chicken breast has levels of these nutrients 4-10X higher </w:t>
      </w:r>
      <w:r>
        <w:rPr>
          <w:rFonts w:ascii="Arial" w:hAnsi="Arial" w:cs="Arial"/>
          <w:noProof/>
        </w:rPr>
        <w:t>[334]</w:t>
      </w:r>
      <w:r>
        <w:rPr>
          <w:rFonts w:ascii="Arial" w:hAnsi="Arial" w:cs="Arial"/>
        </w:rPr>
        <w:t xml:space="preserve"> than minimum levels as established by NRC’s Nutrient Requirements of Dogs and Cats.</w:t>
      </w:r>
      <w:r>
        <w:rPr>
          <w:rFonts w:ascii="Arial" w:hAnsi="Arial" w:cs="Arial"/>
          <w:noProof/>
        </w:rPr>
        <w:t>[12]</w:t>
      </w:r>
      <w:r>
        <w:rPr>
          <w:rFonts w:ascii="Arial" w:hAnsi="Arial" w:cs="Arial"/>
        </w:rPr>
        <w:t xml:space="preserve">  In addition, the homemade diet had additional pyridoxine with inclusion of a B-vitamin supplement.  Subclinical infection with associated anemia of inflammation could be a cause of reduced erythroid production in the homemade diet.  Inflammation leads to iron retention within cells of the reticuloendothelial system resulting in limited iron availability for erythroid production.  Acute phase proteins and cytokines negatively affect proliferation and differentiation of erythroid progenitor cells, along with inhibiting iron uptake.  In addition, the direct toxic effects of cytokine induced free radicals including nitric oxide (NO) and superoxide anion negatively affect erythroid cell proliferation.  Seven of the eight kittens on the homemade diet had levels of MCV &lt; 43 fL at week 10, with 4 of these also having hematocrits &lt; 33%.  Of this group of 7 kittens, 4 had associated diarrhea at some point during the feeding trial.</w:t>
      </w:r>
    </w:p>
    <w:p w:rsidR="00330CF1" w:rsidRDefault="00330CF1" w:rsidP="00417758">
      <w:pPr>
        <w:rPr>
          <w:rFonts w:ascii="Arial" w:hAnsi="Arial" w:cs="Arial"/>
        </w:rPr>
      </w:pPr>
      <w:r>
        <w:rPr>
          <w:rFonts w:ascii="Arial" w:hAnsi="Arial" w:cs="Arial"/>
        </w:rPr>
        <w:t xml:space="preserve">     Feed and protein efficiency is influenced by many factors including amount of muscle fiber present </w:t>
      </w:r>
      <w:r>
        <w:rPr>
          <w:rFonts w:ascii="Arial" w:hAnsi="Arial" w:cs="Arial"/>
          <w:noProof/>
        </w:rPr>
        <w:t>[335]</w:t>
      </w:r>
      <w:r>
        <w:rPr>
          <w:rFonts w:ascii="Arial" w:hAnsi="Arial" w:cs="Arial"/>
        </w:rPr>
        <w:t xml:space="preserve">, levels of dietary macro- and micronutrients </w:t>
      </w:r>
      <w:r>
        <w:rPr>
          <w:rFonts w:ascii="Arial" w:hAnsi="Arial" w:cs="Arial"/>
          <w:noProof/>
        </w:rPr>
        <w:t>[336]</w:t>
      </w:r>
      <w:r>
        <w:rPr>
          <w:rFonts w:ascii="Arial" w:hAnsi="Arial" w:cs="Arial"/>
        </w:rPr>
        <w:t xml:space="preserve">, digestibility </w:t>
      </w:r>
      <w:r>
        <w:rPr>
          <w:rFonts w:ascii="Arial" w:hAnsi="Arial" w:cs="Arial"/>
          <w:noProof/>
        </w:rPr>
        <w:t>[337]</w:t>
      </w:r>
      <w:r>
        <w:rPr>
          <w:rFonts w:ascii="Arial" w:hAnsi="Arial" w:cs="Arial"/>
        </w:rPr>
        <w:t xml:space="preserve">, environmental conditions, acid-base balance </w:t>
      </w:r>
      <w:r>
        <w:rPr>
          <w:rFonts w:ascii="Arial" w:hAnsi="Arial" w:cs="Arial"/>
          <w:noProof/>
        </w:rPr>
        <w:t>[337]</w:t>
      </w:r>
      <w:r>
        <w:rPr>
          <w:rFonts w:ascii="Arial" w:hAnsi="Arial" w:cs="Arial"/>
        </w:rPr>
        <w:t xml:space="preserve">, overall health of the animal and intestinal microflora </w:t>
      </w:r>
      <w:r>
        <w:rPr>
          <w:rFonts w:ascii="Arial" w:hAnsi="Arial" w:cs="Arial"/>
          <w:noProof/>
        </w:rPr>
        <w:t>[338]</w:t>
      </w:r>
      <w:r>
        <w:rPr>
          <w:rFonts w:ascii="Arial" w:hAnsi="Arial" w:cs="Arial"/>
        </w:rPr>
        <w:t>.  In animal production systems, the most important of these has been found to be nutrient digestibility.</w:t>
      </w:r>
      <w:r>
        <w:rPr>
          <w:rFonts w:ascii="Arial" w:hAnsi="Arial" w:cs="Arial"/>
          <w:noProof/>
        </w:rPr>
        <w:t>[339]</w:t>
      </w:r>
      <w:r>
        <w:rPr>
          <w:rFonts w:ascii="Arial" w:hAnsi="Arial" w:cs="Arial"/>
        </w:rPr>
        <w:t xml:space="preserve">  As discussed in another chapter, the dry matter, organic matter, energy and protein digestibility in both raw diets was found to be significantly higher compared to the control diet.  Improved digestibility could account for the improved feed efficiency and PER in the commercial diet group, but this was found only in the male kittens rather than both sexes.  The male kittens on the commercial raw also had lower feed intakes compared to the other treatment groups and sexes.  It is likely that the greater palatability and resultant overfeeding in both the control and homemade raw diet resulted in overloading nutrient transporters and decreased feed efficiency.</w:t>
      </w:r>
    </w:p>
    <w:p w:rsidR="00330CF1" w:rsidRDefault="00330CF1" w:rsidP="00417758">
      <w:pPr>
        <w:rPr>
          <w:rFonts w:ascii="Arial" w:hAnsi="Arial" w:cs="Arial"/>
        </w:rPr>
      </w:pPr>
      <w:r>
        <w:rPr>
          <w:rFonts w:ascii="Arial" w:hAnsi="Arial" w:cs="Arial"/>
        </w:rPr>
        <w:t xml:space="preserve">     Lactating dairy cows have decreased feed efficiency if acidosis is present due to an increased amount of heat produced per unit of digestible energy.  There were no differences in acid-base balance or amount of muscle tissue accrual between the three diet treatments, and all the kittens were reared in a thermal neutral environment, eliminating these as sources of differences in feed efficiency.   </w:t>
      </w:r>
    </w:p>
    <w:p w:rsidR="00330CF1" w:rsidRDefault="00330CF1" w:rsidP="00417758">
      <w:pPr>
        <w:rPr>
          <w:rFonts w:ascii="Arial" w:hAnsi="Arial" w:cs="Arial"/>
        </w:rPr>
      </w:pPr>
      <w:r>
        <w:rPr>
          <w:rFonts w:ascii="Arial" w:hAnsi="Arial" w:cs="Arial"/>
        </w:rPr>
        <w:t xml:space="preserve">     In production animal systems, it is common to add antibiotics to feed to improve feed and protein efficiency.  The improved growth response is due to action of the antibiotic on intestinal microbial flora.  There are several mechanisms proposed for these improved efficiencies.  These mechanisms include 1- reduced competition for dietary nutrients, 2- suppression of mild but unrecognized intestinal infections, 3- suppression of microbial production of growth depressing toxins, and 4- enhanced efficiency of absorption and utilization of nutrients because the intestinal wall is thinner.</w:t>
      </w:r>
      <w:r>
        <w:rPr>
          <w:rFonts w:ascii="Arial" w:hAnsi="Arial" w:cs="Arial"/>
          <w:noProof/>
        </w:rPr>
        <w:t>[338]</w:t>
      </w:r>
      <w:r>
        <w:rPr>
          <w:rFonts w:ascii="Arial" w:hAnsi="Arial" w:cs="Arial"/>
        </w:rPr>
        <w:t xml:space="preserve">  </w:t>
      </w:r>
      <w:r>
        <w:rPr>
          <w:rFonts w:ascii="Arial" w:hAnsi="Arial" w:cs="Arial"/>
        </w:rPr>
        <w:lastRenderedPageBreak/>
        <w:t>Mucosal mass and turnover is reduced in germ-free conditions or with antibiotic feeding, with diversion of nutrients for synthesis of other tissues.</w:t>
      </w:r>
      <w:r>
        <w:rPr>
          <w:rFonts w:ascii="Arial" w:hAnsi="Arial" w:cs="Arial"/>
          <w:noProof/>
        </w:rPr>
        <w:t>[338]</w:t>
      </w:r>
      <w:r>
        <w:rPr>
          <w:rFonts w:ascii="Arial" w:hAnsi="Arial" w:cs="Arial"/>
        </w:rPr>
        <w:t xml:space="preserve">  Increased microbial exposure in both raw diets would be expected to result in higher production of IgA and acute-phase proteins if sub-clinical infections were present.  Globulin concentrations were higher in both raw group feeders.  This diversion of nutrients for immune proteins may have accounted for the decreased efficiency found in the homemade raw diet compared to the control but this effect would have been expected to also be found in the commercial raw diet feeders and was not.  Excess protein in the homemade diet could have been utilized as a source of nutrition for intestinal microbes resulting in increased nutrient competition and mucosal mass production and decreased protein efficiency.</w:t>
      </w:r>
    </w:p>
    <w:p w:rsidR="00330CF1" w:rsidRPr="00225D59" w:rsidRDefault="00330CF1" w:rsidP="009B4AE0">
      <w:pPr>
        <w:rPr>
          <w:rFonts w:ascii="Arial" w:hAnsi="Arial" w:cs="Arial"/>
        </w:rPr>
      </w:pPr>
      <w:r>
        <w:rPr>
          <w:rFonts w:ascii="Arial" w:hAnsi="Arial" w:cs="Arial"/>
        </w:rPr>
        <w:t xml:space="preserve">   </w:t>
      </w:r>
    </w:p>
    <w:p w:rsidR="00330CF1" w:rsidRDefault="00330CF1" w:rsidP="00C42E6F">
      <w:pPr>
        <w:pStyle w:val="Heading2"/>
      </w:pPr>
      <w:bookmarkStart w:id="36" w:name="_Toc305485857"/>
      <w:r>
        <w:t>Conclusion</w:t>
      </w:r>
      <w:bookmarkEnd w:id="36"/>
    </w:p>
    <w:p w:rsidR="00330CF1" w:rsidRDefault="00330CF1" w:rsidP="0013317C">
      <w:pPr>
        <w:rPr>
          <w:rFonts w:ascii="Arial" w:hAnsi="Arial" w:cs="Arial"/>
        </w:rPr>
      </w:pPr>
      <w:r>
        <w:t xml:space="preserve">     </w:t>
      </w:r>
      <w:r>
        <w:rPr>
          <w:rFonts w:ascii="Arial" w:hAnsi="Arial" w:cs="Arial"/>
        </w:rPr>
        <w:t>Both raw diets had similar growth performance compared to a premium high-protein canned cat food and both passed an AAFCO growth trial.  There were no significant differences in average daily gain or body tissue accrual/composition between the 3 diet treatments.  Kittens fed the raw diets did have lower albumin and higher globulin levels compared to the control group but this was not clinically significant as albumin levels were still within normal reference ranges.  These differences were felt to be due to a reduction in albumin production to maintain oncotic pressure secondary to higher globulin levels.  All of the groups had high creatinine values consistent with a high protein diet while the homemade raw had significantly higher blood urea nitrogen due to its higher protein content.  Decreases in red blood cell size were noted in the homemade raw diet group and believed to be associated with subclinical infection.</w:t>
      </w:r>
    </w:p>
    <w:p w:rsidR="00330CF1" w:rsidRPr="0013317C" w:rsidRDefault="00330CF1" w:rsidP="0013317C">
      <w:pPr>
        <w:rPr>
          <w:rFonts w:ascii="Arial" w:hAnsi="Arial" w:cs="Arial"/>
        </w:rPr>
      </w:pPr>
      <w:r>
        <w:rPr>
          <w:rFonts w:ascii="Arial" w:hAnsi="Arial" w:cs="Arial"/>
        </w:rPr>
        <w:t xml:space="preserve">     Males on the commercial raw diet had the highest feed efficiency and protein efficiency ratios.  </w:t>
      </w:r>
      <w:r w:rsidRPr="00524383">
        <w:rPr>
          <w:rFonts w:ascii="Arial" w:hAnsi="Arial" w:cs="Arial"/>
        </w:rPr>
        <w:t xml:space="preserve">Overfeeding in both the control and homemade raw diet may have resulted in levels of nutrients above maximal levels for tissue </w:t>
      </w:r>
      <w:r>
        <w:rPr>
          <w:rFonts w:ascii="Arial" w:hAnsi="Arial" w:cs="Arial"/>
        </w:rPr>
        <w:t xml:space="preserve">synthesis and </w:t>
      </w:r>
      <w:r w:rsidRPr="00524383">
        <w:rPr>
          <w:rFonts w:ascii="Arial" w:hAnsi="Arial" w:cs="Arial"/>
        </w:rPr>
        <w:t>accrual</w:t>
      </w:r>
      <w:r>
        <w:rPr>
          <w:rFonts w:ascii="Arial" w:hAnsi="Arial" w:cs="Arial"/>
          <w:color w:val="FF0000"/>
        </w:rPr>
        <w:t xml:space="preserve">.  </w:t>
      </w:r>
      <w:r>
        <w:rPr>
          <w:rFonts w:ascii="Arial" w:hAnsi="Arial" w:cs="Arial"/>
        </w:rPr>
        <w:t xml:space="preserve"> Subclinical infections may have also accounted for reduced feed efficiency in the raw homemade diet. </w:t>
      </w:r>
    </w:p>
    <w:p w:rsidR="00330CF1" w:rsidRDefault="00330CF1">
      <w:pPr>
        <w:numPr>
          <w:ilvl w:val="12"/>
          <w:numId w:val="0"/>
        </w:numPr>
        <w:rPr>
          <w:rFonts w:ascii="Arial" w:hAnsi="Arial" w:cs="Arial"/>
          <w:highlight w:val="yellow"/>
        </w:rPr>
      </w:pPr>
      <w:r>
        <w:rPr>
          <w:rFonts w:ascii="Arial" w:hAnsi="Arial" w:cs="Arial"/>
        </w:rPr>
        <w:tab/>
      </w:r>
    </w:p>
    <w:p w:rsidR="00330CF1" w:rsidRDefault="00330CF1" w:rsidP="008F60C3">
      <w:pPr>
        <w:pStyle w:val="StyleHeading1Centered"/>
        <w:rPr>
          <w:sz w:val="32"/>
          <w:szCs w:val="32"/>
        </w:rPr>
      </w:pPr>
      <w:bookmarkStart w:id="37" w:name="_Toc305485862"/>
    </w:p>
    <w:p w:rsidR="00330CF1" w:rsidRDefault="00330CF1" w:rsidP="00635EA5">
      <w:pPr>
        <w:pStyle w:val="StyleHeading1Centered"/>
        <w:jc w:val="left"/>
        <w:rPr>
          <w:sz w:val="32"/>
          <w:szCs w:val="32"/>
        </w:rPr>
      </w:pPr>
    </w:p>
    <w:p w:rsidR="00330CF1" w:rsidRDefault="00330CF1" w:rsidP="00635EA5">
      <w:pPr>
        <w:pStyle w:val="StyleHeading1Centered"/>
        <w:jc w:val="left"/>
        <w:rPr>
          <w:sz w:val="32"/>
          <w:szCs w:val="32"/>
        </w:rPr>
      </w:pPr>
    </w:p>
    <w:p w:rsidR="00330CF1" w:rsidRDefault="00330CF1" w:rsidP="00635EA5">
      <w:pPr>
        <w:pStyle w:val="StyleHeading1Centered"/>
        <w:jc w:val="left"/>
        <w:rPr>
          <w:sz w:val="32"/>
          <w:szCs w:val="32"/>
        </w:rPr>
      </w:pPr>
    </w:p>
    <w:p w:rsidR="00330CF1" w:rsidRDefault="00330CF1" w:rsidP="00635EA5">
      <w:pPr>
        <w:pStyle w:val="StyleHeading1Centered"/>
        <w:jc w:val="left"/>
        <w:rPr>
          <w:sz w:val="32"/>
          <w:szCs w:val="32"/>
        </w:rPr>
      </w:pPr>
    </w:p>
    <w:p w:rsidR="00330CF1" w:rsidRDefault="00330CF1" w:rsidP="00635EA5">
      <w:pPr>
        <w:pStyle w:val="StyleHeading1Centered"/>
        <w:jc w:val="left"/>
        <w:rPr>
          <w:sz w:val="32"/>
          <w:szCs w:val="32"/>
        </w:rPr>
      </w:pPr>
    </w:p>
    <w:p w:rsidR="00330CF1" w:rsidRDefault="00330CF1" w:rsidP="00635EA5">
      <w:pPr>
        <w:pStyle w:val="StyleHeading1Centered"/>
        <w:jc w:val="left"/>
        <w:rPr>
          <w:sz w:val="32"/>
          <w:szCs w:val="32"/>
        </w:rPr>
      </w:pPr>
    </w:p>
    <w:p w:rsidR="00330CF1" w:rsidRDefault="00330CF1" w:rsidP="00635EA5">
      <w:pPr>
        <w:pStyle w:val="StyleHeading1Centered"/>
        <w:jc w:val="left"/>
        <w:rPr>
          <w:sz w:val="32"/>
          <w:szCs w:val="32"/>
        </w:rPr>
      </w:pPr>
    </w:p>
    <w:p w:rsidR="00330CF1" w:rsidRDefault="00330CF1" w:rsidP="00635EA5">
      <w:pPr>
        <w:pStyle w:val="StyleHeading1Centered"/>
        <w:jc w:val="left"/>
        <w:rPr>
          <w:sz w:val="32"/>
          <w:szCs w:val="32"/>
        </w:rPr>
      </w:pPr>
    </w:p>
    <w:p w:rsidR="00330CF1" w:rsidRDefault="00330CF1" w:rsidP="00635EA5">
      <w:pPr>
        <w:pStyle w:val="StyleHeading1Centered"/>
        <w:jc w:val="left"/>
        <w:rPr>
          <w:sz w:val="32"/>
          <w:szCs w:val="32"/>
        </w:rPr>
      </w:pPr>
    </w:p>
    <w:p w:rsidR="00330CF1" w:rsidRDefault="00330CF1" w:rsidP="00635EA5">
      <w:pPr>
        <w:pStyle w:val="StyleHeading1Centered"/>
        <w:jc w:val="left"/>
        <w:rPr>
          <w:sz w:val="32"/>
          <w:szCs w:val="32"/>
        </w:rPr>
      </w:pPr>
    </w:p>
    <w:p w:rsidR="00330CF1" w:rsidRDefault="00330CF1" w:rsidP="00635EA5">
      <w:pPr>
        <w:pStyle w:val="StyleHeading1Centered"/>
        <w:jc w:val="left"/>
        <w:rPr>
          <w:sz w:val="32"/>
          <w:szCs w:val="32"/>
        </w:rPr>
      </w:pPr>
    </w:p>
    <w:p w:rsidR="00330CF1" w:rsidRPr="00392539" w:rsidRDefault="00330CF1" w:rsidP="008F60C3">
      <w:pPr>
        <w:pStyle w:val="StyleHeading1Centered"/>
        <w:rPr>
          <w:sz w:val="32"/>
          <w:szCs w:val="32"/>
        </w:rPr>
      </w:pPr>
      <w:r w:rsidRPr="00392539">
        <w:rPr>
          <w:sz w:val="32"/>
          <w:szCs w:val="32"/>
        </w:rPr>
        <w:t>CHAPTER III</w:t>
      </w:r>
      <w:bookmarkEnd w:id="37"/>
    </w:p>
    <w:p w:rsidR="00330CF1" w:rsidRPr="00392539" w:rsidRDefault="00330CF1" w:rsidP="00BA25B5">
      <w:pPr>
        <w:pStyle w:val="Heading1"/>
        <w:jc w:val="center"/>
        <w:rPr>
          <w:sz w:val="32"/>
          <w:szCs w:val="32"/>
        </w:rPr>
      </w:pPr>
      <w:bookmarkStart w:id="38" w:name="_Toc305485863"/>
      <w:r>
        <w:rPr>
          <w:sz w:val="32"/>
          <w:szCs w:val="32"/>
        </w:rPr>
        <w:t>EVALUATION OF RAW VS. HEAT-PROCESSED DIETS ON INNATE AND HUMORAL IMMUNE RESPONSES IN</w:t>
      </w:r>
      <w:r w:rsidRPr="00392539">
        <w:rPr>
          <w:sz w:val="32"/>
          <w:szCs w:val="32"/>
        </w:rPr>
        <w:t xml:space="preserve"> K</w:t>
      </w:r>
      <w:bookmarkEnd w:id="38"/>
      <w:r>
        <w:rPr>
          <w:sz w:val="32"/>
          <w:szCs w:val="32"/>
        </w:rPr>
        <w:t>ITTENS</w:t>
      </w:r>
    </w:p>
    <w:p w:rsidR="00330CF1" w:rsidRDefault="00330CF1" w:rsidP="00BA25B5"/>
    <w:p w:rsidR="00330CF1" w:rsidRDefault="00330CF1" w:rsidP="00F13840">
      <w:pPr>
        <w:pStyle w:val="Heading2"/>
      </w:pPr>
      <w:bookmarkStart w:id="39" w:name="_Toc305485864"/>
      <w:r>
        <w:t>Introduction</w:t>
      </w:r>
      <w:bookmarkEnd w:id="39"/>
    </w:p>
    <w:p w:rsidR="00330CF1" w:rsidRDefault="00330CF1" w:rsidP="009D3EA8">
      <w:pPr>
        <w:rPr>
          <w:rFonts w:ascii="Arial" w:hAnsi="Arial" w:cs="Arial"/>
        </w:rPr>
      </w:pPr>
      <w:r>
        <w:t xml:space="preserve">     </w:t>
      </w:r>
      <w:r w:rsidRPr="009C39D8">
        <w:rPr>
          <w:rFonts w:ascii="Arial" w:hAnsi="Arial" w:cs="Arial"/>
        </w:rPr>
        <w:t>Numerous benefits have been ascribed to feedin</w:t>
      </w:r>
      <w:r>
        <w:rPr>
          <w:rFonts w:ascii="Arial" w:hAnsi="Arial" w:cs="Arial"/>
        </w:rPr>
        <w:t>g cat</w:t>
      </w:r>
      <w:r w:rsidRPr="009C39D8">
        <w:rPr>
          <w:rFonts w:ascii="Arial" w:hAnsi="Arial" w:cs="Arial"/>
        </w:rPr>
        <w:t>s’ raw food diets compared to feed</w:t>
      </w:r>
      <w:r>
        <w:rPr>
          <w:rFonts w:ascii="Arial" w:hAnsi="Arial" w:cs="Arial"/>
        </w:rPr>
        <w:t xml:space="preserve">ing heat-processed cat foods.  </w:t>
      </w:r>
      <w:r w:rsidRPr="009C39D8">
        <w:rPr>
          <w:rFonts w:ascii="Arial" w:hAnsi="Arial" w:cs="Arial"/>
        </w:rPr>
        <w:t>Reported benefits i</w:t>
      </w:r>
      <w:r>
        <w:rPr>
          <w:rFonts w:ascii="Arial" w:hAnsi="Arial" w:cs="Arial"/>
        </w:rPr>
        <w:t>nclude</w:t>
      </w:r>
      <w:r w:rsidRPr="009C39D8">
        <w:rPr>
          <w:rFonts w:ascii="Arial" w:hAnsi="Arial" w:cs="Arial"/>
        </w:rPr>
        <w:t xml:space="preserve"> improved skin and coat quality</w:t>
      </w:r>
      <w:r>
        <w:rPr>
          <w:rFonts w:ascii="Arial" w:hAnsi="Arial" w:cs="Arial"/>
        </w:rPr>
        <w:t>, improved digestibility</w:t>
      </w:r>
      <w:r w:rsidRPr="009C39D8">
        <w:rPr>
          <w:rFonts w:ascii="Arial" w:hAnsi="Arial" w:cs="Arial"/>
        </w:rPr>
        <w:t xml:space="preserve"> and decreased incidence of many medical conditions including </w:t>
      </w:r>
      <w:r>
        <w:rPr>
          <w:rFonts w:ascii="Arial" w:hAnsi="Arial" w:cs="Arial"/>
        </w:rPr>
        <w:t xml:space="preserve">dental disease, </w:t>
      </w:r>
      <w:r w:rsidRPr="009C39D8">
        <w:rPr>
          <w:rFonts w:ascii="Arial" w:hAnsi="Arial" w:cs="Arial"/>
        </w:rPr>
        <w:t>diabetes mellitus, allergies, inflammatory bowel disease, feline urinary track disorder (FLUTD), kidney disease, arthritis and cancer</w:t>
      </w:r>
      <w:r>
        <w:rPr>
          <w:rFonts w:ascii="Arial" w:hAnsi="Arial" w:cs="Arial"/>
        </w:rPr>
        <w:t>.</w:t>
      </w:r>
      <w:r>
        <w:rPr>
          <w:rFonts w:ascii="Arial" w:hAnsi="Arial" w:cs="Arial"/>
          <w:noProof/>
        </w:rPr>
        <w:t>[3, 4, 153, 154]</w:t>
      </w:r>
      <w:r>
        <w:rPr>
          <w:rFonts w:ascii="Arial" w:hAnsi="Arial" w:cs="Arial"/>
        </w:rPr>
        <w:t xml:space="preserve">  </w:t>
      </w:r>
      <w:r w:rsidRPr="009C39D8">
        <w:rPr>
          <w:rFonts w:ascii="Arial" w:hAnsi="Arial" w:cs="Arial"/>
        </w:rPr>
        <w:t xml:space="preserve">One of the </w:t>
      </w:r>
      <w:r>
        <w:rPr>
          <w:rFonts w:ascii="Arial" w:hAnsi="Arial" w:cs="Arial"/>
        </w:rPr>
        <w:t xml:space="preserve">most consistent and </w:t>
      </w:r>
      <w:r w:rsidRPr="009C39D8">
        <w:rPr>
          <w:rFonts w:ascii="Arial" w:hAnsi="Arial" w:cs="Arial"/>
        </w:rPr>
        <w:t xml:space="preserve">primary benefits stated with </w:t>
      </w:r>
      <w:r>
        <w:rPr>
          <w:rFonts w:ascii="Arial" w:hAnsi="Arial" w:cs="Arial"/>
        </w:rPr>
        <w:t xml:space="preserve">feeding dogs and cats </w:t>
      </w:r>
      <w:r w:rsidRPr="009C39D8">
        <w:rPr>
          <w:rFonts w:ascii="Arial" w:hAnsi="Arial" w:cs="Arial"/>
        </w:rPr>
        <w:t>raw diets is improvement in immune function.</w:t>
      </w:r>
      <w:r>
        <w:rPr>
          <w:rFonts w:ascii="Arial" w:hAnsi="Arial" w:cs="Arial"/>
          <w:noProof/>
        </w:rPr>
        <w:t>[3, 4, 153, 154]</w:t>
      </w:r>
      <w:r>
        <w:rPr>
          <w:rFonts w:ascii="Arial" w:hAnsi="Arial" w:cs="Arial"/>
        </w:rPr>
        <w:t xml:space="preserve"> </w:t>
      </w:r>
    </w:p>
    <w:p w:rsidR="00330CF1" w:rsidRDefault="00330CF1" w:rsidP="009D3EA8">
      <w:pPr>
        <w:rPr>
          <w:rFonts w:ascii="Arial" w:hAnsi="Arial" w:cs="Arial"/>
        </w:rPr>
      </w:pPr>
      <w:r>
        <w:rPr>
          <w:rFonts w:ascii="Arial" w:hAnsi="Arial" w:cs="Arial"/>
        </w:rPr>
        <w:t xml:space="preserve">     The gut is the largest immune organ in the body containing over 65% of all immune cells.</w:t>
      </w:r>
      <w:r>
        <w:rPr>
          <w:rFonts w:ascii="Arial" w:hAnsi="Arial" w:cs="Arial"/>
          <w:noProof/>
        </w:rPr>
        <w:t>[340]</w:t>
      </w:r>
      <w:r>
        <w:rPr>
          <w:rFonts w:ascii="Arial" w:hAnsi="Arial" w:cs="Arial"/>
        </w:rPr>
        <w:t xml:space="preserve">  Gastrointestinal lymphoid tissue (GALT) is exposed to a diverse array of antigens from foods and the commensal microorganisms inhabiting the gut.  Both diet and intestinal microflora interact with GALT at multiple levels and offer a unique opportunity for immune system modulation.  At the most basic level of immunonutrition, high quality proteins are needed for cell proliferation and enzymatic activity.  The acute phase of the immune response involves cell activation, proliferation and differentiation.   Immunoglobulins, complement, cytokines, receptors and growth factors are all proteins.  Additionally, nucleotides, certain vitamins (i.e. Vitamin C and E) and minerals (i.e. zinc, copper, iron, selenium) along with polyunsaturated fatty acids are all critical cofactors in the immune response.  </w:t>
      </w:r>
    </w:p>
    <w:p w:rsidR="00330CF1" w:rsidRPr="00B03F14" w:rsidRDefault="00330CF1" w:rsidP="00B03F14">
      <w:pPr>
        <w:autoSpaceDE w:val="0"/>
        <w:autoSpaceDN w:val="0"/>
        <w:adjustRightInd w:val="0"/>
        <w:rPr>
          <w:rFonts w:ascii="Times" w:hAnsi="Times" w:cs="Times"/>
          <w:sz w:val="18"/>
          <w:szCs w:val="18"/>
        </w:rPr>
      </w:pPr>
      <w:r>
        <w:rPr>
          <w:rFonts w:ascii="Arial" w:hAnsi="Arial" w:cs="Arial"/>
        </w:rPr>
        <w:t xml:space="preserve">     Protein is required for maintenance of gut barrier functions through synthesis of mucus glycoproteins and cellular epithelium.  Amino acids are also required for maintenance of cellular proteins within the immune system.  Additional levels of protein beyond minimal requirements have shown to enhance cellular immunity.</w:t>
      </w:r>
      <w:r>
        <w:rPr>
          <w:rFonts w:ascii="Arial" w:hAnsi="Arial" w:cs="Arial"/>
          <w:noProof/>
        </w:rPr>
        <w:t>[341]</w:t>
      </w:r>
      <w:r>
        <w:rPr>
          <w:rFonts w:ascii="Arial" w:hAnsi="Arial" w:cs="Arial"/>
        </w:rPr>
        <w:t xml:space="preserve">  Specifically, the amino acids arginine, glutamine and taurine have been shown to augment immune response.  Glutamine is a main energy source for rapidly dividing cells such as lymphocytes and mucosal enterocytes.  Supplementation with glutamine has shown to induce increases in B cells and T cell CD4 populations in Peyer’s patches in endotoxin-challenged mice.</w:t>
      </w:r>
      <w:r>
        <w:rPr>
          <w:rFonts w:ascii="Arial" w:hAnsi="Arial" w:cs="Arial"/>
          <w:noProof/>
        </w:rPr>
        <w:t>[342]</w:t>
      </w:r>
      <w:r>
        <w:rPr>
          <w:rFonts w:ascii="Arial" w:hAnsi="Arial" w:cs="Arial"/>
        </w:rPr>
        <w:t xml:space="preserve">  Glutamine is also a component in the synthesis of Glutathione, a significant intracellular antioxidant and defense against reactive free radicals.</w:t>
      </w:r>
      <w:r>
        <w:rPr>
          <w:rFonts w:ascii="Arial" w:hAnsi="Arial" w:cs="Arial"/>
          <w:noProof/>
        </w:rPr>
        <w:t>[343]</w:t>
      </w:r>
      <w:r>
        <w:rPr>
          <w:rFonts w:ascii="Arial" w:hAnsi="Arial" w:cs="Arial"/>
        </w:rPr>
        <w:t xml:space="preserve">  Arginine has significant immunomodulating effects.  Arginine is key in the synthesis of polyamines which play critical roles in cell division and DNA synthesis.  Arginine is also the precursor for synthesis of nitric oxide (NO).</w:t>
      </w:r>
      <w:r>
        <w:rPr>
          <w:rFonts w:ascii="Arial" w:hAnsi="Arial" w:cs="Arial"/>
          <w:noProof/>
        </w:rPr>
        <w:t>[344]</w:t>
      </w:r>
      <w:r>
        <w:rPr>
          <w:rFonts w:ascii="Arial" w:hAnsi="Arial" w:cs="Arial"/>
        </w:rPr>
        <w:t xml:space="preserve">  NO has important roles in regulation of vascular tone and immune function.</w:t>
      </w:r>
      <w:r>
        <w:rPr>
          <w:rFonts w:ascii="Arial" w:hAnsi="Arial" w:cs="Arial"/>
          <w:noProof/>
        </w:rPr>
        <w:t>[344, 345]</w:t>
      </w:r>
      <w:r>
        <w:rPr>
          <w:rFonts w:ascii="Arial" w:hAnsi="Arial" w:cs="Arial"/>
        </w:rPr>
        <w:t xml:space="preserve">  Taurine, a beta sulphonated amino acid has numerous roles including membrane stabilization, bile acid conjugation, osmoregulation, calcium homeostasis and vision.  Taurine is also an important intracellular antioxidant.  Taurine has also been hypothesized to play a role in the downregulation of inflammatory mediators by macrophages and neutrophils when a pathogenic insult has been removed.</w:t>
      </w:r>
      <w:r>
        <w:rPr>
          <w:rFonts w:ascii="Arial" w:hAnsi="Arial" w:cs="Arial"/>
          <w:noProof/>
        </w:rPr>
        <w:t>[346]</w:t>
      </w:r>
    </w:p>
    <w:p w:rsidR="00330CF1" w:rsidRDefault="00330CF1" w:rsidP="003C05A5">
      <w:pPr>
        <w:rPr>
          <w:rFonts w:ascii="Arial" w:hAnsi="Arial" w:cs="Arial"/>
        </w:rPr>
      </w:pPr>
      <w:r>
        <w:rPr>
          <w:rFonts w:ascii="Arial" w:hAnsi="Arial" w:cs="Arial"/>
        </w:rPr>
        <w:lastRenderedPageBreak/>
        <w:t xml:space="preserve">     Heat processing is known to reduce protein bioavailability.</w:t>
      </w:r>
      <w:r>
        <w:rPr>
          <w:rFonts w:ascii="Arial" w:hAnsi="Arial" w:cs="Arial"/>
          <w:noProof/>
        </w:rPr>
        <w:t>[9, 209, 237, 347]</w:t>
      </w:r>
      <w:r>
        <w:rPr>
          <w:rFonts w:ascii="Arial" w:hAnsi="Arial" w:cs="Arial"/>
        </w:rPr>
        <w:t xml:space="preserve">  Heat processing also decreases the microbial load in foods.  As a result of changes in lifestyle including food processing techniques, improved hygiene, vaccination, and antibiotics, human intestinal microflora has changed.</w:t>
      </w:r>
      <w:r>
        <w:rPr>
          <w:rFonts w:ascii="Arial" w:hAnsi="Arial" w:cs="Arial"/>
          <w:noProof/>
        </w:rPr>
        <w:t>[292]</w:t>
      </w:r>
      <w:r>
        <w:rPr>
          <w:rFonts w:ascii="Arial" w:hAnsi="Arial" w:cs="Arial"/>
        </w:rPr>
        <w:t xml:space="preserve">  Both dietary constituents and their processing have been shown to affect intestinal microbiota numbers and composition in felines.</w:t>
      </w:r>
      <w:r>
        <w:rPr>
          <w:rFonts w:ascii="Arial" w:hAnsi="Arial" w:cs="Arial"/>
          <w:noProof/>
        </w:rPr>
        <w:t>[124, 125]</w:t>
      </w:r>
      <w:r>
        <w:rPr>
          <w:rFonts w:ascii="Arial" w:hAnsi="Arial" w:cs="Arial"/>
        </w:rPr>
        <w:t xml:space="preserve">  By comparing hydrogen</w:t>
      </w:r>
      <w:r>
        <w:rPr>
          <w:rFonts w:ascii="Arial" w:hAnsi="Arial" w:cs="Arial"/>
          <w:vertAlign w:val="subscript"/>
        </w:rPr>
        <w:t xml:space="preserve"> </w:t>
      </w:r>
      <w:r>
        <w:rPr>
          <w:rFonts w:ascii="Arial" w:hAnsi="Arial" w:cs="Arial"/>
        </w:rPr>
        <w:t>gas production, Backus found that commercial canned diets induced a substantially greater hydrogen breath</w:t>
      </w:r>
      <w:r>
        <w:rPr>
          <w:rFonts w:ascii="Arial" w:hAnsi="Arial" w:cs="Arial"/>
          <w:vertAlign w:val="subscript"/>
        </w:rPr>
        <w:t xml:space="preserve"> </w:t>
      </w:r>
      <w:r>
        <w:rPr>
          <w:rFonts w:ascii="Arial" w:hAnsi="Arial" w:cs="Arial"/>
        </w:rPr>
        <w:t>production caused by increased fermentative metabolism.</w:t>
      </w:r>
      <w:r>
        <w:rPr>
          <w:rFonts w:ascii="Arial" w:hAnsi="Arial" w:cs="Arial"/>
          <w:noProof/>
        </w:rPr>
        <w:t>[124]</w:t>
      </w:r>
      <w:r>
        <w:rPr>
          <w:rFonts w:ascii="Arial" w:hAnsi="Arial" w:cs="Arial"/>
        </w:rPr>
        <w:t xml:space="preserve">  The next highest level of hydrogen production was found in cats consuming canned uncooked diets, followed by extruded diets and lastly purified diets.</w:t>
      </w:r>
      <w:r>
        <w:rPr>
          <w:rFonts w:ascii="Arial" w:hAnsi="Arial" w:cs="Arial"/>
          <w:noProof/>
        </w:rPr>
        <w:t>[124]</w:t>
      </w:r>
      <w:r>
        <w:rPr>
          <w:rFonts w:ascii="Arial" w:hAnsi="Arial" w:cs="Arial"/>
        </w:rPr>
        <w:t xml:space="preserve">  Quantity of dietary protein was also found to affect gastrointestinal flora.</w:t>
      </w:r>
      <w:r w:rsidRPr="0091144F">
        <w:rPr>
          <w:rFonts w:ascii="Arial" w:hAnsi="Arial" w:cs="Arial"/>
        </w:rPr>
        <w:t xml:space="preserve"> </w:t>
      </w:r>
      <w:r>
        <w:rPr>
          <w:rFonts w:ascii="Arial" w:hAnsi="Arial" w:cs="Arial"/>
        </w:rPr>
        <w:t xml:space="preserve"> Marked differences in fecal flora were found in 8 – 16 week old kittens fed high protein (HP) vs. moderate protein (MP) diets.  Kittens fed the high protein diets had significantly decreased </w:t>
      </w:r>
      <w:r>
        <w:rPr>
          <w:rFonts w:ascii="Arial" w:hAnsi="Arial" w:cs="Arial"/>
          <w:i/>
        </w:rPr>
        <w:t xml:space="preserve">Bifidobacteria </w:t>
      </w:r>
      <w:r>
        <w:rPr>
          <w:rFonts w:ascii="Arial" w:hAnsi="Arial" w:cs="Arial"/>
        </w:rPr>
        <w:t xml:space="preserve">spp., </w:t>
      </w:r>
      <w:r>
        <w:rPr>
          <w:rFonts w:ascii="Arial" w:hAnsi="Arial" w:cs="Arial"/>
          <w:i/>
        </w:rPr>
        <w:t xml:space="preserve">Lactobacillus </w:t>
      </w:r>
      <w:r>
        <w:rPr>
          <w:rFonts w:ascii="Arial" w:hAnsi="Arial" w:cs="Arial"/>
        </w:rPr>
        <w:t>spp.</w:t>
      </w:r>
      <w:r>
        <w:rPr>
          <w:rFonts w:ascii="Arial" w:hAnsi="Arial" w:cs="Arial"/>
          <w:i/>
        </w:rPr>
        <w:t xml:space="preserve">, </w:t>
      </w:r>
      <w:r>
        <w:rPr>
          <w:rFonts w:ascii="Arial" w:hAnsi="Arial" w:cs="Arial"/>
        </w:rPr>
        <w:t xml:space="preserve">and </w:t>
      </w:r>
      <w:r>
        <w:rPr>
          <w:rFonts w:ascii="Arial" w:hAnsi="Arial" w:cs="Arial"/>
          <w:i/>
        </w:rPr>
        <w:t xml:space="preserve">E.coli </w:t>
      </w:r>
      <w:r>
        <w:rPr>
          <w:rFonts w:ascii="Arial" w:hAnsi="Arial" w:cs="Arial"/>
        </w:rPr>
        <w:t>counts compared to the kittens fed a moderate protein diet.</w:t>
      </w:r>
      <w:r>
        <w:rPr>
          <w:rFonts w:ascii="Arial" w:hAnsi="Arial" w:cs="Arial"/>
          <w:noProof/>
        </w:rPr>
        <w:t>[126]</w:t>
      </w:r>
    </w:p>
    <w:p w:rsidR="00330CF1" w:rsidRDefault="00330CF1" w:rsidP="003C05A5">
      <w:pPr>
        <w:rPr>
          <w:rFonts w:ascii="Arial" w:hAnsi="Arial" w:cs="Arial"/>
        </w:rPr>
      </w:pPr>
      <w:r>
        <w:rPr>
          <w:rFonts w:ascii="Arial" w:hAnsi="Arial" w:cs="Arial"/>
        </w:rPr>
        <w:t xml:space="preserve">     Newborn and juvenile mammals are at increased risk for infection in early life due to the delayed development of the immune system.  Mucosal lymphocytes are found to be significantly reduced in juvenile felines (6 months old) compared to adult felines.</w:t>
      </w:r>
      <w:r>
        <w:rPr>
          <w:rFonts w:ascii="Arial" w:hAnsi="Arial" w:cs="Arial"/>
          <w:noProof/>
        </w:rPr>
        <w:t>[86]</w:t>
      </w:r>
      <w:r>
        <w:rPr>
          <w:rFonts w:ascii="Arial" w:hAnsi="Arial" w:cs="Arial"/>
        </w:rPr>
        <w:t xml:space="preserve">  Absolute numbers of all lymphocyte subsets except null cells increase with age.</w:t>
      </w:r>
      <w:r>
        <w:rPr>
          <w:rFonts w:ascii="Arial" w:hAnsi="Arial" w:cs="Arial"/>
          <w:noProof/>
        </w:rPr>
        <w:t>[83, 84]</w:t>
      </w:r>
      <w:r>
        <w:rPr>
          <w:rFonts w:ascii="Arial" w:hAnsi="Arial" w:cs="Arial"/>
        </w:rPr>
        <w:t xml:space="preserve">  Innate immune responses of phagocytosis and opsonization were found to be reduced in neonatal kittens compared to adults.</w:t>
      </w:r>
      <w:r>
        <w:rPr>
          <w:rFonts w:ascii="Arial" w:hAnsi="Arial" w:cs="Arial"/>
          <w:noProof/>
        </w:rPr>
        <w:t>[95]</w:t>
      </w:r>
      <w:r>
        <w:rPr>
          <w:rFonts w:ascii="Arial" w:hAnsi="Arial" w:cs="Arial"/>
        </w:rPr>
        <w:t xml:space="preserve">  It is unknown at what age full maturation of the immune system in felines occurs.</w:t>
      </w:r>
    </w:p>
    <w:p w:rsidR="00330CF1" w:rsidRPr="008F3F73" w:rsidRDefault="00330CF1" w:rsidP="00706250">
      <w:pPr>
        <w:autoSpaceDE w:val="0"/>
        <w:autoSpaceDN w:val="0"/>
        <w:adjustRightInd w:val="0"/>
        <w:rPr>
          <w:rFonts w:ascii="Arial" w:hAnsi="Arial" w:cs="Arial"/>
        </w:rPr>
      </w:pPr>
      <w:r>
        <w:rPr>
          <w:rFonts w:ascii="Arial" w:hAnsi="Arial" w:cs="Arial"/>
        </w:rPr>
        <w:t xml:space="preserve">     At the same time that maturation of immune system is occuring, gastrointestinal flora is being established.  The first major stage in gut community colonization occurs at birth.  The second major stage occurs at weaning with the introduction to solid food.  At this stage the gut microbiota becomes more diversified and enriched in bacteria common to the adult microbiota.</w:t>
      </w:r>
      <w:r>
        <w:rPr>
          <w:rFonts w:ascii="Arial" w:hAnsi="Arial" w:cs="Arial"/>
          <w:noProof/>
        </w:rPr>
        <w:t>[106]</w:t>
      </w:r>
      <w:r>
        <w:rPr>
          <w:rFonts w:ascii="Arial" w:hAnsi="Arial" w:cs="Arial"/>
        </w:rPr>
        <w:t xml:space="preserve">  It is unknown at what age microbial stabilization occurs in domestic animals but in humans this occurs at around 2 years of age.</w:t>
      </w:r>
      <w:r>
        <w:rPr>
          <w:rFonts w:ascii="Arial" w:hAnsi="Arial" w:cs="Arial"/>
          <w:noProof/>
        </w:rPr>
        <w:t>[108]</w:t>
      </w:r>
      <w:r>
        <w:rPr>
          <w:rFonts w:ascii="Arial" w:hAnsi="Arial" w:cs="Arial"/>
        </w:rPr>
        <w:t xml:space="preserve">  Dietary components fed during these stages may have significant effects on immune system development, gastrointestinal flora development and later susceptibility to disease.  The objective of this study was to determine if raw food fed kittens had improved humoral and innate immune function compared to kittens fed a heat-processed diet.  The hypothesis was that improvement in these parameters would be seen with raw food feeders secondary to improved protein bioavailability and elevated exposure to microorganisms in raw meat diets. </w:t>
      </w:r>
    </w:p>
    <w:p w:rsidR="00330CF1" w:rsidRDefault="00330CF1" w:rsidP="00392539"/>
    <w:p w:rsidR="00330CF1" w:rsidRDefault="00330CF1" w:rsidP="00F13840">
      <w:pPr>
        <w:jc w:val="center"/>
        <w:rPr>
          <w:rFonts w:ascii="Arial" w:hAnsi="Arial" w:cs="Arial"/>
          <w:b/>
          <w:sz w:val="28"/>
          <w:szCs w:val="28"/>
        </w:rPr>
      </w:pPr>
      <w:r>
        <w:rPr>
          <w:rFonts w:ascii="Arial" w:hAnsi="Arial" w:cs="Arial"/>
          <w:b/>
          <w:sz w:val="28"/>
          <w:szCs w:val="28"/>
        </w:rPr>
        <w:t>Materials and Methods</w:t>
      </w:r>
    </w:p>
    <w:p w:rsidR="00330CF1" w:rsidRDefault="00330CF1" w:rsidP="00F13840">
      <w:pPr>
        <w:jc w:val="center"/>
        <w:rPr>
          <w:rFonts w:ascii="Arial" w:hAnsi="Arial" w:cs="Arial"/>
          <w:b/>
          <w:sz w:val="28"/>
          <w:szCs w:val="28"/>
        </w:rPr>
      </w:pPr>
    </w:p>
    <w:p w:rsidR="00330CF1" w:rsidRDefault="00330CF1" w:rsidP="0051596D">
      <w:pPr>
        <w:rPr>
          <w:rFonts w:ascii="Arial" w:hAnsi="Arial" w:cs="Arial"/>
        </w:rPr>
      </w:pPr>
      <w:r>
        <w:rPr>
          <w:rFonts w:ascii="Arial" w:hAnsi="Arial" w:cs="Arial"/>
        </w:rPr>
        <w:t xml:space="preserve">All kittens were born and raised at The University of Tennessee Veterinary Medical Center and Research facility and their care was in compliance with the Guide for the Use and Care of Laboratory Animals.  The experimental protocol was approved by the Institutional Animal Care and Use Committee.  </w:t>
      </w:r>
    </w:p>
    <w:p w:rsidR="00330CF1" w:rsidRDefault="00330CF1" w:rsidP="0051596D">
      <w:pPr>
        <w:pStyle w:val="Heading3"/>
        <w:rPr>
          <w:b w:val="0"/>
          <w:i w:val="0"/>
        </w:rPr>
      </w:pPr>
      <w:r>
        <w:rPr>
          <w:i w:val="0"/>
        </w:rPr>
        <w:t xml:space="preserve">Animals: </w:t>
      </w:r>
      <w:r>
        <w:rPr>
          <w:b w:val="0"/>
          <w:i w:val="0"/>
        </w:rPr>
        <w:t>Twenty-four</w:t>
      </w:r>
      <w:r w:rsidRPr="00F34930">
        <w:rPr>
          <w:b w:val="0"/>
          <w:i w:val="0"/>
        </w:rPr>
        <w:t xml:space="preserve"> 9- to 19-week old domestic short-hair kittens born over a 3 year period were used</w:t>
      </w:r>
      <w:r>
        <w:rPr>
          <w:b w:val="0"/>
          <w:i w:val="0"/>
        </w:rPr>
        <w:t xml:space="preserve"> for an Association of American Feed Control Officials (AAFCO)</w:t>
      </w:r>
      <w:r w:rsidRPr="00F34930">
        <w:rPr>
          <w:b w:val="0"/>
          <w:i w:val="0"/>
        </w:rPr>
        <w:t xml:space="preserve"> growth feeding trial. </w:t>
      </w:r>
      <w:r>
        <w:rPr>
          <w:b w:val="0"/>
          <w:i w:val="0"/>
        </w:rPr>
        <w:t xml:space="preserve"> </w:t>
      </w:r>
      <w:r w:rsidRPr="00F34930">
        <w:rPr>
          <w:b w:val="0"/>
          <w:i w:val="0"/>
        </w:rPr>
        <w:t xml:space="preserve">The kittens were given physical examinations and tested for </w:t>
      </w:r>
      <w:r w:rsidRPr="00F34930">
        <w:rPr>
          <w:b w:val="0"/>
          <w:i w:val="0"/>
        </w:rPr>
        <w:lastRenderedPageBreak/>
        <w:t>intestinal parasites one to three days prio</w:t>
      </w:r>
      <w:r>
        <w:rPr>
          <w:b w:val="0"/>
          <w:i w:val="0"/>
        </w:rPr>
        <w:t>r to starting the feeding trial and were healthy.</w:t>
      </w:r>
      <w:r w:rsidRPr="00F34930">
        <w:rPr>
          <w:b w:val="0"/>
          <w:i w:val="0"/>
        </w:rPr>
        <w:t xml:space="preserve">  All kittens were bor</w:t>
      </w:r>
      <w:r>
        <w:rPr>
          <w:b w:val="0"/>
          <w:i w:val="0"/>
        </w:rPr>
        <w:t>n from the same queen and tom and had nursed with ingestion of colostrum.</w:t>
      </w:r>
      <w:r w:rsidRPr="00F34930">
        <w:rPr>
          <w:b w:val="0"/>
          <w:i w:val="0"/>
        </w:rPr>
        <w:t xml:space="preserve"> </w:t>
      </w:r>
      <w:r>
        <w:rPr>
          <w:b w:val="0"/>
          <w:i w:val="0"/>
        </w:rPr>
        <w:t xml:space="preserve"> </w:t>
      </w:r>
      <w:r w:rsidRPr="00F34930">
        <w:rPr>
          <w:b w:val="0"/>
          <w:i w:val="0"/>
        </w:rPr>
        <w:t xml:space="preserve">Kittens were weaned at 6-7 weeks of age and eating solid food prior to beginning of the feeding trial at 9 weeks of age.  All kittens were weaned on a </w:t>
      </w:r>
      <w:r>
        <w:rPr>
          <w:b w:val="0"/>
          <w:i w:val="0"/>
        </w:rPr>
        <w:t xml:space="preserve">canned and </w:t>
      </w:r>
      <w:r w:rsidRPr="00F34930">
        <w:rPr>
          <w:b w:val="0"/>
          <w:i w:val="0"/>
        </w:rPr>
        <w:t>dry extruded growth diet</w:t>
      </w:r>
      <w:r>
        <w:rPr>
          <w:b w:val="0"/>
          <w:i w:val="0"/>
          <w:vertAlign w:val="superscript"/>
        </w:rPr>
        <w:t>1,2</w:t>
      </w:r>
      <w:r w:rsidRPr="00F34930">
        <w:rPr>
          <w:b w:val="0"/>
          <w:i w:val="0"/>
        </w:rPr>
        <w:t xml:space="preserve">. </w:t>
      </w:r>
      <w:r>
        <w:rPr>
          <w:b w:val="0"/>
          <w:i w:val="0"/>
        </w:rPr>
        <w:t xml:space="preserve"> </w:t>
      </w:r>
      <w:r w:rsidRPr="00F34930">
        <w:rPr>
          <w:b w:val="0"/>
          <w:i w:val="0"/>
        </w:rPr>
        <w:t xml:space="preserve">The kittens were housed in individual metabolism cages during the feeding trial </w:t>
      </w:r>
      <w:r>
        <w:rPr>
          <w:b w:val="0"/>
          <w:i w:val="0"/>
        </w:rPr>
        <w:t xml:space="preserve">and allowed daily group play.  </w:t>
      </w:r>
      <w:r w:rsidRPr="00F34930">
        <w:rPr>
          <w:b w:val="0"/>
          <w:i w:val="0"/>
        </w:rPr>
        <w:t xml:space="preserve">At the end of the study, the kittens were transferred to a permanent feline colony that is used for dietary and other non-invasive research or adopted to private homes.  </w:t>
      </w:r>
    </w:p>
    <w:p w:rsidR="00330CF1" w:rsidRPr="00A06E10" w:rsidRDefault="00330CF1" w:rsidP="00A06E10"/>
    <w:p w:rsidR="00330CF1" w:rsidRPr="00F64A2D" w:rsidRDefault="00330CF1" w:rsidP="00F34930">
      <w:pPr>
        <w:rPr>
          <w:rFonts w:ascii="Arial" w:hAnsi="Arial" w:cs="Arial"/>
        </w:rPr>
      </w:pPr>
      <w:r w:rsidRPr="00F34930">
        <w:rPr>
          <w:rFonts w:ascii="Arial" w:hAnsi="Arial" w:cs="Arial"/>
          <w:b/>
        </w:rPr>
        <w:t>Diet:</w:t>
      </w:r>
      <w:r w:rsidRPr="00F34930">
        <w:rPr>
          <w:rFonts w:ascii="Arial" w:hAnsi="Arial" w:cs="Arial"/>
        </w:rPr>
        <w:t xml:space="preserve"> </w:t>
      </w:r>
      <w:r>
        <w:rPr>
          <w:rFonts w:ascii="Arial" w:hAnsi="Arial" w:cs="Arial"/>
        </w:rPr>
        <w:t xml:space="preserve">The kittens were randomized to 3 different dietary groups via a random numbers table for the AAFCO growth feeding protocol.  Each diet group consisted of 8 kittens.  </w:t>
      </w:r>
      <w:r w:rsidRPr="00F64A2D">
        <w:rPr>
          <w:rFonts w:ascii="Arial" w:hAnsi="Arial" w:cs="Arial"/>
        </w:rPr>
        <w:t>Diet</w:t>
      </w:r>
      <w:r>
        <w:rPr>
          <w:rFonts w:ascii="Arial" w:hAnsi="Arial" w:cs="Arial"/>
        </w:rPr>
        <w:t xml:space="preserve"> Group A was</w:t>
      </w:r>
      <w:r w:rsidRPr="00F64A2D">
        <w:rPr>
          <w:rFonts w:ascii="Arial" w:hAnsi="Arial" w:cs="Arial"/>
        </w:rPr>
        <w:t xml:space="preserve"> fed a commercial heat-processed </w:t>
      </w:r>
      <w:r>
        <w:rPr>
          <w:rFonts w:ascii="Arial" w:hAnsi="Arial" w:cs="Arial"/>
        </w:rPr>
        <w:t>canned diet</w:t>
      </w:r>
      <w:r>
        <w:rPr>
          <w:rFonts w:ascii="Arial" w:hAnsi="Arial" w:cs="Arial"/>
          <w:vertAlign w:val="superscript"/>
        </w:rPr>
        <w:t>3</w:t>
      </w:r>
      <w:r w:rsidRPr="00F64A2D">
        <w:rPr>
          <w:rFonts w:ascii="Arial" w:hAnsi="Arial" w:cs="Arial"/>
        </w:rPr>
        <w:t xml:space="preserve"> that is nutritionally adequate for all life stages as determined by AAF</w:t>
      </w:r>
      <w:r>
        <w:rPr>
          <w:rFonts w:ascii="Arial" w:hAnsi="Arial" w:cs="Arial"/>
        </w:rPr>
        <w:t>CO guidelines.  This diet was chosen to closely match the</w:t>
      </w:r>
      <w:r w:rsidRPr="00F64A2D">
        <w:rPr>
          <w:rFonts w:ascii="Arial" w:hAnsi="Arial" w:cs="Arial"/>
        </w:rPr>
        <w:t xml:space="preserve"> raw diet</w:t>
      </w:r>
      <w:r>
        <w:rPr>
          <w:rFonts w:ascii="Arial" w:hAnsi="Arial" w:cs="Arial"/>
        </w:rPr>
        <w:t>s</w:t>
      </w:r>
      <w:r w:rsidRPr="00F64A2D">
        <w:rPr>
          <w:rFonts w:ascii="Arial" w:hAnsi="Arial" w:cs="Arial"/>
        </w:rPr>
        <w:t xml:space="preserve"> moisture </w:t>
      </w:r>
      <w:r>
        <w:rPr>
          <w:rFonts w:ascii="Arial" w:hAnsi="Arial" w:cs="Arial"/>
        </w:rPr>
        <w:t>and nutrient content.  This was</w:t>
      </w:r>
      <w:r w:rsidRPr="00F64A2D">
        <w:rPr>
          <w:rFonts w:ascii="Arial" w:hAnsi="Arial" w:cs="Arial"/>
        </w:rPr>
        <w:t xml:space="preserve"> the contr</w:t>
      </w:r>
      <w:r>
        <w:rPr>
          <w:rFonts w:ascii="Arial" w:hAnsi="Arial" w:cs="Arial"/>
        </w:rPr>
        <w:t>ol diet.  Treatment Group B was</w:t>
      </w:r>
      <w:r w:rsidRPr="00F64A2D">
        <w:rPr>
          <w:rFonts w:ascii="Arial" w:hAnsi="Arial" w:cs="Arial"/>
        </w:rPr>
        <w:t xml:space="preserve"> fed a commercial frozen raw d</w:t>
      </w:r>
      <w:r>
        <w:rPr>
          <w:rFonts w:ascii="Arial" w:hAnsi="Arial" w:cs="Arial"/>
        </w:rPr>
        <w:t>iet</w:t>
      </w:r>
      <w:r>
        <w:rPr>
          <w:rFonts w:ascii="Arial" w:hAnsi="Arial" w:cs="Arial"/>
          <w:vertAlign w:val="superscript"/>
        </w:rPr>
        <w:t>4</w:t>
      </w:r>
      <w:r>
        <w:rPr>
          <w:rFonts w:ascii="Arial" w:hAnsi="Arial" w:cs="Arial"/>
        </w:rPr>
        <w:t>.  Treatment Group C was</w:t>
      </w:r>
      <w:r w:rsidRPr="00F64A2D">
        <w:rPr>
          <w:rFonts w:ascii="Arial" w:hAnsi="Arial" w:cs="Arial"/>
        </w:rPr>
        <w:t xml:space="preserve"> fed a home-prepared r</w:t>
      </w:r>
      <w:r>
        <w:rPr>
          <w:rFonts w:ascii="Arial" w:hAnsi="Arial" w:cs="Arial"/>
        </w:rPr>
        <w:t>aw food diet</w:t>
      </w:r>
      <w:r>
        <w:rPr>
          <w:rFonts w:ascii="Arial" w:hAnsi="Arial" w:cs="Arial"/>
          <w:vertAlign w:val="superscript"/>
        </w:rPr>
        <w:t>5,6</w:t>
      </w:r>
      <w:r>
        <w:rPr>
          <w:rFonts w:ascii="Arial" w:hAnsi="Arial" w:cs="Arial"/>
        </w:rPr>
        <w:t>.  The diet was</w:t>
      </w:r>
      <w:r w:rsidRPr="00F64A2D">
        <w:rPr>
          <w:rFonts w:ascii="Arial" w:hAnsi="Arial" w:cs="Arial"/>
        </w:rPr>
        <w:t xml:space="preserve"> made with raw chicken</w:t>
      </w:r>
      <w:r>
        <w:rPr>
          <w:rFonts w:ascii="Arial" w:hAnsi="Arial" w:cs="Arial"/>
          <w:vertAlign w:val="superscript"/>
        </w:rPr>
        <w:t>5</w:t>
      </w:r>
      <w:r w:rsidRPr="00F64A2D">
        <w:rPr>
          <w:rFonts w:ascii="Arial" w:hAnsi="Arial" w:cs="Arial"/>
        </w:rPr>
        <w:t xml:space="preserve"> obtained from a local grocery store and mixed, according to manufacturer’s instructions, with a popular commercial food supplement</w:t>
      </w:r>
      <w:r>
        <w:rPr>
          <w:rFonts w:ascii="Arial" w:hAnsi="Arial" w:cs="Arial"/>
          <w:vertAlign w:val="superscript"/>
        </w:rPr>
        <w:t>3</w:t>
      </w:r>
      <w:r w:rsidRPr="00F64A2D">
        <w:rPr>
          <w:rFonts w:ascii="Arial" w:hAnsi="Arial" w:cs="Arial"/>
        </w:rPr>
        <w:t xml:space="preserve"> designed to balance a raw meat diet.  </w:t>
      </w:r>
      <w:r>
        <w:rPr>
          <w:rFonts w:ascii="Arial" w:hAnsi="Arial" w:cs="Arial"/>
        </w:rPr>
        <w:t>The homemade diet was</w:t>
      </w:r>
      <w:r w:rsidRPr="00F64A2D">
        <w:rPr>
          <w:rFonts w:ascii="Arial" w:hAnsi="Arial" w:cs="Arial"/>
        </w:rPr>
        <w:t xml:space="preserve"> prepared every 2 weeks and immediately frozen.  </w:t>
      </w:r>
      <w:r>
        <w:rPr>
          <w:rFonts w:ascii="Arial" w:hAnsi="Arial" w:cs="Arial"/>
        </w:rPr>
        <w:t>All raw foods were</w:t>
      </w:r>
      <w:r w:rsidRPr="00F64A2D">
        <w:rPr>
          <w:rFonts w:ascii="Arial" w:hAnsi="Arial" w:cs="Arial"/>
        </w:rPr>
        <w:t xml:space="preserve"> kept frozen until 1 day b</w:t>
      </w:r>
      <w:r>
        <w:rPr>
          <w:rFonts w:ascii="Arial" w:hAnsi="Arial" w:cs="Arial"/>
        </w:rPr>
        <w:t>efore feeding, when they were</w:t>
      </w:r>
      <w:r w:rsidRPr="00F64A2D">
        <w:rPr>
          <w:rFonts w:ascii="Arial" w:hAnsi="Arial" w:cs="Arial"/>
        </w:rPr>
        <w:t xml:space="preserve"> transferred to a refrigerator in preparation for feedin</w:t>
      </w:r>
      <w:r>
        <w:rPr>
          <w:rFonts w:ascii="Arial" w:hAnsi="Arial" w:cs="Arial"/>
        </w:rPr>
        <w:t xml:space="preserve">g the next day.  Each group was </w:t>
      </w:r>
      <w:r w:rsidRPr="00F64A2D">
        <w:rPr>
          <w:rFonts w:ascii="Arial" w:hAnsi="Arial" w:cs="Arial"/>
        </w:rPr>
        <w:t xml:space="preserve">fed three times daily a quantity of food in excess of daily needs to ensure adequate food intake.  </w:t>
      </w:r>
      <w:r>
        <w:rPr>
          <w:rFonts w:ascii="Arial" w:hAnsi="Arial" w:cs="Arial"/>
        </w:rPr>
        <w:t>T</w:t>
      </w:r>
      <w:r w:rsidRPr="00F64A2D">
        <w:rPr>
          <w:rFonts w:ascii="Arial" w:hAnsi="Arial" w:cs="Arial"/>
        </w:rPr>
        <w:t>he len</w:t>
      </w:r>
      <w:r>
        <w:rPr>
          <w:rFonts w:ascii="Arial" w:hAnsi="Arial" w:cs="Arial"/>
        </w:rPr>
        <w:t>gth of the feeding trial was 10 weeks.  Water was</w:t>
      </w:r>
      <w:r w:rsidRPr="00F64A2D">
        <w:rPr>
          <w:rFonts w:ascii="Arial" w:hAnsi="Arial" w:cs="Arial"/>
        </w:rPr>
        <w:t xml:space="preserve"> available at all times.  </w:t>
      </w:r>
    </w:p>
    <w:p w:rsidR="00330CF1" w:rsidRDefault="00330CF1" w:rsidP="00C343ED">
      <w:pPr>
        <w:pStyle w:val="Heading3"/>
        <w:rPr>
          <w:b w:val="0"/>
          <w:i w:val="0"/>
        </w:rPr>
      </w:pPr>
      <w:r>
        <w:rPr>
          <w:i w:val="0"/>
        </w:rPr>
        <w:t xml:space="preserve">Innate immune function evaluation: </w:t>
      </w:r>
      <w:r w:rsidRPr="00F34930">
        <w:rPr>
          <w:sz w:val="20"/>
          <w:szCs w:val="20"/>
        </w:rPr>
        <w:t xml:space="preserve"> </w:t>
      </w:r>
      <w:r w:rsidRPr="00F34930">
        <w:rPr>
          <w:b w:val="0"/>
          <w:i w:val="0"/>
          <w:szCs w:val="24"/>
        </w:rPr>
        <w:t>O</w:t>
      </w:r>
      <w:r>
        <w:rPr>
          <w:b w:val="0"/>
          <w:i w:val="0"/>
          <w:szCs w:val="24"/>
        </w:rPr>
        <w:t>n weeks 0, 5 and 10 of the feeding trial, 2.5 mL of whole blood was</w:t>
      </w:r>
      <w:r w:rsidRPr="00F34930">
        <w:rPr>
          <w:b w:val="0"/>
          <w:i w:val="0"/>
          <w:szCs w:val="24"/>
        </w:rPr>
        <w:t xml:space="preserve"> obtained by jugular venipuncture an</w:t>
      </w:r>
      <w:r>
        <w:rPr>
          <w:b w:val="0"/>
          <w:i w:val="0"/>
          <w:szCs w:val="24"/>
        </w:rPr>
        <w:t>d placed in a heparin tube.  1.0 mL of</w:t>
      </w:r>
      <w:r w:rsidRPr="00F34930">
        <w:rPr>
          <w:b w:val="0"/>
          <w:i w:val="0"/>
          <w:szCs w:val="24"/>
        </w:rPr>
        <w:t xml:space="preserve"> blood </w:t>
      </w:r>
      <w:r>
        <w:rPr>
          <w:b w:val="0"/>
          <w:i w:val="0"/>
          <w:szCs w:val="24"/>
        </w:rPr>
        <w:t>was</w:t>
      </w:r>
      <w:r w:rsidRPr="00F34930">
        <w:rPr>
          <w:b w:val="0"/>
          <w:i w:val="0"/>
          <w:szCs w:val="24"/>
        </w:rPr>
        <w:t xml:space="preserve"> analyzed immediately at the University of Tennessee Virology/Immunology Laboratory for quantitative determination of neutrophil pha</w:t>
      </w:r>
      <w:r>
        <w:rPr>
          <w:b w:val="0"/>
          <w:i w:val="0"/>
          <w:szCs w:val="24"/>
        </w:rPr>
        <w:t>gocytosis and oxidative burst.  1.0 mL of blood was collected in sodium heparin tube and spun down to obtain serum.  0.5 mL of blood was</w:t>
      </w:r>
      <w:r w:rsidRPr="006D39FD">
        <w:t xml:space="preserve"> </w:t>
      </w:r>
      <w:r>
        <w:rPr>
          <w:b w:val="0"/>
          <w:i w:val="0"/>
        </w:rPr>
        <w:t>collected in EDTA and submitted for a complete blood cell analysis</w:t>
      </w:r>
      <w:r w:rsidRPr="006D39FD">
        <w:rPr>
          <w:b w:val="0"/>
          <w:i w:val="0"/>
        </w:rPr>
        <w:t xml:space="preserve"> at the University of Tennessee Clinical Pathology Laboratory.</w:t>
      </w:r>
      <w:r>
        <w:rPr>
          <w:b w:val="0"/>
          <w:i w:val="0"/>
        </w:rPr>
        <w:t xml:space="preserve"> </w:t>
      </w:r>
    </w:p>
    <w:p w:rsidR="00330CF1" w:rsidRDefault="00330CF1" w:rsidP="00C343ED"/>
    <w:p w:rsidR="00330CF1" w:rsidRDefault="00330CF1" w:rsidP="00C343ED">
      <w:r>
        <w:t>_____________________________________________________</w:t>
      </w:r>
    </w:p>
    <w:p w:rsidR="00330CF1" w:rsidRPr="00C343ED" w:rsidRDefault="00330CF1" w:rsidP="00C343ED">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C343ED">
        <w:rPr>
          <w:rFonts w:ascii="Arial" w:hAnsi="Arial" w:cs="Arial"/>
          <w:sz w:val="20"/>
          <w:szCs w:val="20"/>
        </w:rPr>
        <w:t>Science Diet®- Kitten Healthy Development Liver and Chicken Entrée minced. Hill’s Pet Nutrition Inc.®, Topeka, KS</w:t>
      </w:r>
    </w:p>
    <w:p w:rsidR="00330CF1" w:rsidRPr="00C343ED" w:rsidRDefault="00330CF1" w:rsidP="00C343ED">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  </w:t>
      </w:r>
      <w:r w:rsidRPr="00C343ED">
        <w:rPr>
          <w:rFonts w:ascii="Arial" w:hAnsi="Arial" w:cs="Arial"/>
          <w:sz w:val="20"/>
          <w:szCs w:val="20"/>
        </w:rPr>
        <w:t>Science Diet®- Kitten Healthy Development Original dry cat food. Hill’s Pet Nutrition, Inc.®, Topeka, KS</w:t>
      </w:r>
    </w:p>
    <w:p w:rsidR="00330CF1" w:rsidRPr="000238DF" w:rsidRDefault="00330CF1" w:rsidP="00C343ED">
      <w:pPr>
        <w:rPr>
          <w:rFonts w:ascii="Arial" w:hAnsi="Arial" w:cs="Arial"/>
          <w:sz w:val="20"/>
          <w:szCs w:val="20"/>
        </w:rPr>
      </w:pPr>
      <w:r>
        <w:rPr>
          <w:rFonts w:ascii="Arial" w:hAnsi="Arial" w:cs="Arial"/>
          <w:sz w:val="20"/>
          <w:szCs w:val="20"/>
          <w:vertAlign w:val="superscript"/>
        </w:rPr>
        <w:t>3</w:t>
      </w:r>
      <w:r>
        <w:rPr>
          <w:rFonts w:ascii="Arial" w:hAnsi="Arial" w:cs="Arial"/>
          <w:sz w:val="20"/>
          <w:szCs w:val="20"/>
        </w:rPr>
        <w:t xml:space="preserve">  </w:t>
      </w:r>
      <w:r w:rsidRPr="000238DF">
        <w:rPr>
          <w:rFonts w:ascii="Arial" w:hAnsi="Arial" w:cs="Arial"/>
          <w:sz w:val="20"/>
          <w:szCs w:val="20"/>
        </w:rPr>
        <w:t>Evo – Turkey and Chicken Canned Cat and Kitten Cat Food. Natura Pet Foods, Santa Clara, CA</w:t>
      </w:r>
    </w:p>
    <w:p w:rsidR="00330CF1" w:rsidRPr="000238DF" w:rsidRDefault="00330CF1" w:rsidP="00C343ED">
      <w:pPr>
        <w:rPr>
          <w:rFonts w:ascii="Arial" w:hAnsi="Arial" w:cs="Arial"/>
          <w:sz w:val="20"/>
          <w:szCs w:val="20"/>
        </w:rPr>
      </w:pPr>
      <w:r>
        <w:rPr>
          <w:rFonts w:ascii="Arial" w:hAnsi="Arial" w:cs="Arial"/>
          <w:sz w:val="20"/>
          <w:szCs w:val="20"/>
          <w:vertAlign w:val="superscript"/>
        </w:rPr>
        <w:t>4</w:t>
      </w:r>
      <w:r>
        <w:rPr>
          <w:rFonts w:ascii="Arial" w:hAnsi="Arial" w:cs="Arial"/>
          <w:sz w:val="20"/>
          <w:szCs w:val="20"/>
        </w:rPr>
        <w:t xml:space="preserve">  </w:t>
      </w:r>
      <w:r w:rsidRPr="000238DF">
        <w:rPr>
          <w:rFonts w:ascii="Arial" w:hAnsi="Arial" w:cs="Arial"/>
          <w:sz w:val="20"/>
          <w:szCs w:val="20"/>
        </w:rPr>
        <w:t xml:space="preserve">Wild Kitty Raw All Natural Cat Food – Chicken and Clam frozen raw diet.  Wild Kitty Cat Food, </w:t>
      </w:r>
      <w:r>
        <w:rPr>
          <w:rFonts w:ascii="Arial" w:hAnsi="Arial" w:cs="Arial"/>
          <w:sz w:val="20"/>
          <w:szCs w:val="20"/>
        </w:rPr>
        <w:t xml:space="preserve">     </w:t>
      </w:r>
      <w:r w:rsidRPr="000238DF">
        <w:rPr>
          <w:rFonts w:ascii="Arial" w:hAnsi="Arial" w:cs="Arial"/>
          <w:sz w:val="20"/>
          <w:szCs w:val="20"/>
        </w:rPr>
        <w:t xml:space="preserve">Kennebunkport, ME. </w:t>
      </w:r>
    </w:p>
    <w:p w:rsidR="00330CF1" w:rsidRPr="000238DF" w:rsidRDefault="00330CF1" w:rsidP="00C343ED">
      <w:pPr>
        <w:rPr>
          <w:rFonts w:ascii="Arial" w:hAnsi="Arial" w:cs="Arial"/>
          <w:sz w:val="20"/>
          <w:szCs w:val="20"/>
        </w:rPr>
      </w:pPr>
      <w:r>
        <w:rPr>
          <w:rFonts w:ascii="Arial" w:hAnsi="Arial" w:cs="Arial"/>
          <w:sz w:val="20"/>
          <w:szCs w:val="20"/>
          <w:vertAlign w:val="superscript"/>
        </w:rPr>
        <w:t>5</w:t>
      </w:r>
      <w:r>
        <w:rPr>
          <w:rFonts w:ascii="Arial" w:hAnsi="Arial" w:cs="Arial"/>
          <w:sz w:val="20"/>
          <w:szCs w:val="20"/>
        </w:rPr>
        <w:t xml:space="preserve">  </w:t>
      </w:r>
      <w:r w:rsidRPr="000238DF">
        <w:rPr>
          <w:rFonts w:ascii="Arial" w:hAnsi="Arial" w:cs="Arial"/>
          <w:sz w:val="20"/>
          <w:szCs w:val="20"/>
        </w:rPr>
        <w:t>TCFeline Plus Cat Food Premix with beef liver.  TCFeline®, Salt Spring Island, BC, Canada</w:t>
      </w:r>
    </w:p>
    <w:p w:rsidR="00330CF1" w:rsidRPr="00D51D32" w:rsidRDefault="00330CF1" w:rsidP="00D51D32">
      <w:pPr>
        <w:rPr>
          <w:rFonts w:ascii="Arial" w:hAnsi="Arial" w:cs="Arial"/>
          <w:sz w:val="20"/>
          <w:szCs w:val="20"/>
        </w:rPr>
      </w:pPr>
      <w:r>
        <w:rPr>
          <w:rFonts w:ascii="Arial" w:hAnsi="Arial" w:cs="Arial"/>
          <w:sz w:val="20"/>
          <w:szCs w:val="20"/>
          <w:vertAlign w:val="superscript"/>
        </w:rPr>
        <w:t>6</w:t>
      </w:r>
      <w:r>
        <w:rPr>
          <w:rFonts w:ascii="Arial" w:hAnsi="Arial" w:cs="Arial"/>
          <w:sz w:val="20"/>
          <w:szCs w:val="20"/>
        </w:rPr>
        <w:t xml:space="preserve">  </w:t>
      </w:r>
      <w:r w:rsidRPr="000238DF">
        <w:rPr>
          <w:rFonts w:ascii="Arial" w:hAnsi="Arial" w:cs="Arial"/>
          <w:sz w:val="20"/>
          <w:szCs w:val="20"/>
        </w:rPr>
        <w:t>Tyson boneless, skinless chicken breast. Tyson Foods Inc., Springdale, AR</w:t>
      </w:r>
    </w:p>
    <w:p w:rsidR="00330CF1" w:rsidRDefault="00330CF1" w:rsidP="003B40BA">
      <w:pPr>
        <w:pStyle w:val="NormalWeb"/>
        <w:rPr>
          <w:rFonts w:ascii="Arial" w:hAnsi="Arial" w:cs="Arial"/>
          <w:b/>
          <w:bCs/>
          <w:i/>
        </w:rPr>
      </w:pPr>
    </w:p>
    <w:p w:rsidR="00330CF1" w:rsidRPr="006D39FD" w:rsidRDefault="00330CF1" w:rsidP="003B40BA">
      <w:pPr>
        <w:pStyle w:val="NormalWeb"/>
        <w:rPr>
          <w:rFonts w:ascii="Arial" w:hAnsi="Arial" w:cs="Arial"/>
        </w:rPr>
      </w:pPr>
      <w:r w:rsidRPr="003B40BA">
        <w:rPr>
          <w:rFonts w:ascii="Arial" w:hAnsi="Arial" w:cs="Arial"/>
          <w:b/>
          <w:bCs/>
          <w:i/>
        </w:rPr>
        <w:lastRenderedPageBreak/>
        <w:t>Phagocytosis</w:t>
      </w:r>
      <w:r w:rsidRPr="003B40BA">
        <w:rPr>
          <w:rFonts w:ascii="Arial" w:hAnsi="Arial" w:cs="Arial"/>
          <w:bCs/>
        </w:rPr>
        <w:t>:</w:t>
      </w:r>
      <w:r>
        <w:t xml:space="preserve"> </w:t>
      </w:r>
      <w:r w:rsidRPr="003B40BA">
        <w:rPr>
          <w:rFonts w:ascii="Arial" w:hAnsi="Arial" w:cs="Arial"/>
        </w:rPr>
        <w:t xml:space="preserve">The test for phagocytosis was carried out by </w:t>
      </w:r>
      <w:r>
        <w:rPr>
          <w:rFonts w:ascii="Arial" w:hAnsi="Arial" w:cs="Arial"/>
        </w:rPr>
        <w:t>using the Phagotest kit</w:t>
      </w:r>
      <w:r>
        <w:rPr>
          <w:rFonts w:ascii="Arial" w:hAnsi="Arial" w:cs="Arial"/>
          <w:vertAlign w:val="superscript"/>
        </w:rPr>
        <w:t>1</w:t>
      </w:r>
      <w:r>
        <w:rPr>
          <w:rFonts w:ascii="Arial" w:hAnsi="Arial" w:cs="Arial"/>
        </w:rPr>
        <w:t xml:space="preserve"> (ORPEGEN Pharma</w:t>
      </w:r>
      <w:r w:rsidRPr="003B40BA">
        <w:rPr>
          <w:rFonts w:ascii="Arial" w:hAnsi="Arial" w:cs="Arial"/>
        </w:rPr>
        <w:t xml:space="preserve">, Heidelberg, Germany). </w:t>
      </w:r>
      <w:r>
        <w:rPr>
          <w:rFonts w:ascii="Arial" w:hAnsi="Arial" w:cs="Arial"/>
        </w:rPr>
        <w:t xml:space="preserve"> </w:t>
      </w:r>
      <w:r w:rsidRPr="003B40BA">
        <w:rPr>
          <w:rFonts w:ascii="Arial" w:hAnsi="Arial" w:cs="Arial"/>
        </w:rPr>
        <w:t>One hundred microliters</w:t>
      </w:r>
      <w:r w:rsidRPr="003B40BA">
        <w:rPr>
          <w:rFonts w:ascii="Arial" w:hAnsi="Arial" w:cs="Arial"/>
          <w:vertAlign w:val="superscript"/>
        </w:rPr>
        <w:t xml:space="preserve"> </w:t>
      </w:r>
      <w:r w:rsidRPr="003B40BA">
        <w:rPr>
          <w:rFonts w:ascii="Arial" w:hAnsi="Arial" w:cs="Arial"/>
        </w:rPr>
        <w:t xml:space="preserve">of whole blood was mixed with </w:t>
      </w:r>
      <w:r w:rsidRPr="00AD7414">
        <w:rPr>
          <w:rFonts w:ascii="Arial" w:hAnsi="Arial" w:cs="Arial"/>
        </w:rPr>
        <w:t>2 × 10</w:t>
      </w:r>
      <w:r w:rsidRPr="00AD7414">
        <w:rPr>
          <w:rFonts w:ascii="Arial" w:hAnsi="Arial" w:cs="Arial"/>
          <w:vertAlign w:val="superscript"/>
        </w:rPr>
        <w:t>7</w:t>
      </w:r>
      <w:r w:rsidRPr="00AD7414">
        <w:rPr>
          <w:rFonts w:ascii="Arial" w:hAnsi="Arial" w:cs="Arial"/>
        </w:rPr>
        <w:t xml:space="preserve"> </w:t>
      </w:r>
      <w:r w:rsidRPr="003B40BA">
        <w:rPr>
          <w:rFonts w:ascii="Arial" w:hAnsi="Arial" w:cs="Arial"/>
        </w:rPr>
        <w:t xml:space="preserve">fluorescein isothiocyanate (FITC)-labeled </w:t>
      </w:r>
      <w:r w:rsidRPr="00BD7D53">
        <w:rPr>
          <w:rFonts w:ascii="Arial" w:hAnsi="Arial" w:cs="Arial"/>
          <w:i/>
          <w:iCs/>
        </w:rPr>
        <w:t>Escherichia coli</w:t>
      </w:r>
      <w:r w:rsidRPr="003B40BA">
        <w:rPr>
          <w:rFonts w:ascii="Arial" w:hAnsi="Arial" w:cs="Arial"/>
        </w:rPr>
        <w:t xml:space="preserve"> cells</w:t>
      </w:r>
      <w:r>
        <w:rPr>
          <w:rFonts w:ascii="Arial" w:hAnsi="Arial" w:cs="Arial"/>
        </w:rPr>
        <w:t xml:space="preserve"> at </w:t>
      </w:r>
      <w:r w:rsidRPr="003B40BA">
        <w:rPr>
          <w:rFonts w:ascii="Arial" w:hAnsi="Arial" w:cs="Arial"/>
        </w:rPr>
        <w:t>0°C.</w:t>
      </w:r>
      <w:r>
        <w:rPr>
          <w:rFonts w:ascii="Arial" w:hAnsi="Arial" w:cs="Arial"/>
        </w:rPr>
        <w:t xml:space="preserve"> </w:t>
      </w:r>
      <w:r w:rsidRPr="003B40BA">
        <w:rPr>
          <w:rFonts w:ascii="Arial" w:hAnsi="Arial" w:cs="Arial"/>
        </w:rPr>
        <w:t xml:space="preserve"> Mixtures of heparinized whole blood and bacteria were</w:t>
      </w:r>
      <w:r w:rsidRPr="003B40BA">
        <w:rPr>
          <w:rFonts w:ascii="Arial" w:hAnsi="Arial" w:cs="Arial"/>
          <w:vertAlign w:val="superscript"/>
        </w:rPr>
        <w:t xml:space="preserve"> </w:t>
      </w:r>
      <w:r w:rsidRPr="003B40BA">
        <w:rPr>
          <w:rFonts w:ascii="Arial" w:hAnsi="Arial" w:cs="Arial"/>
        </w:rPr>
        <w:t>incubated in a 37°C horizontal shaking water bath for 10 min.</w:t>
      </w:r>
      <w:r>
        <w:rPr>
          <w:rFonts w:ascii="Arial" w:hAnsi="Arial" w:cs="Arial"/>
          <w:vertAlign w:val="superscript"/>
        </w:rPr>
        <w:t xml:space="preserve"> </w:t>
      </w:r>
      <w:r>
        <w:rPr>
          <w:rFonts w:ascii="Arial" w:hAnsi="Arial" w:cs="Arial"/>
        </w:rPr>
        <w:t xml:space="preserve">  </w:t>
      </w:r>
      <w:r w:rsidRPr="003B40BA">
        <w:rPr>
          <w:rFonts w:ascii="Arial" w:hAnsi="Arial" w:cs="Arial"/>
        </w:rPr>
        <w:t xml:space="preserve">As a control, whole blood and FITC-labeled </w:t>
      </w:r>
      <w:r w:rsidRPr="00BD7D53">
        <w:rPr>
          <w:rFonts w:ascii="Arial" w:hAnsi="Arial" w:cs="Arial"/>
          <w:i/>
          <w:iCs/>
        </w:rPr>
        <w:t>E. coli</w:t>
      </w:r>
      <w:r w:rsidRPr="003B40BA">
        <w:rPr>
          <w:rFonts w:ascii="Arial" w:hAnsi="Arial" w:cs="Arial"/>
        </w:rPr>
        <w:t xml:space="preserve"> were incubated</w:t>
      </w:r>
      <w:r w:rsidRPr="003B40BA">
        <w:rPr>
          <w:rFonts w:ascii="Arial" w:hAnsi="Arial" w:cs="Arial"/>
          <w:vertAlign w:val="superscript"/>
        </w:rPr>
        <w:t xml:space="preserve"> </w:t>
      </w:r>
      <w:r w:rsidRPr="003B40BA">
        <w:rPr>
          <w:rFonts w:ascii="Arial" w:hAnsi="Arial" w:cs="Arial"/>
        </w:rPr>
        <w:t xml:space="preserve">at 0°C to reduce the phagocytic potential to a minimum. </w:t>
      </w:r>
      <w:r>
        <w:rPr>
          <w:rFonts w:ascii="Arial" w:hAnsi="Arial" w:cs="Arial"/>
        </w:rPr>
        <w:t xml:space="preserve"> </w:t>
      </w:r>
      <w:r w:rsidRPr="003B40BA">
        <w:rPr>
          <w:rFonts w:ascii="Arial" w:hAnsi="Arial" w:cs="Arial"/>
        </w:rPr>
        <w:t>The fluorescence</w:t>
      </w:r>
      <w:r w:rsidRPr="003B40BA">
        <w:rPr>
          <w:rFonts w:ascii="Arial" w:hAnsi="Arial" w:cs="Arial"/>
          <w:vertAlign w:val="superscript"/>
        </w:rPr>
        <w:t xml:space="preserve"> </w:t>
      </w:r>
      <w:r w:rsidRPr="003B40BA">
        <w:rPr>
          <w:rFonts w:ascii="Arial" w:hAnsi="Arial" w:cs="Arial"/>
        </w:rPr>
        <w:t>of the attached bacteria on the cell surface was quenched by using</w:t>
      </w:r>
      <w:r w:rsidRPr="003B40BA">
        <w:rPr>
          <w:rFonts w:ascii="Arial" w:hAnsi="Arial" w:cs="Arial"/>
          <w:vertAlign w:val="superscript"/>
        </w:rPr>
        <w:t xml:space="preserve"> </w:t>
      </w:r>
      <w:r w:rsidRPr="003B40BA">
        <w:rPr>
          <w:rFonts w:ascii="Arial" w:hAnsi="Arial" w:cs="Arial"/>
        </w:rPr>
        <w:t xml:space="preserve">100 µl of </w:t>
      </w:r>
      <w:r w:rsidRPr="00AD7414">
        <w:rPr>
          <w:rFonts w:ascii="Arial" w:hAnsi="Arial" w:cs="Arial"/>
        </w:rPr>
        <w:t xml:space="preserve">Coomassie brilliant blue. </w:t>
      </w:r>
      <w:r w:rsidRPr="00AD7414">
        <w:rPr>
          <w:rFonts w:ascii="Arial" w:hAnsi="Arial" w:cs="Arial"/>
          <w:b/>
          <w:bCs/>
        </w:rPr>
        <w:t xml:space="preserve"> </w:t>
      </w:r>
      <w:r>
        <w:rPr>
          <w:rFonts w:ascii="Arial" w:hAnsi="Arial" w:cs="Arial"/>
          <w:b/>
          <w:bCs/>
        </w:rPr>
        <w:t xml:space="preserve"> </w:t>
      </w:r>
      <w:r w:rsidRPr="003B40BA">
        <w:rPr>
          <w:rFonts w:ascii="Arial" w:hAnsi="Arial" w:cs="Arial"/>
        </w:rPr>
        <w:t>After two washes, erythrocytes</w:t>
      </w:r>
      <w:r w:rsidRPr="003B40BA">
        <w:rPr>
          <w:rFonts w:ascii="Arial" w:hAnsi="Arial" w:cs="Arial"/>
          <w:vertAlign w:val="superscript"/>
        </w:rPr>
        <w:t xml:space="preserve"> </w:t>
      </w:r>
      <w:r w:rsidRPr="003B40BA">
        <w:rPr>
          <w:rFonts w:ascii="Arial" w:hAnsi="Arial" w:cs="Arial"/>
        </w:rPr>
        <w:t>were lysed by adding lysing solution for 20 min at room temperature,</w:t>
      </w:r>
      <w:r w:rsidRPr="003B40BA">
        <w:rPr>
          <w:rFonts w:ascii="Arial" w:hAnsi="Arial" w:cs="Arial"/>
          <w:vertAlign w:val="superscript"/>
        </w:rPr>
        <w:t xml:space="preserve"> </w:t>
      </w:r>
      <w:r w:rsidRPr="003B40BA">
        <w:rPr>
          <w:rFonts w:ascii="Arial" w:hAnsi="Arial" w:cs="Arial"/>
        </w:rPr>
        <w:t xml:space="preserve">after which </w:t>
      </w:r>
      <w:r w:rsidRPr="00AD7414">
        <w:rPr>
          <w:rFonts w:ascii="Arial" w:hAnsi="Arial" w:cs="Arial"/>
        </w:rPr>
        <w:t xml:space="preserve">propidium iodide </w:t>
      </w:r>
      <w:r>
        <w:rPr>
          <w:rFonts w:ascii="Arial" w:hAnsi="Arial" w:cs="Arial"/>
        </w:rPr>
        <w:t>was added to stain the DNA</w:t>
      </w:r>
      <w:r w:rsidRPr="003B40BA">
        <w:rPr>
          <w:rFonts w:ascii="Arial" w:hAnsi="Arial" w:cs="Arial"/>
        </w:rPr>
        <w:t xml:space="preserve"> of the</w:t>
      </w:r>
      <w:r w:rsidRPr="003B40BA">
        <w:rPr>
          <w:rFonts w:ascii="Arial" w:hAnsi="Arial" w:cs="Arial"/>
          <w:vertAlign w:val="superscript"/>
        </w:rPr>
        <w:t xml:space="preserve"> </w:t>
      </w:r>
      <w:r w:rsidRPr="003B40BA">
        <w:rPr>
          <w:rFonts w:ascii="Arial" w:hAnsi="Arial" w:cs="Arial"/>
        </w:rPr>
        <w:t xml:space="preserve">bacteria and the cells. </w:t>
      </w:r>
    </w:p>
    <w:p w:rsidR="00330CF1" w:rsidRPr="003B40BA" w:rsidRDefault="00330CF1" w:rsidP="003B40BA">
      <w:pPr>
        <w:pStyle w:val="NormalWeb"/>
        <w:rPr>
          <w:rFonts w:ascii="Arial" w:hAnsi="Arial" w:cs="Arial"/>
        </w:rPr>
      </w:pPr>
      <w:r>
        <w:rPr>
          <w:rFonts w:ascii="Arial" w:hAnsi="Arial" w:cs="Arial"/>
          <w:b/>
          <w:bCs/>
          <w:i/>
        </w:rPr>
        <w:t>Oxidative b</w:t>
      </w:r>
      <w:r w:rsidRPr="003B40BA">
        <w:rPr>
          <w:rFonts w:ascii="Arial" w:hAnsi="Arial" w:cs="Arial"/>
          <w:b/>
          <w:bCs/>
          <w:i/>
        </w:rPr>
        <w:t>urst</w:t>
      </w:r>
      <w:r>
        <w:rPr>
          <w:b/>
          <w:bCs/>
          <w:i/>
        </w:rPr>
        <w:t xml:space="preserve">: </w:t>
      </w:r>
      <w:r>
        <w:rPr>
          <w:rFonts w:ascii="Arial" w:hAnsi="Arial" w:cs="Arial"/>
        </w:rPr>
        <w:t>The production of reactive oxygen species (ROS)</w:t>
      </w:r>
      <w:r w:rsidRPr="003B40BA">
        <w:rPr>
          <w:rFonts w:ascii="Arial" w:hAnsi="Arial" w:cs="Arial"/>
        </w:rPr>
        <w:t xml:space="preserve"> was determined with the Bursttest kit</w:t>
      </w:r>
      <w:r>
        <w:rPr>
          <w:rFonts w:ascii="Arial" w:hAnsi="Arial" w:cs="Arial"/>
          <w:vertAlign w:val="superscript"/>
        </w:rPr>
        <w:t>2</w:t>
      </w:r>
      <w:r w:rsidRPr="003B40BA">
        <w:rPr>
          <w:rFonts w:ascii="Arial" w:hAnsi="Arial" w:cs="Arial"/>
        </w:rPr>
        <w:t xml:space="preserve"> (O</w:t>
      </w:r>
      <w:r>
        <w:rPr>
          <w:rFonts w:ascii="Arial" w:hAnsi="Arial" w:cs="Arial"/>
        </w:rPr>
        <w:t>RPEGEN Pharma, Germany</w:t>
      </w:r>
      <w:r w:rsidRPr="003B40BA">
        <w:rPr>
          <w:rFonts w:ascii="Arial" w:hAnsi="Arial" w:cs="Arial"/>
        </w:rPr>
        <w:t>).</w:t>
      </w:r>
      <w:r>
        <w:rPr>
          <w:rFonts w:ascii="Arial" w:hAnsi="Arial" w:cs="Arial"/>
        </w:rPr>
        <w:t xml:space="preserve"> </w:t>
      </w:r>
      <w:r w:rsidRPr="003B40BA">
        <w:rPr>
          <w:rFonts w:ascii="Arial" w:hAnsi="Arial" w:cs="Arial"/>
        </w:rPr>
        <w:t xml:space="preserve"> One hundred microliters of whole blood was mixed with</w:t>
      </w:r>
      <w:r w:rsidRPr="003B40BA">
        <w:rPr>
          <w:rFonts w:ascii="Arial" w:hAnsi="Arial" w:cs="Arial"/>
          <w:vertAlign w:val="superscript"/>
        </w:rPr>
        <w:t xml:space="preserve"> </w:t>
      </w:r>
      <w:r w:rsidRPr="003B40BA">
        <w:rPr>
          <w:rFonts w:ascii="Arial" w:hAnsi="Arial" w:cs="Arial"/>
        </w:rPr>
        <w:t>2 × 10</w:t>
      </w:r>
      <w:r w:rsidRPr="003B40BA">
        <w:rPr>
          <w:rFonts w:ascii="Arial" w:hAnsi="Arial" w:cs="Arial"/>
          <w:vertAlign w:val="superscript"/>
        </w:rPr>
        <w:t>7</w:t>
      </w:r>
      <w:r w:rsidRPr="003B40BA">
        <w:rPr>
          <w:rFonts w:ascii="Arial" w:hAnsi="Arial" w:cs="Arial"/>
        </w:rPr>
        <w:t xml:space="preserve"> unlabeled </w:t>
      </w:r>
      <w:r w:rsidRPr="003B40BA">
        <w:rPr>
          <w:rFonts w:ascii="Arial" w:hAnsi="Arial" w:cs="Arial"/>
          <w:i/>
          <w:iCs/>
        </w:rPr>
        <w:t>E. coli</w:t>
      </w:r>
      <w:r w:rsidRPr="003B40BA">
        <w:rPr>
          <w:rFonts w:ascii="Arial" w:hAnsi="Arial" w:cs="Arial"/>
        </w:rPr>
        <w:t xml:space="preserve"> cells</w:t>
      </w:r>
      <w:r>
        <w:rPr>
          <w:rFonts w:ascii="Arial" w:hAnsi="Arial" w:cs="Arial"/>
        </w:rPr>
        <w:t xml:space="preserve"> and another 100 microliters was mixed with phorbol myristate acetate (PMA)</w:t>
      </w:r>
      <w:r w:rsidRPr="003B40BA">
        <w:rPr>
          <w:rFonts w:ascii="Arial" w:hAnsi="Arial" w:cs="Arial"/>
        </w:rPr>
        <w:t xml:space="preserve"> at 0°C.</w:t>
      </w:r>
      <w:r>
        <w:rPr>
          <w:rFonts w:ascii="Arial" w:hAnsi="Arial" w:cs="Arial"/>
        </w:rPr>
        <w:t xml:space="preserve"> </w:t>
      </w:r>
      <w:r w:rsidRPr="003B40BA">
        <w:rPr>
          <w:rFonts w:ascii="Arial" w:hAnsi="Arial" w:cs="Arial"/>
        </w:rPr>
        <w:t xml:space="preserve"> Mixtures of heparinized whole</w:t>
      </w:r>
      <w:r w:rsidRPr="003B40BA">
        <w:rPr>
          <w:rFonts w:ascii="Arial" w:hAnsi="Arial" w:cs="Arial"/>
          <w:vertAlign w:val="superscript"/>
        </w:rPr>
        <w:t xml:space="preserve"> </w:t>
      </w:r>
      <w:r w:rsidRPr="003B40BA">
        <w:rPr>
          <w:rFonts w:ascii="Arial" w:hAnsi="Arial" w:cs="Arial"/>
        </w:rPr>
        <w:t>blood and bacteria</w:t>
      </w:r>
      <w:r>
        <w:rPr>
          <w:rFonts w:ascii="Arial" w:hAnsi="Arial" w:cs="Arial"/>
        </w:rPr>
        <w:t xml:space="preserve"> or PMA</w:t>
      </w:r>
      <w:r w:rsidRPr="003B40BA">
        <w:rPr>
          <w:rFonts w:ascii="Arial" w:hAnsi="Arial" w:cs="Arial"/>
        </w:rPr>
        <w:t xml:space="preserve"> were incubated in a 37°C horizontal shaking</w:t>
      </w:r>
      <w:r w:rsidRPr="003B40BA">
        <w:rPr>
          <w:rFonts w:ascii="Arial" w:hAnsi="Arial" w:cs="Arial"/>
          <w:vertAlign w:val="superscript"/>
        </w:rPr>
        <w:t xml:space="preserve"> </w:t>
      </w:r>
      <w:r w:rsidRPr="003B40BA">
        <w:rPr>
          <w:rFonts w:ascii="Arial" w:hAnsi="Arial" w:cs="Arial"/>
        </w:rPr>
        <w:t>water bath for 10 min.</w:t>
      </w:r>
      <w:r>
        <w:rPr>
          <w:rFonts w:ascii="Arial" w:hAnsi="Arial" w:cs="Arial"/>
        </w:rPr>
        <w:t xml:space="preserve"> </w:t>
      </w:r>
      <w:r w:rsidRPr="003B40BA">
        <w:rPr>
          <w:rFonts w:ascii="Arial" w:hAnsi="Arial" w:cs="Arial"/>
        </w:rPr>
        <w:t xml:space="preserve"> As a control, whole blood was incubated</w:t>
      </w:r>
      <w:r w:rsidRPr="003B40BA">
        <w:rPr>
          <w:rFonts w:ascii="Arial" w:hAnsi="Arial" w:cs="Arial"/>
          <w:vertAlign w:val="superscript"/>
        </w:rPr>
        <w:t xml:space="preserve"> </w:t>
      </w:r>
      <w:r w:rsidRPr="003B40BA">
        <w:rPr>
          <w:rFonts w:ascii="Arial" w:hAnsi="Arial" w:cs="Arial"/>
        </w:rPr>
        <w:t>with 20 µl of wash solution. Dihydrorhodamine (DHR) was added</w:t>
      </w:r>
      <w:r w:rsidRPr="003B40BA">
        <w:rPr>
          <w:rFonts w:ascii="Arial" w:hAnsi="Arial" w:cs="Arial"/>
          <w:vertAlign w:val="superscript"/>
        </w:rPr>
        <w:t xml:space="preserve"> </w:t>
      </w:r>
      <w:r w:rsidRPr="003B40BA">
        <w:rPr>
          <w:rFonts w:ascii="Arial" w:hAnsi="Arial" w:cs="Arial"/>
        </w:rPr>
        <w:t>to the samples at 37°C, and incubation was continued for a further</w:t>
      </w:r>
      <w:r w:rsidRPr="003B40BA">
        <w:rPr>
          <w:rFonts w:ascii="Arial" w:hAnsi="Arial" w:cs="Arial"/>
          <w:vertAlign w:val="superscript"/>
        </w:rPr>
        <w:t xml:space="preserve"> </w:t>
      </w:r>
      <w:r w:rsidRPr="003B40BA">
        <w:rPr>
          <w:rFonts w:ascii="Arial" w:hAnsi="Arial" w:cs="Arial"/>
        </w:rPr>
        <w:t>10 min in order to allow nonfluorescent DHR to convert to fluorescent</w:t>
      </w:r>
      <w:r w:rsidRPr="003B40BA">
        <w:rPr>
          <w:rFonts w:ascii="Arial" w:hAnsi="Arial" w:cs="Arial"/>
          <w:vertAlign w:val="superscript"/>
        </w:rPr>
        <w:t xml:space="preserve"> </w:t>
      </w:r>
      <w:r w:rsidRPr="003B40BA">
        <w:rPr>
          <w:rFonts w:ascii="Arial" w:hAnsi="Arial" w:cs="Arial"/>
        </w:rPr>
        <w:t>rhodamine</w:t>
      </w:r>
      <w:r>
        <w:rPr>
          <w:rFonts w:ascii="Arial" w:hAnsi="Arial" w:cs="Arial"/>
        </w:rPr>
        <w:t xml:space="preserve"> 123 upon the production of ROS</w:t>
      </w:r>
      <w:r w:rsidRPr="003B40BA">
        <w:rPr>
          <w:rFonts w:ascii="Arial" w:hAnsi="Arial" w:cs="Arial"/>
        </w:rPr>
        <w:t>.</w:t>
      </w:r>
      <w:r>
        <w:rPr>
          <w:rFonts w:ascii="Arial" w:hAnsi="Arial" w:cs="Arial"/>
        </w:rPr>
        <w:t xml:space="preserve"> </w:t>
      </w:r>
      <w:r w:rsidRPr="003B40BA">
        <w:rPr>
          <w:rFonts w:ascii="Arial" w:hAnsi="Arial" w:cs="Arial"/>
        </w:rPr>
        <w:t xml:space="preserve"> Lysing solution was</w:t>
      </w:r>
      <w:r w:rsidRPr="003B40BA">
        <w:rPr>
          <w:rFonts w:ascii="Arial" w:hAnsi="Arial" w:cs="Arial"/>
          <w:vertAlign w:val="superscript"/>
        </w:rPr>
        <w:t xml:space="preserve"> </w:t>
      </w:r>
      <w:r w:rsidRPr="003B40BA">
        <w:rPr>
          <w:rFonts w:ascii="Arial" w:hAnsi="Arial" w:cs="Arial"/>
        </w:rPr>
        <w:t xml:space="preserve">added for 20 min at room temperature. </w:t>
      </w:r>
      <w:r>
        <w:rPr>
          <w:rFonts w:ascii="Arial" w:hAnsi="Arial" w:cs="Arial"/>
        </w:rPr>
        <w:t xml:space="preserve"> </w:t>
      </w:r>
      <w:r w:rsidRPr="003B40BA">
        <w:rPr>
          <w:rFonts w:ascii="Arial" w:hAnsi="Arial" w:cs="Arial"/>
        </w:rPr>
        <w:t>After washing, 100 µl of</w:t>
      </w:r>
      <w:r w:rsidRPr="003B40BA">
        <w:rPr>
          <w:rFonts w:ascii="Arial" w:hAnsi="Arial" w:cs="Arial"/>
          <w:vertAlign w:val="superscript"/>
        </w:rPr>
        <w:t xml:space="preserve"> </w:t>
      </w:r>
      <w:r w:rsidRPr="003B40BA">
        <w:rPr>
          <w:rFonts w:ascii="Arial" w:hAnsi="Arial" w:cs="Arial"/>
        </w:rPr>
        <w:t>propidium iodide was ad</w:t>
      </w:r>
      <w:r>
        <w:rPr>
          <w:rFonts w:ascii="Arial" w:hAnsi="Arial" w:cs="Arial"/>
        </w:rPr>
        <w:t>ded to stain the DNA</w:t>
      </w:r>
      <w:r w:rsidRPr="003B40BA">
        <w:rPr>
          <w:rFonts w:ascii="Arial" w:hAnsi="Arial" w:cs="Arial"/>
        </w:rPr>
        <w:t xml:space="preserve"> of the bacteria and</w:t>
      </w:r>
      <w:r w:rsidRPr="003B40BA">
        <w:rPr>
          <w:rFonts w:ascii="Arial" w:hAnsi="Arial" w:cs="Arial"/>
          <w:vertAlign w:val="superscript"/>
        </w:rPr>
        <w:t xml:space="preserve"> </w:t>
      </w:r>
      <w:r w:rsidRPr="003B40BA">
        <w:rPr>
          <w:rFonts w:ascii="Arial" w:hAnsi="Arial" w:cs="Arial"/>
        </w:rPr>
        <w:t xml:space="preserve">the cells. </w:t>
      </w:r>
    </w:p>
    <w:p w:rsidR="00330CF1" w:rsidRPr="003B40BA" w:rsidRDefault="00330CF1" w:rsidP="003B40BA">
      <w:pPr>
        <w:pStyle w:val="NormalWeb"/>
        <w:rPr>
          <w:rFonts w:ascii="Arial" w:hAnsi="Arial" w:cs="Arial"/>
        </w:rPr>
      </w:pPr>
      <w:r>
        <w:rPr>
          <w:rFonts w:ascii="Arial" w:hAnsi="Arial" w:cs="Arial"/>
          <w:b/>
          <w:bCs/>
          <w:i/>
        </w:rPr>
        <w:t>Flow c</w:t>
      </w:r>
      <w:r w:rsidRPr="003B40BA">
        <w:rPr>
          <w:rFonts w:ascii="Arial" w:hAnsi="Arial" w:cs="Arial"/>
          <w:b/>
          <w:bCs/>
          <w:i/>
        </w:rPr>
        <w:t>ytometry</w:t>
      </w:r>
      <w:r>
        <w:rPr>
          <w:rFonts w:ascii="Arial" w:hAnsi="Arial" w:cs="Arial"/>
          <w:b/>
          <w:bCs/>
          <w:i/>
        </w:rPr>
        <w:t>:</w:t>
      </w:r>
      <w:r>
        <w:rPr>
          <w:rFonts w:ascii="Arial" w:hAnsi="Arial" w:cs="Arial"/>
        </w:rPr>
        <w:t xml:space="preserve"> A minimum of two</w:t>
      </w:r>
      <w:r w:rsidRPr="003B40BA">
        <w:rPr>
          <w:rFonts w:ascii="Arial" w:hAnsi="Arial" w:cs="Arial"/>
        </w:rPr>
        <w:t xml:space="preserve"> thousand leukocytes were collect</w:t>
      </w:r>
      <w:r>
        <w:rPr>
          <w:rFonts w:ascii="Arial" w:hAnsi="Arial" w:cs="Arial"/>
        </w:rPr>
        <w:t>ed from each sample on an Epics XL</w:t>
      </w:r>
      <w:r w:rsidRPr="003B40BA">
        <w:rPr>
          <w:rFonts w:ascii="Arial" w:hAnsi="Arial" w:cs="Arial"/>
        </w:rPr>
        <w:t xml:space="preserve"> flow cytometer</w:t>
      </w:r>
      <w:r>
        <w:rPr>
          <w:rFonts w:ascii="Arial" w:hAnsi="Arial" w:cs="Arial"/>
        </w:rPr>
        <w:t xml:space="preserve"> (Beckman Inc., Miami, FL)</w:t>
      </w:r>
      <w:r w:rsidRPr="003B40BA">
        <w:rPr>
          <w:rFonts w:ascii="Arial" w:hAnsi="Arial" w:cs="Arial"/>
        </w:rPr>
        <w:t xml:space="preserve">. </w:t>
      </w:r>
      <w:r>
        <w:rPr>
          <w:rFonts w:ascii="Arial" w:hAnsi="Arial" w:cs="Arial"/>
        </w:rPr>
        <w:t xml:space="preserve"> </w:t>
      </w:r>
      <w:r w:rsidRPr="003B40BA">
        <w:rPr>
          <w:rFonts w:ascii="Arial" w:hAnsi="Arial" w:cs="Arial"/>
        </w:rPr>
        <w:t>The instrument was calibrated and standardized</w:t>
      </w:r>
      <w:r w:rsidRPr="003B40BA">
        <w:rPr>
          <w:rFonts w:ascii="Arial" w:hAnsi="Arial" w:cs="Arial"/>
          <w:vertAlign w:val="superscript"/>
        </w:rPr>
        <w:t xml:space="preserve"> </w:t>
      </w:r>
      <w:r w:rsidRPr="003B40BA">
        <w:rPr>
          <w:rFonts w:ascii="Arial" w:hAnsi="Arial" w:cs="Arial"/>
        </w:rPr>
        <w:t>between each analysis</w:t>
      </w:r>
      <w:r w:rsidRPr="00F662CF">
        <w:rPr>
          <w:rFonts w:ascii="Arial" w:hAnsi="Arial" w:cs="Arial"/>
          <w:color w:val="FF0000"/>
        </w:rPr>
        <w:t xml:space="preserve">. </w:t>
      </w:r>
      <w:r w:rsidRPr="003B40BA">
        <w:rPr>
          <w:rFonts w:ascii="Arial" w:hAnsi="Arial" w:cs="Arial"/>
        </w:rPr>
        <w:t xml:space="preserve"> All sample analysis was performed</w:t>
      </w:r>
      <w:r w:rsidRPr="003B40BA">
        <w:rPr>
          <w:rFonts w:ascii="Arial" w:hAnsi="Arial" w:cs="Arial"/>
          <w:vertAlign w:val="superscript"/>
        </w:rPr>
        <w:t xml:space="preserve"> </w:t>
      </w:r>
      <w:r>
        <w:rPr>
          <w:rFonts w:ascii="Arial" w:hAnsi="Arial" w:cs="Arial"/>
        </w:rPr>
        <w:t>with Expo 32 ADC software (Beckman Inc. Miami, FL</w:t>
      </w:r>
      <w:r w:rsidRPr="003B40BA">
        <w:rPr>
          <w:rFonts w:ascii="Arial" w:hAnsi="Arial" w:cs="Arial"/>
        </w:rPr>
        <w:t xml:space="preserve">). </w:t>
      </w:r>
      <w:r>
        <w:rPr>
          <w:rFonts w:ascii="Arial" w:hAnsi="Arial" w:cs="Arial"/>
        </w:rPr>
        <w:t xml:space="preserve"> </w:t>
      </w:r>
      <w:r w:rsidRPr="003B40BA">
        <w:rPr>
          <w:rFonts w:ascii="Arial" w:hAnsi="Arial" w:cs="Arial"/>
        </w:rPr>
        <w:t>The granulocyte populations</w:t>
      </w:r>
      <w:r w:rsidRPr="003B40BA">
        <w:rPr>
          <w:rFonts w:ascii="Arial" w:hAnsi="Arial" w:cs="Arial"/>
          <w:vertAlign w:val="superscript"/>
        </w:rPr>
        <w:t xml:space="preserve"> </w:t>
      </w:r>
      <w:r w:rsidRPr="003B40BA">
        <w:rPr>
          <w:rFonts w:ascii="Arial" w:hAnsi="Arial" w:cs="Arial"/>
        </w:rPr>
        <w:t>were gated by using their forward- and side-scatter dot plots.</w:t>
      </w:r>
      <w:r>
        <w:rPr>
          <w:rFonts w:ascii="Arial" w:hAnsi="Arial" w:cs="Arial"/>
        </w:rPr>
        <w:t xml:space="preserve">  </w:t>
      </w:r>
      <w:r w:rsidRPr="003B40BA">
        <w:rPr>
          <w:rFonts w:ascii="Arial" w:hAnsi="Arial" w:cs="Arial"/>
        </w:rPr>
        <w:t>During fluorescence-activated cell sorter analysis, free bacteria</w:t>
      </w:r>
      <w:r w:rsidRPr="003B40BA">
        <w:rPr>
          <w:rFonts w:ascii="Arial" w:hAnsi="Arial" w:cs="Arial"/>
          <w:vertAlign w:val="superscript"/>
        </w:rPr>
        <w:t xml:space="preserve"> </w:t>
      </w:r>
      <w:r w:rsidRPr="003B40BA">
        <w:rPr>
          <w:rFonts w:ascii="Arial" w:hAnsi="Arial" w:cs="Arial"/>
        </w:rPr>
        <w:t>an</w:t>
      </w:r>
      <w:r>
        <w:rPr>
          <w:rFonts w:ascii="Arial" w:hAnsi="Arial" w:cs="Arial"/>
        </w:rPr>
        <w:t>d aggregates of bacteria were</w:t>
      </w:r>
      <w:r w:rsidRPr="003B40BA">
        <w:rPr>
          <w:rFonts w:ascii="Arial" w:hAnsi="Arial" w:cs="Arial"/>
        </w:rPr>
        <w:t xml:space="preserve"> separated from leukocytes </w:t>
      </w:r>
      <w:r>
        <w:rPr>
          <w:rFonts w:ascii="Arial" w:hAnsi="Arial" w:cs="Arial"/>
        </w:rPr>
        <w:t>due to</w:t>
      </w:r>
      <w:r w:rsidRPr="003B40BA">
        <w:rPr>
          <w:rFonts w:ascii="Arial" w:hAnsi="Arial" w:cs="Arial"/>
        </w:rPr>
        <w:t xml:space="preserve"> their much lower DNA content compared to that of eukaryotic</w:t>
      </w:r>
      <w:r w:rsidRPr="003B40BA">
        <w:rPr>
          <w:rFonts w:ascii="Arial" w:hAnsi="Arial" w:cs="Arial"/>
          <w:vertAlign w:val="superscript"/>
        </w:rPr>
        <w:t xml:space="preserve"> </w:t>
      </w:r>
      <w:r w:rsidRPr="003B40BA">
        <w:rPr>
          <w:rFonts w:ascii="Arial" w:hAnsi="Arial" w:cs="Arial"/>
        </w:rPr>
        <w:t>cells.</w:t>
      </w:r>
      <w:r>
        <w:rPr>
          <w:rFonts w:ascii="Arial" w:hAnsi="Arial" w:cs="Arial"/>
        </w:rPr>
        <w:t xml:space="preserve"> </w:t>
      </w:r>
      <w:r w:rsidRPr="003B40BA">
        <w:rPr>
          <w:rFonts w:ascii="Arial" w:hAnsi="Arial" w:cs="Arial"/>
        </w:rPr>
        <w:t xml:space="preserve"> Phagocytosis and oxidative burst were monitored by determining the proportion of cells fluorescin</w:t>
      </w:r>
      <w:r>
        <w:rPr>
          <w:rFonts w:ascii="Arial" w:hAnsi="Arial" w:cs="Arial"/>
        </w:rPr>
        <w:t>g</w:t>
      </w:r>
      <w:r w:rsidRPr="003B40BA">
        <w:rPr>
          <w:rFonts w:ascii="Arial" w:hAnsi="Arial" w:cs="Arial"/>
        </w:rPr>
        <w:t>.</w:t>
      </w:r>
      <w:r w:rsidRPr="003B40BA">
        <w:rPr>
          <w:rFonts w:ascii="Arial" w:hAnsi="Arial" w:cs="Arial"/>
          <w:vertAlign w:val="superscript"/>
        </w:rPr>
        <w:t xml:space="preserve"> </w:t>
      </w:r>
    </w:p>
    <w:p w:rsidR="00330CF1" w:rsidRDefault="00330CF1" w:rsidP="0051596D">
      <w:pPr>
        <w:pStyle w:val="Heading3"/>
        <w:rPr>
          <w:b w:val="0"/>
          <w:i w:val="0"/>
          <w:szCs w:val="24"/>
        </w:rPr>
      </w:pPr>
      <w:r>
        <w:rPr>
          <w:i w:val="0"/>
        </w:rPr>
        <w:t xml:space="preserve">Humoral immune function evaluation: </w:t>
      </w:r>
      <w:r>
        <w:rPr>
          <w:b w:val="0"/>
          <w:i w:val="0"/>
          <w:szCs w:val="24"/>
        </w:rPr>
        <w:t>Feline Viral Rhinotracheitis,Calicivirus, and Panleukopenia virus vaccines</w:t>
      </w:r>
      <w:r>
        <w:rPr>
          <w:b w:val="0"/>
          <w:i w:val="0"/>
          <w:szCs w:val="24"/>
          <w:vertAlign w:val="superscript"/>
        </w:rPr>
        <w:t>3</w:t>
      </w:r>
      <w:r>
        <w:rPr>
          <w:b w:val="0"/>
          <w:i w:val="0"/>
          <w:szCs w:val="24"/>
        </w:rPr>
        <w:t xml:space="preserve"> were</w:t>
      </w:r>
      <w:r w:rsidRPr="00593609">
        <w:rPr>
          <w:b w:val="0"/>
          <w:i w:val="0"/>
          <w:szCs w:val="24"/>
        </w:rPr>
        <w:t xml:space="preserve"> given at weeks 5 and </w:t>
      </w:r>
      <w:r>
        <w:rPr>
          <w:b w:val="0"/>
          <w:i w:val="0"/>
          <w:szCs w:val="24"/>
        </w:rPr>
        <w:t>8.  Whole blood (1.0 ml) was</w:t>
      </w:r>
      <w:r w:rsidRPr="00593609">
        <w:rPr>
          <w:b w:val="0"/>
          <w:i w:val="0"/>
          <w:szCs w:val="24"/>
        </w:rPr>
        <w:t xml:space="preserve"> obtained by jugular venipuncture at weeks 0, 5 and 10 for serum total IgG/IgM determination and specific Herpes Ig</w:t>
      </w:r>
      <w:r>
        <w:rPr>
          <w:b w:val="0"/>
          <w:i w:val="0"/>
          <w:szCs w:val="24"/>
        </w:rPr>
        <w:t>G levels.  The serum was</w:t>
      </w:r>
      <w:r w:rsidRPr="00593609">
        <w:rPr>
          <w:b w:val="0"/>
          <w:i w:val="0"/>
          <w:szCs w:val="24"/>
        </w:rPr>
        <w:t xml:space="preserve"> frozen</w:t>
      </w:r>
      <w:r>
        <w:rPr>
          <w:b w:val="0"/>
          <w:i w:val="0"/>
          <w:szCs w:val="24"/>
        </w:rPr>
        <w:t xml:space="preserve"> at -20° C. and samples were</w:t>
      </w:r>
      <w:r w:rsidRPr="00593609">
        <w:rPr>
          <w:b w:val="0"/>
          <w:i w:val="0"/>
          <w:szCs w:val="24"/>
        </w:rPr>
        <w:t xml:space="preserve"> batched and run </w:t>
      </w:r>
      <w:r>
        <w:rPr>
          <w:b w:val="0"/>
          <w:i w:val="0"/>
          <w:szCs w:val="24"/>
        </w:rPr>
        <w:t xml:space="preserve">at the end of the study.  </w:t>
      </w:r>
    </w:p>
    <w:p w:rsidR="00330CF1" w:rsidRDefault="00330CF1" w:rsidP="00C343ED"/>
    <w:p w:rsidR="00330CF1" w:rsidRPr="00C343ED" w:rsidRDefault="00330CF1" w:rsidP="00C343ED">
      <w:r>
        <w:t>______________________________________________________________</w:t>
      </w:r>
    </w:p>
    <w:p w:rsidR="00330CF1" w:rsidRPr="00C343ED" w:rsidRDefault="00330CF1" w:rsidP="00C343ED">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C343ED">
        <w:rPr>
          <w:rFonts w:ascii="Arial" w:hAnsi="Arial" w:cs="Arial"/>
          <w:sz w:val="20"/>
          <w:szCs w:val="20"/>
        </w:rPr>
        <w:t xml:space="preserve">Phagotest® test kit, Orpegen Pharma. Heidelburg, Germany. </w:t>
      </w:r>
    </w:p>
    <w:p w:rsidR="00330CF1" w:rsidRDefault="00330CF1" w:rsidP="00C343ED">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  </w:t>
      </w:r>
      <w:r w:rsidRPr="00C343ED">
        <w:rPr>
          <w:rFonts w:ascii="Arial" w:hAnsi="Arial" w:cs="Arial"/>
          <w:sz w:val="20"/>
          <w:szCs w:val="20"/>
        </w:rPr>
        <w:t>Bursttest (Phagoburst)® test kit, Orpegen Pharma. Heidelburg, Germany</w:t>
      </w:r>
    </w:p>
    <w:p w:rsidR="00330CF1" w:rsidRDefault="00330CF1" w:rsidP="007F1CBD">
      <w:pPr>
        <w:rPr>
          <w:rFonts w:ascii="Arial" w:hAnsi="Arial" w:cs="Arial"/>
          <w:sz w:val="20"/>
          <w:szCs w:val="20"/>
        </w:rPr>
      </w:pPr>
      <w:r>
        <w:rPr>
          <w:rFonts w:ascii="Arial" w:hAnsi="Arial" w:cs="Arial"/>
          <w:sz w:val="20"/>
          <w:szCs w:val="20"/>
          <w:vertAlign w:val="superscript"/>
        </w:rPr>
        <w:t>3</w:t>
      </w:r>
      <w:r>
        <w:rPr>
          <w:rFonts w:ascii="Arial" w:hAnsi="Arial" w:cs="Arial"/>
          <w:sz w:val="20"/>
          <w:szCs w:val="20"/>
        </w:rPr>
        <w:t xml:space="preserve">  </w:t>
      </w:r>
      <w:r w:rsidRPr="007F1CBD">
        <w:rPr>
          <w:rFonts w:ascii="Arial" w:hAnsi="Arial" w:cs="Arial"/>
          <w:sz w:val="20"/>
          <w:szCs w:val="20"/>
        </w:rPr>
        <w:t>Fel-O-Vax® IV Feline Rhinotracheitis-Calici-Panleukopenia-Chlamydia psittaci vaccine, Boehringer Ingelheim/Fort Dodge Vetmedica, Inc. St. Joseph, MO.</w:t>
      </w:r>
    </w:p>
    <w:p w:rsidR="00330CF1" w:rsidRPr="007F1CBD" w:rsidRDefault="00330CF1" w:rsidP="007F1CBD">
      <w:pPr>
        <w:rPr>
          <w:rFonts w:ascii="Arial" w:hAnsi="Arial" w:cs="Arial"/>
          <w:sz w:val="20"/>
          <w:szCs w:val="20"/>
        </w:rPr>
      </w:pPr>
    </w:p>
    <w:p w:rsidR="00330CF1" w:rsidRDefault="00330CF1" w:rsidP="00593609">
      <w:pPr>
        <w:shd w:val="clear" w:color="auto" w:fill="FFFFFF"/>
        <w:spacing w:before="100" w:beforeAutospacing="1" w:after="100" w:afterAutospacing="1"/>
        <w:rPr>
          <w:rFonts w:ascii="Arial" w:hAnsi="Arial" w:cs="Arial"/>
          <w:color w:val="000000"/>
        </w:rPr>
      </w:pPr>
      <w:r w:rsidRPr="00593609">
        <w:rPr>
          <w:rFonts w:ascii="Arial" w:hAnsi="Arial" w:cs="Arial"/>
          <w:b/>
          <w:i/>
          <w:color w:val="000000"/>
        </w:rPr>
        <w:lastRenderedPageBreak/>
        <w:t>Serum IgG and IgM:</w:t>
      </w:r>
      <w:r>
        <w:rPr>
          <w:color w:val="000000"/>
        </w:rPr>
        <w:t xml:space="preserve"> </w:t>
      </w:r>
      <w:r>
        <w:rPr>
          <w:rFonts w:ascii="Arial" w:hAnsi="Arial" w:cs="Arial"/>
          <w:color w:val="000000"/>
        </w:rPr>
        <w:t>Serum IgG</w:t>
      </w:r>
      <w:r w:rsidRPr="00593609">
        <w:rPr>
          <w:rFonts w:ascii="Arial" w:hAnsi="Arial" w:cs="Arial"/>
          <w:color w:val="000000"/>
        </w:rPr>
        <w:t xml:space="preserve">, and IgM immunoglobulin </w:t>
      </w:r>
      <w:r>
        <w:rPr>
          <w:rFonts w:ascii="Arial" w:hAnsi="Arial" w:cs="Arial"/>
          <w:color w:val="000000"/>
        </w:rPr>
        <w:t xml:space="preserve">concentrations </w:t>
      </w:r>
      <w:r w:rsidRPr="00593609">
        <w:rPr>
          <w:rFonts w:ascii="Arial" w:hAnsi="Arial" w:cs="Arial"/>
          <w:color w:val="000000"/>
        </w:rPr>
        <w:t>were measured by quantitative sandwich enzyme-linked immunosorbent assay (ELISA)</w:t>
      </w:r>
      <w:r>
        <w:rPr>
          <w:rFonts w:ascii="Arial" w:hAnsi="Arial" w:cs="Arial"/>
          <w:color w:val="000000"/>
          <w:vertAlign w:val="superscript"/>
        </w:rPr>
        <w:t>1</w:t>
      </w:r>
      <w:r w:rsidRPr="00593609">
        <w:rPr>
          <w:rFonts w:ascii="Arial" w:hAnsi="Arial" w:cs="Arial"/>
          <w:color w:val="000000"/>
        </w:rPr>
        <w:t>.</w:t>
      </w:r>
      <w:r>
        <w:rPr>
          <w:rFonts w:ascii="Arial" w:hAnsi="Arial" w:cs="Arial"/>
          <w:color w:val="000000"/>
        </w:rPr>
        <w:t xml:space="preserve"> </w:t>
      </w:r>
      <w:r w:rsidRPr="00593609">
        <w:rPr>
          <w:rFonts w:ascii="Arial" w:hAnsi="Arial" w:cs="Arial"/>
          <w:color w:val="000000"/>
        </w:rPr>
        <w:t xml:space="preserve"> 96 well flat-bottomed plates were coated with the respective capture an</w:t>
      </w:r>
      <w:r>
        <w:rPr>
          <w:rFonts w:ascii="Arial" w:hAnsi="Arial" w:cs="Arial"/>
          <w:color w:val="000000"/>
        </w:rPr>
        <w:t>tibody; goat anti-feline</w:t>
      </w:r>
      <w:r w:rsidRPr="00593609">
        <w:rPr>
          <w:rFonts w:ascii="Arial" w:hAnsi="Arial" w:cs="Arial"/>
          <w:color w:val="000000"/>
        </w:rPr>
        <w:t xml:space="preserve"> IgM or IgG (Bethyl Laboratories Inc., Montgomery, TX, USA) diluted 1/100. </w:t>
      </w:r>
      <w:r>
        <w:rPr>
          <w:rFonts w:ascii="Arial" w:hAnsi="Arial" w:cs="Arial"/>
          <w:color w:val="000000"/>
        </w:rPr>
        <w:t xml:space="preserve"> </w:t>
      </w:r>
      <w:r w:rsidRPr="00593609">
        <w:rPr>
          <w:rFonts w:ascii="Arial" w:hAnsi="Arial" w:cs="Arial"/>
          <w:color w:val="000000"/>
        </w:rPr>
        <w:t xml:space="preserve">Plates were washed in Tris buffered saline (TBS) 0.05% </w:t>
      </w:r>
      <w:r>
        <w:rPr>
          <w:rFonts w:ascii="Arial" w:hAnsi="Arial" w:cs="Arial"/>
          <w:color w:val="000000"/>
        </w:rPr>
        <w:t>Tween 20 and</w:t>
      </w:r>
      <w:r w:rsidRPr="00593609">
        <w:rPr>
          <w:rFonts w:ascii="Arial" w:hAnsi="Arial" w:cs="Arial"/>
          <w:color w:val="000000"/>
        </w:rPr>
        <w:t xml:space="preserve"> blocked with a TBS/1% BSA solution.</w:t>
      </w:r>
      <w:r>
        <w:rPr>
          <w:rFonts w:ascii="Arial" w:hAnsi="Arial" w:cs="Arial"/>
          <w:color w:val="000000"/>
        </w:rPr>
        <w:t xml:space="preserve">  Serum samples were diluted such that the concentration of sample immunoglobulin was calculated from the optimal portion of the standard curve. </w:t>
      </w:r>
      <w:r w:rsidRPr="00593609">
        <w:rPr>
          <w:rFonts w:ascii="Arial" w:hAnsi="Arial" w:cs="Arial"/>
          <w:color w:val="000000"/>
        </w:rPr>
        <w:t xml:space="preserve"> Serial two-fold dilutions of reference serum (Bethyl) were made in order to establish the following standard ranges</w:t>
      </w:r>
      <w:r>
        <w:rPr>
          <w:rFonts w:ascii="Arial" w:hAnsi="Arial" w:cs="Arial"/>
          <w:color w:val="000000"/>
        </w:rPr>
        <w:t>: IgM (1000–15.625 ng/ml), IgG</w:t>
      </w:r>
      <w:r w:rsidRPr="00593609">
        <w:rPr>
          <w:rFonts w:ascii="Arial" w:hAnsi="Arial" w:cs="Arial"/>
          <w:color w:val="000000"/>
        </w:rPr>
        <w:t xml:space="preserve"> (500–7.8125 ng/ml). </w:t>
      </w:r>
      <w:r>
        <w:rPr>
          <w:rFonts w:ascii="Arial" w:hAnsi="Arial" w:cs="Arial"/>
          <w:color w:val="000000"/>
        </w:rPr>
        <w:t xml:space="preserve"> </w:t>
      </w:r>
      <w:r w:rsidRPr="00593609">
        <w:rPr>
          <w:rFonts w:ascii="Arial" w:hAnsi="Arial" w:cs="Arial"/>
          <w:color w:val="000000"/>
        </w:rPr>
        <w:t xml:space="preserve">An aliquot of 100 μl of each standard or sample was added to the appropriate wells. </w:t>
      </w:r>
      <w:r>
        <w:rPr>
          <w:rFonts w:ascii="Arial" w:hAnsi="Arial" w:cs="Arial"/>
          <w:color w:val="000000"/>
        </w:rPr>
        <w:t xml:space="preserve">Samples were run in triplicate.  </w:t>
      </w:r>
      <w:r w:rsidRPr="00593609">
        <w:rPr>
          <w:rFonts w:ascii="Arial" w:hAnsi="Arial" w:cs="Arial"/>
          <w:color w:val="000000"/>
        </w:rPr>
        <w:t xml:space="preserve">The plates were incubated at </w:t>
      </w:r>
      <w:r>
        <w:rPr>
          <w:rFonts w:ascii="Arial" w:hAnsi="Arial" w:cs="Arial"/>
          <w:color w:val="000000"/>
        </w:rPr>
        <w:t>room temperature</w:t>
      </w:r>
      <w:r w:rsidRPr="00593609">
        <w:rPr>
          <w:rFonts w:ascii="Arial" w:hAnsi="Arial" w:cs="Arial"/>
          <w:color w:val="000000"/>
        </w:rPr>
        <w:t xml:space="preserve"> for 1 h</w:t>
      </w:r>
      <w:r>
        <w:rPr>
          <w:rFonts w:ascii="Arial" w:hAnsi="Arial" w:cs="Arial"/>
          <w:color w:val="000000"/>
        </w:rPr>
        <w:t>our</w:t>
      </w:r>
      <w:r w:rsidRPr="00593609">
        <w:rPr>
          <w:rFonts w:ascii="Arial" w:hAnsi="Arial" w:cs="Arial"/>
          <w:color w:val="000000"/>
        </w:rPr>
        <w:t xml:space="preserve"> and washed. </w:t>
      </w:r>
      <w:r>
        <w:rPr>
          <w:rFonts w:ascii="Arial" w:hAnsi="Arial" w:cs="Arial"/>
          <w:color w:val="000000"/>
        </w:rPr>
        <w:t xml:space="preserve"> </w:t>
      </w:r>
      <w:r w:rsidRPr="00593609">
        <w:rPr>
          <w:rFonts w:ascii="Arial" w:hAnsi="Arial" w:cs="Arial"/>
          <w:color w:val="000000"/>
        </w:rPr>
        <w:t>Horse radish peroxidase (HRP) conjugated detection antib</w:t>
      </w:r>
      <w:r>
        <w:rPr>
          <w:rFonts w:ascii="Arial" w:hAnsi="Arial" w:cs="Arial"/>
          <w:color w:val="000000"/>
        </w:rPr>
        <w:t>odies, goat anti-feline IgM, or IgG-Fc, diluted 1/50,000,</w:t>
      </w:r>
      <w:r w:rsidRPr="00593609">
        <w:rPr>
          <w:rFonts w:ascii="Arial" w:hAnsi="Arial" w:cs="Arial"/>
          <w:color w:val="000000"/>
        </w:rPr>
        <w:t xml:space="preserve"> were added and the plates were incubated for a further 1 h</w:t>
      </w:r>
      <w:r>
        <w:rPr>
          <w:rFonts w:ascii="Arial" w:hAnsi="Arial" w:cs="Arial"/>
          <w:color w:val="000000"/>
        </w:rPr>
        <w:t>our at room temperature</w:t>
      </w:r>
      <w:r w:rsidRPr="00593609">
        <w:rPr>
          <w:rFonts w:ascii="Arial" w:hAnsi="Arial" w:cs="Arial"/>
          <w:color w:val="000000"/>
        </w:rPr>
        <w:t>.</w:t>
      </w:r>
      <w:r>
        <w:rPr>
          <w:rFonts w:ascii="Arial" w:hAnsi="Arial" w:cs="Arial"/>
          <w:color w:val="000000"/>
        </w:rPr>
        <w:t xml:space="preserve"> </w:t>
      </w:r>
      <w:r w:rsidRPr="00593609">
        <w:rPr>
          <w:rFonts w:ascii="Arial" w:hAnsi="Arial" w:cs="Arial"/>
          <w:color w:val="000000"/>
        </w:rPr>
        <w:t xml:space="preserve"> Following a further wash step, 100 μl of TMB peroxidase</w:t>
      </w:r>
      <w:r>
        <w:rPr>
          <w:rFonts w:ascii="Arial" w:hAnsi="Arial" w:cs="Arial"/>
          <w:color w:val="000000"/>
        </w:rPr>
        <w:t xml:space="preserve"> substrate</w:t>
      </w:r>
      <w:r w:rsidRPr="00593609">
        <w:rPr>
          <w:rFonts w:ascii="Arial" w:hAnsi="Arial" w:cs="Arial"/>
          <w:color w:val="000000"/>
        </w:rPr>
        <w:t xml:space="preserve"> was added to each well.</w:t>
      </w:r>
      <w:r>
        <w:rPr>
          <w:rFonts w:ascii="Arial" w:hAnsi="Arial" w:cs="Arial"/>
          <w:color w:val="000000"/>
        </w:rPr>
        <w:t xml:space="preserve"> </w:t>
      </w:r>
      <w:r w:rsidRPr="00593609">
        <w:rPr>
          <w:rFonts w:ascii="Arial" w:hAnsi="Arial" w:cs="Arial"/>
          <w:color w:val="000000"/>
        </w:rPr>
        <w:t xml:space="preserve"> Plates were left for </w:t>
      </w:r>
      <w:r>
        <w:rPr>
          <w:rFonts w:ascii="Arial" w:hAnsi="Arial" w:cs="Arial"/>
          <w:color w:val="000000"/>
        </w:rPr>
        <w:t>20 min at room temperature for full color</w:t>
      </w:r>
      <w:r w:rsidRPr="00593609">
        <w:rPr>
          <w:rFonts w:ascii="Arial" w:hAnsi="Arial" w:cs="Arial"/>
          <w:color w:val="000000"/>
        </w:rPr>
        <w:t xml:space="preserve"> development to occur. </w:t>
      </w:r>
      <w:r>
        <w:rPr>
          <w:rFonts w:ascii="Arial" w:hAnsi="Arial" w:cs="Arial"/>
          <w:color w:val="000000"/>
        </w:rPr>
        <w:t xml:space="preserve"> </w:t>
      </w:r>
      <w:r w:rsidRPr="00593609">
        <w:rPr>
          <w:rFonts w:ascii="Arial" w:hAnsi="Arial" w:cs="Arial"/>
          <w:color w:val="000000"/>
        </w:rPr>
        <w:t>2 M H</w:t>
      </w:r>
      <w:r w:rsidRPr="00593609">
        <w:rPr>
          <w:rFonts w:ascii="Arial" w:hAnsi="Arial" w:cs="Arial"/>
          <w:color w:val="000000"/>
          <w:vertAlign w:val="subscript"/>
        </w:rPr>
        <w:t>2</w:t>
      </w:r>
      <w:r w:rsidRPr="00593609">
        <w:rPr>
          <w:rFonts w:ascii="Arial" w:hAnsi="Arial" w:cs="Arial"/>
          <w:color w:val="000000"/>
        </w:rPr>
        <w:t>SO</w:t>
      </w:r>
      <w:r w:rsidRPr="00593609">
        <w:rPr>
          <w:rFonts w:ascii="Arial" w:hAnsi="Arial" w:cs="Arial"/>
          <w:color w:val="000000"/>
          <w:vertAlign w:val="subscript"/>
        </w:rPr>
        <w:t>4</w:t>
      </w:r>
      <w:r w:rsidRPr="00593609">
        <w:rPr>
          <w:rFonts w:ascii="Arial" w:hAnsi="Arial" w:cs="Arial"/>
          <w:color w:val="000000"/>
        </w:rPr>
        <w:t xml:space="preserve"> of 100 μl was </w:t>
      </w:r>
      <w:r>
        <w:rPr>
          <w:rFonts w:ascii="Arial" w:hAnsi="Arial" w:cs="Arial"/>
          <w:color w:val="000000"/>
        </w:rPr>
        <w:t xml:space="preserve">then </w:t>
      </w:r>
      <w:r w:rsidRPr="00593609">
        <w:rPr>
          <w:rFonts w:ascii="Arial" w:hAnsi="Arial" w:cs="Arial"/>
          <w:color w:val="000000"/>
        </w:rPr>
        <w:t>added to stop the reaction and absorbances read at 450 nm using an Bio-Tek microplate reader.</w:t>
      </w:r>
      <w:r>
        <w:rPr>
          <w:rFonts w:ascii="Arial" w:hAnsi="Arial" w:cs="Arial"/>
          <w:color w:val="000000"/>
        </w:rPr>
        <w:t xml:space="preserve"> </w:t>
      </w:r>
      <w:r w:rsidRPr="00593609">
        <w:rPr>
          <w:rFonts w:ascii="Arial" w:hAnsi="Arial" w:cs="Arial"/>
          <w:color w:val="000000"/>
        </w:rPr>
        <w:t xml:space="preserve"> A standard curve was established from ab</w:t>
      </w:r>
      <w:r>
        <w:rPr>
          <w:rFonts w:ascii="Arial" w:hAnsi="Arial" w:cs="Arial"/>
          <w:color w:val="000000"/>
        </w:rPr>
        <w:t>sorbance readings using KCJunior</w:t>
      </w:r>
      <w:r w:rsidRPr="00593609">
        <w:rPr>
          <w:rFonts w:ascii="Arial" w:hAnsi="Arial" w:cs="Arial"/>
          <w:color w:val="000000"/>
        </w:rPr>
        <w:t xml:space="preserve"> software and sample concentrat</w:t>
      </w:r>
      <w:r>
        <w:rPr>
          <w:rFonts w:ascii="Arial" w:hAnsi="Arial" w:cs="Arial"/>
          <w:color w:val="000000"/>
        </w:rPr>
        <w:t>ions were calculated in ng/ml</w:t>
      </w:r>
      <w:r w:rsidRPr="00593609">
        <w:rPr>
          <w:rFonts w:ascii="Arial" w:hAnsi="Arial" w:cs="Arial"/>
          <w:color w:val="000000"/>
        </w:rPr>
        <w:t>.</w:t>
      </w:r>
      <w:r>
        <w:rPr>
          <w:rFonts w:ascii="Arial" w:hAnsi="Arial" w:cs="Arial"/>
          <w:color w:val="000000"/>
        </w:rPr>
        <w:t xml:space="preserve">  Average intraassay variation for IgG and IgM were 4.50% and 4.83% respectively.  Average interassay variation for IgG and IgM were 6.87% and 11.99% respectively.  </w:t>
      </w:r>
    </w:p>
    <w:p w:rsidR="00330CF1" w:rsidRDefault="00330CF1" w:rsidP="00A06E10">
      <w:pPr>
        <w:pStyle w:val="Heading3"/>
        <w:rPr>
          <w:b w:val="0"/>
          <w:i w:val="0"/>
        </w:rPr>
      </w:pPr>
      <w:r w:rsidRPr="00230C87">
        <w:t>Herpes</w:t>
      </w:r>
      <w:r>
        <w:t>viral</w:t>
      </w:r>
      <w:r w:rsidRPr="00230C87">
        <w:t xml:space="preserve"> </w:t>
      </w:r>
      <w:r>
        <w:t>IgG t</w:t>
      </w:r>
      <w:r w:rsidRPr="00230C87">
        <w:t>iters</w:t>
      </w:r>
      <w:r>
        <w:rPr>
          <w:i w:val="0"/>
        </w:rPr>
        <w:t xml:space="preserve">: </w:t>
      </w:r>
      <w:r>
        <w:rPr>
          <w:b w:val="0"/>
          <w:i w:val="0"/>
          <w:szCs w:val="24"/>
        </w:rPr>
        <w:t xml:space="preserve"> I</w:t>
      </w:r>
      <w:r w:rsidRPr="00CD61E5">
        <w:rPr>
          <w:b w:val="0"/>
          <w:i w:val="0"/>
        </w:rPr>
        <w:t xml:space="preserve">mmunofluorescence </w:t>
      </w:r>
      <w:r>
        <w:rPr>
          <w:b w:val="0"/>
          <w:i w:val="0"/>
        </w:rPr>
        <w:t>was</w:t>
      </w:r>
      <w:r w:rsidRPr="00CD61E5">
        <w:rPr>
          <w:b w:val="0"/>
          <w:i w:val="0"/>
        </w:rPr>
        <w:t xml:space="preserve"> used to evaluate IgG herpes</w:t>
      </w:r>
      <w:r>
        <w:rPr>
          <w:b w:val="0"/>
          <w:i w:val="0"/>
        </w:rPr>
        <w:t>viral</w:t>
      </w:r>
      <w:r w:rsidRPr="00CD61E5">
        <w:rPr>
          <w:b w:val="0"/>
          <w:i w:val="0"/>
        </w:rPr>
        <w:t xml:space="preserve"> titers</w:t>
      </w:r>
      <w:r>
        <w:rPr>
          <w:b w:val="0"/>
          <w:i w:val="0"/>
        </w:rPr>
        <w:t xml:space="preserve">.   </w:t>
      </w:r>
      <w:r w:rsidRPr="00CD61E5">
        <w:rPr>
          <w:b w:val="0"/>
          <w:i w:val="0"/>
        </w:rPr>
        <w:t>Serial</w:t>
      </w:r>
      <w:r>
        <w:rPr>
          <w:b w:val="0"/>
          <w:i w:val="0"/>
        </w:rPr>
        <w:t xml:space="preserve"> dilutions of 20, 40, 80, 160 and 320 were made of week 0 and week 5 serum sample with phosphate buffered saline (PBS).  Ten week serum samples were serially diluted to concentrations of 20, 40, 80, 160, 320, 640, 1280 and 2560.  Twenty-five microliters of diluted samples were placed on glass slide, starting with the most dilute, along with feline serum herpes positive and negative controls</w:t>
      </w:r>
      <w:r>
        <w:rPr>
          <w:b w:val="0"/>
          <w:i w:val="0"/>
          <w:vertAlign w:val="superscript"/>
        </w:rPr>
        <w:t>2</w:t>
      </w:r>
      <w:r>
        <w:rPr>
          <w:b w:val="0"/>
          <w:i w:val="0"/>
        </w:rPr>
        <w:t>.  The slides were incubated in a humidity chamber for 30 minutes at 37° C.  The slides were then washed with PBS and 25 microliters of fluorescein-labeled antibody to feline IgG</w:t>
      </w:r>
      <w:r w:rsidRPr="00D42877">
        <w:rPr>
          <w:b w:val="0"/>
          <w:i w:val="0"/>
          <w:color w:val="FF0000"/>
        </w:rPr>
        <w:t xml:space="preserve"> </w:t>
      </w:r>
      <w:r>
        <w:rPr>
          <w:b w:val="0"/>
          <w:i w:val="0"/>
        </w:rPr>
        <w:t>were placed on wells and allowed to incubate at 37° C for 30 minutes.  The slides were rinsed in PBS and read by the same individual under a fluorescent microscope.</w:t>
      </w:r>
    </w:p>
    <w:p w:rsidR="00330CF1" w:rsidRPr="00A56263" w:rsidRDefault="00330CF1" w:rsidP="00A56263"/>
    <w:p w:rsidR="00330CF1" w:rsidRDefault="00330CF1" w:rsidP="0023203C">
      <w:r w:rsidRPr="00A06E10">
        <w:rPr>
          <w:rFonts w:ascii="Arial" w:hAnsi="Arial" w:cs="Arial"/>
          <w:b/>
        </w:rPr>
        <w:t>Statistic</w:t>
      </w:r>
      <w:r>
        <w:rPr>
          <w:rFonts w:ascii="Arial" w:hAnsi="Arial" w:cs="Arial"/>
          <w:b/>
        </w:rPr>
        <w:t>al a</w:t>
      </w:r>
      <w:r w:rsidRPr="00A06E10">
        <w:rPr>
          <w:rFonts w:ascii="Arial" w:hAnsi="Arial" w:cs="Arial"/>
          <w:b/>
        </w:rPr>
        <w:t>nalysis:</w:t>
      </w:r>
      <w:r w:rsidRPr="000160FA">
        <w:rPr>
          <w:rFonts w:ascii="Arial" w:hAnsi="Arial" w:cs="Arial"/>
        </w:rPr>
        <w:t xml:space="preserve"> </w:t>
      </w:r>
      <w:r>
        <w:rPr>
          <w:rFonts w:ascii="Arial" w:hAnsi="Arial" w:cs="Arial"/>
        </w:rPr>
        <w:t xml:space="preserve">A completely randomized design was used to compare mean differences in kitten innate immune function (oxidative burst to PMA and </w:t>
      </w:r>
      <w:r>
        <w:rPr>
          <w:rFonts w:ascii="Arial" w:hAnsi="Arial" w:cs="Arial"/>
          <w:i/>
        </w:rPr>
        <w:t xml:space="preserve">E.coli, </w:t>
      </w:r>
      <w:r>
        <w:rPr>
          <w:rFonts w:ascii="Arial" w:hAnsi="Arial" w:cs="Arial"/>
        </w:rPr>
        <w:t xml:space="preserve">phagocytosis) and humoral immune function (total lymphocytes, total IgG, total IgM) by diet treatment and week.  Twenty-four kittens were randomly assigned to the three diet treatments with eight kittens per treatment.  Mixed model ANOVA (SAS, Version </w:t>
      </w:r>
      <w:r w:rsidRPr="00C57CAC">
        <w:rPr>
          <w:rFonts w:ascii="Arial" w:hAnsi="Arial" w:cs="Arial"/>
        </w:rPr>
        <w:t xml:space="preserve">9.2) </w:t>
      </w:r>
      <w:r>
        <w:rPr>
          <w:rFonts w:ascii="Arial" w:hAnsi="Arial" w:cs="Arial"/>
        </w:rPr>
        <w:t>with repeated measures was used to compare least square means.  Normality was tested using the Shapiro-Wilk test and homogeneity of variance was tested using the Leven’s test.  All immune function results passed normality and equal variance</w:t>
      </w:r>
    </w:p>
    <w:p w:rsidR="00330CF1" w:rsidRDefault="00330CF1" w:rsidP="0023203C"/>
    <w:p w:rsidR="00330CF1" w:rsidRDefault="00330CF1" w:rsidP="0023203C">
      <w:r>
        <w:t>______________________________________________________________________</w:t>
      </w:r>
    </w:p>
    <w:p w:rsidR="00330CF1" w:rsidRPr="0023203C" w:rsidRDefault="00330CF1" w:rsidP="0023203C">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23203C">
        <w:rPr>
          <w:rFonts w:ascii="Arial" w:hAnsi="Arial" w:cs="Arial"/>
          <w:sz w:val="20"/>
          <w:szCs w:val="20"/>
        </w:rPr>
        <w:t>Cat IgM and IgG ELISA Quantitation Set, Bethyl Laboratories, Inc.,  Montgomery, TX</w:t>
      </w:r>
    </w:p>
    <w:p w:rsidR="00330CF1" w:rsidRPr="0023203C" w:rsidRDefault="00330CF1" w:rsidP="0023203C">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  </w:t>
      </w:r>
      <w:r w:rsidRPr="0023203C">
        <w:rPr>
          <w:rFonts w:ascii="Arial" w:hAnsi="Arial" w:cs="Arial"/>
          <w:sz w:val="20"/>
          <w:szCs w:val="20"/>
        </w:rPr>
        <w:t>Feline Herpes/Feline Rhinotracheitis, Direct FA Conjugate, VMRD, Inc. Pullman, WA</w:t>
      </w:r>
    </w:p>
    <w:p w:rsidR="00330CF1" w:rsidRDefault="00330CF1" w:rsidP="0023203C"/>
    <w:p w:rsidR="00330CF1" w:rsidRPr="00531836" w:rsidRDefault="00330CF1" w:rsidP="00A06E10">
      <w:pPr>
        <w:rPr>
          <w:rFonts w:ascii="Arial" w:hAnsi="Arial" w:cs="Arial"/>
        </w:rPr>
      </w:pPr>
      <w:r>
        <w:rPr>
          <w:rFonts w:ascii="Arial" w:hAnsi="Arial" w:cs="Arial"/>
        </w:rPr>
        <w:lastRenderedPageBreak/>
        <w:t>assumptions with the exception of serum specific IgG herpes titers.  Serum specific IgG herpes titers were run using ANOVA on ranks, the equivalent of a non-parametric test.  The limit of statistical significance of the tests performed was defined as p ≤ 0.05 while trend was defined as p ≤ 0.10.</w:t>
      </w:r>
    </w:p>
    <w:p w:rsidR="00330CF1" w:rsidRDefault="00330CF1" w:rsidP="00392539">
      <w:pPr>
        <w:rPr>
          <w:rFonts w:ascii="Arial" w:hAnsi="Arial" w:cs="Arial"/>
          <w:b/>
          <w:sz w:val="28"/>
          <w:szCs w:val="28"/>
        </w:rPr>
      </w:pPr>
    </w:p>
    <w:p w:rsidR="00330CF1" w:rsidRDefault="00330CF1" w:rsidP="00F13840">
      <w:pPr>
        <w:jc w:val="center"/>
        <w:rPr>
          <w:rFonts w:ascii="Arial" w:hAnsi="Arial" w:cs="Arial"/>
          <w:b/>
          <w:sz w:val="28"/>
          <w:szCs w:val="28"/>
        </w:rPr>
      </w:pPr>
      <w:r>
        <w:rPr>
          <w:rFonts w:ascii="Arial" w:hAnsi="Arial" w:cs="Arial"/>
          <w:b/>
          <w:sz w:val="28"/>
          <w:szCs w:val="28"/>
        </w:rPr>
        <w:t>Results</w:t>
      </w:r>
    </w:p>
    <w:p w:rsidR="00330CF1" w:rsidRDefault="00330CF1" w:rsidP="00392539">
      <w:pPr>
        <w:rPr>
          <w:rFonts w:ascii="Arial" w:hAnsi="Arial" w:cs="Arial"/>
          <w:b/>
          <w:sz w:val="28"/>
          <w:szCs w:val="28"/>
        </w:rPr>
      </w:pPr>
    </w:p>
    <w:p w:rsidR="00330CF1" w:rsidRDefault="00330CF1" w:rsidP="005E6756">
      <w:pPr>
        <w:rPr>
          <w:rFonts w:ascii="Arial" w:hAnsi="Arial" w:cs="Arial"/>
        </w:rPr>
      </w:pPr>
      <w:r>
        <w:rPr>
          <w:rFonts w:ascii="Arial" w:hAnsi="Arial" w:cs="Arial"/>
          <w:b/>
          <w:sz w:val="28"/>
          <w:szCs w:val="28"/>
        </w:rPr>
        <w:t xml:space="preserve">   </w:t>
      </w:r>
      <w:r>
        <w:rPr>
          <w:rFonts w:ascii="Arial" w:hAnsi="Arial" w:cs="Arial"/>
          <w:sz w:val="28"/>
          <w:szCs w:val="28"/>
        </w:rPr>
        <w:t xml:space="preserve">  </w:t>
      </w:r>
      <w:r w:rsidRPr="00030D77">
        <w:rPr>
          <w:rFonts w:ascii="Arial" w:hAnsi="Arial" w:cs="Arial"/>
        </w:rPr>
        <w:t xml:space="preserve">Table </w:t>
      </w:r>
      <w:r>
        <w:rPr>
          <w:rFonts w:ascii="Arial" w:hAnsi="Arial" w:cs="Arial"/>
        </w:rPr>
        <w:t>3.</w:t>
      </w:r>
      <w:r w:rsidRPr="00030D77">
        <w:rPr>
          <w:rFonts w:ascii="Arial" w:hAnsi="Arial" w:cs="Arial"/>
        </w:rPr>
        <w:t>1</w:t>
      </w:r>
      <w:r>
        <w:rPr>
          <w:rFonts w:ascii="Arial" w:hAnsi="Arial" w:cs="Arial"/>
        </w:rPr>
        <w:t xml:space="preserve"> and Figures 3.1- 3.3 diagrams</w:t>
      </w:r>
      <w:r w:rsidRPr="00030D77">
        <w:rPr>
          <w:rFonts w:ascii="Arial" w:hAnsi="Arial" w:cs="Arial"/>
        </w:rPr>
        <w:t xml:space="preserve"> the</w:t>
      </w:r>
      <w:r>
        <w:rPr>
          <w:rFonts w:ascii="Arial" w:hAnsi="Arial" w:cs="Arial"/>
        </w:rPr>
        <w:t xml:space="preserve"> innate immune function mean values for each</w:t>
      </w:r>
      <w:r w:rsidRPr="00030D77">
        <w:rPr>
          <w:rFonts w:ascii="Arial" w:hAnsi="Arial" w:cs="Arial"/>
        </w:rPr>
        <w:t xml:space="preserve"> of the three diets</w:t>
      </w:r>
      <w:r>
        <w:rPr>
          <w:rFonts w:ascii="Arial" w:hAnsi="Arial" w:cs="Arial"/>
        </w:rPr>
        <w:t xml:space="preserve"> groups</w:t>
      </w:r>
      <w:r w:rsidRPr="00030D77">
        <w:rPr>
          <w:rFonts w:ascii="Arial" w:hAnsi="Arial" w:cs="Arial"/>
        </w:rPr>
        <w:t xml:space="preserve">. </w:t>
      </w:r>
      <w:r>
        <w:rPr>
          <w:rFonts w:ascii="Arial" w:hAnsi="Arial" w:cs="Arial"/>
        </w:rPr>
        <w:t xml:space="preserve"> General reference intervals are lacking for oxidative burst and phagocytosis percentages in kittens.  Compared with bacterial exposure, </w:t>
      </w:r>
      <w:r w:rsidRPr="00030D77">
        <w:rPr>
          <w:rFonts w:ascii="Arial" w:hAnsi="Arial" w:cs="Arial"/>
        </w:rPr>
        <w:t>PMA is a strong stimulant for generation of oxygen radical</w:t>
      </w:r>
      <w:r>
        <w:rPr>
          <w:rFonts w:ascii="Arial" w:hAnsi="Arial" w:cs="Arial"/>
        </w:rPr>
        <w:t>s in cells.  No significant differences were seen within the same diet over the 10 week period.  Kittens on the commercial raw diet had significantly lower (p=0.018) responses at week 5 compared to the control and homemade raw diets, and at week 10 compared to the homemade raw diet.</w:t>
      </w:r>
      <w:r w:rsidRPr="005E6756">
        <w:rPr>
          <w:rFonts w:ascii="Arial" w:hAnsi="Arial" w:cs="Arial"/>
        </w:rPr>
        <w:t xml:space="preserve"> </w:t>
      </w:r>
      <w:r>
        <w:rPr>
          <w:rFonts w:ascii="Arial" w:hAnsi="Arial" w:cs="Arial"/>
        </w:rPr>
        <w:t xml:space="preserve"> </w:t>
      </w:r>
    </w:p>
    <w:p w:rsidR="00330CF1" w:rsidRDefault="00330CF1" w:rsidP="00392539">
      <w:pPr>
        <w:rPr>
          <w:rFonts w:ascii="Arial" w:hAnsi="Arial" w:cs="Arial"/>
        </w:rPr>
      </w:pPr>
      <w:r>
        <w:rPr>
          <w:rFonts w:ascii="Arial" w:hAnsi="Arial" w:cs="Arial"/>
        </w:rPr>
        <w:t xml:space="preserve">    Free radical generation to unlabeled </w:t>
      </w:r>
      <w:r>
        <w:rPr>
          <w:rFonts w:ascii="Arial" w:hAnsi="Arial" w:cs="Arial"/>
          <w:i/>
        </w:rPr>
        <w:t>E. coli</w:t>
      </w:r>
      <w:r>
        <w:rPr>
          <w:rFonts w:ascii="Arial" w:hAnsi="Arial" w:cs="Arial"/>
        </w:rPr>
        <w:t xml:space="preserve"> was significantly higher (p=0.0385) at week 0 in the homemade raw diet compared to the other two diets.  These differences disappeared by week 5 and 10 with no further significant differences between the three treatment groups.  There were no significant changes in free radical generation within groups over time.</w:t>
      </w:r>
    </w:p>
    <w:p w:rsidR="00330CF1" w:rsidRPr="00DA4ADE" w:rsidRDefault="00330CF1" w:rsidP="00610740">
      <w:pPr>
        <w:rPr>
          <w:rFonts w:ascii="Arial" w:hAnsi="Arial" w:cs="Arial"/>
          <w:color w:val="C00000"/>
        </w:rPr>
      </w:pPr>
      <w:r>
        <w:rPr>
          <w:rFonts w:ascii="Arial" w:hAnsi="Arial" w:cs="Arial"/>
        </w:rPr>
        <w:t xml:space="preserve">     The percentage of cells phagocytizing labeled </w:t>
      </w:r>
      <w:r>
        <w:rPr>
          <w:rFonts w:ascii="Arial" w:hAnsi="Arial" w:cs="Arial"/>
          <w:i/>
        </w:rPr>
        <w:t>E.coli</w:t>
      </w:r>
      <w:r>
        <w:rPr>
          <w:rFonts w:ascii="Arial" w:hAnsi="Arial" w:cs="Arial"/>
        </w:rPr>
        <w:t xml:space="preserve"> was less than 52% in all the three groups at all three time points.  Overall, there were no significant differences between the groups on phagocytosis.  </w:t>
      </w: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DB0E39">
      <w:pPr>
        <w:rPr>
          <w:rFonts w:ascii="Arial" w:hAnsi="Arial" w:cs="Arial"/>
        </w:rPr>
      </w:pPr>
    </w:p>
    <w:p w:rsidR="00330CF1" w:rsidRDefault="00330CF1" w:rsidP="002774CE">
      <w:pPr>
        <w:jc w:val="center"/>
        <w:rPr>
          <w:rFonts w:ascii="Arial" w:hAnsi="Arial" w:cs="Arial"/>
        </w:rPr>
      </w:pPr>
      <w:r w:rsidRPr="00DB0E39">
        <w:rPr>
          <w:rFonts w:ascii="Arial" w:hAnsi="Arial" w:cs="Arial"/>
          <w:b/>
        </w:rPr>
        <w:lastRenderedPageBreak/>
        <w:t>Table 3.1</w:t>
      </w:r>
      <w:r>
        <w:rPr>
          <w:rFonts w:ascii="Arial" w:hAnsi="Arial" w:cs="Arial"/>
          <w:color w:val="C00000"/>
        </w:rPr>
        <w:t xml:space="preserve"> </w:t>
      </w:r>
      <w:r w:rsidRPr="00DB0E39">
        <w:rPr>
          <w:rFonts w:ascii="Arial" w:hAnsi="Arial" w:cs="Arial"/>
        </w:rPr>
        <w:t xml:space="preserve">Innate immune function </w:t>
      </w:r>
      <w:r>
        <w:rPr>
          <w:rFonts w:ascii="Arial" w:hAnsi="Arial" w:cs="Arial"/>
        </w:rPr>
        <w:t xml:space="preserve">by diet treatment </w:t>
      </w:r>
    </w:p>
    <w:p w:rsidR="00330CF1" w:rsidRPr="00DB0E39" w:rsidRDefault="00330CF1" w:rsidP="002774CE">
      <w:pPr>
        <w:jc w:val="center"/>
        <w:rPr>
          <w:rFonts w:ascii="Arial" w:hAnsi="Arial" w:cs="Arial"/>
        </w:rPr>
      </w:pPr>
      <w:r>
        <w:rPr>
          <w:rFonts w:ascii="Arial" w:hAnsi="Arial" w:cs="Arial"/>
        </w:rPr>
        <w:t>and week</w:t>
      </w:r>
      <w:r w:rsidRPr="00DB0E39">
        <w:rPr>
          <w:rFonts w:ascii="Arial" w:hAnsi="Arial" w:cs="Arial"/>
        </w:rPr>
        <w:t>(Means ± SEM)</w:t>
      </w:r>
    </w:p>
    <w:p w:rsidR="00330CF1" w:rsidRPr="00543909" w:rsidRDefault="00330CF1" w:rsidP="002774CE">
      <w:pPr>
        <w:jc w:val="center"/>
        <w:rPr>
          <w:rFonts w:ascii="Arial" w:hAnsi="Arial" w:cs="Arial"/>
        </w:rPr>
      </w:pPr>
    </w:p>
    <w:tbl>
      <w:tblPr>
        <w:tblStyle w:val="TableGrid"/>
        <w:tblW w:w="0" w:type="auto"/>
        <w:tblLook w:val="04A0" w:firstRow="1" w:lastRow="0" w:firstColumn="1" w:lastColumn="0" w:noHBand="0" w:noVBand="1"/>
      </w:tblPr>
      <w:tblGrid>
        <w:gridCol w:w="2489"/>
        <w:gridCol w:w="1989"/>
        <w:gridCol w:w="2189"/>
        <w:gridCol w:w="2189"/>
      </w:tblGrid>
      <w:tr w:rsidR="00330CF1" w:rsidRPr="00543909" w:rsidTr="004218C0">
        <w:tc>
          <w:tcPr>
            <w:tcW w:w="2489" w:type="dxa"/>
          </w:tcPr>
          <w:p w:rsidR="00330CF1" w:rsidRPr="00543909" w:rsidRDefault="00330CF1" w:rsidP="004218C0">
            <w:pPr>
              <w:rPr>
                <w:rFonts w:ascii="Arial" w:hAnsi="Arial" w:cs="Arial"/>
              </w:rPr>
            </w:pPr>
          </w:p>
        </w:tc>
        <w:tc>
          <w:tcPr>
            <w:tcW w:w="1989" w:type="dxa"/>
          </w:tcPr>
          <w:p w:rsidR="00330CF1" w:rsidRPr="00543909" w:rsidRDefault="00330CF1" w:rsidP="004218C0">
            <w:pPr>
              <w:jc w:val="center"/>
              <w:rPr>
                <w:rFonts w:ascii="Arial" w:hAnsi="Arial" w:cs="Arial"/>
              </w:rPr>
            </w:pPr>
            <w:r>
              <w:rPr>
                <w:rFonts w:ascii="Arial" w:hAnsi="Arial" w:cs="Arial"/>
              </w:rPr>
              <w:t>Control</w:t>
            </w:r>
          </w:p>
        </w:tc>
        <w:tc>
          <w:tcPr>
            <w:tcW w:w="2189" w:type="dxa"/>
          </w:tcPr>
          <w:p w:rsidR="00330CF1" w:rsidRPr="00543909" w:rsidRDefault="00330CF1" w:rsidP="004218C0">
            <w:pPr>
              <w:jc w:val="center"/>
              <w:rPr>
                <w:rFonts w:ascii="Arial" w:hAnsi="Arial" w:cs="Arial"/>
              </w:rPr>
            </w:pPr>
            <w:r>
              <w:rPr>
                <w:rFonts w:ascii="Arial" w:hAnsi="Arial" w:cs="Arial"/>
              </w:rPr>
              <w:t>Commercial Raw</w:t>
            </w:r>
          </w:p>
        </w:tc>
        <w:tc>
          <w:tcPr>
            <w:tcW w:w="2189" w:type="dxa"/>
          </w:tcPr>
          <w:p w:rsidR="00330CF1" w:rsidRPr="00543909" w:rsidRDefault="00330CF1" w:rsidP="004218C0">
            <w:pPr>
              <w:jc w:val="center"/>
              <w:rPr>
                <w:rFonts w:ascii="Arial" w:hAnsi="Arial" w:cs="Arial"/>
              </w:rPr>
            </w:pPr>
            <w:r>
              <w:rPr>
                <w:rFonts w:ascii="Arial" w:hAnsi="Arial" w:cs="Arial"/>
              </w:rPr>
              <w:t>Homemade Raw</w:t>
            </w: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Oxidative burst - PMA %</w:t>
            </w:r>
          </w:p>
        </w:tc>
        <w:tc>
          <w:tcPr>
            <w:tcW w:w="1989" w:type="dxa"/>
          </w:tcPr>
          <w:p w:rsidR="00330CF1" w:rsidRPr="00543909" w:rsidRDefault="00330CF1" w:rsidP="004218C0">
            <w:pPr>
              <w:jc w:val="center"/>
              <w:rPr>
                <w:rFonts w:ascii="Arial" w:hAnsi="Arial" w:cs="Arial"/>
              </w:rPr>
            </w:pPr>
          </w:p>
        </w:tc>
        <w:tc>
          <w:tcPr>
            <w:tcW w:w="2189" w:type="dxa"/>
          </w:tcPr>
          <w:p w:rsidR="00330CF1" w:rsidRPr="00543909" w:rsidRDefault="00330CF1" w:rsidP="004218C0">
            <w:pPr>
              <w:jc w:val="center"/>
              <w:rPr>
                <w:rFonts w:ascii="Arial" w:hAnsi="Arial" w:cs="Arial"/>
              </w:rPr>
            </w:pPr>
          </w:p>
        </w:tc>
        <w:tc>
          <w:tcPr>
            <w:tcW w:w="2189" w:type="dxa"/>
          </w:tcPr>
          <w:p w:rsidR="00330CF1" w:rsidRPr="00543909" w:rsidRDefault="00330CF1" w:rsidP="004218C0">
            <w:pPr>
              <w:jc w:val="center"/>
              <w:rPr>
                <w:rFonts w:ascii="Arial" w:hAnsi="Arial" w:cs="Arial"/>
              </w:rPr>
            </w:pP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 xml:space="preserve">   Week 0</w:t>
            </w:r>
          </w:p>
        </w:tc>
        <w:tc>
          <w:tcPr>
            <w:tcW w:w="1989" w:type="dxa"/>
          </w:tcPr>
          <w:p w:rsidR="00330CF1" w:rsidRPr="008D2072" w:rsidRDefault="00330CF1" w:rsidP="004218C0">
            <w:pPr>
              <w:jc w:val="center"/>
              <w:rPr>
                <w:rFonts w:ascii="Arial" w:hAnsi="Arial" w:cs="Arial"/>
                <w:vertAlign w:val="superscript"/>
              </w:rPr>
            </w:pPr>
            <w:r>
              <w:rPr>
                <w:rFonts w:ascii="Arial" w:hAnsi="Arial" w:cs="Arial"/>
              </w:rPr>
              <w:t>74.62 ± 9.50</w:t>
            </w:r>
            <w:r>
              <w:rPr>
                <w:rFonts w:ascii="Arial" w:hAnsi="Arial" w:cs="Arial"/>
                <w:vertAlign w:val="superscript"/>
              </w:rPr>
              <w:t>ab</w:t>
            </w:r>
          </w:p>
        </w:tc>
        <w:tc>
          <w:tcPr>
            <w:tcW w:w="2189" w:type="dxa"/>
          </w:tcPr>
          <w:p w:rsidR="00330CF1" w:rsidRPr="008D2072" w:rsidRDefault="00330CF1" w:rsidP="004218C0">
            <w:pPr>
              <w:jc w:val="center"/>
              <w:rPr>
                <w:rFonts w:ascii="Arial" w:hAnsi="Arial" w:cs="Arial"/>
                <w:vertAlign w:val="superscript"/>
              </w:rPr>
            </w:pPr>
            <w:r>
              <w:rPr>
                <w:rFonts w:ascii="Arial" w:hAnsi="Arial" w:cs="Arial"/>
              </w:rPr>
              <w:t>71.41 ± 11.14</w:t>
            </w:r>
            <w:r>
              <w:rPr>
                <w:rFonts w:ascii="Arial" w:hAnsi="Arial" w:cs="Arial"/>
                <w:vertAlign w:val="superscript"/>
              </w:rPr>
              <w:t>ab</w:t>
            </w:r>
          </w:p>
        </w:tc>
        <w:tc>
          <w:tcPr>
            <w:tcW w:w="2189" w:type="dxa"/>
          </w:tcPr>
          <w:p w:rsidR="00330CF1" w:rsidRPr="000A6DC8" w:rsidRDefault="00330CF1" w:rsidP="004218C0">
            <w:pPr>
              <w:jc w:val="center"/>
              <w:rPr>
                <w:rFonts w:ascii="Arial" w:hAnsi="Arial" w:cs="Arial"/>
                <w:vertAlign w:val="superscript"/>
              </w:rPr>
            </w:pPr>
            <w:r>
              <w:rPr>
                <w:rFonts w:ascii="Arial" w:hAnsi="Arial" w:cs="Arial"/>
              </w:rPr>
              <w:t>96.58</w:t>
            </w:r>
            <w:r w:rsidRPr="00543909">
              <w:rPr>
                <w:rFonts w:ascii="Arial" w:hAnsi="Arial" w:cs="Arial"/>
              </w:rPr>
              <w:t xml:space="preserve"> </w:t>
            </w:r>
            <w:r>
              <w:rPr>
                <w:rFonts w:ascii="Arial" w:hAnsi="Arial" w:cs="Arial"/>
              </w:rPr>
              <w:t>± 11.14</w:t>
            </w:r>
            <w:r>
              <w:rPr>
                <w:rFonts w:ascii="Arial" w:hAnsi="Arial" w:cs="Arial"/>
                <w:vertAlign w:val="superscript"/>
              </w:rPr>
              <w:t>a</w:t>
            </w: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 xml:space="preserve">   Week 5</w:t>
            </w:r>
          </w:p>
        </w:tc>
        <w:tc>
          <w:tcPr>
            <w:tcW w:w="1989" w:type="dxa"/>
          </w:tcPr>
          <w:p w:rsidR="00330CF1" w:rsidRPr="008D2072" w:rsidRDefault="00330CF1" w:rsidP="004218C0">
            <w:pPr>
              <w:jc w:val="center"/>
              <w:rPr>
                <w:rFonts w:ascii="Arial" w:hAnsi="Arial" w:cs="Arial"/>
                <w:vertAlign w:val="superscript"/>
              </w:rPr>
            </w:pPr>
            <w:r>
              <w:rPr>
                <w:rFonts w:ascii="Arial" w:hAnsi="Arial" w:cs="Arial"/>
              </w:rPr>
              <w:t>92.07 ± 8.93</w:t>
            </w:r>
            <w:r>
              <w:rPr>
                <w:rFonts w:ascii="Arial" w:hAnsi="Arial" w:cs="Arial"/>
                <w:vertAlign w:val="superscript"/>
              </w:rPr>
              <w:t>a</w:t>
            </w:r>
          </w:p>
        </w:tc>
        <w:tc>
          <w:tcPr>
            <w:tcW w:w="2189" w:type="dxa"/>
          </w:tcPr>
          <w:p w:rsidR="00330CF1" w:rsidRPr="00E120D3" w:rsidRDefault="00330CF1" w:rsidP="004218C0">
            <w:pPr>
              <w:jc w:val="center"/>
              <w:rPr>
                <w:rFonts w:ascii="Arial" w:hAnsi="Arial" w:cs="Arial"/>
                <w:vertAlign w:val="superscript"/>
              </w:rPr>
            </w:pPr>
            <w:r>
              <w:rPr>
                <w:rFonts w:ascii="Arial" w:hAnsi="Arial" w:cs="Arial"/>
              </w:rPr>
              <w:t>59.29 ± 10.13</w:t>
            </w:r>
            <w:r>
              <w:rPr>
                <w:rFonts w:ascii="Arial" w:hAnsi="Arial" w:cs="Arial"/>
                <w:vertAlign w:val="superscript"/>
              </w:rPr>
              <w:t>b</w:t>
            </w:r>
          </w:p>
        </w:tc>
        <w:tc>
          <w:tcPr>
            <w:tcW w:w="2189" w:type="dxa"/>
          </w:tcPr>
          <w:p w:rsidR="00330CF1" w:rsidRPr="000A6DC8" w:rsidRDefault="00330CF1" w:rsidP="004218C0">
            <w:pPr>
              <w:jc w:val="center"/>
              <w:rPr>
                <w:rFonts w:ascii="Arial" w:hAnsi="Arial" w:cs="Arial"/>
                <w:vertAlign w:val="superscript"/>
              </w:rPr>
            </w:pPr>
            <w:r>
              <w:rPr>
                <w:rFonts w:ascii="Arial" w:hAnsi="Arial" w:cs="Arial"/>
              </w:rPr>
              <w:t>92.58 ± 10.12</w:t>
            </w:r>
            <w:r>
              <w:rPr>
                <w:rFonts w:ascii="Arial" w:hAnsi="Arial" w:cs="Arial"/>
                <w:vertAlign w:val="superscript"/>
              </w:rPr>
              <w:t>a</w:t>
            </w: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 xml:space="preserve">   Week 10</w:t>
            </w:r>
          </w:p>
        </w:tc>
        <w:tc>
          <w:tcPr>
            <w:tcW w:w="1989" w:type="dxa"/>
          </w:tcPr>
          <w:p w:rsidR="00330CF1" w:rsidRPr="008D2072" w:rsidRDefault="00330CF1" w:rsidP="004218C0">
            <w:pPr>
              <w:jc w:val="center"/>
              <w:rPr>
                <w:rFonts w:ascii="Arial" w:hAnsi="Arial" w:cs="Arial"/>
                <w:vertAlign w:val="superscript"/>
              </w:rPr>
            </w:pPr>
            <w:r>
              <w:rPr>
                <w:rFonts w:ascii="Arial" w:hAnsi="Arial" w:cs="Arial"/>
              </w:rPr>
              <w:t>76.60 ± 8.93</w:t>
            </w:r>
            <w:r>
              <w:rPr>
                <w:rFonts w:ascii="Arial" w:hAnsi="Arial" w:cs="Arial"/>
                <w:vertAlign w:val="superscript"/>
              </w:rPr>
              <w:t>ab</w:t>
            </w:r>
          </w:p>
        </w:tc>
        <w:tc>
          <w:tcPr>
            <w:tcW w:w="2189" w:type="dxa"/>
          </w:tcPr>
          <w:p w:rsidR="00330CF1" w:rsidRPr="00E120D3" w:rsidRDefault="00330CF1" w:rsidP="004218C0">
            <w:pPr>
              <w:jc w:val="center"/>
              <w:rPr>
                <w:rFonts w:ascii="Arial" w:hAnsi="Arial" w:cs="Arial"/>
                <w:vertAlign w:val="superscript"/>
              </w:rPr>
            </w:pPr>
            <w:r>
              <w:rPr>
                <w:rFonts w:ascii="Arial" w:hAnsi="Arial" w:cs="Arial"/>
              </w:rPr>
              <w:t>50.90 ± 9.50</w:t>
            </w:r>
            <w:r>
              <w:rPr>
                <w:rFonts w:ascii="Arial" w:hAnsi="Arial" w:cs="Arial"/>
                <w:vertAlign w:val="superscript"/>
              </w:rPr>
              <w:t>b</w:t>
            </w:r>
          </w:p>
        </w:tc>
        <w:tc>
          <w:tcPr>
            <w:tcW w:w="2189" w:type="dxa"/>
          </w:tcPr>
          <w:p w:rsidR="00330CF1" w:rsidRPr="000A6DC8" w:rsidRDefault="00330CF1" w:rsidP="004218C0">
            <w:pPr>
              <w:jc w:val="center"/>
              <w:rPr>
                <w:rFonts w:ascii="Arial" w:hAnsi="Arial" w:cs="Arial"/>
                <w:vertAlign w:val="superscript"/>
              </w:rPr>
            </w:pPr>
            <w:r>
              <w:rPr>
                <w:rFonts w:ascii="Arial" w:hAnsi="Arial" w:cs="Arial"/>
              </w:rPr>
              <w:t>88.94 ± 9.50</w:t>
            </w:r>
            <w:r>
              <w:rPr>
                <w:rFonts w:ascii="Arial" w:hAnsi="Arial" w:cs="Arial"/>
                <w:vertAlign w:val="superscript"/>
              </w:rPr>
              <w:t>a</w:t>
            </w: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Oxidative burst – E.coli %</w:t>
            </w:r>
          </w:p>
        </w:tc>
        <w:tc>
          <w:tcPr>
            <w:tcW w:w="1989" w:type="dxa"/>
          </w:tcPr>
          <w:p w:rsidR="00330CF1" w:rsidRPr="00543909" w:rsidRDefault="00330CF1" w:rsidP="004218C0">
            <w:pPr>
              <w:jc w:val="center"/>
              <w:rPr>
                <w:rFonts w:ascii="Arial" w:hAnsi="Arial" w:cs="Arial"/>
              </w:rPr>
            </w:pPr>
          </w:p>
        </w:tc>
        <w:tc>
          <w:tcPr>
            <w:tcW w:w="2189" w:type="dxa"/>
          </w:tcPr>
          <w:p w:rsidR="00330CF1" w:rsidRPr="00543909" w:rsidRDefault="00330CF1" w:rsidP="004218C0">
            <w:pPr>
              <w:jc w:val="center"/>
              <w:rPr>
                <w:rFonts w:ascii="Arial" w:hAnsi="Arial" w:cs="Arial"/>
              </w:rPr>
            </w:pPr>
          </w:p>
        </w:tc>
        <w:tc>
          <w:tcPr>
            <w:tcW w:w="2189" w:type="dxa"/>
          </w:tcPr>
          <w:p w:rsidR="00330CF1" w:rsidRPr="00543909" w:rsidRDefault="00330CF1" w:rsidP="004218C0">
            <w:pPr>
              <w:jc w:val="center"/>
              <w:rPr>
                <w:rFonts w:ascii="Arial" w:hAnsi="Arial" w:cs="Arial"/>
              </w:rPr>
            </w:pP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 xml:space="preserve">   Week 0</w:t>
            </w:r>
          </w:p>
        </w:tc>
        <w:tc>
          <w:tcPr>
            <w:tcW w:w="1989" w:type="dxa"/>
          </w:tcPr>
          <w:p w:rsidR="00330CF1" w:rsidRPr="00E120D3" w:rsidRDefault="00330CF1" w:rsidP="004218C0">
            <w:pPr>
              <w:jc w:val="center"/>
              <w:rPr>
                <w:rFonts w:ascii="Arial" w:hAnsi="Arial" w:cs="Arial"/>
                <w:vertAlign w:val="superscript"/>
              </w:rPr>
            </w:pPr>
            <w:r>
              <w:rPr>
                <w:rFonts w:ascii="Arial" w:hAnsi="Arial" w:cs="Arial"/>
              </w:rPr>
              <w:t>37.36 ± 9.11</w:t>
            </w:r>
            <w:r>
              <w:rPr>
                <w:rFonts w:ascii="Arial" w:hAnsi="Arial" w:cs="Arial"/>
                <w:vertAlign w:val="superscript"/>
              </w:rPr>
              <w:t>bc</w:t>
            </w:r>
          </w:p>
        </w:tc>
        <w:tc>
          <w:tcPr>
            <w:tcW w:w="2189" w:type="dxa"/>
          </w:tcPr>
          <w:p w:rsidR="00330CF1" w:rsidRPr="00E120D3" w:rsidRDefault="00330CF1" w:rsidP="004218C0">
            <w:pPr>
              <w:jc w:val="center"/>
              <w:rPr>
                <w:rFonts w:ascii="Arial" w:hAnsi="Arial" w:cs="Arial"/>
                <w:vertAlign w:val="superscript"/>
              </w:rPr>
            </w:pPr>
            <w:r>
              <w:rPr>
                <w:rFonts w:ascii="Arial" w:hAnsi="Arial" w:cs="Arial"/>
              </w:rPr>
              <w:t>29.84 ± 9.82</w:t>
            </w:r>
            <w:r>
              <w:rPr>
                <w:rFonts w:ascii="Arial" w:hAnsi="Arial" w:cs="Arial"/>
                <w:vertAlign w:val="superscript"/>
              </w:rPr>
              <w:t>c</w:t>
            </w:r>
          </w:p>
        </w:tc>
        <w:tc>
          <w:tcPr>
            <w:tcW w:w="2189" w:type="dxa"/>
          </w:tcPr>
          <w:p w:rsidR="00330CF1" w:rsidRPr="00E120D3" w:rsidRDefault="00330CF1" w:rsidP="004218C0">
            <w:pPr>
              <w:jc w:val="center"/>
              <w:rPr>
                <w:rFonts w:ascii="Arial" w:hAnsi="Arial" w:cs="Arial"/>
                <w:vertAlign w:val="superscript"/>
              </w:rPr>
            </w:pPr>
            <w:r>
              <w:rPr>
                <w:rFonts w:ascii="Arial" w:hAnsi="Arial" w:cs="Arial"/>
              </w:rPr>
              <w:t>68.34 ± 10.75</w:t>
            </w:r>
            <w:r>
              <w:rPr>
                <w:rFonts w:ascii="Arial" w:hAnsi="Arial" w:cs="Arial"/>
                <w:vertAlign w:val="superscript"/>
              </w:rPr>
              <w:t>a</w:t>
            </w: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 xml:space="preserve">   Week 5</w:t>
            </w:r>
          </w:p>
        </w:tc>
        <w:tc>
          <w:tcPr>
            <w:tcW w:w="1989" w:type="dxa"/>
          </w:tcPr>
          <w:p w:rsidR="00330CF1" w:rsidRPr="00E120D3" w:rsidRDefault="00330CF1" w:rsidP="004218C0">
            <w:pPr>
              <w:jc w:val="center"/>
              <w:rPr>
                <w:rFonts w:ascii="Arial" w:hAnsi="Arial" w:cs="Arial"/>
                <w:vertAlign w:val="superscript"/>
              </w:rPr>
            </w:pPr>
            <w:r>
              <w:rPr>
                <w:rFonts w:ascii="Arial" w:hAnsi="Arial" w:cs="Arial"/>
              </w:rPr>
              <w:t>55.99 ± 8.53</w:t>
            </w:r>
            <w:r>
              <w:rPr>
                <w:rFonts w:ascii="Arial" w:hAnsi="Arial" w:cs="Arial"/>
                <w:vertAlign w:val="superscript"/>
              </w:rPr>
              <w:t>ab</w:t>
            </w:r>
          </w:p>
        </w:tc>
        <w:tc>
          <w:tcPr>
            <w:tcW w:w="2189" w:type="dxa"/>
          </w:tcPr>
          <w:p w:rsidR="00330CF1" w:rsidRPr="00E120D3" w:rsidRDefault="00330CF1" w:rsidP="004218C0">
            <w:pPr>
              <w:jc w:val="center"/>
              <w:rPr>
                <w:rFonts w:ascii="Arial" w:hAnsi="Arial" w:cs="Arial"/>
                <w:vertAlign w:val="superscript"/>
              </w:rPr>
            </w:pPr>
            <w:r>
              <w:rPr>
                <w:rFonts w:ascii="Arial" w:hAnsi="Arial" w:cs="Arial"/>
              </w:rPr>
              <w:t>54.59</w:t>
            </w:r>
            <w:r w:rsidRPr="00543909">
              <w:rPr>
                <w:rFonts w:ascii="Arial" w:hAnsi="Arial" w:cs="Arial"/>
              </w:rPr>
              <w:t xml:space="preserve"> ±</w:t>
            </w:r>
            <w:r>
              <w:rPr>
                <w:rFonts w:ascii="Arial" w:hAnsi="Arial" w:cs="Arial"/>
              </w:rPr>
              <w:t xml:space="preserve"> 8.53</w:t>
            </w:r>
            <w:r>
              <w:rPr>
                <w:rFonts w:ascii="Arial" w:hAnsi="Arial" w:cs="Arial"/>
                <w:vertAlign w:val="superscript"/>
              </w:rPr>
              <w:t>abc</w:t>
            </w:r>
          </w:p>
        </w:tc>
        <w:tc>
          <w:tcPr>
            <w:tcW w:w="2189" w:type="dxa"/>
          </w:tcPr>
          <w:p w:rsidR="00330CF1" w:rsidRPr="00E120D3" w:rsidRDefault="00330CF1" w:rsidP="004218C0">
            <w:pPr>
              <w:jc w:val="center"/>
              <w:rPr>
                <w:rFonts w:ascii="Arial" w:hAnsi="Arial" w:cs="Arial"/>
                <w:vertAlign w:val="superscript"/>
              </w:rPr>
            </w:pPr>
            <w:r>
              <w:rPr>
                <w:rFonts w:ascii="Arial" w:hAnsi="Arial" w:cs="Arial"/>
              </w:rPr>
              <w:t>47.86 ± 9.08</w:t>
            </w:r>
            <w:r>
              <w:rPr>
                <w:rFonts w:ascii="Arial" w:hAnsi="Arial" w:cs="Arial"/>
                <w:vertAlign w:val="superscript"/>
              </w:rPr>
              <w:t>abc</w:t>
            </w: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 xml:space="preserve">   Week 10</w:t>
            </w:r>
          </w:p>
        </w:tc>
        <w:tc>
          <w:tcPr>
            <w:tcW w:w="1989" w:type="dxa"/>
          </w:tcPr>
          <w:p w:rsidR="00330CF1" w:rsidRPr="00E120D3" w:rsidRDefault="00330CF1" w:rsidP="004218C0">
            <w:pPr>
              <w:jc w:val="center"/>
              <w:rPr>
                <w:rFonts w:ascii="Arial" w:hAnsi="Arial" w:cs="Arial"/>
                <w:vertAlign w:val="superscript"/>
              </w:rPr>
            </w:pPr>
            <w:r>
              <w:rPr>
                <w:rFonts w:ascii="Arial" w:hAnsi="Arial" w:cs="Arial"/>
              </w:rPr>
              <w:t>47.99 ± 8.53</w:t>
            </w:r>
            <w:r>
              <w:rPr>
                <w:rFonts w:ascii="Arial" w:hAnsi="Arial" w:cs="Arial"/>
                <w:vertAlign w:val="superscript"/>
              </w:rPr>
              <w:t>abc</w:t>
            </w:r>
          </w:p>
        </w:tc>
        <w:tc>
          <w:tcPr>
            <w:tcW w:w="2189" w:type="dxa"/>
          </w:tcPr>
          <w:p w:rsidR="00330CF1" w:rsidRPr="00E120D3" w:rsidRDefault="00330CF1" w:rsidP="004218C0">
            <w:pPr>
              <w:jc w:val="center"/>
              <w:rPr>
                <w:rFonts w:ascii="Arial" w:hAnsi="Arial" w:cs="Arial"/>
                <w:vertAlign w:val="superscript"/>
              </w:rPr>
            </w:pPr>
            <w:r>
              <w:rPr>
                <w:rFonts w:ascii="Arial" w:hAnsi="Arial" w:cs="Arial"/>
              </w:rPr>
              <w:t>53.40 ± 8.53</w:t>
            </w:r>
            <w:r>
              <w:rPr>
                <w:rFonts w:ascii="Arial" w:hAnsi="Arial" w:cs="Arial"/>
                <w:vertAlign w:val="superscript"/>
              </w:rPr>
              <w:t>abc</w:t>
            </w:r>
          </w:p>
        </w:tc>
        <w:tc>
          <w:tcPr>
            <w:tcW w:w="2189" w:type="dxa"/>
          </w:tcPr>
          <w:p w:rsidR="00330CF1" w:rsidRPr="00E120D3" w:rsidRDefault="00330CF1" w:rsidP="004218C0">
            <w:pPr>
              <w:jc w:val="center"/>
              <w:rPr>
                <w:rFonts w:ascii="Arial" w:hAnsi="Arial" w:cs="Arial"/>
                <w:vertAlign w:val="superscript"/>
              </w:rPr>
            </w:pPr>
            <w:r>
              <w:rPr>
                <w:rFonts w:ascii="Arial" w:hAnsi="Arial" w:cs="Arial"/>
              </w:rPr>
              <w:t>69.07 ± 9.11</w:t>
            </w:r>
            <w:r>
              <w:rPr>
                <w:rFonts w:ascii="Arial" w:hAnsi="Arial" w:cs="Arial"/>
                <w:vertAlign w:val="superscript"/>
              </w:rPr>
              <w:t>a</w:t>
            </w: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Phagocytosis %</w:t>
            </w:r>
          </w:p>
        </w:tc>
        <w:tc>
          <w:tcPr>
            <w:tcW w:w="1989" w:type="dxa"/>
          </w:tcPr>
          <w:p w:rsidR="00330CF1" w:rsidRPr="00543909" w:rsidRDefault="00330CF1" w:rsidP="004218C0">
            <w:pPr>
              <w:jc w:val="center"/>
              <w:rPr>
                <w:rFonts w:ascii="Arial" w:hAnsi="Arial" w:cs="Arial"/>
              </w:rPr>
            </w:pPr>
          </w:p>
        </w:tc>
        <w:tc>
          <w:tcPr>
            <w:tcW w:w="2189" w:type="dxa"/>
          </w:tcPr>
          <w:p w:rsidR="00330CF1" w:rsidRPr="00543909" w:rsidRDefault="00330CF1" w:rsidP="004218C0">
            <w:pPr>
              <w:jc w:val="center"/>
              <w:rPr>
                <w:rFonts w:ascii="Arial" w:hAnsi="Arial" w:cs="Arial"/>
              </w:rPr>
            </w:pPr>
          </w:p>
        </w:tc>
        <w:tc>
          <w:tcPr>
            <w:tcW w:w="2189" w:type="dxa"/>
          </w:tcPr>
          <w:p w:rsidR="00330CF1" w:rsidRPr="00543909" w:rsidRDefault="00330CF1" w:rsidP="004218C0">
            <w:pPr>
              <w:jc w:val="center"/>
              <w:rPr>
                <w:rFonts w:ascii="Arial" w:hAnsi="Arial" w:cs="Arial"/>
              </w:rPr>
            </w:pP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 xml:space="preserve">   Week 0</w:t>
            </w:r>
          </w:p>
        </w:tc>
        <w:tc>
          <w:tcPr>
            <w:tcW w:w="1989" w:type="dxa"/>
          </w:tcPr>
          <w:p w:rsidR="00330CF1" w:rsidRPr="00CA5C08" w:rsidRDefault="00330CF1" w:rsidP="004218C0">
            <w:pPr>
              <w:jc w:val="center"/>
              <w:rPr>
                <w:rFonts w:ascii="Arial" w:hAnsi="Arial" w:cs="Arial"/>
                <w:vertAlign w:val="superscript"/>
              </w:rPr>
            </w:pPr>
            <w:r>
              <w:rPr>
                <w:rFonts w:ascii="Arial" w:hAnsi="Arial" w:cs="Arial"/>
              </w:rPr>
              <w:t>34.96 ± 7.74</w:t>
            </w:r>
            <w:r>
              <w:rPr>
                <w:rFonts w:ascii="Arial" w:hAnsi="Arial" w:cs="Arial"/>
                <w:vertAlign w:val="superscript"/>
              </w:rPr>
              <w:t>a</w:t>
            </w:r>
          </w:p>
        </w:tc>
        <w:tc>
          <w:tcPr>
            <w:tcW w:w="2189" w:type="dxa"/>
          </w:tcPr>
          <w:p w:rsidR="00330CF1" w:rsidRPr="00CA5C08" w:rsidRDefault="00330CF1" w:rsidP="004218C0">
            <w:pPr>
              <w:jc w:val="center"/>
              <w:rPr>
                <w:rFonts w:ascii="Arial" w:hAnsi="Arial" w:cs="Arial"/>
                <w:vertAlign w:val="superscript"/>
              </w:rPr>
            </w:pPr>
            <w:r>
              <w:rPr>
                <w:rFonts w:ascii="Arial" w:hAnsi="Arial" w:cs="Arial"/>
              </w:rPr>
              <w:t>36.53 ± 7.75</w:t>
            </w:r>
            <w:r>
              <w:rPr>
                <w:rFonts w:ascii="Arial" w:hAnsi="Arial" w:cs="Arial"/>
                <w:vertAlign w:val="superscript"/>
              </w:rPr>
              <w:t>a</w:t>
            </w:r>
          </w:p>
        </w:tc>
        <w:tc>
          <w:tcPr>
            <w:tcW w:w="2189" w:type="dxa"/>
          </w:tcPr>
          <w:p w:rsidR="00330CF1" w:rsidRPr="00CA5C08" w:rsidRDefault="00330CF1" w:rsidP="004218C0">
            <w:pPr>
              <w:jc w:val="center"/>
              <w:rPr>
                <w:rFonts w:ascii="Arial" w:hAnsi="Arial" w:cs="Arial"/>
                <w:vertAlign w:val="superscript"/>
              </w:rPr>
            </w:pPr>
            <w:r>
              <w:rPr>
                <w:rFonts w:ascii="Arial" w:hAnsi="Arial" w:cs="Arial"/>
              </w:rPr>
              <w:t>39.36 ± 8.49</w:t>
            </w:r>
            <w:r>
              <w:rPr>
                <w:rFonts w:ascii="Arial" w:hAnsi="Arial" w:cs="Arial"/>
                <w:vertAlign w:val="superscript"/>
              </w:rPr>
              <w:t>a</w:t>
            </w: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 xml:space="preserve">   Week 5</w:t>
            </w:r>
          </w:p>
        </w:tc>
        <w:tc>
          <w:tcPr>
            <w:tcW w:w="1989" w:type="dxa"/>
          </w:tcPr>
          <w:p w:rsidR="00330CF1" w:rsidRPr="00CA5C08" w:rsidRDefault="00330CF1" w:rsidP="004218C0">
            <w:pPr>
              <w:jc w:val="center"/>
              <w:rPr>
                <w:rFonts w:ascii="Arial" w:hAnsi="Arial" w:cs="Arial"/>
                <w:vertAlign w:val="superscript"/>
              </w:rPr>
            </w:pPr>
            <w:r>
              <w:rPr>
                <w:rFonts w:ascii="Arial" w:hAnsi="Arial" w:cs="Arial"/>
              </w:rPr>
              <w:t>50.36 ± 7.16</w:t>
            </w:r>
            <w:r>
              <w:rPr>
                <w:rFonts w:ascii="Arial" w:hAnsi="Arial" w:cs="Arial"/>
                <w:vertAlign w:val="superscript"/>
              </w:rPr>
              <w:t>a</w:t>
            </w:r>
          </w:p>
        </w:tc>
        <w:tc>
          <w:tcPr>
            <w:tcW w:w="2189" w:type="dxa"/>
          </w:tcPr>
          <w:p w:rsidR="00330CF1" w:rsidRPr="00CA5C08" w:rsidRDefault="00330CF1" w:rsidP="004218C0">
            <w:pPr>
              <w:jc w:val="center"/>
              <w:rPr>
                <w:rFonts w:ascii="Arial" w:hAnsi="Arial" w:cs="Arial"/>
                <w:vertAlign w:val="superscript"/>
              </w:rPr>
            </w:pPr>
            <w:r>
              <w:rPr>
                <w:rFonts w:ascii="Arial" w:hAnsi="Arial" w:cs="Arial"/>
              </w:rPr>
              <w:t>49.47 ± 7.73</w:t>
            </w:r>
            <w:r>
              <w:rPr>
                <w:rFonts w:ascii="Arial" w:hAnsi="Arial" w:cs="Arial"/>
                <w:vertAlign w:val="superscript"/>
              </w:rPr>
              <w:t>a</w:t>
            </w:r>
          </w:p>
        </w:tc>
        <w:tc>
          <w:tcPr>
            <w:tcW w:w="2189" w:type="dxa"/>
          </w:tcPr>
          <w:p w:rsidR="00330CF1" w:rsidRPr="00CA5C08" w:rsidRDefault="00330CF1" w:rsidP="004218C0">
            <w:pPr>
              <w:jc w:val="center"/>
              <w:rPr>
                <w:rFonts w:ascii="Arial" w:hAnsi="Arial" w:cs="Arial"/>
                <w:vertAlign w:val="superscript"/>
              </w:rPr>
            </w:pPr>
            <w:r>
              <w:rPr>
                <w:rFonts w:ascii="Arial" w:hAnsi="Arial" w:cs="Arial"/>
              </w:rPr>
              <w:t>43.06 ± 7.73</w:t>
            </w:r>
            <w:r>
              <w:rPr>
                <w:rFonts w:ascii="Arial" w:hAnsi="Arial" w:cs="Arial"/>
                <w:vertAlign w:val="superscript"/>
              </w:rPr>
              <w:t>a</w:t>
            </w:r>
          </w:p>
        </w:tc>
      </w:tr>
      <w:tr w:rsidR="00330CF1" w:rsidRPr="00543909" w:rsidTr="004218C0">
        <w:tc>
          <w:tcPr>
            <w:tcW w:w="2489" w:type="dxa"/>
          </w:tcPr>
          <w:p w:rsidR="00330CF1" w:rsidRPr="00543909" w:rsidRDefault="00330CF1" w:rsidP="004218C0">
            <w:pPr>
              <w:rPr>
                <w:rFonts w:ascii="Arial" w:hAnsi="Arial" w:cs="Arial"/>
              </w:rPr>
            </w:pPr>
            <w:r w:rsidRPr="00543909">
              <w:rPr>
                <w:rFonts w:ascii="Arial" w:hAnsi="Arial" w:cs="Arial"/>
              </w:rPr>
              <w:t xml:space="preserve">   Week 10</w:t>
            </w:r>
          </w:p>
        </w:tc>
        <w:tc>
          <w:tcPr>
            <w:tcW w:w="1989" w:type="dxa"/>
          </w:tcPr>
          <w:p w:rsidR="00330CF1" w:rsidRPr="00CA5C08" w:rsidRDefault="00330CF1" w:rsidP="004218C0">
            <w:pPr>
              <w:jc w:val="center"/>
              <w:rPr>
                <w:rFonts w:ascii="Arial" w:hAnsi="Arial" w:cs="Arial"/>
                <w:vertAlign w:val="superscript"/>
              </w:rPr>
            </w:pPr>
            <w:r>
              <w:rPr>
                <w:rFonts w:ascii="Arial" w:hAnsi="Arial" w:cs="Arial"/>
              </w:rPr>
              <w:t>35.87 ± 7.16</w:t>
            </w:r>
            <w:r>
              <w:rPr>
                <w:rFonts w:ascii="Arial" w:hAnsi="Arial" w:cs="Arial"/>
                <w:vertAlign w:val="superscript"/>
              </w:rPr>
              <w:t>a</w:t>
            </w:r>
          </w:p>
        </w:tc>
        <w:tc>
          <w:tcPr>
            <w:tcW w:w="2189" w:type="dxa"/>
          </w:tcPr>
          <w:p w:rsidR="00330CF1" w:rsidRPr="00CA5C08" w:rsidRDefault="00330CF1" w:rsidP="004218C0">
            <w:pPr>
              <w:jc w:val="center"/>
              <w:rPr>
                <w:rFonts w:ascii="Arial" w:hAnsi="Arial" w:cs="Arial"/>
                <w:vertAlign w:val="superscript"/>
              </w:rPr>
            </w:pPr>
            <w:r>
              <w:rPr>
                <w:rFonts w:ascii="Arial" w:hAnsi="Arial" w:cs="Arial"/>
              </w:rPr>
              <w:t>44.03 ± 7.75</w:t>
            </w:r>
            <w:r>
              <w:rPr>
                <w:rFonts w:ascii="Arial" w:hAnsi="Arial" w:cs="Arial"/>
                <w:vertAlign w:val="superscript"/>
              </w:rPr>
              <w:t>a</w:t>
            </w:r>
          </w:p>
        </w:tc>
        <w:tc>
          <w:tcPr>
            <w:tcW w:w="2189" w:type="dxa"/>
          </w:tcPr>
          <w:p w:rsidR="00330CF1" w:rsidRPr="00CA5C08" w:rsidRDefault="00330CF1" w:rsidP="004218C0">
            <w:pPr>
              <w:jc w:val="center"/>
              <w:rPr>
                <w:rFonts w:ascii="Arial" w:hAnsi="Arial" w:cs="Arial"/>
                <w:vertAlign w:val="superscript"/>
              </w:rPr>
            </w:pPr>
            <w:r w:rsidRPr="00543909">
              <w:rPr>
                <w:rFonts w:ascii="Arial" w:hAnsi="Arial" w:cs="Arial"/>
              </w:rPr>
              <w:t>47.</w:t>
            </w:r>
            <w:r>
              <w:rPr>
                <w:rFonts w:ascii="Arial" w:hAnsi="Arial" w:cs="Arial"/>
              </w:rPr>
              <w:t>36 ± 7.74</w:t>
            </w:r>
            <w:r>
              <w:rPr>
                <w:rFonts w:ascii="Arial" w:hAnsi="Arial" w:cs="Arial"/>
                <w:vertAlign w:val="superscript"/>
              </w:rPr>
              <w:t>a</w:t>
            </w:r>
          </w:p>
        </w:tc>
      </w:tr>
    </w:tbl>
    <w:p w:rsidR="00330CF1" w:rsidRDefault="00330CF1">
      <w:pPr>
        <w:rPr>
          <w:rFonts w:ascii="Arial" w:hAnsi="Arial" w:cs="Arial"/>
        </w:rPr>
      </w:pPr>
      <w:bookmarkStart w:id="40" w:name="OLE_LINK10"/>
      <w:r w:rsidRPr="00610740">
        <w:rPr>
          <w:rFonts w:ascii="Arial" w:hAnsi="Arial" w:cs="Arial"/>
        </w:rPr>
        <w:t xml:space="preserve"> </w:t>
      </w:r>
      <w:r w:rsidRPr="00E148CD">
        <w:rPr>
          <w:rFonts w:ascii="Arial" w:hAnsi="Arial" w:cs="Arial"/>
        </w:rPr>
        <w:t>NOTE</w:t>
      </w:r>
      <w:r>
        <w:t xml:space="preserve">: </w:t>
      </w:r>
      <w:r>
        <w:rPr>
          <w:rFonts w:ascii="Arial" w:hAnsi="Arial" w:cs="Arial"/>
        </w:rPr>
        <w:t>Different letter superscripts in both rows and columns indicate p values ≤ 0.05</w:t>
      </w:r>
    </w:p>
    <w:bookmarkEnd w:id="40"/>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p>
    <w:p w:rsidR="00330CF1" w:rsidRDefault="00330CF1">
      <w:pPr>
        <w:rPr>
          <w:rFonts w:ascii="Arial" w:hAnsi="Arial" w:cs="Arial"/>
        </w:rPr>
      </w:pPr>
      <w:r>
        <w:rPr>
          <w:noProof/>
        </w:rPr>
        <w:drawing>
          <wp:inline distT="0" distB="0" distL="0" distR="0" wp14:anchorId="4AD3C28F" wp14:editId="38DBC204">
            <wp:extent cx="5353050" cy="2886075"/>
            <wp:effectExtent l="0" t="0" r="0" b="9525"/>
            <wp:docPr id="204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53050" cy="28860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330CF1" w:rsidRDefault="00330CF1">
      <w:pPr>
        <w:rPr>
          <w:rFonts w:ascii="Arial" w:hAnsi="Arial" w:cs="Arial"/>
          <w:b/>
        </w:rPr>
      </w:pPr>
    </w:p>
    <w:p w:rsidR="00330CF1" w:rsidRPr="00CD43E8" w:rsidRDefault="00330CF1" w:rsidP="00392539">
      <w:pPr>
        <w:rPr>
          <w:rFonts w:ascii="Arial" w:hAnsi="Arial" w:cs="Arial"/>
        </w:rPr>
      </w:pPr>
      <w:r w:rsidRPr="00503CFE">
        <w:rPr>
          <w:rFonts w:ascii="Arial" w:hAnsi="Arial" w:cs="Arial"/>
          <w:b/>
        </w:rPr>
        <w:t>Figure 3.1</w:t>
      </w:r>
      <w:r>
        <w:rPr>
          <w:rFonts w:ascii="Arial" w:hAnsi="Arial" w:cs="Arial"/>
        </w:rPr>
        <w:t xml:space="preserve"> Oxidative burst response to PMA by diet treatment and week.  </w:t>
      </w:r>
      <w:r>
        <w:rPr>
          <w:rFonts w:ascii="Arial" w:eastAsiaTheme="minorEastAsia" w:hAnsi="Arial" w:cs="Arial"/>
          <w:color w:val="000000" w:themeColor="text1"/>
          <w:kern w:val="24"/>
        </w:rPr>
        <w:t>The top and bottom of the box</w:t>
      </w:r>
      <w:r w:rsidRPr="00873BD8">
        <w:rPr>
          <w:rFonts w:ascii="Arial" w:eastAsiaTheme="minorEastAsia" w:hAnsi="Arial" w:cs="Arial"/>
          <w:color w:val="000000" w:themeColor="text1"/>
          <w:kern w:val="24"/>
        </w:rPr>
        <w:t xml:space="preserve"> represent </w:t>
      </w:r>
      <w:r>
        <w:rPr>
          <w:rFonts w:ascii="Arial" w:eastAsiaTheme="minorEastAsia" w:hAnsi="Arial" w:cs="Arial"/>
          <w:color w:val="000000" w:themeColor="text1"/>
          <w:kern w:val="24"/>
        </w:rPr>
        <w:t xml:space="preserve">the </w:t>
      </w:r>
      <w:r w:rsidRPr="00873BD8">
        <w:rPr>
          <w:rFonts w:ascii="Arial" w:eastAsiaTheme="minorEastAsia" w:hAnsi="Arial" w:cs="Arial"/>
          <w:color w:val="000000" w:themeColor="text1"/>
          <w:kern w:val="24"/>
        </w:rPr>
        <w:t>25% and 75%,</w:t>
      </w:r>
      <w:r>
        <w:rPr>
          <w:rFonts w:ascii="Arial" w:eastAsiaTheme="minorEastAsia" w:hAnsi="Arial" w:cs="Arial"/>
          <w:color w:val="000000" w:themeColor="text1"/>
          <w:kern w:val="24"/>
        </w:rPr>
        <w:t xml:space="preserve"> while the band near the middle is the median.  Whiskers go from the smallest to the highest values.</w:t>
      </w:r>
    </w:p>
    <w:p w:rsidR="00330CF1" w:rsidRPr="00030D77" w:rsidRDefault="00330CF1" w:rsidP="00392539">
      <w:pPr>
        <w:rPr>
          <w:rFonts w:ascii="Arial" w:hAnsi="Arial" w:cs="Arial"/>
          <w:i/>
          <w:sz w:val="28"/>
          <w:szCs w:val="28"/>
        </w:rPr>
      </w:pPr>
    </w:p>
    <w:p w:rsidR="00330CF1" w:rsidRDefault="00330CF1" w:rsidP="00392539">
      <w:pPr>
        <w:rPr>
          <w:rFonts w:ascii="Arial" w:hAnsi="Arial" w:cs="Arial"/>
          <w:b/>
          <w:sz w:val="28"/>
          <w:szCs w:val="28"/>
        </w:rPr>
      </w:pPr>
      <w:r>
        <w:rPr>
          <w:noProof/>
        </w:rPr>
        <w:lastRenderedPageBreak/>
        <w:drawing>
          <wp:inline distT="0" distB="0" distL="0" distR="0" wp14:anchorId="61AED3AA" wp14:editId="0AFB1427">
            <wp:extent cx="5506949" cy="2969049"/>
            <wp:effectExtent l="0" t="0" r="0" b="3175"/>
            <wp:docPr id="20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11559" cy="2971535"/>
                    </a:xfrm>
                    <a:prstGeom prst="rect">
                      <a:avLst/>
                    </a:prstGeom>
                    <a:noFill/>
                    <a:ln>
                      <a:noFill/>
                    </a:ln>
                    <a:effectLst/>
                    <a:extLst/>
                  </pic:spPr>
                </pic:pic>
              </a:graphicData>
            </a:graphic>
          </wp:inline>
        </w:drawing>
      </w:r>
    </w:p>
    <w:p w:rsidR="00330CF1" w:rsidRDefault="00330CF1" w:rsidP="00503CFE">
      <w:pPr>
        <w:pStyle w:val="NormalWeb"/>
        <w:spacing w:before="0" w:beforeAutospacing="0" w:after="0" w:afterAutospacing="0"/>
        <w:rPr>
          <w:rFonts w:ascii="Arial" w:eastAsiaTheme="minorEastAsia" w:hAnsi="Arial" w:cs="Arial"/>
          <w:color w:val="000000" w:themeColor="text1"/>
          <w:kern w:val="24"/>
        </w:rPr>
      </w:pPr>
      <w:r w:rsidRPr="00253310">
        <w:rPr>
          <w:rFonts w:ascii="Arial" w:eastAsiaTheme="minorEastAsia" w:hAnsi="Arial" w:cs="Arial"/>
          <w:b/>
          <w:color w:val="000000" w:themeColor="text1"/>
          <w:kern w:val="24"/>
        </w:rPr>
        <w:t>Figure 3.2</w:t>
      </w:r>
      <w:r>
        <w:rPr>
          <w:rFonts w:ascii="Arial" w:eastAsiaTheme="minorEastAsia" w:hAnsi="Arial" w:cs="Arial"/>
          <w:color w:val="000000" w:themeColor="text1"/>
          <w:kern w:val="24"/>
        </w:rPr>
        <w:t xml:space="preserve"> Oxidative b</w:t>
      </w:r>
      <w:r w:rsidRPr="00253310">
        <w:rPr>
          <w:rFonts w:ascii="Arial" w:eastAsiaTheme="minorEastAsia" w:hAnsi="Arial" w:cs="Arial"/>
          <w:color w:val="000000" w:themeColor="text1"/>
          <w:kern w:val="24"/>
        </w:rPr>
        <w:t xml:space="preserve">urst to unlabeled </w:t>
      </w:r>
      <w:r w:rsidRPr="00253310">
        <w:rPr>
          <w:rFonts w:ascii="Arial" w:eastAsiaTheme="minorEastAsia" w:hAnsi="Arial" w:cs="Arial"/>
          <w:i/>
          <w:iCs/>
          <w:color w:val="000000" w:themeColor="text1"/>
          <w:kern w:val="24"/>
        </w:rPr>
        <w:t>E.coli</w:t>
      </w:r>
      <w:r w:rsidRPr="00253310">
        <w:rPr>
          <w:rFonts w:ascii="Arial" w:eastAsiaTheme="minorEastAsia" w:hAnsi="Arial" w:cs="Arial"/>
          <w:iCs/>
          <w:color w:val="000000" w:themeColor="text1"/>
          <w:kern w:val="24"/>
        </w:rPr>
        <w:t xml:space="preserve"> by </w:t>
      </w:r>
      <w:r>
        <w:rPr>
          <w:rFonts w:ascii="Arial" w:eastAsiaTheme="minorEastAsia" w:hAnsi="Arial" w:cs="Arial"/>
          <w:iCs/>
          <w:color w:val="000000" w:themeColor="text1"/>
          <w:kern w:val="24"/>
        </w:rPr>
        <w:t xml:space="preserve">diet </w:t>
      </w:r>
      <w:r w:rsidRPr="00253310">
        <w:rPr>
          <w:rFonts w:ascii="Arial" w:eastAsiaTheme="minorEastAsia" w:hAnsi="Arial" w:cs="Arial"/>
          <w:iCs/>
          <w:color w:val="000000" w:themeColor="text1"/>
          <w:kern w:val="24"/>
        </w:rPr>
        <w:t>treatment and week</w:t>
      </w:r>
      <w:r>
        <w:rPr>
          <w:rFonts w:ascii="Arial" w:eastAsiaTheme="minorEastAsia" w:hAnsi="Arial" w:cs="Arial"/>
          <w:iCs/>
          <w:color w:val="000000" w:themeColor="text1"/>
          <w:kern w:val="24"/>
        </w:rPr>
        <w:t>.</w:t>
      </w:r>
      <w:r w:rsidRPr="00253310">
        <w:rPr>
          <w:rFonts w:ascii="Arial" w:eastAsiaTheme="minorEastAsia" w:hAnsi="Arial" w:cs="Arial"/>
          <w:i/>
          <w:iCs/>
          <w:color w:val="000000" w:themeColor="text1"/>
          <w:kern w:val="24"/>
        </w:rPr>
        <w:t xml:space="preserve"> </w:t>
      </w:r>
      <w:r>
        <w:rPr>
          <w:rFonts w:ascii="Arial" w:eastAsiaTheme="minorEastAsia" w:hAnsi="Arial" w:cs="Arial"/>
          <w:color w:val="000000" w:themeColor="text1"/>
          <w:kern w:val="24"/>
        </w:rPr>
        <w:t>The top and bottom of the box</w:t>
      </w:r>
      <w:r w:rsidRPr="00873BD8">
        <w:rPr>
          <w:rFonts w:ascii="Arial" w:eastAsiaTheme="minorEastAsia" w:hAnsi="Arial" w:cs="Arial"/>
          <w:color w:val="000000" w:themeColor="text1"/>
          <w:kern w:val="24"/>
        </w:rPr>
        <w:t xml:space="preserve"> represent </w:t>
      </w:r>
      <w:r>
        <w:rPr>
          <w:rFonts w:ascii="Arial" w:eastAsiaTheme="minorEastAsia" w:hAnsi="Arial" w:cs="Arial"/>
          <w:color w:val="000000" w:themeColor="text1"/>
          <w:kern w:val="24"/>
        </w:rPr>
        <w:t xml:space="preserve">the </w:t>
      </w:r>
      <w:r w:rsidRPr="00873BD8">
        <w:rPr>
          <w:rFonts w:ascii="Arial" w:eastAsiaTheme="minorEastAsia" w:hAnsi="Arial" w:cs="Arial"/>
          <w:color w:val="000000" w:themeColor="text1"/>
          <w:kern w:val="24"/>
        </w:rPr>
        <w:t>25% and 75%,</w:t>
      </w:r>
      <w:r>
        <w:rPr>
          <w:rFonts w:ascii="Arial" w:eastAsiaTheme="minorEastAsia" w:hAnsi="Arial" w:cs="Arial"/>
          <w:color w:val="000000" w:themeColor="text1"/>
          <w:kern w:val="24"/>
        </w:rPr>
        <w:t xml:space="preserve"> while the band near the middle is the median.  Whiskers go from the smallest to the highest value.</w:t>
      </w:r>
    </w:p>
    <w:p w:rsidR="00330CF1" w:rsidRDefault="00330CF1" w:rsidP="00503CFE">
      <w:pPr>
        <w:pStyle w:val="NormalWeb"/>
        <w:spacing w:before="0" w:beforeAutospacing="0" w:after="0" w:afterAutospacing="0"/>
        <w:rPr>
          <w:rFonts w:ascii="Arial" w:eastAsiaTheme="minorEastAsia" w:hAnsi="Arial" w:cs="Arial"/>
          <w:color w:val="000000" w:themeColor="text1"/>
          <w:kern w:val="24"/>
        </w:rPr>
      </w:pPr>
    </w:p>
    <w:p w:rsidR="00330CF1" w:rsidRDefault="00330CF1" w:rsidP="00503CFE">
      <w:pPr>
        <w:pStyle w:val="NormalWeb"/>
        <w:spacing w:before="0" w:beforeAutospacing="0" w:after="0" w:afterAutospacing="0"/>
        <w:rPr>
          <w:rFonts w:ascii="Arial" w:eastAsiaTheme="minorEastAsia" w:hAnsi="Arial" w:cs="Arial"/>
          <w:color w:val="000000" w:themeColor="text1"/>
          <w:kern w:val="24"/>
        </w:rPr>
      </w:pPr>
    </w:p>
    <w:p w:rsidR="00330CF1" w:rsidRDefault="00330CF1" w:rsidP="00503CFE">
      <w:pPr>
        <w:pStyle w:val="NormalWeb"/>
        <w:spacing w:before="0" w:beforeAutospacing="0" w:after="0" w:afterAutospacing="0"/>
        <w:rPr>
          <w:rFonts w:ascii="Arial" w:eastAsiaTheme="minorEastAsia" w:hAnsi="Arial" w:cs="Arial"/>
          <w:color w:val="000000" w:themeColor="text1"/>
          <w:kern w:val="24"/>
        </w:rPr>
      </w:pPr>
    </w:p>
    <w:p w:rsidR="00330CF1" w:rsidRPr="00253310" w:rsidRDefault="00330CF1" w:rsidP="00503CFE">
      <w:pPr>
        <w:pStyle w:val="NormalWeb"/>
        <w:spacing w:before="0" w:beforeAutospacing="0" w:after="0" w:afterAutospacing="0"/>
        <w:rPr>
          <w:rFonts w:ascii="Arial" w:hAnsi="Arial" w:cs="Arial"/>
        </w:rPr>
      </w:pPr>
      <w:r>
        <w:rPr>
          <w:noProof/>
        </w:rPr>
        <w:drawing>
          <wp:inline distT="0" distB="0" distL="0" distR="0" wp14:anchorId="5D40C527" wp14:editId="18D850B9">
            <wp:extent cx="5733012" cy="3090930"/>
            <wp:effectExtent l="0" t="0" r="1270" b="0"/>
            <wp:docPr id="22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5411" cy="3092223"/>
                    </a:xfrm>
                    <a:prstGeom prst="rect">
                      <a:avLst/>
                    </a:prstGeom>
                    <a:noFill/>
                    <a:ln>
                      <a:noFill/>
                    </a:ln>
                    <a:effectLst/>
                    <a:extLst/>
                  </pic:spPr>
                </pic:pic>
              </a:graphicData>
            </a:graphic>
          </wp:inline>
        </w:drawing>
      </w:r>
    </w:p>
    <w:p w:rsidR="00330CF1" w:rsidRPr="00253310" w:rsidRDefault="00330CF1" w:rsidP="00392539">
      <w:pPr>
        <w:rPr>
          <w:rFonts w:ascii="Arial" w:hAnsi="Arial" w:cs="Arial"/>
          <w:b/>
        </w:rPr>
      </w:pPr>
      <w:r w:rsidRPr="00253310">
        <w:rPr>
          <w:rFonts w:ascii="Arial" w:hAnsi="Arial" w:cs="Arial"/>
          <w:b/>
        </w:rPr>
        <w:t xml:space="preserve">     </w:t>
      </w:r>
    </w:p>
    <w:p w:rsidR="00330CF1" w:rsidRPr="00873BD8" w:rsidRDefault="00330CF1" w:rsidP="00873BD8">
      <w:pPr>
        <w:pStyle w:val="NormalWeb"/>
        <w:spacing w:before="0" w:beforeAutospacing="0" w:after="0" w:afterAutospacing="0"/>
        <w:rPr>
          <w:rFonts w:ascii="Arial" w:eastAsiaTheme="minorEastAsia" w:hAnsi="Arial" w:cs="Arial"/>
          <w:color w:val="000000" w:themeColor="text1"/>
          <w:kern w:val="24"/>
        </w:rPr>
      </w:pPr>
      <w:r w:rsidRPr="00253310">
        <w:rPr>
          <w:rFonts w:ascii="Arial" w:hAnsi="Arial" w:cs="Arial"/>
          <w:b/>
        </w:rPr>
        <w:t xml:space="preserve">Figure 3.3 </w:t>
      </w:r>
      <w:r w:rsidRPr="00253310">
        <w:rPr>
          <w:rFonts w:ascii="Arial" w:hAnsi="Arial" w:cs="Arial"/>
        </w:rPr>
        <w:t xml:space="preserve">Phagocytosis response to labeled </w:t>
      </w:r>
      <w:r w:rsidRPr="00253310">
        <w:rPr>
          <w:rFonts w:ascii="Arial" w:hAnsi="Arial" w:cs="Arial"/>
          <w:i/>
        </w:rPr>
        <w:t>E.coli</w:t>
      </w:r>
      <w:r>
        <w:rPr>
          <w:rFonts w:ascii="Arial" w:hAnsi="Arial" w:cs="Arial"/>
        </w:rPr>
        <w:t>. by diet treatment and week.</w:t>
      </w:r>
      <w:r w:rsidRPr="00253310">
        <w:rPr>
          <w:rFonts w:ascii="Arial" w:hAnsi="Arial" w:cs="Arial"/>
        </w:rPr>
        <w:t xml:space="preserve"> </w:t>
      </w:r>
      <w:r>
        <w:rPr>
          <w:rFonts w:ascii="Arial" w:eastAsiaTheme="minorEastAsia" w:hAnsi="Arial" w:cs="Arial"/>
          <w:color w:val="000000" w:themeColor="text1"/>
          <w:kern w:val="24"/>
        </w:rPr>
        <w:t>The top and bottom of the box</w:t>
      </w:r>
      <w:r w:rsidRPr="00873BD8">
        <w:rPr>
          <w:rFonts w:ascii="Arial" w:eastAsiaTheme="minorEastAsia" w:hAnsi="Arial" w:cs="Arial"/>
          <w:color w:val="000000" w:themeColor="text1"/>
          <w:kern w:val="24"/>
        </w:rPr>
        <w:t xml:space="preserve"> represent </w:t>
      </w:r>
      <w:r>
        <w:rPr>
          <w:rFonts w:ascii="Arial" w:eastAsiaTheme="minorEastAsia" w:hAnsi="Arial" w:cs="Arial"/>
          <w:color w:val="000000" w:themeColor="text1"/>
          <w:kern w:val="24"/>
        </w:rPr>
        <w:t xml:space="preserve">the </w:t>
      </w:r>
      <w:r w:rsidRPr="00873BD8">
        <w:rPr>
          <w:rFonts w:ascii="Arial" w:eastAsiaTheme="minorEastAsia" w:hAnsi="Arial" w:cs="Arial"/>
          <w:color w:val="000000" w:themeColor="text1"/>
          <w:kern w:val="24"/>
        </w:rPr>
        <w:t>25% and 75%,</w:t>
      </w:r>
      <w:r>
        <w:rPr>
          <w:rFonts w:ascii="Arial" w:eastAsiaTheme="minorEastAsia" w:hAnsi="Arial" w:cs="Arial"/>
          <w:color w:val="000000" w:themeColor="text1"/>
          <w:kern w:val="24"/>
        </w:rPr>
        <w:t xml:space="preserve"> while the band near the middle is the median.  Whiskers go from the smallest to the highest value.</w:t>
      </w:r>
    </w:p>
    <w:p w:rsidR="00330CF1" w:rsidRPr="00253310" w:rsidRDefault="00330CF1" w:rsidP="00392539">
      <w:pPr>
        <w:rPr>
          <w:rFonts w:ascii="Arial" w:hAnsi="Arial" w:cs="Arial"/>
          <w:b/>
        </w:rPr>
      </w:pPr>
    </w:p>
    <w:p w:rsidR="00330CF1" w:rsidRPr="00253310" w:rsidRDefault="00330CF1" w:rsidP="00392539">
      <w:pPr>
        <w:rPr>
          <w:rFonts w:ascii="Arial" w:hAnsi="Arial" w:cs="Arial"/>
          <w:b/>
        </w:rPr>
      </w:pPr>
    </w:p>
    <w:p w:rsidR="00330CF1" w:rsidRPr="000A46B5" w:rsidRDefault="00330CF1" w:rsidP="00392539">
      <w:pPr>
        <w:rPr>
          <w:rFonts w:ascii="Arial" w:hAnsi="Arial" w:cs="Arial"/>
          <w:b/>
          <w:sz w:val="28"/>
          <w:szCs w:val="28"/>
        </w:rPr>
      </w:pPr>
      <w:r>
        <w:rPr>
          <w:rFonts w:ascii="Arial" w:hAnsi="Arial" w:cs="Arial"/>
          <w:b/>
          <w:sz w:val="28"/>
          <w:szCs w:val="28"/>
        </w:rPr>
        <w:t xml:space="preserve">     </w:t>
      </w:r>
      <w:r w:rsidRPr="00955854">
        <w:rPr>
          <w:rFonts w:ascii="Arial" w:hAnsi="Arial" w:cs="Arial"/>
        </w:rPr>
        <w:t>Mean</w:t>
      </w:r>
      <w:r>
        <w:rPr>
          <w:rFonts w:ascii="Arial" w:hAnsi="Arial" w:cs="Arial"/>
          <w:sz w:val="28"/>
          <w:szCs w:val="28"/>
        </w:rPr>
        <w:t xml:space="preserve"> </w:t>
      </w:r>
      <w:r>
        <w:rPr>
          <w:rFonts w:ascii="Arial" w:hAnsi="Arial" w:cs="Arial"/>
        </w:rPr>
        <w:t xml:space="preserve">total lymphocyte counts along with serum total IgG and IgM are listed in Table 3.2 and Figures 3.4-3.6.  There were no significant differences in </w:t>
      </w:r>
      <w:r w:rsidRPr="00407259">
        <w:rPr>
          <w:rFonts w:ascii="Arial" w:hAnsi="Arial" w:cs="Arial"/>
        </w:rPr>
        <w:t xml:space="preserve">lymphocyte </w:t>
      </w:r>
      <w:r>
        <w:rPr>
          <w:rFonts w:ascii="Arial" w:hAnsi="Arial" w:cs="Arial"/>
        </w:rPr>
        <w:t>counts</w:t>
      </w:r>
      <w:r w:rsidRPr="00407259">
        <w:rPr>
          <w:rFonts w:ascii="Arial" w:hAnsi="Arial" w:cs="Arial"/>
        </w:rPr>
        <w:t xml:space="preserve"> between the three treatments</w:t>
      </w:r>
      <w:r>
        <w:rPr>
          <w:rFonts w:ascii="Arial" w:hAnsi="Arial" w:cs="Arial"/>
        </w:rPr>
        <w:t xml:space="preserve"> within each time interval</w:t>
      </w:r>
      <w:r w:rsidRPr="00407259">
        <w:rPr>
          <w:rFonts w:ascii="Arial" w:hAnsi="Arial" w:cs="Arial"/>
        </w:rPr>
        <w:t>.</w:t>
      </w:r>
      <w:r w:rsidRPr="000A46B5">
        <w:rPr>
          <w:rFonts w:ascii="Arial" w:hAnsi="Arial" w:cs="Arial"/>
          <w:color w:val="FF0000"/>
        </w:rPr>
        <w:t xml:space="preserve"> </w:t>
      </w:r>
      <w:r>
        <w:rPr>
          <w:rFonts w:ascii="Arial" w:hAnsi="Arial" w:cs="Arial"/>
        </w:rPr>
        <w:t xml:space="preserve">Kittens on the homemade raw diet had significantly increased total lymphocytes at week 10 compared to week 0 and 5.  Neither the control or commercial raw fed kittens had any significant changes in total lymphocytes over the 10 week period. </w:t>
      </w:r>
    </w:p>
    <w:p w:rsidR="00330CF1" w:rsidRDefault="00330CF1" w:rsidP="00392539">
      <w:pPr>
        <w:rPr>
          <w:rFonts w:ascii="Arial" w:hAnsi="Arial" w:cs="Arial"/>
        </w:rPr>
      </w:pPr>
      <w:r>
        <w:rPr>
          <w:rFonts w:ascii="Arial" w:hAnsi="Arial" w:cs="Arial"/>
        </w:rPr>
        <w:t xml:space="preserve">    </w:t>
      </w:r>
      <w:r w:rsidRPr="00A3256A">
        <w:rPr>
          <w:rFonts w:ascii="Arial" w:hAnsi="Arial" w:cs="Arial"/>
          <w:color w:val="FF0000"/>
        </w:rPr>
        <w:t xml:space="preserve"> </w:t>
      </w:r>
      <w:r>
        <w:rPr>
          <w:rFonts w:ascii="Arial" w:hAnsi="Arial" w:cs="Arial"/>
        </w:rPr>
        <w:t xml:space="preserve">Reference intervals for immunoglobulin concentrations in juvenile kittens have not been published as these can vary considerably depending on environment and antigen exposure.  All of the kittens were raised in laboratory setting with the level of environmental antigen exposure across groups expected to be similar.  There were no significant differences in IgG concentrations between treatments within each time period.  The homemade raw diet did have significantly higher (p=0.0106) levels of IgG at week 5 compared to week 0.  There were no significant differences in IgM levels between the three treatment groups within each time period or within each diet group over time.  The commercial raw group had the highest mean IgM levels at week 10 with a trend (p=0.055) toward being significantly higher compared to the control diet.  </w:t>
      </w:r>
    </w:p>
    <w:p w:rsidR="00330CF1" w:rsidRDefault="00330CF1" w:rsidP="00392539">
      <w:pPr>
        <w:rPr>
          <w:rFonts w:ascii="Arial" w:hAnsi="Arial" w:cs="Arial"/>
          <w:sz w:val="28"/>
          <w:szCs w:val="28"/>
        </w:rPr>
      </w:pPr>
    </w:p>
    <w:p w:rsidR="00330CF1" w:rsidRDefault="00330CF1" w:rsidP="00392539">
      <w:pPr>
        <w:rPr>
          <w:rFonts w:ascii="Arial" w:hAnsi="Arial" w:cs="Arial"/>
          <w:sz w:val="28"/>
          <w:szCs w:val="28"/>
        </w:rPr>
      </w:pPr>
    </w:p>
    <w:p w:rsidR="00330CF1" w:rsidRDefault="00330CF1" w:rsidP="00DB0E39">
      <w:pPr>
        <w:jc w:val="center"/>
        <w:rPr>
          <w:rFonts w:ascii="Arial" w:hAnsi="Arial" w:cs="Arial"/>
        </w:rPr>
      </w:pPr>
      <w:r w:rsidRPr="00DB0E39">
        <w:rPr>
          <w:rFonts w:ascii="Arial" w:hAnsi="Arial" w:cs="Arial"/>
          <w:b/>
        </w:rPr>
        <w:t>Table 3.2</w:t>
      </w:r>
      <w:r w:rsidRPr="00DB0E39">
        <w:rPr>
          <w:rFonts w:ascii="Arial" w:hAnsi="Arial" w:cs="Arial"/>
        </w:rPr>
        <w:t xml:space="preserve"> Total lymphocytes and serum IgG and IgM </w:t>
      </w:r>
    </w:p>
    <w:p w:rsidR="00330CF1" w:rsidRPr="00DB0E39" w:rsidRDefault="00330CF1" w:rsidP="00DB0E39">
      <w:pPr>
        <w:jc w:val="center"/>
        <w:rPr>
          <w:rFonts w:ascii="Arial" w:hAnsi="Arial" w:cs="Arial"/>
        </w:rPr>
      </w:pPr>
      <w:r>
        <w:rPr>
          <w:rFonts w:ascii="Arial" w:hAnsi="Arial" w:cs="Arial"/>
        </w:rPr>
        <w:t>by diet treatment and week</w:t>
      </w:r>
      <w:r w:rsidRPr="00DB0E39">
        <w:rPr>
          <w:rFonts w:ascii="Arial" w:hAnsi="Arial" w:cs="Arial"/>
        </w:rPr>
        <w:t>(Mean ± SEM)</w:t>
      </w:r>
    </w:p>
    <w:p w:rsidR="00330CF1" w:rsidRPr="00B01DC2" w:rsidRDefault="00330CF1" w:rsidP="00B775DB">
      <w:pPr>
        <w:rPr>
          <w:rFonts w:ascii="Arial" w:hAnsi="Arial" w:cs="Arial"/>
        </w:rPr>
      </w:pPr>
    </w:p>
    <w:tbl>
      <w:tblPr>
        <w:tblStyle w:val="TableGrid"/>
        <w:tblW w:w="9630" w:type="dxa"/>
        <w:tblInd w:w="-342" w:type="dxa"/>
        <w:tblLook w:val="04A0" w:firstRow="1" w:lastRow="0" w:firstColumn="1" w:lastColumn="0" w:noHBand="0" w:noVBand="1"/>
      </w:tblPr>
      <w:tblGrid>
        <w:gridCol w:w="2160"/>
        <w:gridCol w:w="2430"/>
        <w:gridCol w:w="2394"/>
        <w:gridCol w:w="2646"/>
      </w:tblGrid>
      <w:tr w:rsidR="00330CF1" w:rsidRPr="00B01DC2" w:rsidTr="004218C0">
        <w:tc>
          <w:tcPr>
            <w:tcW w:w="2160" w:type="dxa"/>
          </w:tcPr>
          <w:p w:rsidR="00330CF1" w:rsidRPr="00B01DC2" w:rsidRDefault="00330CF1" w:rsidP="004218C0">
            <w:pPr>
              <w:rPr>
                <w:rFonts w:ascii="Arial" w:hAnsi="Arial" w:cs="Arial"/>
              </w:rPr>
            </w:pPr>
            <w:r w:rsidRPr="00B01DC2">
              <w:rPr>
                <w:rFonts w:ascii="Arial" w:hAnsi="Arial" w:cs="Arial"/>
              </w:rPr>
              <w:t>Analyte/ Week</w:t>
            </w:r>
          </w:p>
        </w:tc>
        <w:tc>
          <w:tcPr>
            <w:tcW w:w="2430" w:type="dxa"/>
          </w:tcPr>
          <w:p w:rsidR="00330CF1" w:rsidRPr="00B01DC2" w:rsidRDefault="00330CF1" w:rsidP="004218C0">
            <w:pPr>
              <w:jc w:val="center"/>
              <w:rPr>
                <w:rFonts w:ascii="Arial" w:hAnsi="Arial" w:cs="Arial"/>
              </w:rPr>
            </w:pPr>
            <w:r>
              <w:rPr>
                <w:rFonts w:ascii="Arial" w:hAnsi="Arial" w:cs="Arial"/>
              </w:rPr>
              <w:t>Control</w:t>
            </w:r>
          </w:p>
        </w:tc>
        <w:tc>
          <w:tcPr>
            <w:tcW w:w="2394" w:type="dxa"/>
          </w:tcPr>
          <w:p w:rsidR="00330CF1" w:rsidRPr="00B01DC2" w:rsidRDefault="00330CF1" w:rsidP="004218C0">
            <w:pPr>
              <w:jc w:val="center"/>
              <w:rPr>
                <w:rFonts w:ascii="Arial" w:hAnsi="Arial" w:cs="Arial"/>
              </w:rPr>
            </w:pPr>
            <w:r>
              <w:rPr>
                <w:rFonts w:ascii="Arial" w:hAnsi="Arial" w:cs="Arial"/>
              </w:rPr>
              <w:t>Commercial Raw</w:t>
            </w:r>
          </w:p>
        </w:tc>
        <w:tc>
          <w:tcPr>
            <w:tcW w:w="2646" w:type="dxa"/>
          </w:tcPr>
          <w:p w:rsidR="00330CF1" w:rsidRPr="00B01DC2" w:rsidRDefault="00330CF1" w:rsidP="004218C0">
            <w:pPr>
              <w:jc w:val="center"/>
              <w:rPr>
                <w:rFonts w:ascii="Arial" w:hAnsi="Arial" w:cs="Arial"/>
              </w:rPr>
            </w:pPr>
            <w:r>
              <w:rPr>
                <w:rFonts w:ascii="Arial" w:hAnsi="Arial" w:cs="Arial"/>
              </w:rPr>
              <w:t>Homemade Raw</w:t>
            </w:r>
          </w:p>
        </w:tc>
      </w:tr>
      <w:tr w:rsidR="00330CF1" w:rsidRPr="00B01DC2" w:rsidTr="004218C0">
        <w:tc>
          <w:tcPr>
            <w:tcW w:w="2160" w:type="dxa"/>
          </w:tcPr>
          <w:p w:rsidR="00330CF1" w:rsidRPr="00B01DC2" w:rsidRDefault="00330CF1" w:rsidP="004218C0">
            <w:pPr>
              <w:rPr>
                <w:rFonts w:ascii="Arial" w:hAnsi="Arial" w:cs="Arial"/>
              </w:rPr>
            </w:pPr>
            <w:r>
              <w:rPr>
                <w:rFonts w:ascii="Arial" w:hAnsi="Arial" w:cs="Arial"/>
              </w:rPr>
              <w:t>Total lymphocytes</w:t>
            </w:r>
          </w:p>
        </w:tc>
        <w:tc>
          <w:tcPr>
            <w:tcW w:w="2430" w:type="dxa"/>
          </w:tcPr>
          <w:p w:rsidR="00330CF1" w:rsidRPr="00B01DC2" w:rsidRDefault="00330CF1" w:rsidP="004218C0">
            <w:pPr>
              <w:jc w:val="center"/>
              <w:rPr>
                <w:rFonts w:ascii="Arial" w:hAnsi="Arial" w:cs="Arial"/>
              </w:rPr>
            </w:pPr>
          </w:p>
        </w:tc>
        <w:tc>
          <w:tcPr>
            <w:tcW w:w="2394" w:type="dxa"/>
          </w:tcPr>
          <w:p w:rsidR="00330CF1" w:rsidRPr="00B01DC2" w:rsidRDefault="00330CF1" w:rsidP="004218C0">
            <w:pPr>
              <w:jc w:val="center"/>
              <w:rPr>
                <w:rFonts w:ascii="Arial" w:hAnsi="Arial" w:cs="Arial"/>
              </w:rPr>
            </w:pPr>
          </w:p>
        </w:tc>
        <w:tc>
          <w:tcPr>
            <w:tcW w:w="2646" w:type="dxa"/>
          </w:tcPr>
          <w:p w:rsidR="00330CF1" w:rsidRPr="00B01DC2" w:rsidRDefault="00330CF1" w:rsidP="004218C0">
            <w:pPr>
              <w:jc w:val="center"/>
              <w:rPr>
                <w:rFonts w:ascii="Arial" w:hAnsi="Arial" w:cs="Arial"/>
              </w:rPr>
            </w:pPr>
          </w:p>
        </w:tc>
      </w:tr>
      <w:tr w:rsidR="00330CF1" w:rsidRPr="00B01DC2" w:rsidTr="004218C0">
        <w:tc>
          <w:tcPr>
            <w:tcW w:w="2160" w:type="dxa"/>
          </w:tcPr>
          <w:p w:rsidR="00330CF1" w:rsidRPr="00B01DC2" w:rsidRDefault="00330CF1" w:rsidP="004218C0">
            <w:pPr>
              <w:rPr>
                <w:rFonts w:ascii="Arial" w:hAnsi="Arial" w:cs="Arial"/>
              </w:rPr>
            </w:pPr>
            <w:r>
              <w:rPr>
                <w:rFonts w:ascii="Arial" w:hAnsi="Arial" w:cs="Arial"/>
              </w:rPr>
              <w:t xml:space="preserve">   Week 0</w:t>
            </w:r>
          </w:p>
        </w:tc>
        <w:tc>
          <w:tcPr>
            <w:tcW w:w="2430" w:type="dxa"/>
          </w:tcPr>
          <w:p w:rsidR="00330CF1" w:rsidRPr="00193F63" w:rsidRDefault="00330CF1" w:rsidP="004218C0">
            <w:pPr>
              <w:jc w:val="center"/>
              <w:rPr>
                <w:rFonts w:ascii="Arial" w:hAnsi="Arial" w:cs="Arial"/>
                <w:vertAlign w:val="superscript"/>
              </w:rPr>
            </w:pPr>
            <w:r>
              <w:rPr>
                <w:rFonts w:ascii="Arial" w:hAnsi="Arial" w:cs="Arial"/>
              </w:rPr>
              <w:t>4,837 ± 811</w:t>
            </w:r>
            <w:r>
              <w:rPr>
                <w:rFonts w:ascii="Arial" w:hAnsi="Arial" w:cs="Arial"/>
                <w:vertAlign w:val="superscript"/>
              </w:rPr>
              <w:t>b</w:t>
            </w:r>
          </w:p>
        </w:tc>
        <w:tc>
          <w:tcPr>
            <w:tcW w:w="2394" w:type="dxa"/>
          </w:tcPr>
          <w:p w:rsidR="00330CF1" w:rsidRPr="00193F63" w:rsidRDefault="00330CF1" w:rsidP="004218C0">
            <w:pPr>
              <w:jc w:val="center"/>
              <w:rPr>
                <w:rFonts w:ascii="Arial" w:hAnsi="Arial" w:cs="Arial"/>
                <w:vertAlign w:val="superscript"/>
              </w:rPr>
            </w:pPr>
            <w:r>
              <w:rPr>
                <w:rFonts w:ascii="Arial" w:hAnsi="Arial" w:cs="Arial"/>
              </w:rPr>
              <w:t>4,701 ± 811</w:t>
            </w:r>
            <w:r>
              <w:rPr>
                <w:rFonts w:ascii="Arial" w:hAnsi="Arial" w:cs="Arial"/>
                <w:vertAlign w:val="superscript"/>
              </w:rPr>
              <w:t>b</w:t>
            </w:r>
          </w:p>
        </w:tc>
        <w:tc>
          <w:tcPr>
            <w:tcW w:w="2646" w:type="dxa"/>
          </w:tcPr>
          <w:p w:rsidR="00330CF1" w:rsidRPr="00193F63" w:rsidRDefault="00330CF1" w:rsidP="004218C0">
            <w:pPr>
              <w:jc w:val="center"/>
              <w:rPr>
                <w:rFonts w:ascii="Arial" w:hAnsi="Arial" w:cs="Arial"/>
                <w:vertAlign w:val="superscript"/>
              </w:rPr>
            </w:pPr>
            <w:r>
              <w:rPr>
                <w:rFonts w:ascii="Arial" w:hAnsi="Arial" w:cs="Arial"/>
              </w:rPr>
              <w:t>4,464 ± 811</w:t>
            </w:r>
            <w:r>
              <w:rPr>
                <w:rFonts w:ascii="Arial" w:hAnsi="Arial" w:cs="Arial"/>
                <w:vertAlign w:val="superscript"/>
              </w:rPr>
              <w:t>b</w:t>
            </w:r>
          </w:p>
        </w:tc>
      </w:tr>
      <w:tr w:rsidR="00330CF1" w:rsidRPr="00B01DC2" w:rsidTr="004218C0">
        <w:tc>
          <w:tcPr>
            <w:tcW w:w="2160" w:type="dxa"/>
          </w:tcPr>
          <w:p w:rsidR="00330CF1" w:rsidRPr="00B01DC2" w:rsidRDefault="00330CF1" w:rsidP="004218C0">
            <w:pPr>
              <w:rPr>
                <w:rFonts w:ascii="Arial" w:hAnsi="Arial" w:cs="Arial"/>
              </w:rPr>
            </w:pPr>
            <w:r>
              <w:rPr>
                <w:rFonts w:ascii="Arial" w:hAnsi="Arial" w:cs="Arial"/>
              </w:rPr>
              <w:t xml:space="preserve">   Week 5</w:t>
            </w:r>
          </w:p>
        </w:tc>
        <w:tc>
          <w:tcPr>
            <w:tcW w:w="2430" w:type="dxa"/>
          </w:tcPr>
          <w:p w:rsidR="00330CF1" w:rsidRPr="00193F63" w:rsidRDefault="00330CF1" w:rsidP="004218C0">
            <w:pPr>
              <w:jc w:val="center"/>
              <w:rPr>
                <w:rFonts w:ascii="Arial" w:hAnsi="Arial" w:cs="Arial"/>
                <w:vertAlign w:val="superscript"/>
              </w:rPr>
            </w:pPr>
            <w:r>
              <w:rPr>
                <w:rFonts w:ascii="Arial" w:hAnsi="Arial" w:cs="Arial"/>
              </w:rPr>
              <w:t>5,702 ± 811</w:t>
            </w:r>
            <w:r>
              <w:rPr>
                <w:rFonts w:ascii="Arial" w:hAnsi="Arial" w:cs="Arial"/>
                <w:vertAlign w:val="superscript"/>
              </w:rPr>
              <w:t>ab</w:t>
            </w:r>
          </w:p>
        </w:tc>
        <w:tc>
          <w:tcPr>
            <w:tcW w:w="2394" w:type="dxa"/>
          </w:tcPr>
          <w:p w:rsidR="00330CF1" w:rsidRPr="00193F63" w:rsidRDefault="00330CF1" w:rsidP="004218C0">
            <w:pPr>
              <w:jc w:val="center"/>
              <w:rPr>
                <w:rFonts w:ascii="Arial" w:hAnsi="Arial" w:cs="Arial"/>
                <w:vertAlign w:val="superscript"/>
              </w:rPr>
            </w:pPr>
            <w:r>
              <w:rPr>
                <w:rFonts w:ascii="Arial" w:hAnsi="Arial" w:cs="Arial"/>
              </w:rPr>
              <w:t>5,030 ± 811</w:t>
            </w:r>
            <w:r>
              <w:rPr>
                <w:rFonts w:ascii="Arial" w:hAnsi="Arial" w:cs="Arial"/>
                <w:vertAlign w:val="superscript"/>
              </w:rPr>
              <w:t>b</w:t>
            </w:r>
          </w:p>
        </w:tc>
        <w:tc>
          <w:tcPr>
            <w:tcW w:w="2646" w:type="dxa"/>
          </w:tcPr>
          <w:p w:rsidR="00330CF1" w:rsidRPr="00193F63" w:rsidRDefault="00330CF1" w:rsidP="004218C0">
            <w:pPr>
              <w:jc w:val="center"/>
              <w:rPr>
                <w:rFonts w:ascii="Arial" w:hAnsi="Arial" w:cs="Arial"/>
                <w:vertAlign w:val="superscript"/>
              </w:rPr>
            </w:pPr>
            <w:r>
              <w:rPr>
                <w:rFonts w:ascii="Arial" w:hAnsi="Arial" w:cs="Arial"/>
              </w:rPr>
              <w:t>4,650 ± 811</w:t>
            </w:r>
            <w:r>
              <w:rPr>
                <w:rFonts w:ascii="Arial" w:hAnsi="Arial" w:cs="Arial"/>
                <w:vertAlign w:val="superscript"/>
              </w:rPr>
              <w:t>b</w:t>
            </w:r>
          </w:p>
        </w:tc>
      </w:tr>
      <w:tr w:rsidR="00330CF1" w:rsidRPr="00B01DC2" w:rsidTr="004218C0">
        <w:tc>
          <w:tcPr>
            <w:tcW w:w="2160" w:type="dxa"/>
          </w:tcPr>
          <w:p w:rsidR="00330CF1" w:rsidRPr="00B01DC2" w:rsidRDefault="00330CF1" w:rsidP="004218C0">
            <w:pPr>
              <w:rPr>
                <w:rFonts w:ascii="Arial" w:hAnsi="Arial" w:cs="Arial"/>
              </w:rPr>
            </w:pPr>
            <w:r>
              <w:rPr>
                <w:rFonts w:ascii="Arial" w:hAnsi="Arial" w:cs="Arial"/>
              </w:rPr>
              <w:t xml:space="preserve">   Week 10</w:t>
            </w:r>
          </w:p>
        </w:tc>
        <w:tc>
          <w:tcPr>
            <w:tcW w:w="2430" w:type="dxa"/>
          </w:tcPr>
          <w:p w:rsidR="00330CF1" w:rsidRPr="00193F63" w:rsidRDefault="00330CF1" w:rsidP="004218C0">
            <w:pPr>
              <w:jc w:val="center"/>
              <w:rPr>
                <w:rFonts w:ascii="Arial" w:hAnsi="Arial" w:cs="Arial"/>
                <w:vertAlign w:val="superscript"/>
              </w:rPr>
            </w:pPr>
            <w:r>
              <w:rPr>
                <w:rFonts w:ascii="Arial" w:hAnsi="Arial" w:cs="Arial"/>
              </w:rPr>
              <w:t>6,627 ± 811</w:t>
            </w:r>
            <w:r>
              <w:rPr>
                <w:rFonts w:ascii="Arial" w:hAnsi="Arial" w:cs="Arial"/>
                <w:vertAlign w:val="superscript"/>
              </w:rPr>
              <w:t>ab</w:t>
            </w:r>
          </w:p>
        </w:tc>
        <w:tc>
          <w:tcPr>
            <w:tcW w:w="2394" w:type="dxa"/>
          </w:tcPr>
          <w:p w:rsidR="00330CF1" w:rsidRPr="00193F63" w:rsidRDefault="00330CF1" w:rsidP="004218C0">
            <w:pPr>
              <w:jc w:val="center"/>
              <w:rPr>
                <w:rFonts w:ascii="Arial" w:hAnsi="Arial" w:cs="Arial"/>
                <w:vertAlign w:val="superscript"/>
              </w:rPr>
            </w:pPr>
            <w:r>
              <w:rPr>
                <w:rFonts w:ascii="Arial" w:hAnsi="Arial" w:cs="Arial"/>
              </w:rPr>
              <w:t>5,480 ± 811</w:t>
            </w:r>
            <w:r>
              <w:rPr>
                <w:rFonts w:ascii="Arial" w:hAnsi="Arial" w:cs="Arial"/>
                <w:vertAlign w:val="superscript"/>
              </w:rPr>
              <w:t>ab</w:t>
            </w:r>
          </w:p>
        </w:tc>
        <w:tc>
          <w:tcPr>
            <w:tcW w:w="2646" w:type="dxa"/>
          </w:tcPr>
          <w:p w:rsidR="00330CF1" w:rsidRPr="00193F63" w:rsidRDefault="00330CF1" w:rsidP="004218C0">
            <w:pPr>
              <w:jc w:val="center"/>
              <w:rPr>
                <w:rFonts w:ascii="Arial" w:hAnsi="Arial" w:cs="Arial"/>
                <w:vertAlign w:val="superscript"/>
              </w:rPr>
            </w:pPr>
            <w:r w:rsidRPr="00046185">
              <w:rPr>
                <w:rFonts w:ascii="Arial" w:hAnsi="Arial" w:cs="Arial"/>
              </w:rPr>
              <w:t>7,600 ± 811</w:t>
            </w:r>
            <w:r w:rsidRPr="00046185">
              <w:rPr>
                <w:rFonts w:ascii="Arial" w:hAnsi="Arial" w:cs="Arial"/>
                <w:vertAlign w:val="superscript"/>
              </w:rPr>
              <w:t>a</w:t>
            </w:r>
          </w:p>
        </w:tc>
      </w:tr>
      <w:tr w:rsidR="00330CF1" w:rsidRPr="00B01DC2" w:rsidTr="004218C0">
        <w:tc>
          <w:tcPr>
            <w:tcW w:w="2160" w:type="dxa"/>
          </w:tcPr>
          <w:p w:rsidR="00330CF1" w:rsidRPr="00B01DC2" w:rsidRDefault="00330CF1" w:rsidP="004218C0">
            <w:pPr>
              <w:rPr>
                <w:rFonts w:ascii="Arial" w:hAnsi="Arial" w:cs="Arial"/>
              </w:rPr>
            </w:pPr>
            <w:r w:rsidRPr="00B01DC2">
              <w:rPr>
                <w:rFonts w:ascii="Arial" w:hAnsi="Arial" w:cs="Arial"/>
              </w:rPr>
              <w:t>IgG</w:t>
            </w:r>
            <w:r>
              <w:rPr>
                <w:rFonts w:ascii="Arial" w:hAnsi="Arial" w:cs="Arial"/>
              </w:rPr>
              <w:t xml:space="preserve"> (mg/dL)</w:t>
            </w:r>
          </w:p>
        </w:tc>
        <w:tc>
          <w:tcPr>
            <w:tcW w:w="2430" w:type="dxa"/>
          </w:tcPr>
          <w:p w:rsidR="00330CF1" w:rsidRPr="00B01DC2" w:rsidRDefault="00330CF1" w:rsidP="004218C0">
            <w:pPr>
              <w:jc w:val="center"/>
              <w:rPr>
                <w:rFonts w:ascii="Arial" w:hAnsi="Arial" w:cs="Arial"/>
              </w:rPr>
            </w:pPr>
          </w:p>
        </w:tc>
        <w:tc>
          <w:tcPr>
            <w:tcW w:w="2394" w:type="dxa"/>
          </w:tcPr>
          <w:p w:rsidR="00330CF1" w:rsidRPr="00B01DC2" w:rsidRDefault="00330CF1" w:rsidP="004218C0">
            <w:pPr>
              <w:jc w:val="center"/>
              <w:rPr>
                <w:rFonts w:ascii="Arial" w:hAnsi="Arial" w:cs="Arial"/>
              </w:rPr>
            </w:pPr>
          </w:p>
        </w:tc>
        <w:tc>
          <w:tcPr>
            <w:tcW w:w="2646" w:type="dxa"/>
          </w:tcPr>
          <w:p w:rsidR="00330CF1" w:rsidRPr="00B01DC2" w:rsidRDefault="00330CF1" w:rsidP="004218C0">
            <w:pPr>
              <w:jc w:val="center"/>
              <w:rPr>
                <w:rFonts w:ascii="Arial" w:hAnsi="Arial" w:cs="Arial"/>
              </w:rPr>
            </w:pPr>
          </w:p>
        </w:tc>
      </w:tr>
      <w:tr w:rsidR="00330CF1" w:rsidRPr="00B01DC2" w:rsidTr="004218C0">
        <w:tc>
          <w:tcPr>
            <w:tcW w:w="2160" w:type="dxa"/>
          </w:tcPr>
          <w:p w:rsidR="00330CF1" w:rsidRPr="00B01DC2" w:rsidRDefault="00330CF1" w:rsidP="004218C0">
            <w:pPr>
              <w:rPr>
                <w:rFonts w:ascii="Arial" w:hAnsi="Arial" w:cs="Arial"/>
              </w:rPr>
            </w:pPr>
            <w:r w:rsidRPr="00B01DC2">
              <w:rPr>
                <w:rFonts w:ascii="Arial" w:hAnsi="Arial" w:cs="Arial"/>
              </w:rPr>
              <w:t xml:space="preserve">   Week 0</w:t>
            </w:r>
          </w:p>
        </w:tc>
        <w:tc>
          <w:tcPr>
            <w:tcW w:w="2430" w:type="dxa"/>
          </w:tcPr>
          <w:p w:rsidR="00330CF1" w:rsidRPr="006C6FF1" w:rsidRDefault="00330CF1" w:rsidP="004218C0">
            <w:pPr>
              <w:jc w:val="center"/>
              <w:rPr>
                <w:rFonts w:ascii="Arial" w:hAnsi="Arial" w:cs="Arial"/>
                <w:vertAlign w:val="superscript"/>
              </w:rPr>
            </w:pPr>
            <w:r>
              <w:rPr>
                <w:rFonts w:ascii="Arial" w:hAnsi="Arial" w:cs="Arial"/>
              </w:rPr>
              <w:t>416.36 ± 90.30</w:t>
            </w:r>
            <w:r>
              <w:rPr>
                <w:rFonts w:ascii="Arial" w:hAnsi="Arial" w:cs="Arial"/>
                <w:vertAlign w:val="superscript"/>
              </w:rPr>
              <w:t>abc</w:t>
            </w:r>
          </w:p>
        </w:tc>
        <w:tc>
          <w:tcPr>
            <w:tcW w:w="2394" w:type="dxa"/>
          </w:tcPr>
          <w:p w:rsidR="00330CF1" w:rsidRPr="006C6FF1" w:rsidRDefault="00330CF1" w:rsidP="004218C0">
            <w:pPr>
              <w:jc w:val="center"/>
              <w:rPr>
                <w:rFonts w:ascii="Arial" w:hAnsi="Arial" w:cs="Arial"/>
                <w:vertAlign w:val="superscript"/>
              </w:rPr>
            </w:pPr>
            <w:r>
              <w:rPr>
                <w:rFonts w:ascii="Arial" w:hAnsi="Arial" w:cs="Arial"/>
              </w:rPr>
              <w:t>436.16 ± 90.30</w:t>
            </w:r>
            <w:r>
              <w:rPr>
                <w:rFonts w:ascii="Arial" w:hAnsi="Arial" w:cs="Arial"/>
                <w:vertAlign w:val="superscript"/>
              </w:rPr>
              <w:t>bd</w:t>
            </w:r>
          </w:p>
        </w:tc>
        <w:tc>
          <w:tcPr>
            <w:tcW w:w="2646" w:type="dxa"/>
          </w:tcPr>
          <w:p w:rsidR="00330CF1" w:rsidRPr="006C6FF1" w:rsidRDefault="00330CF1" w:rsidP="004218C0">
            <w:pPr>
              <w:jc w:val="center"/>
              <w:rPr>
                <w:rFonts w:ascii="Arial" w:hAnsi="Arial" w:cs="Arial"/>
                <w:vertAlign w:val="superscript"/>
              </w:rPr>
            </w:pPr>
            <w:r>
              <w:rPr>
                <w:rFonts w:ascii="Arial" w:hAnsi="Arial" w:cs="Arial"/>
              </w:rPr>
              <w:t>448.81 ± 93.54</w:t>
            </w:r>
            <w:r>
              <w:rPr>
                <w:rFonts w:ascii="Arial" w:hAnsi="Arial" w:cs="Arial"/>
                <w:vertAlign w:val="superscript"/>
              </w:rPr>
              <w:t>cd</w:t>
            </w:r>
          </w:p>
        </w:tc>
      </w:tr>
      <w:tr w:rsidR="00330CF1" w:rsidRPr="00B01DC2" w:rsidTr="004218C0">
        <w:trPr>
          <w:trHeight w:val="75"/>
        </w:trPr>
        <w:tc>
          <w:tcPr>
            <w:tcW w:w="2160" w:type="dxa"/>
          </w:tcPr>
          <w:p w:rsidR="00330CF1" w:rsidRPr="00B01DC2" w:rsidRDefault="00330CF1" w:rsidP="004218C0">
            <w:pPr>
              <w:rPr>
                <w:rFonts w:ascii="Arial" w:hAnsi="Arial" w:cs="Arial"/>
              </w:rPr>
            </w:pPr>
            <w:r w:rsidRPr="00B01DC2">
              <w:rPr>
                <w:rFonts w:ascii="Arial" w:hAnsi="Arial" w:cs="Arial"/>
              </w:rPr>
              <w:t xml:space="preserve">   Week 5</w:t>
            </w:r>
          </w:p>
        </w:tc>
        <w:tc>
          <w:tcPr>
            <w:tcW w:w="2430" w:type="dxa"/>
          </w:tcPr>
          <w:p w:rsidR="00330CF1" w:rsidRPr="006C6FF1" w:rsidRDefault="00330CF1" w:rsidP="004218C0">
            <w:pPr>
              <w:jc w:val="center"/>
              <w:rPr>
                <w:rFonts w:ascii="Arial" w:hAnsi="Arial" w:cs="Arial"/>
                <w:vertAlign w:val="superscript"/>
              </w:rPr>
            </w:pPr>
            <w:r>
              <w:rPr>
                <w:rFonts w:ascii="Arial" w:hAnsi="Arial" w:cs="Arial"/>
              </w:rPr>
              <w:t>453.77 ± 87.79</w:t>
            </w:r>
            <w:r>
              <w:rPr>
                <w:rFonts w:ascii="Arial" w:hAnsi="Arial" w:cs="Arial"/>
                <w:vertAlign w:val="superscript"/>
              </w:rPr>
              <w:t>abc</w:t>
            </w:r>
          </w:p>
        </w:tc>
        <w:tc>
          <w:tcPr>
            <w:tcW w:w="2394" w:type="dxa"/>
          </w:tcPr>
          <w:p w:rsidR="00330CF1" w:rsidRPr="006C6FF1" w:rsidRDefault="00330CF1" w:rsidP="004218C0">
            <w:pPr>
              <w:jc w:val="center"/>
              <w:rPr>
                <w:rFonts w:ascii="Arial" w:hAnsi="Arial" w:cs="Arial"/>
                <w:vertAlign w:val="superscript"/>
              </w:rPr>
            </w:pPr>
            <w:r>
              <w:rPr>
                <w:rFonts w:ascii="Arial" w:hAnsi="Arial" w:cs="Arial"/>
              </w:rPr>
              <w:t>557.93 ± 87.79</w:t>
            </w:r>
            <w:r>
              <w:rPr>
                <w:rFonts w:ascii="Arial" w:hAnsi="Arial" w:cs="Arial"/>
                <w:vertAlign w:val="superscript"/>
              </w:rPr>
              <w:t>abc</w:t>
            </w:r>
          </w:p>
        </w:tc>
        <w:tc>
          <w:tcPr>
            <w:tcW w:w="2646" w:type="dxa"/>
          </w:tcPr>
          <w:p w:rsidR="00330CF1" w:rsidRPr="006C6FF1" w:rsidRDefault="00330CF1" w:rsidP="004218C0">
            <w:pPr>
              <w:jc w:val="center"/>
              <w:rPr>
                <w:rFonts w:ascii="Arial" w:hAnsi="Arial" w:cs="Arial"/>
                <w:vertAlign w:val="superscript"/>
              </w:rPr>
            </w:pPr>
            <w:r w:rsidRPr="00046185">
              <w:rPr>
                <w:rFonts w:ascii="Arial" w:hAnsi="Arial" w:cs="Arial"/>
              </w:rPr>
              <w:t>646.48 ± 87.79</w:t>
            </w:r>
            <w:r w:rsidRPr="00046185">
              <w:rPr>
                <w:rFonts w:ascii="Arial" w:hAnsi="Arial" w:cs="Arial"/>
                <w:vertAlign w:val="superscript"/>
              </w:rPr>
              <w:t>ab</w:t>
            </w:r>
          </w:p>
        </w:tc>
      </w:tr>
      <w:tr w:rsidR="00330CF1" w:rsidRPr="00B01DC2" w:rsidTr="004218C0">
        <w:tc>
          <w:tcPr>
            <w:tcW w:w="2160" w:type="dxa"/>
          </w:tcPr>
          <w:p w:rsidR="00330CF1" w:rsidRPr="00B01DC2" w:rsidRDefault="00330CF1" w:rsidP="004218C0">
            <w:pPr>
              <w:rPr>
                <w:rFonts w:ascii="Arial" w:hAnsi="Arial" w:cs="Arial"/>
              </w:rPr>
            </w:pPr>
            <w:r w:rsidRPr="00B01DC2">
              <w:rPr>
                <w:rFonts w:ascii="Arial" w:hAnsi="Arial" w:cs="Arial"/>
              </w:rPr>
              <w:t xml:space="preserve">   Week 10</w:t>
            </w:r>
          </w:p>
        </w:tc>
        <w:tc>
          <w:tcPr>
            <w:tcW w:w="2430" w:type="dxa"/>
          </w:tcPr>
          <w:p w:rsidR="00330CF1" w:rsidRPr="006C6FF1" w:rsidRDefault="00330CF1" w:rsidP="004218C0">
            <w:pPr>
              <w:jc w:val="center"/>
              <w:rPr>
                <w:rFonts w:ascii="Arial" w:hAnsi="Arial" w:cs="Arial"/>
                <w:vertAlign w:val="superscript"/>
              </w:rPr>
            </w:pPr>
            <w:r>
              <w:rPr>
                <w:rFonts w:ascii="Arial" w:hAnsi="Arial" w:cs="Arial"/>
              </w:rPr>
              <w:t>494.69 ± 87.79</w:t>
            </w:r>
            <w:r>
              <w:rPr>
                <w:rFonts w:ascii="Arial" w:hAnsi="Arial" w:cs="Arial"/>
                <w:vertAlign w:val="superscript"/>
              </w:rPr>
              <w:t>abc</w:t>
            </w:r>
          </w:p>
        </w:tc>
        <w:tc>
          <w:tcPr>
            <w:tcW w:w="2394" w:type="dxa"/>
          </w:tcPr>
          <w:p w:rsidR="00330CF1" w:rsidRPr="006C6FF1" w:rsidRDefault="00330CF1" w:rsidP="004218C0">
            <w:pPr>
              <w:jc w:val="center"/>
              <w:rPr>
                <w:rFonts w:ascii="Arial" w:hAnsi="Arial" w:cs="Arial"/>
                <w:vertAlign w:val="superscript"/>
              </w:rPr>
            </w:pPr>
            <w:r w:rsidRPr="00046185">
              <w:rPr>
                <w:rFonts w:ascii="Arial" w:hAnsi="Arial" w:cs="Arial"/>
              </w:rPr>
              <w:t>621.18 ± 87.79</w:t>
            </w:r>
            <w:r w:rsidRPr="00046185">
              <w:rPr>
                <w:rFonts w:ascii="Arial" w:hAnsi="Arial" w:cs="Arial"/>
                <w:vertAlign w:val="superscript"/>
              </w:rPr>
              <w:t>ac</w:t>
            </w:r>
          </w:p>
        </w:tc>
        <w:tc>
          <w:tcPr>
            <w:tcW w:w="2646" w:type="dxa"/>
          </w:tcPr>
          <w:p w:rsidR="00330CF1" w:rsidRPr="006C6FF1" w:rsidRDefault="00330CF1" w:rsidP="004218C0">
            <w:pPr>
              <w:jc w:val="center"/>
              <w:rPr>
                <w:rFonts w:ascii="Arial" w:hAnsi="Arial" w:cs="Arial"/>
                <w:vertAlign w:val="superscript"/>
              </w:rPr>
            </w:pPr>
            <w:r>
              <w:rPr>
                <w:rFonts w:ascii="Arial" w:hAnsi="Arial" w:cs="Arial"/>
              </w:rPr>
              <w:t>541.94 ± 87.79</w:t>
            </w:r>
            <w:r>
              <w:rPr>
                <w:rFonts w:ascii="Arial" w:hAnsi="Arial" w:cs="Arial"/>
                <w:vertAlign w:val="superscript"/>
              </w:rPr>
              <w:t>abc</w:t>
            </w:r>
          </w:p>
        </w:tc>
      </w:tr>
      <w:tr w:rsidR="00330CF1" w:rsidRPr="00B01DC2" w:rsidTr="004218C0">
        <w:tc>
          <w:tcPr>
            <w:tcW w:w="2160" w:type="dxa"/>
          </w:tcPr>
          <w:p w:rsidR="00330CF1" w:rsidRPr="00B01DC2" w:rsidRDefault="00330CF1" w:rsidP="004218C0">
            <w:pPr>
              <w:rPr>
                <w:rFonts w:ascii="Arial" w:hAnsi="Arial" w:cs="Arial"/>
              </w:rPr>
            </w:pPr>
            <w:r w:rsidRPr="00B01DC2">
              <w:rPr>
                <w:rFonts w:ascii="Arial" w:hAnsi="Arial" w:cs="Arial"/>
              </w:rPr>
              <w:t>IgM</w:t>
            </w:r>
            <w:r>
              <w:rPr>
                <w:rFonts w:ascii="Arial" w:hAnsi="Arial" w:cs="Arial"/>
              </w:rPr>
              <w:t xml:space="preserve"> (mg/dL)</w:t>
            </w:r>
          </w:p>
        </w:tc>
        <w:tc>
          <w:tcPr>
            <w:tcW w:w="2430" w:type="dxa"/>
          </w:tcPr>
          <w:p w:rsidR="00330CF1" w:rsidRPr="00B01DC2" w:rsidRDefault="00330CF1" w:rsidP="004218C0">
            <w:pPr>
              <w:jc w:val="center"/>
              <w:rPr>
                <w:rFonts w:ascii="Arial" w:hAnsi="Arial" w:cs="Arial"/>
              </w:rPr>
            </w:pPr>
          </w:p>
        </w:tc>
        <w:tc>
          <w:tcPr>
            <w:tcW w:w="2394" w:type="dxa"/>
          </w:tcPr>
          <w:p w:rsidR="00330CF1" w:rsidRPr="00B01DC2" w:rsidRDefault="00330CF1" w:rsidP="004218C0">
            <w:pPr>
              <w:jc w:val="center"/>
              <w:rPr>
                <w:rFonts w:ascii="Arial" w:hAnsi="Arial" w:cs="Arial"/>
              </w:rPr>
            </w:pPr>
          </w:p>
        </w:tc>
        <w:tc>
          <w:tcPr>
            <w:tcW w:w="2646" w:type="dxa"/>
          </w:tcPr>
          <w:p w:rsidR="00330CF1" w:rsidRPr="00B01DC2" w:rsidRDefault="00330CF1" w:rsidP="004218C0">
            <w:pPr>
              <w:jc w:val="center"/>
              <w:rPr>
                <w:rFonts w:ascii="Arial" w:hAnsi="Arial" w:cs="Arial"/>
              </w:rPr>
            </w:pPr>
          </w:p>
        </w:tc>
      </w:tr>
      <w:tr w:rsidR="00330CF1" w:rsidRPr="00B01DC2" w:rsidTr="004218C0">
        <w:tc>
          <w:tcPr>
            <w:tcW w:w="2160" w:type="dxa"/>
          </w:tcPr>
          <w:p w:rsidR="00330CF1" w:rsidRPr="00B01DC2" w:rsidRDefault="00330CF1" w:rsidP="004218C0">
            <w:pPr>
              <w:rPr>
                <w:rFonts w:ascii="Arial" w:hAnsi="Arial" w:cs="Arial"/>
              </w:rPr>
            </w:pPr>
            <w:r w:rsidRPr="00B01DC2">
              <w:rPr>
                <w:rFonts w:ascii="Arial" w:hAnsi="Arial" w:cs="Arial"/>
              </w:rPr>
              <w:t xml:space="preserve">   Week 0</w:t>
            </w:r>
          </w:p>
        </w:tc>
        <w:tc>
          <w:tcPr>
            <w:tcW w:w="2430" w:type="dxa"/>
          </w:tcPr>
          <w:p w:rsidR="00330CF1" w:rsidRPr="00140A24" w:rsidRDefault="00330CF1" w:rsidP="004218C0">
            <w:pPr>
              <w:jc w:val="center"/>
              <w:rPr>
                <w:rFonts w:ascii="Arial" w:hAnsi="Arial" w:cs="Arial"/>
                <w:vertAlign w:val="superscript"/>
              </w:rPr>
            </w:pPr>
            <w:r>
              <w:rPr>
                <w:rFonts w:ascii="Arial" w:hAnsi="Arial" w:cs="Arial"/>
              </w:rPr>
              <w:t>125.14 ± 18.45</w:t>
            </w:r>
            <w:r>
              <w:rPr>
                <w:rFonts w:ascii="Arial" w:hAnsi="Arial" w:cs="Arial"/>
                <w:vertAlign w:val="superscript"/>
              </w:rPr>
              <w:t>d</w:t>
            </w:r>
          </w:p>
        </w:tc>
        <w:tc>
          <w:tcPr>
            <w:tcW w:w="2394" w:type="dxa"/>
          </w:tcPr>
          <w:p w:rsidR="00330CF1" w:rsidRPr="00140A24" w:rsidRDefault="00330CF1" w:rsidP="004218C0">
            <w:pPr>
              <w:jc w:val="center"/>
              <w:rPr>
                <w:rFonts w:ascii="Arial" w:hAnsi="Arial" w:cs="Arial"/>
                <w:vertAlign w:val="superscript"/>
              </w:rPr>
            </w:pPr>
            <w:r>
              <w:rPr>
                <w:rFonts w:ascii="Arial" w:hAnsi="Arial" w:cs="Arial"/>
              </w:rPr>
              <w:t>162.24</w:t>
            </w:r>
            <w:r w:rsidRPr="00B01DC2">
              <w:rPr>
                <w:rFonts w:ascii="Arial" w:hAnsi="Arial" w:cs="Arial"/>
              </w:rPr>
              <w:t xml:space="preserve"> ± </w:t>
            </w:r>
            <w:r>
              <w:rPr>
                <w:rFonts w:ascii="Arial" w:hAnsi="Arial" w:cs="Arial"/>
              </w:rPr>
              <w:t>18.45</w:t>
            </w:r>
            <w:r>
              <w:rPr>
                <w:rFonts w:ascii="Arial" w:hAnsi="Arial" w:cs="Arial"/>
                <w:vertAlign w:val="superscript"/>
              </w:rPr>
              <w:t>cd</w:t>
            </w:r>
          </w:p>
        </w:tc>
        <w:tc>
          <w:tcPr>
            <w:tcW w:w="2646" w:type="dxa"/>
          </w:tcPr>
          <w:p w:rsidR="00330CF1" w:rsidRPr="00140A24" w:rsidRDefault="00330CF1" w:rsidP="004218C0">
            <w:pPr>
              <w:jc w:val="center"/>
              <w:rPr>
                <w:rFonts w:ascii="Arial" w:hAnsi="Arial" w:cs="Arial"/>
                <w:vertAlign w:val="superscript"/>
              </w:rPr>
            </w:pPr>
            <w:r>
              <w:rPr>
                <w:rFonts w:ascii="Arial" w:hAnsi="Arial" w:cs="Arial"/>
              </w:rPr>
              <w:t>172.44 ± 19.69</w:t>
            </w:r>
            <w:r>
              <w:rPr>
                <w:rFonts w:ascii="Arial" w:hAnsi="Arial" w:cs="Arial"/>
                <w:vertAlign w:val="superscript"/>
              </w:rPr>
              <w:t>abcd</w:t>
            </w:r>
          </w:p>
        </w:tc>
      </w:tr>
      <w:tr w:rsidR="00330CF1" w:rsidRPr="00B01DC2" w:rsidTr="004218C0">
        <w:tc>
          <w:tcPr>
            <w:tcW w:w="2160" w:type="dxa"/>
          </w:tcPr>
          <w:p w:rsidR="00330CF1" w:rsidRPr="00B01DC2" w:rsidRDefault="00330CF1" w:rsidP="004218C0">
            <w:pPr>
              <w:rPr>
                <w:rFonts w:ascii="Arial" w:hAnsi="Arial" w:cs="Arial"/>
              </w:rPr>
            </w:pPr>
            <w:r w:rsidRPr="00B01DC2">
              <w:rPr>
                <w:rFonts w:ascii="Arial" w:hAnsi="Arial" w:cs="Arial"/>
              </w:rPr>
              <w:t xml:space="preserve">   Week 5</w:t>
            </w:r>
          </w:p>
        </w:tc>
        <w:tc>
          <w:tcPr>
            <w:tcW w:w="2430" w:type="dxa"/>
          </w:tcPr>
          <w:p w:rsidR="00330CF1" w:rsidRPr="00140A24" w:rsidRDefault="00330CF1" w:rsidP="004218C0">
            <w:pPr>
              <w:jc w:val="center"/>
              <w:rPr>
                <w:rFonts w:ascii="Arial" w:hAnsi="Arial" w:cs="Arial"/>
                <w:vertAlign w:val="superscript"/>
              </w:rPr>
            </w:pPr>
            <w:r>
              <w:rPr>
                <w:rFonts w:ascii="Arial" w:hAnsi="Arial" w:cs="Arial"/>
              </w:rPr>
              <w:t>131.51 ± 17.45</w:t>
            </w:r>
            <w:r>
              <w:rPr>
                <w:rFonts w:ascii="Arial" w:hAnsi="Arial" w:cs="Arial"/>
                <w:vertAlign w:val="superscript"/>
              </w:rPr>
              <w:t>cd</w:t>
            </w:r>
          </w:p>
        </w:tc>
        <w:tc>
          <w:tcPr>
            <w:tcW w:w="2394" w:type="dxa"/>
          </w:tcPr>
          <w:p w:rsidR="00330CF1" w:rsidRPr="00140A24" w:rsidRDefault="00330CF1" w:rsidP="004218C0">
            <w:pPr>
              <w:jc w:val="center"/>
              <w:rPr>
                <w:rFonts w:ascii="Arial" w:hAnsi="Arial" w:cs="Arial"/>
                <w:vertAlign w:val="superscript"/>
              </w:rPr>
            </w:pPr>
            <w:r>
              <w:rPr>
                <w:rFonts w:ascii="Arial" w:hAnsi="Arial" w:cs="Arial"/>
              </w:rPr>
              <w:t>179.83 ± 17.45</w:t>
            </w:r>
            <w:r>
              <w:rPr>
                <w:rFonts w:ascii="Arial" w:hAnsi="Arial" w:cs="Arial"/>
                <w:vertAlign w:val="superscript"/>
              </w:rPr>
              <w:t>abc</w:t>
            </w:r>
          </w:p>
        </w:tc>
        <w:tc>
          <w:tcPr>
            <w:tcW w:w="2646" w:type="dxa"/>
          </w:tcPr>
          <w:p w:rsidR="00330CF1" w:rsidRPr="00140A24" w:rsidRDefault="00330CF1" w:rsidP="004218C0">
            <w:pPr>
              <w:jc w:val="center"/>
              <w:rPr>
                <w:rFonts w:ascii="Arial" w:hAnsi="Arial" w:cs="Arial"/>
                <w:vertAlign w:val="superscript"/>
              </w:rPr>
            </w:pPr>
            <w:r>
              <w:rPr>
                <w:rFonts w:ascii="Arial" w:hAnsi="Arial" w:cs="Arial"/>
              </w:rPr>
              <w:t>172.00 ± 17.45</w:t>
            </w:r>
            <w:r>
              <w:rPr>
                <w:rFonts w:ascii="Arial" w:hAnsi="Arial" w:cs="Arial"/>
                <w:vertAlign w:val="superscript"/>
              </w:rPr>
              <w:t>abcd</w:t>
            </w:r>
          </w:p>
        </w:tc>
      </w:tr>
      <w:tr w:rsidR="00330CF1" w:rsidRPr="00B01DC2" w:rsidTr="004218C0">
        <w:tc>
          <w:tcPr>
            <w:tcW w:w="2160" w:type="dxa"/>
          </w:tcPr>
          <w:p w:rsidR="00330CF1" w:rsidRPr="00B01DC2" w:rsidRDefault="00330CF1" w:rsidP="004218C0">
            <w:pPr>
              <w:rPr>
                <w:rFonts w:ascii="Arial" w:hAnsi="Arial" w:cs="Arial"/>
              </w:rPr>
            </w:pPr>
            <w:r w:rsidRPr="00B01DC2">
              <w:rPr>
                <w:rFonts w:ascii="Arial" w:hAnsi="Arial" w:cs="Arial"/>
              </w:rPr>
              <w:t xml:space="preserve">   Week 10</w:t>
            </w:r>
          </w:p>
        </w:tc>
        <w:tc>
          <w:tcPr>
            <w:tcW w:w="2430" w:type="dxa"/>
          </w:tcPr>
          <w:p w:rsidR="00330CF1" w:rsidRPr="00140A24" w:rsidRDefault="00330CF1" w:rsidP="004218C0">
            <w:pPr>
              <w:jc w:val="center"/>
              <w:rPr>
                <w:rFonts w:ascii="Arial" w:hAnsi="Arial" w:cs="Arial"/>
                <w:vertAlign w:val="superscript"/>
              </w:rPr>
            </w:pPr>
            <w:r>
              <w:rPr>
                <w:rFonts w:ascii="Arial" w:hAnsi="Arial" w:cs="Arial"/>
              </w:rPr>
              <w:t>157.78 ± 17.45</w:t>
            </w:r>
            <w:r>
              <w:rPr>
                <w:rFonts w:ascii="Arial" w:hAnsi="Arial" w:cs="Arial"/>
                <w:vertAlign w:val="superscript"/>
              </w:rPr>
              <w:t>bcd</w:t>
            </w:r>
          </w:p>
        </w:tc>
        <w:tc>
          <w:tcPr>
            <w:tcW w:w="2394" w:type="dxa"/>
          </w:tcPr>
          <w:p w:rsidR="00330CF1" w:rsidRPr="00046185" w:rsidRDefault="00330CF1" w:rsidP="004218C0">
            <w:pPr>
              <w:jc w:val="center"/>
              <w:rPr>
                <w:rFonts w:ascii="Arial" w:hAnsi="Arial" w:cs="Arial"/>
                <w:vertAlign w:val="superscript"/>
              </w:rPr>
            </w:pPr>
            <w:r w:rsidRPr="00046185">
              <w:rPr>
                <w:rFonts w:ascii="Arial" w:hAnsi="Arial" w:cs="Arial"/>
              </w:rPr>
              <w:t>212.10 ± 17.45</w:t>
            </w:r>
            <w:r w:rsidRPr="00046185">
              <w:rPr>
                <w:rFonts w:ascii="Arial" w:hAnsi="Arial" w:cs="Arial"/>
                <w:vertAlign w:val="superscript"/>
              </w:rPr>
              <w:t>ab</w:t>
            </w:r>
          </w:p>
        </w:tc>
        <w:tc>
          <w:tcPr>
            <w:tcW w:w="2646" w:type="dxa"/>
          </w:tcPr>
          <w:p w:rsidR="00330CF1" w:rsidRPr="00046185" w:rsidRDefault="00330CF1" w:rsidP="004218C0">
            <w:pPr>
              <w:jc w:val="center"/>
              <w:rPr>
                <w:rFonts w:ascii="Arial" w:hAnsi="Arial" w:cs="Arial"/>
                <w:vertAlign w:val="superscript"/>
              </w:rPr>
            </w:pPr>
            <w:r w:rsidRPr="00046185">
              <w:rPr>
                <w:rFonts w:ascii="Arial" w:hAnsi="Arial" w:cs="Arial"/>
              </w:rPr>
              <w:t>185.70 ± 17.45</w:t>
            </w:r>
            <w:r w:rsidRPr="00046185">
              <w:rPr>
                <w:rFonts w:ascii="Arial" w:hAnsi="Arial" w:cs="Arial"/>
                <w:vertAlign w:val="superscript"/>
              </w:rPr>
              <w:t>ab</w:t>
            </w:r>
          </w:p>
        </w:tc>
      </w:tr>
    </w:tbl>
    <w:p w:rsidR="00330CF1" w:rsidRDefault="00330CF1" w:rsidP="00253310">
      <w:pPr>
        <w:rPr>
          <w:rFonts w:ascii="Arial" w:hAnsi="Arial" w:cs="Arial"/>
        </w:rPr>
      </w:pPr>
      <w:r w:rsidRPr="00610740">
        <w:rPr>
          <w:rFonts w:ascii="Arial" w:hAnsi="Arial" w:cs="Arial"/>
        </w:rPr>
        <w:t xml:space="preserve"> </w:t>
      </w:r>
      <w:r w:rsidRPr="00E148CD">
        <w:rPr>
          <w:rFonts w:ascii="Arial" w:hAnsi="Arial" w:cs="Arial"/>
        </w:rPr>
        <w:t>NOTE</w:t>
      </w:r>
      <w:r>
        <w:t xml:space="preserve">: </w:t>
      </w:r>
      <w:r>
        <w:rPr>
          <w:rFonts w:ascii="Arial" w:hAnsi="Arial" w:cs="Arial"/>
        </w:rPr>
        <w:t>Different letter superscripts in both rows and columns indicate p values ≤ 0.05</w:t>
      </w:r>
    </w:p>
    <w:p w:rsidR="00330CF1" w:rsidRDefault="00330CF1" w:rsidP="00392539">
      <w:pPr>
        <w:rPr>
          <w:rFonts w:ascii="Arial" w:hAnsi="Arial" w:cs="Arial"/>
          <w:sz w:val="28"/>
          <w:szCs w:val="28"/>
        </w:rPr>
      </w:pPr>
    </w:p>
    <w:p w:rsidR="00330CF1" w:rsidRDefault="00330CF1" w:rsidP="00392539">
      <w:pPr>
        <w:rPr>
          <w:rFonts w:ascii="Arial" w:hAnsi="Arial" w:cs="Arial"/>
          <w:sz w:val="28"/>
          <w:szCs w:val="28"/>
        </w:rPr>
      </w:pPr>
    </w:p>
    <w:p w:rsidR="00330CF1" w:rsidRDefault="00330CF1" w:rsidP="00392539">
      <w:pPr>
        <w:rPr>
          <w:rFonts w:ascii="Arial" w:hAnsi="Arial" w:cs="Arial"/>
          <w:sz w:val="28"/>
          <w:szCs w:val="28"/>
        </w:rPr>
      </w:pPr>
      <w:r>
        <w:rPr>
          <w:noProof/>
        </w:rPr>
        <w:lastRenderedPageBreak/>
        <w:drawing>
          <wp:inline distT="0" distB="0" distL="0" distR="0" wp14:anchorId="3D9D7DBB" wp14:editId="5DED556F">
            <wp:extent cx="4503420" cy="3464169"/>
            <wp:effectExtent l="0" t="0" r="0" b="3175"/>
            <wp:docPr id="256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3"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13837" cy="3472182"/>
                    </a:xfrm>
                    <a:prstGeom prst="rect">
                      <a:avLst/>
                    </a:prstGeom>
                    <a:noFill/>
                    <a:ln>
                      <a:noFill/>
                    </a:ln>
                    <a:effectLst/>
                    <a:extLst/>
                  </pic:spPr>
                </pic:pic>
              </a:graphicData>
            </a:graphic>
          </wp:inline>
        </w:drawing>
      </w:r>
    </w:p>
    <w:p w:rsidR="00330CF1" w:rsidRPr="006D0204" w:rsidRDefault="00330CF1" w:rsidP="006D0204">
      <w:pPr>
        <w:pStyle w:val="NormalWeb"/>
        <w:spacing w:before="0" w:beforeAutospacing="0" w:after="0" w:afterAutospacing="0"/>
        <w:rPr>
          <w:rFonts w:ascii="Arial" w:eastAsiaTheme="minorEastAsia" w:hAnsi="Arial" w:cs="Arial"/>
          <w:color w:val="000000" w:themeColor="text1"/>
          <w:kern w:val="24"/>
        </w:rPr>
      </w:pPr>
      <w:r w:rsidRPr="00CE170A">
        <w:rPr>
          <w:rFonts w:ascii="Arial" w:hAnsi="Arial" w:cs="Arial"/>
          <w:b/>
        </w:rPr>
        <w:t>Figure 3.4</w:t>
      </w:r>
      <w:r>
        <w:rPr>
          <w:rFonts w:ascii="Arial" w:hAnsi="Arial" w:cs="Arial"/>
        </w:rPr>
        <w:t xml:space="preserve"> Serum total lymphocytes diet by treatment and week. </w:t>
      </w:r>
      <w:r>
        <w:rPr>
          <w:rFonts w:ascii="Arial" w:eastAsiaTheme="minorEastAsia" w:hAnsi="Arial" w:cs="Arial"/>
          <w:color w:val="000000" w:themeColor="text1"/>
          <w:kern w:val="24"/>
        </w:rPr>
        <w:t>The top and bottom of the box</w:t>
      </w:r>
      <w:r w:rsidRPr="00873BD8">
        <w:rPr>
          <w:rFonts w:ascii="Arial" w:eastAsiaTheme="minorEastAsia" w:hAnsi="Arial" w:cs="Arial"/>
          <w:color w:val="000000" w:themeColor="text1"/>
          <w:kern w:val="24"/>
        </w:rPr>
        <w:t xml:space="preserve"> represent </w:t>
      </w:r>
      <w:r>
        <w:rPr>
          <w:rFonts w:ascii="Arial" w:eastAsiaTheme="minorEastAsia" w:hAnsi="Arial" w:cs="Arial"/>
          <w:color w:val="000000" w:themeColor="text1"/>
          <w:kern w:val="24"/>
        </w:rPr>
        <w:t xml:space="preserve">the </w:t>
      </w:r>
      <w:r w:rsidRPr="00873BD8">
        <w:rPr>
          <w:rFonts w:ascii="Arial" w:eastAsiaTheme="minorEastAsia" w:hAnsi="Arial" w:cs="Arial"/>
          <w:color w:val="000000" w:themeColor="text1"/>
          <w:kern w:val="24"/>
        </w:rPr>
        <w:t>25% and 75%,</w:t>
      </w:r>
      <w:r>
        <w:rPr>
          <w:rFonts w:ascii="Arial" w:eastAsiaTheme="minorEastAsia" w:hAnsi="Arial" w:cs="Arial"/>
          <w:color w:val="000000" w:themeColor="text1"/>
          <w:kern w:val="24"/>
        </w:rPr>
        <w:t xml:space="preserve"> while the band near the middle is the median.  Whiskers go from the smallest to the highest value.</w:t>
      </w:r>
    </w:p>
    <w:p w:rsidR="00330CF1" w:rsidRDefault="00330CF1" w:rsidP="00392539">
      <w:pPr>
        <w:rPr>
          <w:rFonts w:ascii="Arial" w:hAnsi="Arial" w:cs="Arial"/>
        </w:rPr>
      </w:pPr>
      <w:r>
        <w:rPr>
          <w:rFonts w:ascii="Arial" w:hAnsi="Arial" w:cs="Arial"/>
        </w:rPr>
        <w:t xml:space="preserve">  </w:t>
      </w:r>
    </w:p>
    <w:p w:rsidR="00330CF1" w:rsidRDefault="00330CF1" w:rsidP="00392539">
      <w:pPr>
        <w:rPr>
          <w:rFonts w:ascii="Arial" w:hAnsi="Arial" w:cs="Arial"/>
        </w:rPr>
      </w:pPr>
    </w:p>
    <w:p w:rsidR="00330CF1" w:rsidRPr="00873BD8" w:rsidRDefault="00330CF1" w:rsidP="00873BD8">
      <w:pPr>
        <w:pStyle w:val="NormalWeb"/>
        <w:spacing w:before="0" w:beforeAutospacing="0" w:after="0" w:afterAutospacing="0"/>
        <w:rPr>
          <w:rFonts w:ascii="Arial" w:eastAsiaTheme="minorEastAsia" w:hAnsi="Arial" w:cs="Arial"/>
          <w:color w:val="000000" w:themeColor="text1"/>
          <w:kern w:val="24"/>
        </w:rPr>
      </w:pPr>
      <w:r>
        <w:object w:dxaOrig="8209" w:dyaOrig="4361">
          <v:shape id="_x0000_i1031" type="#_x0000_t75" style="width:456.4pt;height:241.6pt" o:ole="">
            <v:imagedata r:id="rId56" o:title=""/>
          </v:shape>
          <o:OLEObject Type="Embed" ProgID="Prism5.Document" ShapeID="_x0000_i1031" DrawAspect="Content" ObjectID="_1398685162" r:id="rId57"/>
        </w:object>
      </w:r>
      <w:r w:rsidRPr="00CE170A">
        <w:rPr>
          <w:rFonts w:ascii="Arial" w:eastAsiaTheme="minorEastAsia" w:hAnsi="Arial" w:cs="Arial"/>
          <w:b/>
          <w:color w:val="000000" w:themeColor="text1"/>
          <w:kern w:val="24"/>
        </w:rPr>
        <w:t>Figure 3.</w:t>
      </w:r>
      <w:r>
        <w:rPr>
          <w:rFonts w:ascii="Arial" w:eastAsiaTheme="minorEastAsia" w:hAnsi="Arial" w:cs="Arial"/>
          <w:b/>
          <w:color w:val="000000" w:themeColor="text1"/>
          <w:kern w:val="24"/>
        </w:rPr>
        <w:t>5</w:t>
      </w:r>
      <w:r w:rsidRPr="00CE170A">
        <w:rPr>
          <w:rFonts w:ascii="Arial" w:eastAsiaTheme="minorEastAsia" w:hAnsi="Arial" w:cs="Arial"/>
          <w:color w:val="000000" w:themeColor="text1"/>
          <w:kern w:val="24"/>
        </w:rPr>
        <w:t xml:space="preserve"> Total IgG by </w:t>
      </w:r>
      <w:r>
        <w:rPr>
          <w:rFonts w:ascii="Arial" w:eastAsiaTheme="minorEastAsia" w:hAnsi="Arial" w:cs="Arial"/>
          <w:color w:val="000000" w:themeColor="text1"/>
          <w:kern w:val="24"/>
        </w:rPr>
        <w:t xml:space="preserve">diet </w:t>
      </w:r>
      <w:r w:rsidRPr="00CE170A">
        <w:rPr>
          <w:rFonts w:ascii="Arial" w:eastAsiaTheme="minorEastAsia" w:hAnsi="Arial" w:cs="Arial"/>
          <w:color w:val="000000" w:themeColor="text1"/>
          <w:kern w:val="24"/>
        </w:rPr>
        <w:t xml:space="preserve">treatment and week.  </w:t>
      </w:r>
      <w:r>
        <w:rPr>
          <w:rFonts w:ascii="Arial" w:eastAsiaTheme="minorEastAsia" w:hAnsi="Arial" w:cs="Arial"/>
          <w:color w:val="000000" w:themeColor="text1"/>
          <w:kern w:val="24"/>
        </w:rPr>
        <w:t>The top and bottom of the box</w:t>
      </w:r>
      <w:r w:rsidRPr="00873BD8">
        <w:rPr>
          <w:rFonts w:ascii="Arial" w:eastAsiaTheme="minorEastAsia" w:hAnsi="Arial" w:cs="Arial"/>
          <w:color w:val="000000" w:themeColor="text1"/>
          <w:kern w:val="24"/>
        </w:rPr>
        <w:t xml:space="preserve"> represent </w:t>
      </w:r>
      <w:r>
        <w:rPr>
          <w:rFonts w:ascii="Arial" w:eastAsiaTheme="minorEastAsia" w:hAnsi="Arial" w:cs="Arial"/>
          <w:color w:val="000000" w:themeColor="text1"/>
          <w:kern w:val="24"/>
        </w:rPr>
        <w:t xml:space="preserve">the </w:t>
      </w:r>
      <w:r w:rsidRPr="00873BD8">
        <w:rPr>
          <w:rFonts w:ascii="Arial" w:eastAsiaTheme="minorEastAsia" w:hAnsi="Arial" w:cs="Arial"/>
          <w:color w:val="000000" w:themeColor="text1"/>
          <w:kern w:val="24"/>
        </w:rPr>
        <w:t>25% and 75%,</w:t>
      </w:r>
      <w:r>
        <w:rPr>
          <w:rFonts w:ascii="Arial" w:eastAsiaTheme="minorEastAsia" w:hAnsi="Arial" w:cs="Arial"/>
          <w:color w:val="000000" w:themeColor="text1"/>
          <w:kern w:val="24"/>
        </w:rPr>
        <w:t xml:space="preserve"> while the band near the middle is the median.  Whiskers go from the smallest to the highest value.</w:t>
      </w:r>
    </w:p>
    <w:p w:rsidR="00330CF1" w:rsidRDefault="00330CF1" w:rsidP="00392539">
      <w:pPr>
        <w:rPr>
          <w:rFonts w:ascii="Arial" w:hAnsi="Arial" w:cs="Arial"/>
        </w:rPr>
      </w:pPr>
      <w:r>
        <w:rPr>
          <w:rFonts w:ascii="Arial" w:hAnsi="Arial" w:cs="Arial"/>
        </w:rPr>
        <w:lastRenderedPageBreak/>
        <w:t xml:space="preserve"> </w:t>
      </w:r>
    </w:p>
    <w:p w:rsidR="00330CF1" w:rsidRDefault="00330CF1" w:rsidP="00392539">
      <w:pPr>
        <w:rPr>
          <w:rFonts w:ascii="Arial" w:hAnsi="Arial" w:cs="Arial"/>
        </w:rPr>
      </w:pPr>
      <w:r>
        <w:rPr>
          <w:noProof/>
        </w:rPr>
        <w:drawing>
          <wp:inline distT="0" distB="0" distL="0" distR="0" wp14:anchorId="74F36FBE" wp14:editId="3A12C5DC">
            <wp:extent cx="5706182" cy="3387144"/>
            <wp:effectExtent l="0" t="0" r="8890" b="3810"/>
            <wp:docPr id="266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06182" cy="3387144"/>
                    </a:xfrm>
                    <a:prstGeom prst="rect">
                      <a:avLst/>
                    </a:prstGeom>
                    <a:noFill/>
                    <a:ln>
                      <a:noFill/>
                    </a:ln>
                    <a:effectLst/>
                    <a:extLst/>
                  </pic:spPr>
                </pic:pic>
              </a:graphicData>
            </a:graphic>
          </wp:inline>
        </w:drawing>
      </w:r>
    </w:p>
    <w:p w:rsidR="00330CF1" w:rsidRDefault="00330CF1" w:rsidP="00392539">
      <w:pPr>
        <w:rPr>
          <w:rFonts w:ascii="Arial" w:hAnsi="Arial" w:cs="Arial"/>
        </w:rPr>
      </w:pPr>
      <w:r>
        <w:rPr>
          <w:rFonts w:ascii="Arial" w:hAnsi="Arial" w:cs="Arial"/>
        </w:rPr>
        <w:t xml:space="preserve">  </w:t>
      </w:r>
    </w:p>
    <w:p w:rsidR="00330CF1" w:rsidRDefault="00330CF1" w:rsidP="00873BD8">
      <w:pPr>
        <w:pStyle w:val="NormalWeb"/>
        <w:spacing w:before="0" w:beforeAutospacing="0" w:after="0" w:afterAutospacing="0"/>
        <w:rPr>
          <w:rFonts w:ascii="Arial" w:eastAsiaTheme="minorEastAsia" w:hAnsi="Arial" w:cs="Arial"/>
          <w:color w:val="000000" w:themeColor="text1"/>
          <w:kern w:val="24"/>
        </w:rPr>
      </w:pPr>
      <w:r w:rsidRPr="005F6521">
        <w:rPr>
          <w:rFonts w:ascii="Arial" w:hAnsi="Arial" w:cs="Arial"/>
          <w:b/>
        </w:rPr>
        <w:t>Figure 3.6</w:t>
      </w:r>
      <w:r>
        <w:rPr>
          <w:rFonts w:ascii="Arial" w:hAnsi="Arial" w:cs="Arial"/>
        </w:rPr>
        <w:t xml:space="preserve"> Total IgM by diet treatment and week. </w:t>
      </w:r>
      <w:r>
        <w:rPr>
          <w:rFonts w:ascii="Arial" w:eastAsiaTheme="minorEastAsia" w:hAnsi="Arial" w:cs="Arial"/>
          <w:color w:val="000000" w:themeColor="text1"/>
          <w:kern w:val="24"/>
        </w:rPr>
        <w:t>The top and bottom of the box</w:t>
      </w:r>
      <w:r w:rsidRPr="00873BD8">
        <w:rPr>
          <w:rFonts w:ascii="Arial" w:eastAsiaTheme="minorEastAsia" w:hAnsi="Arial" w:cs="Arial"/>
          <w:color w:val="000000" w:themeColor="text1"/>
          <w:kern w:val="24"/>
        </w:rPr>
        <w:t xml:space="preserve"> represent </w:t>
      </w:r>
      <w:r>
        <w:rPr>
          <w:rFonts w:ascii="Arial" w:eastAsiaTheme="minorEastAsia" w:hAnsi="Arial" w:cs="Arial"/>
          <w:color w:val="000000" w:themeColor="text1"/>
          <w:kern w:val="24"/>
        </w:rPr>
        <w:t xml:space="preserve">the </w:t>
      </w:r>
      <w:r w:rsidRPr="00873BD8">
        <w:rPr>
          <w:rFonts w:ascii="Arial" w:eastAsiaTheme="minorEastAsia" w:hAnsi="Arial" w:cs="Arial"/>
          <w:color w:val="000000" w:themeColor="text1"/>
          <w:kern w:val="24"/>
        </w:rPr>
        <w:t>25% and 75%,</w:t>
      </w:r>
      <w:r>
        <w:rPr>
          <w:rFonts w:ascii="Arial" w:eastAsiaTheme="minorEastAsia" w:hAnsi="Arial" w:cs="Arial"/>
          <w:color w:val="000000" w:themeColor="text1"/>
          <w:kern w:val="24"/>
        </w:rPr>
        <w:t xml:space="preserve"> while the band near the middle is the median.  Whiskers go from the smallest to the highest value.</w:t>
      </w:r>
    </w:p>
    <w:p w:rsidR="00330CF1" w:rsidRDefault="00330CF1" w:rsidP="00873BD8">
      <w:pPr>
        <w:pStyle w:val="NormalWeb"/>
        <w:spacing w:before="0" w:beforeAutospacing="0" w:after="0" w:afterAutospacing="0"/>
        <w:rPr>
          <w:rFonts w:ascii="Arial" w:eastAsiaTheme="minorEastAsia" w:hAnsi="Arial" w:cs="Arial"/>
          <w:color w:val="000000" w:themeColor="text1"/>
          <w:kern w:val="24"/>
        </w:rPr>
      </w:pPr>
    </w:p>
    <w:p w:rsidR="00330CF1" w:rsidRPr="00873BD8" w:rsidRDefault="00330CF1" w:rsidP="00873BD8">
      <w:pPr>
        <w:pStyle w:val="NormalWeb"/>
        <w:spacing w:before="0" w:beforeAutospacing="0" w:after="0" w:afterAutospacing="0"/>
        <w:rPr>
          <w:rFonts w:ascii="Arial" w:eastAsiaTheme="minorEastAsia" w:hAnsi="Arial" w:cs="Arial"/>
          <w:color w:val="000000" w:themeColor="text1"/>
          <w:kern w:val="24"/>
        </w:rPr>
      </w:pPr>
    </w:p>
    <w:p w:rsidR="00330CF1" w:rsidRPr="00F623B0" w:rsidRDefault="00330CF1" w:rsidP="002C11EE">
      <w:pPr>
        <w:rPr>
          <w:rFonts w:ascii="Arial" w:hAnsi="Arial" w:cs="Arial"/>
        </w:rPr>
      </w:pPr>
      <w:r>
        <w:rPr>
          <w:rFonts w:ascii="Arial" w:hAnsi="Arial" w:cs="Arial"/>
        </w:rPr>
        <w:t xml:space="preserve">     Specific IgG serum antibody titers to herpesvirus after vaccination were highly variable within each group.  Table 3.3 lists the mean dilution levels at week 5 (before vaccination) and week 10 (after 2 vaccinations at week 6 and 9).  Figure 3.7 diagrams the mean dilution levels at week 10 for each diet.  Both the control and homemade raw diet groups had titers ranging from 160 to 1280 while the commercial raw had titers ranging </w:t>
      </w:r>
      <w:r w:rsidRPr="00254706">
        <w:rPr>
          <w:rFonts w:ascii="Arial" w:hAnsi="Arial" w:cs="Arial"/>
        </w:rPr>
        <w:t xml:space="preserve">from &lt;20 to 160.  </w:t>
      </w:r>
      <w:r>
        <w:rPr>
          <w:rFonts w:ascii="Arial" w:hAnsi="Arial" w:cs="Arial"/>
        </w:rPr>
        <w:t xml:space="preserve">The commercial raw group had an overall  lower 10-week level due to one of the kittens having no seroconversion to the vaccine. Overall, these differences between treatment groups were not statistically significant.  </w:t>
      </w:r>
    </w:p>
    <w:p w:rsidR="00330CF1" w:rsidRDefault="00330CF1" w:rsidP="002C11EE">
      <w:pPr>
        <w:rPr>
          <w:rFonts w:ascii="Arial" w:hAnsi="Arial" w:cs="Arial"/>
          <w:b/>
          <w:sz w:val="28"/>
          <w:szCs w:val="28"/>
        </w:rPr>
      </w:pPr>
    </w:p>
    <w:p w:rsidR="00330CF1" w:rsidRDefault="00330CF1" w:rsidP="002C11EE">
      <w:pPr>
        <w:rPr>
          <w:rFonts w:ascii="Arial" w:hAnsi="Arial" w:cs="Arial"/>
          <w:b/>
          <w:sz w:val="28"/>
          <w:szCs w:val="28"/>
        </w:rPr>
      </w:pPr>
    </w:p>
    <w:p w:rsidR="00330CF1" w:rsidRPr="00DB0E39" w:rsidRDefault="00330CF1" w:rsidP="00230C87">
      <w:pPr>
        <w:jc w:val="center"/>
        <w:rPr>
          <w:rFonts w:ascii="Arial" w:hAnsi="Arial" w:cs="Arial"/>
        </w:rPr>
      </w:pPr>
      <w:r w:rsidRPr="00DB0E39">
        <w:rPr>
          <w:rFonts w:ascii="Arial" w:hAnsi="Arial" w:cs="Arial"/>
          <w:b/>
        </w:rPr>
        <w:t>Table 3.3</w:t>
      </w:r>
      <w:r>
        <w:rPr>
          <w:rFonts w:ascii="Arial" w:hAnsi="Arial" w:cs="Arial"/>
        </w:rPr>
        <w:t xml:space="preserve"> S</w:t>
      </w:r>
      <w:r w:rsidRPr="00DB0E39">
        <w:rPr>
          <w:rFonts w:ascii="Arial" w:hAnsi="Arial" w:cs="Arial"/>
        </w:rPr>
        <w:t>erum IgG herpes titers at week 5 (before vaccination)</w:t>
      </w:r>
    </w:p>
    <w:p w:rsidR="00330CF1" w:rsidRPr="00DB0E39" w:rsidRDefault="00330CF1" w:rsidP="00230C87">
      <w:pPr>
        <w:jc w:val="center"/>
        <w:rPr>
          <w:rFonts w:ascii="Arial" w:hAnsi="Arial" w:cs="Arial"/>
        </w:rPr>
      </w:pPr>
      <w:r w:rsidRPr="00DB0E39">
        <w:rPr>
          <w:rFonts w:ascii="Arial" w:hAnsi="Arial" w:cs="Arial"/>
        </w:rPr>
        <w:t xml:space="preserve"> and week 10 (after vaccination)</w:t>
      </w:r>
      <w:r>
        <w:rPr>
          <w:rFonts w:ascii="Arial" w:hAnsi="Arial" w:cs="Arial"/>
        </w:rPr>
        <w:t xml:space="preserve"> by diet treatment (Mean ± SEM)</w:t>
      </w:r>
    </w:p>
    <w:p w:rsidR="00330CF1" w:rsidRPr="00DB0E39" w:rsidRDefault="00330CF1" w:rsidP="00230C87">
      <w:pPr>
        <w:jc w:val="center"/>
        <w:rPr>
          <w:rFonts w:ascii="Arial" w:hAnsi="Arial" w:cs="Arial"/>
        </w:rPr>
      </w:pPr>
    </w:p>
    <w:tbl>
      <w:tblPr>
        <w:tblStyle w:val="TableGrid"/>
        <w:tblW w:w="0" w:type="auto"/>
        <w:tblLook w:val="04A0" w:firstRow="1" w:lastRow="0" w:firstColumn="1" w:lastColumn="0" w:noHBand="0" w:noVBand="1"/>
      </w:tblPr>
      <w:tblGrid>
        <w:gridCol w:w="2214"/>
        <w:gridCol w:w="2214"/>
        <w:gridCol w:w="2214"/>
        <w:gridCol w:w="2214"/>
      </w:tblGrid>
      <w:tr w:rsidR="00330CF1" w:rsidRPr="00B4423A" w:rsidTr="007F6B21">
        <w:tc>
          <w:tcPr>
            <w:tcW w:w="2214" w:type="dxa"/>
          </w:tcPr>
          <w:p w:rsidR="00330CF1" w:rsidRPr="00B4423A" w:rsidRDefault="00330CF1" w:rsidP="007F6B21">
            <w:pPr>
              <w:rPr>
                <w:rFonts w:ascii="Arial" w:hAnsi="Arial" w:cs="Arial"/>
              </w:rPr>
            </w:pPr>
            <w:r w:rsidRPr="00B4423A">
              <w:rPr>
                <w:rFonts w:ascii="Arial" w:hAnsi="Arial" w:cs="Arial"/>
              </w:rPr>
              <w:t>IgG Herpes titers</w:t>
            </w:r>
          </w:p>
        </w:tc>
        <w:tc>
          <w:tcPr>
            <w:tcW w:w="2214" w:type="dxa"/>
          </w:tcPr>
          <w:p w:rsidR="00330CF1" w:rsidRPr="00B4423A" w:rsidRDefault="00330CF1" w:rsidP="007F6B21">
            <w:pPr>
              <w:tabs>
                <w:tab w:val="center" w:pos="999"/>
                <w:tab w:val="right" w:pos="1998"/>
              </w:tabs>
              <w:rPr>
                <w:rFonts w:ascii="Arial" w:hAnsi="Arial" w:cs="Arial"/>
              </w:rPr>
            </w:pPr>
            <w:r>
              <w:rPr>
                <w:rFonts w:ascii="Arial" w:hAnsi="Arial" w:cs="Arial"/>
              </w:rPr>
              <w:tab/>
              <w:t>Control</w:t>
            </w:r>
            <w:r>
              <w:rPr>
                <w:rFonts w:ascii="Arial" w:hAnsi="Arial" w:cs="Arial"/>
              </w:rPr>
              <w:tab/>
            </w:r>
          </w:p>
        </w:tc>
        <w:tc>
          <w:tcPr>
            <w:tcW w:w="2214" w:type="dxa"/>
          </w:tcPr>
          <w:p w:rsidR="00330CF1" w:rsidRPr="00B4423A" w:rsidRDefault="00330CF1" w:rsidP="007F6B21">
            <w:pPr>
              <w:jc w:val="center"/>
              <w:rPr>
                <w:rFonts w:ascii="Arial" w:hAnsi="Arial" w:cs="Arial"/>
              </w:rPr>
            </w:pPr>
            <w:r>
              <w:rPr>
                <w:rFonts w:ascii="Arial" w:hAnsi="Arial" w:cs="Arial"/>
              </w:rPr>
              <w:t>Commercial Raw</w:t>
            </w:r>
          </w:p>
        </w:tc>
        <w:tc>
          <w:tcPr>
            <w:tcW w:w="2214" w:type="dxa"/>
          </w:tcPr>
          <w:p w:rsidR="00330CF1" w:rsidRPr="00B4423A" w:rsidRDefault="00330CF1" w:rsidP="007F6B21">
            <w:pPr>
              <w:rPr>
                <w:rFonts w:ascii="Arial" w:hAnsi="Arial" w:cs="Arial"/>
              </w:rPr>
            </w:pPr>
            <w:r>
              <w:rPr>
                <w:rFonts w:ascii="Arial" w:hAnsi="Arial" w:cs="Arial"/>
              </w:rPr>
              <w:t>Homemade Raw</w:t>
            </w:r>
          </w:p>
        </w:tc>
      </w:tr>
      <w:tr w:rsidR="00330CF1" w:rsidRPr="00B4423A" w:rsidTr="007F6B21">
        <w:tc>
          <w:tcPr>
            <w:tcW w:w="2214" w:type="dxa"/>
          </w:tcPr>
          <w:p w:rsidR="00330CF1" w:rsidRPr="00B4423A" w:rsidRDefault="00330CF1" w:rsidP="007F6B21">
            <w:pPr>
              <w:rPr>
                <w:rFonts w:ascii="Arial" w:hAnsi="Arial" w:cs="Arial"/>
              </w:rPr>
            </w:pPr>
            <w:r w:rsidRPr="00B4423A">
              <w:rPr>
                <w:rFonts w:ascii="Arial" w:hAnsi="Arial" w:cs="Arial"/>
              </w:rPr>
              <w:t>Week 5</w:t>
            </w:r>
          </w:p>
        </w:tc>
        <w:tc>
          <w:tcPr>
            <w:tcW w:w="2214" w:type="dxa"/>
          </w:tcPr>
          <w:p w:rsidR="00330CF1" w:rsidRPr="00407259" w:rsidRDefault="00330CF1" w:rsidP="007F6B21">
            <w:pPr>
              <w:jc w:val="center"/>
              <w:rPr>
                <w:rFonts w:ascii="Arial" w:hAnsi="Arial" w:cs="Arial"/>
              </w:rPr>
            </w:pPr>
            <w:r>
              <w:rPr>
                <w:rFonts w:ascii="Arial" w:hAnsi="Arial" w:cs="Arial"/>
              </w:rPr>
              <w:t>20 ± 72.44</w:t>
            </w:r>
            <w:r>
              <w:rPr>
                <w:rFonts w:ascii="Arial" w:hAnsi="Arial" w:cs="Arial"/>
                <w:vertAlign w:val="superscript"/>
              </w:rPr>
              <w:t>a</w:t>
            </w:r>
          </w:p>
        </w:tc>
        <w:tc>
          <w:tcPr>
            <w:tcW w:w="2214" w:type="dxa"/>
          </w:tcPr>
          <w:p w:rsidR="00330CF1" w:rsidRPr="00407259" w:rsidRDefault="00330CF1" w:rsidP="007F6B21">
            <w:pPr>
              <w:jc w:val="center"/>
              <w:rPr>
                <w:rFonts w:ascii="Arial" w:hAnsi="Arial" w:cs="Arial"/>
              </w:rPr>
            </w:pPr>
            <w:r>
              <w:rPr>
                <w:rFonts w:ascii="Arial" w:hAnsi="Arial" w:cs="Arial"/>
              </w:rPr>
              <w:t>20 ±72.44</w:t>
            </w:r>
            <w:r>
              <w:rPr>
                <w:rFonts w:ascii="Arial" w:hAnsi="Arial" w:cs="Arial"/>
                <w:vertAlign w:val="superscript"/>
              </w:rPr>
              <w:t>a</w:t>
            </w:r>
          </w:p>
        </w:tc>
        <w:tc>
          <w:tcPr>
            <w:tcW w:w="2214" w:type="dxa"/>
          </w:tcPr>
          <w:p w:rsidR="00330CF1" w:rsidRPr="00407259" w:rsidRDefault="00330CF1" w:rsidP="007F6B21">
            <w:pPr>
              <w:jc w:val="center"/>
              <w:rPr>
                <w:rFonts w:ascii="Arial" w:hAnsi="Arial" w:cs="Arial"/>
              </w:rPr>
            </w:pPr>
            <w:r>
              <w:rPr>
                <w:rFonts w:ascii="Arial" w:hAnsi="Arial" w:cs="Arial"/>
              </w:rPr>
              <w:t>20 ± 78.25</w:t>
            </w:r>
            <w:r>
              <w:rPr>
                <w:rFonts w:ascii="Arial" w:hAnsi="Arial" w:cs="Arial"/>
                <w:vertAlign w:val="superscript"/>
              </w:rPr>
              <w:t>a</w:t>
            </w:r>
          </w:p>
        </w:tc>
      </w:tr>
      <w:tr w:rsidR="00330CF1" w:rsidRPr="00B4423A" w:rsidTr="007F6B21">
        <w:tc>
          <w:tcPr>
            <w:tcW w:w="2214" w:type="dxa"/>
          </w:tcPr>
          <w:p w:rsidR="00330CF1" w:rsidRPr="00B4423A" w:rsidRDefault="00330CF1" w:rsidP="007F6B21">
            <w:pPr>
              <w:rPr>
                <w:rFonts w:ascii="Arial" w:hAnsi="Arial" w:cs="Arial"/>
              </w:rPr>
            </w:pPr>
            <w:r w:rsidRPr="00B4423A">
              <w:rPr>
                <w:rFonts w:ascii="Arial" w:hAnsi="Arial" w:cs="Arial"/>
              </w:rPr>
              <w:t>Week 10</w:t>
            </w:r>
          </w:p>
        </w:tc>
        <w:tc>
          <w:tcPr>
            <w:tcW w:w="2214" w:type="dxa"/>
          </w:tcPr>
          <w:p w:rsidR="00330CF1" w:rsidRPr="001E01A5" w:rsidRDefault="00330CF1" w:rsidP="007F6B21">
            <w:pPr>
              <w:jc w:val="center"/>
              <w:rPr>
                <w:rFonts w:ascii="Arial" w:hAnsi="Arial" w:cs="Arial"/>
                <w:vertAlign w:val="superscript"/>
              </w:rPr>
            </w:pPr>
            <w:r>
              <w:rPr>
                <w:rFonts w:ascii="Arial" w:hAnsi="Arial" w:cs="Arial"/>
              </w:rPr>
              <w:t>520 ± 67.77</w:t>
            </w:r>
            <w:r>
              <w:rPr>
                <w:rFonts w:ascii="Arial" w:hAnsi="Arial" w:cs="Arial"/>
                <w:vertAlign w:val="superscript"/>
              </w:rPr>
              <w:t>b</w:t>
            </w:r>
          </w:p>
        </w:tc>
        <w:tc>
          <w:tcPr>
            <w:tcW w:w="2214" w:type="dxa"/>
          </w:tcPr>
          <w:p w:rsidR="00330CF1" w:rsidRPr="001E01A5" w:rsidRDefault="00330CF1" w:rsidP="007F6B21">
            <w:pPr>
              <w:jc w:val="center"/>
              <w:rPr>
                <w:rFonts w:ascii="Arial" w:hAnsi="Arial" w:cs="Arial"/>
                <w:vertAlign w:val="superscript"/>
              </w:rPr>
            </w:pPr>
            <w:r>
              <w:rPr>
                <w:rFonts w:ascii="Arial" w:hAnsi="Arial" w:cs="Arial"/>
              </w:rPr>
              <w:t>382 ± 67.77</w:t>
            </w:r>
            <w:r>
              <w:rPr>
                <w:rFonts w:ascii="Arial" w:hAnsi="Arial" w:cs="Arial"/>
                <w:vertAlign w:val="superscript"/>
              </w:rPr>
              <w:t>b</w:t>
            </w:r>
          </w:p>
        </w:tc>
        <w:tc>
          <w:tcPr>
            <w:tcW w:w="2214" w:type="dxa"/>
          </w:tcPr>
          <w:p w:rsidR="00330CF1" w:rsidRPr="001E01A5" w:rsidRDefault="00330CF1" w:rsidP="007F6B21">
            <w:pPr>
              <w:jc w:val="center"/>
              <w:rPr>
                <w:rFonts w:ascii="Arial" w:hAnsi="Arial" w:cs="Arial"/>
                <w:vertAlign w:val="superscript"/>
              </w:rPr>
            </w:pPr>
            <w:r>
              <w:rPr>
                <w:rFonts w:ascii="Arial" w:hAnsi="Arial" w:cs="Arial"/>
              </w:rPr>
              <w:t>580 ± 67.77</w:t>
            </w:r>
            <w:r>
              <w:rPr>
                <w:rFonts w:ascii="Arial" w:hAnsi="Arial" w:cs="Arial"/>
                <w:vertAlign w:val="superscript"/>
              </w:rPr>
              <w:t>b</w:t>
            </w:r>
          </w:p>
        </w:tc>
      </w:tr>
    </w:tbl>
    <w:p w:rsidR="00330CF1" w:rsidRPr="00B4423A" w:rsidRDefault="00330CF1" w:rsidP="002C11EE">
      <w:pPr>
        <w:rPr>
          <w:rFonts w:ascii="Arial" w:hAnsi="Arial" w:cs="Arial"/>
        </w:rPr>
      </w:pPr>
      <w:r w:rsidRPr="00E148CD">
        <w:rPr>
          <w:rFonts w:ascii="Arial" w:hAnsi="Arial" w:cs="Arial"/>
        </w:rPr>
        <w:t>NOTE</w:t>
      </w:r>
      <w:r>
        <w:t xml:space="preserve">: </w:t>
      </w:r>
      <w:r>
        <w:rPr>
          <w:rFonts w:ascii="Arial" w:hAnsi="Arial" w:cs="Arial"/>
        </w:rPr>
        <w:t>Different letter superscripts in both rows and columns indicate p values ≤ 0.05</w:t>
      </w:r>
    </w:p>
    <w:p w:rsidR="00330CF1" w:rsidRDefault="00330CF1" w:rsidP="00392539">
      <w:pPr>
        <w:rPr>
          <w:rFonts w:ascii="Arial" w:hAnsi="Arial" w:cs="Arial"/>
        </w:rPr>
      </w:pPr>
    </w:p>
    <w:p w:rsidR="00330CF1" w:rsidRDefault="00330CF1" w:rsidP="00392539">
      <w:pPr>
        <w:rPr>
          <w:rFonts w:ascii="Arial" w:hAnsi="Arial" w:cs="Arial"/>
        </w:rPr>
      </w:pPr>
    </w:p>
    <w:p w:rsidR="00330CF1" w:rsidRDefault="00330CF1" w:rsidP="00392539">
      <w:pPr>
        <w:rPr>
          <w:rFonts w:ascii="Arial" w:hAnsi="Arial" w:cs="Arial"/>
        </w:rPr>
      </w:pPr>
    </w:p>
    <w:p w:rsidR="00330CF1" w:rsidRDefault="00330CF1" w:rsidP="00392539">
      <w:pPr>
        <w:rPr>
          <w:rFonts w:ascii="Arial" w:hAnsi="Arial" w:cs="Arial"/>
        </w:rPr>
      </w:pPr>
      <w:r>
        <w:rPr>
          <w:noProof/>
        </w:rPr>
        <w:drawing>
          <wp:inline distT="0" distB="0" distL="0" distR="0" wp14:anchorId="7D3D49BB" wp14:editId="33428FB5">
            <wp:extent cx="3719245" cy="3346454"/>
            <wp:effectExtent l="0" t="0" r="0" b="6350"/>
            <wp:docPr id="276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719367" cy="3346563"/>
                    </a:xfrm>
                    <a:prstGeom prst="rect">
                      <a:avLst/>
                    </a:prstGeom>
                    <a:noFill/>
                    <a:ln>
                      <a:noFill/>
                    </a:ln>
                    <a:effectLst/>
                    <a:extLst/>
                  </pic:spPr>
                </pic:pic>
              </a:graphicData>
            </a:graphic>
          </wp:inline>
        </w:drawing>
      </w:r>
    </w:p>
    <w:p w:rsidR="00330CF1" w:rsidRDefault="00330CF1" w:rsidP="00392539">
      <w:pPr>
        <w:rPr>
          <w:rFonts w:ascii="Arial" w:hAnsi="Arial" w:cs="Arial"/>
          <w:b/>
        </w:rPr>
      </w:pPr>
    </w:p>
    <w:p w:rsidR="00330CF1" w:rsidRDefault="00330CF1" w:rsidP="00392539">
      <w:pPr>
        <w:rPr>
          <w:rFonts w:ascii="Arial" w:hAnsi="Arial" w:cs="Arial"/>
        </w:rPr>
      </w:pPr>
      <w:r w:rsidRPr="005F6521">
        <w:rPr>
          <w:rFonts w:ascii="Arial" w:hAnsi="Arial" w:cs="Arial"/>
          <w:b/>
        </w:rPr>
        <w:t>Figure 3.7</w:t>
      </w:r>
      <w:r>
        <w:rPr>
          <w:rFonts w:ascii="Arial" w:hAnsi="Arial" w:cs="Arial"/>
        </w:rPr>
        <w:t xml:space="preserve"> Post-vaccination IgG Herpes-specific titers by diet treatment. </w:t>
      </w:r>
      <w:r>
        <w:rPr>
          <w:rFonts w:ascii="Arial" w:eastAsiaTheme="minorEastAsia" w:hAnsi="Arial" w:cs="Arial"/>
          <w:color w:val="000000" w:themeColor="text1"/>
          <w:kern w:val="24"/>
        </w:rPr>
        <w:t>The top and bottom of the box</w:t>
      </w:r>
      <w:r w:rsidRPr="00873BD8">
        <w:rPr>
          <w:rFonts w:ascii="Arial" w:eastAsiaTheme="minorEastAsia" w:hAnsi="Arial" w:cs="Arial"/>
          <w:color w:val="000000" w:themeColor="text1"/>
          <w:kern w:val="24"/>
        </w:rPr>
        <w:t xml:space="preserve"> represent </w:t>
      </w:r>
      <w:r>
        <w:rPr>
          <w:rFonts w:ascii="Arial" w:eastAsiaTheme="minorEastAsia" w:hAnsi="Arial" w:cs="Arial"/>
          <w:color w:val="000000" w:themeColor="text1"/>
          <w:kern w:val="24"/>
        </w:rPr>
        <w:t xml:space="preserve">the </w:t>
      </w:r>
      <w:r w:rsidRPr="00873BD8">
        <w:rPr>
          <w:rFonts w:ascii="Arial" w:eastAsiaTheme="minorEastAsia" w:hAnsi="Arial" w:cs="Arial"/>
          <w:color w:val="000000" w:themeColor="text1"/>
          <w:kern w:val="24"/>
        </w:rPr>
        <w:t>25% and 75%,</w:t>
      </w:r>
      <w:r>
        <w:rPr>
          <w:rFonts w:ascii="Arial" w:eastAsiaTheme="minorEastAsia" w:hAnsi="Arial" w:cs="Arial"/>
          <w:color w:val="000000" w:themeColor="text1"/>
          <w:kern w:val="24"/>
        </w:rPr>
        <w:t xml:space="preserve"> while the band near the middle is the median.  Whiskers go from the smallest to the highest value.</w:t>
      </w:r>
    </w:p>
    <w:p w:rsidR="00330CF1" w:rsidRDefault="00330CF1" w:rsidP="00392539">
      <w:pPr>
        <w:rPr>
          <w:rFonts w:ascii="Arial" w:hAnsi="Arial" w:cs="Arial"/>
        </w:rPr>
      </w:pPr>
    </w:p>
    <w:p w:rsidR="00330CF1" w:rsidRDefault="00330CF1" w:rsidP="00392539">
      <w:pPr>
        <w:rPr>
          <w:rFonts w:ascii="Arial" w:hAnsi="Arial" w:cs="Arial"/>
        </w:rPr>
      </w:pPr>
    </w:p>
    <w:p w:rsidR="00330CF1" w:rsidRDefault="00330CF1" w:rsidP="00BD034C">
      <w:pPr>
        <w:jc w:val="center"/>
        <w:rPr>
          <w:rFonts w:ascii="Arial" w:hAnsi="Arial" w:cs="Arial"/>
          <w:b/>
          <w:sz w:val="28"/>
          <w:szCs w:val="28"/>
        </w:rPr>
      </w:pPr>
      <w:r>
        <w:rPr>
          <w:rFonts w:ascii="Arial" w:hAnsi="Arial" w:cs="Arial"/>
          <w:b/>
          <w:sz w:val="28"/>
          <w:szCs w:val="28"/>
        </w:rPr>
        <w:t>Discussion</w:t>
      </w:r>
    </w:p>
    <w:p w:rsidR="00330CF1" w:rsidRDefault="00330CF1" w:rsidP="00BD034C">
      <w:pPr>
        <w:jc w:val="center"/>
        <w:rPr>
          <w:rFonts w:ascii="Arial" w:hAnsi="Arial" w:cs="Arial"/>
          <w:b/>
          <w:sz w:val="28"/>
          <w:szCs w:val="28"/>
        </w:rPr>
      </w:pPr>
    </w:p>
    <w:p w:rsidR="00330CF1" w:rsidRDefault="00330CF1" w:rsidP="00392539">
      <w:pPr>
        <w:rPr>
          <w:rFonts w:ascii="Arial" w:hAnsi="Arial" w:cs="Arial"/>
        </w:rPr>
      </w:pPr>
      <w:r>
        <w:rPr>
          <w:rFonts w:ascii="Arial" w:hAnsi="Arial" w:cs="Arial"/>
          <w:b/>
          <w:sz w:val="28"/>
          <w:szCs w:val="28"/>
        </w:rPr>
        <w:t xml:space="preserve">     </w:t>
      </w:r>
      <w:r>
        <w:rPr>
          <w:rFonts w:ascii="Arial" w:hAnsi="Arial" w:cs="Arial"/>
        </w:rPr>
        <w:t>Differences in stimulation of the immune system between the three dietary groups could be attributed to differing nutrient levels in the diets, processing effects on these nutrients, and differing levels of antigen exposure.  Previous studies examining nutrient effects on immune function have focused on nutrient deficiencies.</w:t>
      </w:r>
      <w:r>
        <w:rPr>
          <w:rFonts w:ascii="Arial" w:hAnsi="Arial" w:cs="Arial"/>
          <w:noProof/>
        </w:rPr>
        <w:t>[348, 349]</w:t>
      </w:r>
      <w:r>
        <w:rPr>
          <w:rFonts w:ascii="Arial" w:hAnsi="Arial" w:cs="Arial"/>
        </w:rPr>
        <w:t xml:space="preserve">  Recently, there has been a growing body of literature demonstrating immune benefits from increasing the intake of specific nutrients.</w:t>
      </w:r>
      <w:r>
        <w:rPr>
          <w:rFonts w:ascii="Arial" w:hAnsi="Arial" w:cs="Arial"/>
          <w:noProof/>
        </w:rPr>
        <w:t>[350, 351]</w:t>
      </w:r>
      <w:r>
        <w:rPr>
          <w:rFonts w:ascii="Arial" w:hAnsi="Arial" w:cs="Arial"/>
        </w:rPr>
        <w:t xml:space="preserve">  Most of these have focused on micronutrients (Vitamin A, Vitamin C, Vitamin E, selenium, iron, zinc, copper), fatty acids, phytochemicals, and nucleotides.  Additional studies have shown that high quality proteins differ in their capacity to support immunocompetence.</w:t>
      </w:r>
      <w:r>
        <w:rPr>
          <w:rFonts w:ascii="Arial" w:hAnsi="Arial" w:cs="Arial"/>
          <w:noProof/>
        </w:rPr>
        <w:t>[349]</w:t>
      </w:r>
      <w:r>
        <w:rPr>
          <w:rFonts w:ascii="Arial" w:hAnsi="Arial" w:cs="Arial"/>
        </w:rPr>
        <w:t xml:space="preserve">  Whey proteins have been found to support higher antibody responses and cell-mediated immune responses compared to casein.</w:t>
      </w:r>
      <w:r>
        <w:rPr>
          <w:rFonts w:ascii="Arial" w:hAnsi="Arial" w:cs="Arial"/>
          <w:noProof/>
        </w:rPr>
        <w:t>[352-354]</w:t>
      </w:r>
      <w:r>
        <w:rPr>
          <w:rFonts w:ascii="Arial" w:hAnsi="Arial" w:cs="Arial"/>
        </w:rPr>
        <w:t>.  There were minimal differences between the two raw diets and the control diet regarding innate immune function.  The commercial raw diet had significantly reduced oxidative burst response to PMA compared with the control and homemade raw diets.  Effects due to processing, should have been apparent in both raw diets.  All the diets used chicken or turkey as the main protein source, but differences in protein quality (i.e. collagen content)</w:t>
      </w:r>
      <w:r>
        <w:rPr>
          <w:rFonts w:ascii="Arial" w:hAnsi="Arial" w:cs="Arial"/>
          <w:color w:val="FF0000"/>
        </w:rPr>
        <w:t xml:space="preserve"> </w:t>
      </w:r>
      <w:r w:rsidRPr="00A1120C">
        <w:rPr>
          <w:rFonts w:ascii="Arial" w:hAnsi="Arial" w:cs="Arial"/>
        </w:rPr>
        <w:t xml:space="preserve">and/or nutritional formulations </w:t>
      </w:r>
      <w:r>
        <w:rPr>
          <w:rFonts w:ascii="Arial" w:hAnsi="Arial" w:cs="Arial"/>
        </w:rPr>
        <w:t xml:space="preserve">may have accounted for these oxidative burst differences.  The homemade </w:t>
      </w:r>
      <w:r>
        <w:rPr>
          <w:rFonts w:ascii="Arial" w:hAnsi="Arial" w:cs="Arial"/>
        </w:rPr>
        <w:lastRenderedPageBreak/>
        <w:t xml:space="preserve">raw diet had additional whey protein as an ingredient which may have accounted for improved neutrophil response to PMA seen in this diet.  </w:t>
      </w:r>
    </w:p>
    <w:p w:rsidR="00330CF1" w:rsidRDefault="00330CF1" w:rsidP="00392539">
      <w:pPr>
        <w:rPr>
          <w:rFonts w:ascii="Arial" w:hAnsi="Arial" w:cs="Arial"/>
        </w:rPr>
      </w:pPr>
      <w:r>
        <w:rPr>
          <w:rFonts w:ascii="Arial" w:hAnsi="Arial" w:cs="Arial"/>
        </w:rPr>
        <w:t xml:space="preserve">     Reduced levels of taurine in the diet of cats can have negative effects on oxidative burst and phagocytosis.</w:t>
      </w:r>
      <w:r>
        <w:rPr>
          <w:rFonts w:ascii="Arial" w:hAnsi="Arial" w:cs="Arial"/>
          <w:noProof/>
        </w:rPr>
        <w:t>[355]</w:t>
      </w:r>
      <w:r>
        <w:rPr>
          <w:rFonts w:ascii="Arial" w:hAnsi="Arial" w:cs="Arial"/>
        </w:rPr>
        <w:t xml:space="preserve">  Taurine is a scavenger of oxidized chlorine and thus may act as a general detoxifier protecting neutrophils from oxidant-induced injury generated from the myeloperoxidase/chloride system.  Analyses of levels of taurine on a DM basis were 0.36%, 0.35% and 0.89% for the control, commercial raw and homemade raw diet respectively.  The level of taurine in the homemade diet was almost 3 times higher than the other two diets.  Increased dietary taurine may have account for the improved oxidative burst to PMA seen in the homemade raw diet compared to the commercial raw diet.  </w:t>
      </w:r>
    </w:p>
    <w:p w:rsidR="00330CF1" w:rsidRDefault="00330CF1" w:rsidP="00392539">
      <w:pPr>
        <w:rPr>
          <w:rFonts w:ascii="Arial" w:hAnsi="Arial" w:cs="Arial"/>
        </w:rPr>
      </w:pPr>
      <w:r>
        <w:rPr>
          <w:rFonts w:ascii="Arial" w:hAnsi="Arial" w:cs="Arial"/>
        </w:rPr>
        <w:t xml:space="preserve">     In a study by Hanel </w:t>
      </w:r>
      <w:r>
        <w:rPr>
          <w:rFonts w:ascii="Arial" w:hAnsi="Arial" w:cs="Arial"/>
          <w:noProof/>
        </w:rPr>
        <w:t>[95]</w:t>
      </w:r>
      <w:r>
        <w:rPr>
          <w:rFonts w:ascii="Arial" w:hAnsi="Arial" w:cs="Arial"/>
        </w:rPr>
        <w:t xml:space="preserve">, phagocytosis in 8 week old kittens was 74% compared with 78% in adult cats.  Phagocytosis in our kittens was lower.  While their study used a Gram-positive bacteria, </w:t>
      </w:r>
      <w:r>
        <w:rPr>
          <w:rFonts w:ascii="Arial" w:hAnsi="Arial" w:cs="Arial"/>
          <w:i/>
        </w:rPr>
        <w:t>Staphylococcus aureus</w:t>
      </w:r>
      <w:r>
        <w:rPr>
          <w:rFonts w:ascii="Arial" w:hAnsi="Arial" w:cs="Arial"/>
        </w:rPr>
        <w:t xml:space="preserve">, our study used the Gram-negative organism </w:t>
      </w:r>
      <w:r>
        <w:rPr>
          <w:rFonts w:ascii="Arial" w:hAnsi="Arial" w:cs="Arial"/>
          <w:i/>
        </w:rPr>
        <w:t>E. coli</w:t>
      </w:r>
      <w:r>
        <w:rPr>
          <w:rFonts w:ascii="Arial" w:hAnsi="Arial" w:cs="Arial"/>
        </w:rPr>
        <w:t xml:space="preserve"> as the stimulant for phagocytosis.  The activity of neutrophils against Gram-negative bacteria is believed to be highly dependent on the presence of neutrophil granules containing the antimicrobial protein, bactericidal permeability-increasing protein (BPI).</w:t>
      </w:r>
      <w:r>
        <w:rPr>
          <w:rFonts w:ascii="Arial" w:hAnsi="Arial" w:cs="Arial"/>
          <w:noProof/>
        </w:rPr>
        <w:t>[356]</w:t>
      </w:r>
      <w:r>
        <w:rPr>
          <w:rFonts w:ascii="Arial" w:hAnsi="Arial" w:cs="Arial"/>
        </w:rPr>
        <w:t xml:space="preserve">  Studies in human beings have found newborn neutrophils to be deficient in bactericidal permeability-increasing protein thus increasing their risk of Gram-negative sepsis.</w:t>
      </w:r>
      <w:r>
        <w:rPr>
          <w:rFonts w:ascii="Arial" w:hAnsi="Arial" w:cs="Arial"/>
          <w:noProof/>
        </w:rPr>
        <w:t>[91]</w:t>
      </w:r>
      <w:r>
        <w:rPr>
          <w:rFonts w:ascii="Arial" w:hAnsi="Arial" w:cs="Arial"/>
        </w:rPr>
        <w:t xml:space="preserve">  The lower response in phagocytosis seen in our kittens may have been related to lower levels of BPI in the kitten’s neutrophils.  Further studies examining innate antimicrobial protein production in newborn and juvenile domestic animals may confirm these differences. </w:t>
      </w:r>
    </w:p>
    <w:p w:rsidR="00330CF1" w:rsidRDefault="00330CF1" w:rsidP="00392539">
      <w:pPr>
        <w:rPr>
          <w:rFonts w:ascii="Arial" w:hAnsi="Arial" w:cs="Arial"/>
        </w:rPr>
      </w:pPr>
      <w:r>
        <w:rPr>
          <w:rFonts w:ascii="Arial" w:hAnsi="Arial" w:cs="Arial"/>
        </w:rPr>
        <w:t xml:space="preserve">     </w:t>
      </w:r>
      <w:r w:rsidRPr="00E044FE">
        <w:rPr>
          <w:rFonts w:ascii="Arial" w:hAnsi="Arial" w:cs="Arial"/>
        </w:rPr>
        <w:t>Humoral immunoglobulin concentrations differences have been noted between colostrum and colostrum-deprived until 8 weeks of age when these differences are no longer apparent.</w:t>
      </w:r>
      <w:r w:rsidRPr="00E044FE">
        <w:rPr>
          <w:rFonts w:ascii="Arial" w:hAnsi="Arial" w:cs="Arial"/>
          <w:noProof/>
        </w:rPr>
        <w:t>[95]</w:t>
      </w:r>
      <w:r w:rsidRPr="00E044FE">
        <w:rPr>
          <w:rFonts w:ascii="Arial" w:hAnsi="Arial" w:cs="Arial"/>
        </w:rPr>
        <w:t xml:space="preserve"> </w:t>
      </w:r>
      <w:r w:rsidRPr="00E044FE">
        <w:rPr>
          <w:rFonts w:ascii="Arial" w:hAnsi="Arial" w:cs="Arial"/>
          <w:sz w:val="28"/>
          <w:szCs w:val="28"/>
        </w:rPr>
        <w:t xml:space="preserve">  </w:t>
      </w:r>
      <w:r w:rsidRPr="00E044FE">
        <w:rPr>
          <w:rFonts w:ascii="Arial" w:hAnsi="Arial" w:cs="Arial"/>
        </w:rPr>
        <w:t>A</w:t>
      </w:r>
      <w:r>
        <w:rPr>
          <w:rFonts w:ascii="Arial" w:hAnsi="Arial" w:cs="Arial"/>
        </w:rPr>
        <w:t xml:space="preserve">s all the kittens were 9 weeks of age at the beginning of the study, any differences in colostrum intake would not be expected to have affected humoral immunoglobulin levels.  No significant differences in humoral immunity were found between the raw and heat-processed diets at each time point.  </w:t>
      </w:r>
      <w:r w:rsidRPr="00794253">
        <w:rPr>
          <w:rFonts w:ascii="Arial" w:hAnsi="Arial" w:cs="Arial"/>
        </w:rPr>
        <w:t xml:space="preserve">Over time, higher lymphocytes/immunoglobulin responses were seen in </w:t>
      </w:r>
      <w:r>
        <w:rPr>
          <w:rFonts w:ascii="Arial" w:hAnsi="Arial" w:cs="Arial"/>
        </w:rPr>
        <w:t xml:space="preserve">kittens consuming </w:t>
      </w:r>
      <w:r w:rsidRPr="00794253">
        <w:rPr>
          <w:rFonts w:ascii="Arial" w:hAnsi="Arial" w:cs="Arial"/>
        </w:rPr>
        <w:t>raw diets.</w:t>
      </w:r>
      <w:r>
        <w:rPr>
          <w:rFonts w:ascii="Arial" w:hAnsi="Arial" w:cs="Arial"/>
        </w:rPr>
        <w:t>.  In general, mucosal immune responses to dietary and commensal microorganisms are kept separate from systemic immunity.</w:t>
      </w:r>
      <w:r>
        <w:rPr>
          <w:rFonts w:ascii="Arial" w:hAnsi="Arial" w:cs="Arial"/>
          <w:noProof/>
        </w:rPr>
        <w:t>[357]</w:t>
      </w:r>
      <w:r>
        <w:rPr>
          <w:rFonts w:ascii="Arial" w:hAnsi="Arial" w:cs="Arial"/>
        </w:rPr>
        <w:t xml:space="preserve">  Increased systemic immune responses to vaccine antigens have been measured in puppies supplemented with probiotics, suggesting probiotic administration increased the priming of naïve B cells.</w:t>
      </w:r>
      <w:r>
        <w:rPr>
          <w:rFonts w:ascii="Arial" w:hAnsi="Arial" w:cs="Arial"/>
          <w:noProof/>
        </w:rPr>
        <w:t>[286]</w:t>
      </w:r>
      <w:r>
        <w:rPr>
          <w:rFonts w:ascii="Arial" w:hAnsi="Arial" w:cs="Arial"/>
        </w:rPr>
        <w:t xml:space="preserve">  Priming of systemic immunity to commensal bacteria is usually unnecessary because the mucosal innate immune system destroys the few organisms that do penetrate.</w:t>
      </w:r>
      <w:r>
        <w:rPr>
          <w:rFonts w:ascii="Arial" w:hAnsi="Arial" w:cs="Arial"/>
          <w:noProof/>
        </w:rPr>
        <w:t>[358, 359]</w:t>
      </w:r>
      <w:r>
        <w:rPr>
          <w:rFonts w:ascii="Arial" w:hAnsi="Arial" w:cs="Arial"/>
        </w:rPr>
        <w:t xml:space="preserve">  Increased local secretion of IgA also limits penetration of commensal bacterial.  B- and T-cells activated in GALT home back to the intestinal lamina propria where they are needed.</w:t>
      </w:r>
      <w:r>
        <w:rPr>
          <w:rFonts w:ascii="Arial" w:hAnsi="Arial" w:cs="Arial"/>
          <w:noProof/>
        </w:rPr>
        <w:t>[360]</w:t>
      </w:r>
      <w:r>
        <w:rPr>
          <w:rFonts w:ascii="Arial" w:hAnsi="Arial" w:cs="Arial"/>
        </w:rPr>
        <w:t xml:space="preserve">  Further studies are needed to evaluate specific mucosal immune functions between raw diets and heat-processed diets.  These would include evaluating differences in secretory IgA and T-cell function. </w:t>
      </w:r>
    </w:p>
    <w:p w:rsidR="00330CF1" w:rsidRDefault="00330CF1" w:rsidP="00392539">
      <w:pPr>
        <w:rPr>
          <w:rFonts w:ascii="Arial" w:hAnsi="Arial" w:cs="Arial"/>
        </w:rPr>
      </w:pPr>
      <w:r>
        <w:rPr>
          <w:rFonts w:ascii="Arial" w:hAnsi="Arial" w:cs="Arial"/>
        </w:rPr>
        <w:t xml:space="preserve">     Soluble bacterial degradation products reach the systemic circulation affecting secondary-lymphoid tissues.  Germ-free rodents fed elemental diets had reduced levels of serum IgG compared with germ-free rodents fed autoclaved foods containing dead bacterial material.</w:t>
      </w:r>
      <w:r>
        <w:rPr>
          <w:rFonts w:ascii="Arial" w:hAnsi="Arial" w:cs="Arial"/>
          <w:noProof/>
        </w:rPr>
        <w:t>[361]</w:t>
      </w:r>
      <w:r>
        <w:rPr>
          <w:rFonts w:ascii="Arial" w:hAnsi="Arial" w:cs="Arial"/>
        </w:rPr>
        <w:t xml:space="preserve">  The level of exposure of either live microbes or microbial </w:t>
      </w:r>
      <w:r>
        <w:rPr>
          <w:rFonts w:ascii="Arial" w:hAnsi="Arial" w:cs="Arial"/>
        </w:rPr>
        <w:lastRenderedPageBreak/>
        <w:t>products was higher in the raw diets compared to the control diet.  Yet, this increased exposure did not result in differences in systemic priming of IgG or IgM in our kittens.  The commercial diet did have the highest aerobic bacterial count numbers (Table 6.3) and there was a trend toward higher IgM levels in the kittens fed this diet.  It is unknown whether the increases seen in immunoglobulin concentrations in the raw diets over time were secondary to increased antigen exposure, pathogen exposure, or nutritional formulation differences.</w:t>
      </w:r>
    </w:p>
    <w:p w:rsidR="00330CF1" w:rsidRDefault="00330CF1" w:rsidP="00392539">
      <w:pPr>
        <w:rPr>
          <w:rFonts w:ascii="Arial" w:hAnsi="Arial" w:cs="Arial"/>
        </w:rPr>
      </w:pPr>
      <w:r>
        <w:rPr>
          <w:rFonts w:ascii="Arial" w:hAnsi="Arial" w:cs="Arial"/>
        </w:rPr>
        <w:t xml:space="preserve">     The ‘hygiene hypothesis’ states that a leading cause of the increased incidence of allergy and autoimmune disorders seen over the last 50 years is due to decreased exposure to microorganisms, both pathogenic and nonpathogenic.</w:t>
      </w:r>
      <w:r>
        <w:rPr>
          <w:rFonts w:ascii="Arial" w:hAnsi="Arial" w:cs="Arial"/>
          <w:noProof/>
        </w:rPr>
        <w:t>[293, 321]</w:t>
      </w:r>
      <w:r>
        <w:rPr>
          <w:rFonts w:ascii="Arial" w:hAnsi="Arial" w:cs="Arial"/>
        </w:rPr>
        <w:t xml:space="preserve">  Reduced bacterial exposures has resulted in alterations in the induction of regulatory T cells that promote tolerance.</w:t>
      </w:r>
      <w:r>
        <w:rPr>
          <w:rFonts w:ascii="Arial" w:hAnsi="Arial" w:cs="Arial"/>
          <w:noProof/>
        </w:rPr>
        <w:t>[290, 362, 363]</w:t>
      </w:r>
      <w:r>
        <w:rPr>
          <w:rFonts w:ascii="Arial" w:hAnsi="Arial" w:cs="Arial"/>
        </w:rPr>
        <w:t>.  An alternative hypothesis has theorized that an increased density of intestinal commensal flora would result in higher penetration of soluble microbial molecules. This would affect T-cell function by facilitating tolerance through activation and clonal deletion of T-cells repeatedly exposed to antigens.</w:t>
      </w:r>
      <w:r>
        <w:rPr>
          <w:rFonts w:ascii="Arial" w:hAnsi="Arial" w:cs="Arial"/>
          <w:noProof/>
        </w:rPr>
        <w:t>[359]</w:t>
      </w:r>
      <w:r>
        <w:rPr>
          <w:rFonts w:ascii="Arial" w:hAnsi="Arial" w:cs="Arial"/>
        </w:rPr>
        <w:t xml:space="preserve">  Previous studies have shown the</w:t>
      </w:r>
      <w:r w:rsidRPr="00AA73AE">
        <w:rPr>
          <w:rFonts w:ascii="Arial" w:hAnsi="Arial" w:cs="Arial"/>
          <w:color w:val="FF0000"/>
        </w:rPr>
        <w:t xml:space="preserve"> </w:t>
      </w:r>
      <w:r>
        <w:rPr>
          <w:rFonts w:ascii="Arial" w:hAnsi="Arial" w:cs="Arial"/>
        </w:rPr>
        <w:t>influence of diet on gut microflora composition.</w:t>
      </w:r>
      <w:r>
        <w:rPr>
          <w:rFonts w:ascii="Arial" w:hAnsi="Arial" w:cs="Arial"/>
          <w:noProof/>
        </w:rPr>
        <w:t>[364, 365]</w:t>
      </w:r>
      <w:r>
        <w:rPr>
          <w:rFonts w:ascii="Arial" w:hAnsi="Arial" w:cs="Arial"/>
        </w:rPr>
        <w:t xml:space="preserve">  Differing levels of fat, protein and fiber along with specific dietary components have changed gut flora over time.</w:t>
      </w:r>
      <w:r>
        <w:rPr>
          <w:rFonts w:ascii="Arial" w:hAnsi="Arial" w:cs="Arial"/>
          <w:noProof/>
        </w:rPr>
        <w:t>[364]</w:t>
      </w:r>
      <w:r>
        <w:rPr>
          <w:rFonts w:ascii="Arial" w:hAnsi="Arial" w:cs="Arial"/>
        </w:rPr>
        <w:t xml:space="preserve">  During the past 50-70 years with the advent of commercial pet foods, diets fed to cats have shifted in terms of relative contributions of macronutrients to total energy intake.  Increasing levels of carbohydrate for energy production have replaced higher protein levels.  One would also assume decreasing or increasing the quantity and types of microbial antigens from the diet would also alter gut flora over time.  Larger diet-microbiome association studies are needed to further define how nutrients and food processing affect the composition of the microbiota and their effects on metabolism and immune function.  </w:t>
      </w:r>
    </w:p>
    <w:p w:rsidR="00330CF1" w:rsidRPr="007A077E" w:rsidRDefault="00330CF1" w:rsidP="00392539">
      <w:pPr>
        <w:rPr>
          <w:rFonts w:ascii="Arial" w:hAnsi="Arial" w:cs="Arial"/>
        </w:rPr>
      </w:pPr>
      <w:r>
        <w:rPr>
          <w:rFonts w:ascii="Arial" w:hAnsi="Arial" w:cs="Arial"/>
        </w:rPr>
        <w:t xml:space="preserve">      </w:t>
      </w:r>
    </w:p>
    <w:p w:rsidR="00330CF1" w:rsidRPr="00392539" w:rsidRDefault="00330CF1" w:rsidP="00BD034C">
      <w:pPr>
        <w:jc w:val="center"/>
        <w:rPr>
          <w:rFonts w:ascii="Arial" w:hAnsi="Arial" w:cs="Arial"/>
          <w:b/>
          <w:sz w:val="28"/>
          <w:szCs w:val="28"/>
        </w:rPr>
      </w:pPr>
      <w:r>
        <w:rPr>
          <w:rFonts w:ascii="Arial" w:hAnsi="Arial" w:cs="Arial"/>
          <w:b/>
          <w:sz w:val="28"/>
          <w:szCs w:val="28"/>
        </w:rPr>
        <w:t>Conclusions</w:t>
      </w:r>
    </w:p>
    <w:p w:rsidR="00330CF1" w:rsidRDefault="00330CF1" w:rsidP="000166A9">
      <w:pPr>
        <w:pStyle w:val="StyleHeading1Centered"/>
      </w:pP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     Minimal humoral IgG and IgM differences were seen between the two raw diets and the control heat-processed diet at each time point.  </w:t>
      </w:r>
      <w:r w:rsidRPr="008520B3">
        <w:rPr>
          <w:rFonts w:ascii="Arial" w:hAnsi="Arial" w:cs="Arial"/>
        </w:rPr>
        <w:t xml:space="preserve">The homemade raw had significant increases over time in IgG concentration and total lymphocyte counts and the commercial raw had significant increases in IgM concentration over time.  A trend was noted for higher serum levels of IgM concentration in the commercial raw diet fed kittens when compared to the control diet group.  This diet also had </w:t>
      </w:r>
      <w:r>
        <w:rPr>
          <w:rFonts w:ascii="Arial" w:hAnsi="Arial" w:cs="Arial"/>
        </w:rPr>
        <w:t xml:space="preserve">the highest number of bacteria as determined by aerobic plate counts.  In general, unless bacterial translocation occurs, higher levels of humoral immunity would not be expected.  Systemic immune responses though are responsive to bacterial degradation products and this may explain the higher levels of IgM seen in the commercial diet.   </w:t>
      </w: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     The homemade raw diet was found to have higher oxidative burst responses to the stimulant PMA than the commercial raw diet.  </w:t>
      </w:r>
      <w:r w:rsidRPr="004E644B">
        <w:rPr>
          <w:rFonts w:ascii="Arial" w:hAnsi="Arial" w:cs="Arial"/>
        </w:rPr>
        <w:t xml:space="preserve">The dietary level of taurine in this diet was </w:t>
      </w:r>
      <w:r>
        <w:rPr>
          <w:rFonts w:ascii="Arial" w:hAnsi="Arial" w:cs="Arial"/>
        </w:rPr>
        <w:t xml:space="preserve"> also</w:t>
      </w:r>
      <w:r w:rsidRPr="004E644B">
        <w:rPr>
          <w:rFonts w:ascii="Arial" w:hAnsi="Arial" w:cs="Arial"/>
        </w:rPr>
        <w:t xml:space="preserve"> three times higher.  Taurine, a known sca</w:t>
      </w:r>
      <w:r>
        <w:rPr>
          <w:rFonts w:ascii="Arial" w:hAnsi="Arial" w:cs="Arial"/>
        </w:rPr>
        <w:t>venger of</w:t>
      </w:r>
      <w:r w:rsidRPr="007A077E">
        <w:rPr>
          <w:rFonts w:ascii="Arial" w:hAnsi="Arial" w:cs="Arial"/>
        </w:rPr>
        <w:t xml:space="preserve"> </w:t>
      </w:r>
      <w:r>
        <w:rPr>
          <w:rFonts w:ascii="Arial" w:hAnsi="Arial" w:cs="Arial"/>
        </w:rPr>
        <w:t xml:space="preserve">oxidized chlorine, acts as a general detoxifier protecting neutrophils from oxidant-induced injury generated from the myeloperoxidase/chloride system.  Adding higher dietary levels of taurine to pet foods to improve innate immune function would be recommended.  In general, phagocytosis was reduced in all the groups compared to previous reported data.  Further examination of </w:t>
      </w:r>
      <w:r>
        <w:rPr>
          <w:rFonts w:ascii="Arial" w:hAnsi="Arial" w:cs="Arial"/>
        </w:rPr>
        <w:lastRenderedPageBreak/>
        <w:t xml:space="preserve">innate antimicrobial peptides in juvenile animals is warranted, along with the impact of diet and processing on gut microbiota, T cell, and mucosal immune function.   </w:t>
      </w:r>
    </w:p>
    <w:p w:rsidR="00330CF1" w:rsidRDefault="00330CF1" w:rsidP="00F710F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330CF1" w:rsidRPr="00392539" w:rsidRDefault="00330CF1" w:rsidP="000166A9">
      <w:pPr>
        <w:pStyle w:val="StyleHeading1Centered"/>
        <w:rPr>
          <w:sz w:val="32"/>
          <w:szCs w:val="32"/>
        </w:rPr>
      </w:pPr>
      <w:r>
        <w:br w:type="page"/>
      </w:r>
      <w:bookmarkStart w:id="41" w:name="_Toc305485872"/>
      <w:r w:rsidRPr="00392539">
        <w:rPr>
          <w:sz w:val="32"/>
          <w:szCs w:val="32"/>
        </w:rPr>
        <w:lastRenderedPageBreak/>
        <w:t>CHAPTER IV</w:t>
      </w:r>
      <w:bookmarkEnd w:id="41"/>
    </w:p>
    <w:p w:rsidR="00330CF1" w:rsidRPr="00392539" w:rsidRDefault="00330CF1" w:rsidP="00392539">
      <w:pPr>
        <w:pStyle w:val="Heading1"/>
        <w:jc w:val="center"/>
        <w:rPr>
          <w:sz w:val="32"/>
          <w:szCs w:val="32"/>
        </w:rPr>
      </w:pPr>
      <w:bookmarkStart w:id="42" w:name="_Toc305485873"/>
      <w:r>
        <w:rPr>
          <w:sz w:val="32"/>
          <w:szCs w:val="32"/>
        </w:rPr>
        <w:t>COMPARISON OF</w:t>
      </w:r>
      <w:r w:rsidRPr="00392539">
        <w:rPr>
          <w:sz w:val="32"/>
          <w:szCs w:val="32"/>
        </w:rPr>
        <w:t xml:space="preserve"> U</w:t>
      </w:r>
      <w:r>
        <w:rPr>
          <w:sz w:val="32"/>
          <w:szCs w:val="32"/>
        </w:rPr>
        <w:t>RINARY ISOPROSTANES AS A MARKER OF</w:t>
      </w:r>
      <w:r w:rsidRPr="00392539">
        <w:rPr>
          <w:sz w:val="32"/>
          <w:szCs w:val="32"/>
        </w:rPr>
        <w:t xml:space="preserve"> O</w:t>
      </w:r>
      <w:r>
        <w:rPr>
          <w:sz w:val="32"/>
          <w:szCs w:val="32"/>
        </w:rPr>
        <w:t>XIDATIVE STRESS IN KITTENS FED RAW VS. HEAT-PROCCESSED D</w:t>
      </w:r>
      <w:bookmarkEnd w:id="42"/>
      <w:r>
        <w:rPr>
          <w:sz w:val="32"/>
          <w:szCs w:val="32"/>
        </w:rPr>
        <w:t>IETS</w:t>
      </w:r>
    </w:p>
    <w:p w:rsidR="00330CF1" w:rsidRDefault="00330CF1" w:rsidP="00392539">
      <w:pPr>
        <w:pStyle w:val="StyleHeading1Centered"/>
        <w:jc w:val="left"/>
        <w:rPr>
          <w:sz w:val="32"/>
          <w:szCs w:val="32"/>
        </w:rPr>
      </w:pPr>
    </w:p>
    <w:p w:rsidR="00330CF1" w:rsidRDefault="00330CF1" w:rsidP="00BD034C">
      <w:pPr>
        <w:pStyle w:val="Heading1"/>
        <w:jc w:val="center"/>
      </w:pPr>
      <w:bookmarkStart w:id="43" w:name="_Toc305485874"/>
      <w:r>
        <w:t>Introduction</w:t>
      </w:r>
      <w:bookmarkEnd w:id="43"/>
    </w:p>
    <w:p w:rsidR="00330CF1" w:rsidRPr="00BD034C" w:rsidRDefault="00330CF1" w:rsidP="00BD034C"/>
    <w:p w:rsidR="00330CF1" w:rsidRDefault="00330CF1" w:rsidP="00A7777B">
      <w:pPr>
        <w:autoSpaceDE w:val="0"/>
        <w:autoSpaceDN w:val="0"/>
        <w:adjustRightInd w:val="0"/>
        <w:rPr>
          <w:rFonts w:ascii="Arial" w:hAnsi="Arial" w:cs="Arial"/>
        </w:rPr>
      </w:pPr>
      <w:r>
        <w:rPr>
          <w:rFonts w:ascii="Arial" w:hAnsi="Arial" w:cs="Arial"/>
        </w:rPr>
        <w:t xml:space="preserve">     Generation of reactive oxygen species (ROS) and reactive nitrogen species (RNS) is both beneficial and detrimental to the host.  Overproduction of free radicals results in negative effects due to damage to cell structures including proteins, DNA, lipids and membranes.</w:t>
      </w:r>
      <w:r>
        <w:rPr>
          <w:rFonts w:ascii="Arial" w:hAnsi="Arial" w:cs="Arial"/>
          <w:noProof/>
        </w:rPr>
        <w:t>[138]</w:t>
      </w:r>
      <w:r>
        <w:rPr>
          <w:rFonts w:ascii="Arial" w:hAnsi="Arial" w:cs="Arial"/>
        </w:rPr>
        <w:t xml:space="preserve">  In humans, cumulative effects of free radicals are implicated in numerous diseases including </w:t>
      </w:r>
      <w:r>
        <w:rPr>
          <w:rFonts w:ascii="Arial" w:hAnsi="Arial" w:cs="Arial"/>
          <w:color w:val="333333"/>
          <w:sz w:val="18"/>
          <w:szCs w:val="18"/>
        </w:rPr>
        <w:t xml:space="preserve"> </w:t>
      </w:r>
      <w:r w:rsidRPr="00EC0D93">
        <w:rPr>
          <w:rFonts w:ascii="Arial" w:hAnsi="Arial" w:cs="Arial"/>
        </w:rPr>
        <w:t>cancer, cardiovascular disease, atherosclerosis, hypertension, ischemia/reperfusion injury, diabetes mellitus, neurodegenerative diseases (Alzheimer's disease and Parkinson's disease), rheumatoid arthritis, and ageing.</w:t>
      </w:r>
      <w:r>
        <w:rPr>
          <w:rFonts w:ascii="Arial" w:hAnsi="Arial" w:cs="Arial"/>
          <w:noProof/>
        </w:rPr>
        <w:t>[138]</w:t>
      </w:r>
      <w:r>
        <w:rPr>
          <w:rFonts w:ascii="Arial" w:hAnsi="Arial" w:cs="Arial"/>
        </w:rPr>
        <w:t xml:space="preserve"> </w:t>
      </w:r>
      <w:r>
        <w:rPr>
          <w:rFonts w:ascii="Arial" w:hAnsi="Arial" w:cs="Arial"/>
          <w:color w:val="333333"/>
        </w:rPr>
        <w:t xml:space="preserve"> </w:t>
      </w:r>
      <w:r>
        <w:rPr>
          <w:rFonts w:ascii="Arial" w:hAnsi="Arial" w:cs="Arial"/>
        </w:rPr>
        <w:t>In contrast, beneficial effects of ROS/RNS include defense against infectious agents.  ROS/RNS also function in cell signaling pathways and mitogenesis.</w:t>
      </w:r>
      <w:r>
        <w:rPr>
          <w:rFonts w:ascii="Arial" w:hAnsi="Arial" w:cs="Arial"/>
          <w:noProof/>
        </w:rPr>
        <w:t>[138]</w:t>
      </w:r>
      <w:r>
        <w:rPr>
          <w:rFonts w:ascii="Arial" w:hAnsi="Arial" w:cs="Arial"/>
        </w:rPr>
        <w:t xml:space="preserve">  </w:t>
      </w:r>
    </w:p>
    <w:p w:rsidR="00330CF1" w:rsidRDefault="00330CF1" w:rsidP="00A7777B">
      <w:pPr>
        <w:autoSpaceDE w:val="0"/>
        <w:autoSpaceDN w:val="0"/>
        <w:adjustRightInd w:val="0"/>
        <w:rPr>
          <w:rFonts w:ascii="Arial" w:hAnsi="Arial" w:cs="Arial"/>
        </w:rPr>
      </w:pPr>
      <w:r>
        <w:rPr>
          <w:rFonts w:ascii="Arial" w:hAnsi="Arial" w:cs="Arial"/>
        </w:rPr>
        <w:t xml:space="preserve">     ROS/RNS are products of normal cellular metabolism with their production occurring mainly in the mitochondria.  In the process of movement of electrons along the electron transport chain within the inner mitochondrial membrane, small amounts of electrons can “leak” out prematurely forming superoxide radicals when combined with oxygen.</w:t>
      </w:r>
      <w:r>
        <w:rPr>
          <w:rFonts w:ascii="Arial" w:hAnsi="Arial" w:cs="Arial"/>
          <w:noProof/>
        </w:rPr>
        <w:t>[138]</w:t>
      </w:r>
      <w:r>
        <w:rPr>
          <w:rFonts w:ascii="Arial" w:hAnsi="Arial" w:cs="Arial"/>
        </w:rPr>
        <w:t xml:space="preserve">  Approximately 1-3% of all electrons in the electron transport chain leak out prematurely to generate superoxide instead of reducing oxygen to water and producing ATP.</w:t>
      </w:r>
      <w:r>
        <w:rPr>
          <w:rFonts w:ascii="Arial" w:hAnsi="Arial" w:cs="Arial"/>
          <w:noProof/>
        </w:rPr>
        <w:t>[138]</w:t>
      </w:r>
      <w:r>
        <w:rPr>
          <w:rFonts w:ascii="Arial" w:hAnsi="Arial" w:cs="Arial"/>
        </w:rPr>
        <w:t xml:space="preserve">  A free radical is defined as any molecule with one or more unpaired electrons in their outer shell.</w:t>
      </w:r>
      <w:r>
        <w:rPr>
          <w:rFonts w:ascii="Arial" w:hAnsi="Arial" w:cs="Arial"/>
          <w:noProof/>
        </w:rPr>
        <w:t>[138]</w:t>
      </w:r>
      <w:r>
        <w:rPr>
          <w:rFonts w:ascii="Arial" w:hAnsi="Arial" w:cs="Arial"/>
        </w:rPr>
        <w:t xml:space="preserve">  The unpaired electron(s) result in these molecules having high reactivity.  Radicals formed from oxygen include superoxide radical, hydroxyl radical, hydrogen peroxide, peroxynitrite, and lipid peroxides.  Superoxide is considered the primary ROS and can interact with other molecules to produce secondary ROS.</w:t>
      </w:r>
      <w:r>
        <w:rPr>
          <w:rFonts w:ascii="Arial" w:hAnsi="Arial" w:cs="Arial"/>
          <w:noProof/>
        </w:rPr>
        <w:t>[138]</w:t>
      </w:r>
    </w:p>
    <w:p w:rsidR="00330CF1" w:rsidRDefault="00330CF1" w:rsidP="00A7777B">
      <w:pPr>
        <w:autoSpaceDE w:val="0"/>
        <w:autoSpaceDN w:val="0"/>
        <w:adjustRightInd w:val="0"/>
        <w:rPr>
          <w:rFonts w:ascii="Arial" w:hAnsi="Arial" w:cs="Arial"/>
        </w:rPr>
      </w:pPr>
      <w:r>
        <w:rPr>
          <w:rFonts w:ascii="Arial" w:hAnsi="Arial" w:cs="Arial"/>
        </w:rPr>
        <w:t xml:space="preserve">     Neutrophils generate large amounts of reactive radicals in response to inflammation.  Local inflammatory signals recruit neutrophils and macrophages to leave the circulation, marginate along the endothelium and move into the tissue at the site of infection or trauma.</w:t>
      </w:r>
      <w:r>
        <w:rPr>
          <w:rFonts w:ascii="Arial" w:hAnsi="Arial" w:cs="Arial"/>
          <w:noProof/>
        </w:rPr>
        <w:t>[139]</w:t>
      </w:r>
      <w:r>
        <w:rPr>
          <w:rFonts w:ascii="Arial" w:hAnsi="Arial" w:cs="Arial"/>
        </w:rPr>
        <w:t xml:space="preserve">  Phagocytosis is the cellular process of granulocytes engulfing foreign particles to form an internal phagosome.</w:t>
      </w:r>
      <w:r>
        <w:rPr>
          <w:rFonts w:ascii="Arial" w:hAnsi="Arial" w:cs="Arial"/>
          <w:noProof/>
        </w:rPr>
        <w:t>[139]</w:t>
      </w:r>
      <w:r>
        <w:rPr>
          <w:rFonts w:ascii="Arial" w:hAnsi="Arial" w:cs="Arial"/>
        </w:rPr>
        <w:t xml:space="preserve">  Once within the phagosome, 2 killing systems can be implemented, oxygen-dependent and oxygen independent. </w:t>
      </w:r>
    </w:p>
    <w:p w:rsidR="00330CF1" w:rsidRDefault="00330CF1" w:rsidP="00A7777B">
      <w:pPr>
        <w:autoSpaceDE w:val="0"/>
        <w:autoSpaceDN w:val="0"/>
        <w:adjustRightInd w:val="0"/>
        <w:rPr>
          <w:rFonts w:ascii="Arial" w:hAnsi="Arial" w:cs="Arial"/>
        </w:rPr>
      </w:pPr>
      <w:r>
        <w:rPr>
          <w:rFonts w:ascii="Arial" w:hAnsi="Arial" w:cs="Arial"/>
        </w:rPr>
        <w:t xml:space="preserve">     Respiratory burst is the term used to describe the oxygen-dependent system for generation and release of ROS/RNS within the phagosome.</w:t>
      </w:r>
      <w:r>
        <w:rPr>
          <w:rFonts w:ascii="Arial" w:hAnsi="Arial" w:cs="Arial"/>
          <w:noProof/>
        </w:rPr>
        <w:t>[140]</w:t>
      </w:r>
      <w:r>
        <w:rPr>
          <w:rFonts w:ascii="Arial" w:hAnsi="Arial" w:cs="Arial"/>
        </w:rPr>
        <w:t xml:space="preserve">  During phagocytosis, granulocytes undergo a burst of metabolic activity with a 2-3 fold increase in oxygen consumption and increased generation of superoxide radical, hydroxyl radical and hydrogen peroxide generated from NADPH oxidase.</w:t>
      </w:r>
      <w:r>
        <w:rPr>
          <w:rFonts w:ascii="Arial" w:hAnsi="Arial" w:cs="Arial"/>
          <w:noProof/>
        </w:rPr>
        <w:t>[139]</w:t>
      </w:r>
      <w:r>
        <w:rPr>
          <w:rFonts w:ascii="Arial" w:hAnsi="Arial" w:cs="Arial"/>
        </w:rPr>
        <w:t xml:space="preserve">  Hydrogen peroxide can subsequently produce hypochlorous acid via myeloperoxidase or form peroxynitrite using nitric oxide.  Peroxynitrite can subsequently degrade to yield additional hydroxyl radicals.</w:t>
      </w:r>
      <w:r>
        <w:rPr>
          <w:rFonts w:ascii="Arial" w:hAnsi="Arial" w:cs="Arial"/>
          <w:noProof/>
        </w:rPr>
        <w:t>[141]</w:t>
      </w:r>
      <w:r>
        <w:rPr>
          <w:rFonts w:ascii="Arial" w:hAnsi="Arial" w:cs="Arial"/>
        </w:rPr>
        <w:t xml:space="preserve">  If free iron or copper is available, hydroxyl radicals can also be formed from the Fenton reaction.  Excess production of these radicals, particularly </w:t>
      </w:r>
      <w:r>
        <w:rPr>
          <w:rFonts w:ascii="Arial" w:hAnsi="Arial" w:cs="Arial"/>
        </w:rPr>
        <w:lastRenderedPageBreak/>
        <w:t xml:space="preserve">hypochlorous acid, can lead to local tissue damage.  Granulocytes and macrophages protect themselves from oxidant damage using the endogenous enzymes superoxide dismutase and catalase, and endogenous glutathione.   </w:t>
      </w:r>
    </w:p>
    <w:p w:rsidR="00330CF1" w:rsidRPr="00A2233D" w:rsidRDefault="00330CF1" w:rsidP="00A7777B">
      <w:pPr>
        <w:pStyle w:val="Heading1"/>
        <w:rPr>
          <w:rFonts w:cs="Arial"/>
          <w:b w:val="0"/>
          <w:sz w:val="24"/>
        </w:rPr>
      </w:pPr>
      <w:r>
        <w:rPr>
          <w:rFonts w:cs="Arial"/>
        </w:rPr>
        <w:t xml:space="preserve">     </w:t>
      </w:r>
      <w:r w:rsidRPr="00A2233D">
        <w:rPr>
          <w:rFonts w:cs="Arial"/>
          <w:b w:val="0"/>
          <w:sz w:val="24"/>
        </w:rPr>
        <w:t>Polyunsaturated fatty acids (PUFA)</w:t>
      </w:r>
      <w:r>
        <w:rPr>
          <w:rFonts w:cs="Arial"/>
          <w:b w:val="0"/>
          <w:sz w:val="24"/>
        </w:rPr>
        <w:t xml:space="preserve"> within cell membranes</w:t>
      </w:r>
      <w:r w:rsidRPr="00A2233D">
        <w:rPr>
          <w:rFonts w:cs="Arial"/>
          <w:b w:val="0"/>
          <w:sz w:val="24"/>
        </w:rPr>
        <w:t xml:space="preserve"> are particularly vulnerable to extraction of electrons from reactive ra</w:t>
      </w:r>
      <w:r>
        <w:rPr>
          <w:rFonts w:cs="Arial"/>
          <w:b w:val="0"/>
          <w:sz w:val="24"/>
        </w:rPr>
        <w:t xml:space="preserve">dicals forming lipid radicals.  </w:t>
      </w:r>
    </w:p>
    <w:p w:rsidR="00330CF1" w:rsidRPr="00871877" w:rsidRDefault="00330CF1" w:rsidP="00871877">
      <w:pPr>
        <w:pStyle w:val="Heading1"/>
        <w:rPr>
          <w:rFonts w:cs="Arial"/>
          <w:b w:val="0"/>
          <w:sz w:val="24"/>
        </w:rPr>
      </w:pPr>
      <w:r w:rsidRPr="00871877">
        <w:rPr>
          <w:rFonts w:cs="Arial"/>
          <w:b w:val="0"/>
          <w:sz w:val="24"/>
        </w:rPr>
        <w:t xml:space="preserve">Lipid radicals can either be reduced by Vitamin E or extract an electron from a neighboring </w:t>
      </w:r>
      <w:r>
        <w:rPr>
          <w:rFonts w:cs="Arial"/>
          <w:b w:val="0"/>
          <w:sz w:val="24"/>
        </w:rPr>
        <w:t xml:space="preserve">fatty acid </w:t>
      </w:r>
      <w:r w:rsidRPr="00871877">
        <w:rPr>
          <w:rFonts w:cs="Arial"/>
          <w:b w:val="0"/>
          <w:sz w:val="24"/>
        </w:rPr>
        <w:t>molecule propagating a chain reaction.  Up to 60 molecules of linoleic acid and 200 molecules of arachidonic acid within cell membranes can be damaged in this one initiation event.</w:t>
      </w:r>
      <w:r>
        <w:rPr>
          <w:rFonts w:cs="Arial"/>
          <w:b w:val="0"/>
          <w:noProof/>
          <w:sz w:val="24"/>
        </w:rPr>
        <w:t>[142]</w:t>
      </w:r>
      <w:r w:rsidRPr="00871877">
        <w:rPr>
          <w:rFonts w:cs="Arial"/>
          <w:b w:val="0"/>
          <w:sz w:val="24"/>
        </w:rPr>
        <w:t xml:space="preserve">  </w:t>
      </w:r>
    </w:p>
    <w:p w:rsidR="00330CF1" w:rsidRDefault="00330CF1" w:rsidP="003B18A9">
      <w:pPr>
        <w:pStyle w:val="Heading1"/>
        <w:rPr>
          <w:rFonts w:cs="Arial"/>
          <w:b w:val="0"/>
          <w:sz w:val="24"/>
        </w:rPr>
      </w:pPr>
      <w:r>
        <w:rPr>
          <w:rFonts w:cs="Arial"/>
          <w:b w:val="0"/>
          <w:sz w:val="24"/>
        </w:rPr>
        <w:t xml:space="preserve">     </w:t>
      </w:r>
      <w:r w:rsidRPr="00871877">
        <w:rPr>
          <w:rFonts w:cs="Arial"/>
          <w:b w:val="0"/>
          <w:sz w:val="24"/>
        </w:rPr>
        <w:t>Levels of the p</w:t>
      </w:r>
      <w:r>
        <w:rPr>
          <w:rFonts w:cs="Arial"/>
          <w:b w:val="0"/>
          <w:sz w:val="24"/>
        </w:rPr>
        <w:t>roducts of oxidant damage are</w:t>
      </w:r>
      <w:r w:rsidRPr="00871877">
        <w:rPr>
          <w:rFonts w:cs="Arial"/>
          <w:b w:val="0"/>
          <w:sz w:val="24"/>
        </w:rPr>
        <w:t xml:space="preserve"> a reliable marker of oxidant injury.  Either lipid peroxidation products or oxidized bases in nucleic acids are the most common substrates quantified.  </w:t>
      </w:r>
      <w:r w:rsidRPr="00BC383B">
        <w:rPr>
          <w:rFonts w:cs="Arial"/>
          <w:b w:val="0"/>
          <w:sz w:val="24"/>
        </w:rPr>
        <w:t xml:space="preserve">Lipid peroxidation products proposed for measurement include malondialdehyde, </w:t>
      </w:r>
      <w:r>
        <w:rPr>
          <w:rFonts w:cs="Arial"/>
          <w:b w:val="0"/>
          <w:sz w:val="24"/>
        </w:rPr>
        <w:t>hydroxynonenal (</w:t>
      </w:r>
      <w:r w:rsidRPr="00BC383B">
        <w:rPr>
          <w:rFonts w:cs="Arial"/>
          <w:b w:val="0"/>
          <w:sz w:val="24"/>
        </w:rPr>
        <w:t>HNE</w:t>
      </w:r>
      <w:r>
        <w:rPr>
          <w:rFonts w:cs="Arial"/>
          <w:b w:val="0"/>
          <w:sz w:val="24"/>
        </w:rPr>
        <w:t>)</w:t>
      </w:r>
      <w:r w:rsidRPr="00BC383B">
        <w:rPr>
          <w:rFonts w:cs="Arial"/>
          <w:b w:val="0"/>
          <w:sz w:val="24"/>
        </w:rPr>
        <w:t xml:space="preserve"> and isoprostanes.  The thiobarbituric acid reactive substance test is an assay used to measure malondialdehyde in tissues.  This test </w:t>
      </w:r>
      <w:r>
        <w:rPr>
          <w:rFonts w:cs="Arial"/>
          <w:b w:val="0"/>
          <w:sz w:val="24"/>
        </w:rPr>
        <w:t xml:space="preserve">though </w:t>
      </w:r>
      <w:r w:rsidRPr="00BC383B">
        <w:rPr>
          <w:rFonts w:cs="Arial"/>
          <w:b w:val="0"/>
          <w:sz w:val="24"/>
        </w:rPr>
        <w:t>has been considered to have marginal validity as much of the malondialdehyde measured is formed following collection during the incubation period.</w:t>
      </w:r>
      <w:r>
        <w:rPr>
          <w:rFonts w:cs="Arial"/>
          <w:b w:val="0"/>
          <w:noProof/>
          <w:sz w:val="24"/>
        </w:rPr>
        <w:t>[143]</w:t>
      </w:r>
      <w:r w:rsidRPr="00BC383B">
        <w:rPr>
          <w:rFonts w:cs="Arial"/>
          <w:b w:val="0"/>
          <w:sz w:val="24"/>
        </w:rPr>
        <w:t xml:space="preserve"> </w:t>
      </w:r>
      <w:r>
        <w:rPr>
          <w:rFonts w:cs="Arial"/>
          <w:b w:val="0"/>
          <w:sz w:val="24"/>
        </w:rPr>
        <w:t xml:space="preserve"> </w:t>
      </w:r>
      <w:r w:rsidRPr="00BC383B">
        <w:rPr>
          <w:rFonts w:cs="Arial"/>
          <w:b w:val="0"/>
          <w:sz w:val="24"/>
        </w:rPr>
        <w:t>Malondialdehyde can also form as a result of thromboxane synthesis during platelet activation, as occurs with blood sampling.</w:t>
      </w:r>
      <w:r>
        <w:rPr>
          <w:rFonts w:cs="Arial"/>
          <w:b w:val="0"/>
          <w:noProof/>
          <w:sz w:val="24"/>
        </w:rPr>
        <w:t>[143]</w:t>
      </w:r>
      <w:r>
        <w:rPr>
          <w:rFonts w:cs="Arial"/>
          <w:b w:val="0"/>
          <w:sz w:val="24"/>
        </w:rPr>
        <w:t xml:space="preserve">  The discovery of</w:t>
      </w:r>
      <w:r w:rsidRPr="00BC383B">
        <w:rPr>
          <w:rFonts w:cs="Arial"/>
          <w:b w:val="0"/>
          <w:sz w:val="24"/>
        </w:rPr>
        <w:t xml:space="preserve"> isoprostanes as lipid peroxidation products has opened up new options for quantifying lipid peroxidation.  </w:t>
      </w:r>
    </w:p>
    <w:p w:rsidR="00330CF1" w:rsidRPr="00E31BB1" w:rsidRDefault="00330CF1" w:rsidP="003B18A9">
      <w:pPr>
        <w:pStyle w:val="Heading1"/>
        <w:rPr>
          <w:rFonts w:cs="Arial"/>
          <w:b w:val="0"/>
          <w:sz w:val="24"/>
        </w:rPr>
      </w:pPr>
      <w:r>
        <w:rPr>
          <w:rFonts w:cs="Arial"/>
          <w:b w:val="0"/>
          <w:sz w:val="24"/>
        </w:rPr>
        <w:t xml:space="preserve">     </w:t>
      </w:r>
      <w:r w:rsidRPr="00BC383B">
        <w:rPr>
          <w:rFonts w:cs="Arial"/>
          <w:b w:val="0"/>
          <w:sz w:val="24"/>
        </w:rPr>
        <w:t>Isoprostanes are prost</w:t>
      </w:r>
      <w:r>
        <w:rPr>
          <w:rFonts w:cs="Arial"/>
          <w:b w:val="0"/>
          <w:sz w:val="24"/>
        </w:rPr>
        <w:t xml:space="preserve">aglandin-like compounds </w:t>
      </w:r>
      <w:r w:rsidRPr="00BC383B">
        <w:rPr>
          <w:rFonts w:cs="Arial"/>
          <w:b w:val="0"/>
          <w:sz w:val="24"/>
        </w:rPr>
        <w:t xml:space="preserve">produced </w:t>
      </w:r>
      <w:r w:rsidRPr="00D855B3">
        <w:rPr>
          <w:rFonts w:cs="Arial"/>
          <w:b w:val="0"/>
          <w:i/>
          <w:sz w:val="24"/>
        </w:rPr>
        <w:t>in vivo</w:t>
      </w:r>
      <w:r>
        <w:rPr>
          <w:rFonts w:cs="Arial"/>
          <w:b w:val="0"/>
          <w:i/>
          <w:sz w:val="24"/>
        </w:rPr>
        <w:t>,</w:t>
      </w:r>
      <w:r w:rsidRPr="00BC383B">
        <w:rPr>
          <w:rFonts w:cs="Arial"/>
          <w:b w:val="0"/>
          <w:sz w:val="24"/>
        </w:rPr>
        <w:t xml:space="preserve"> independent of cyclooxygenases</w:t>
      </w:r>
      <w:r>
        <w:rPr>
          <w:rFonts w:cs="Arial"/>
          <w:b w:val="0"/>
          <w:sz w:val="24"/>
        </w:rPr>
        <w:t>,</w:t>
      </w:r>
      <w:r w:rsidRPr="00BC383B">
        <w:rPr>
          <w:rFonts w:cs="Arial"/>
          <w:b w:val="0"/>
          <w:sz w:val="24"/>
        </w:rPr>
        <w:t xml:space="preserve"> by free radical-induced peroxidation of arachidonic acid in plasma membranes.</w:t>
      </w:r>
      <w:r>
        <w:rPr>
          <w:rFonts w:cs="Arial"/>
          <w:b w:val="0"/>
          <w:noProof/>
          <w:sz w:val="24"/>
        </w:rPr>
        <w:t>[146]</w:t>
      </w:r>
      <w:r w:rsidRPr="00BC383B">
        <w:rPr>
          <w:rFonts w:cs="Arial"/>
          <w:b w:val="0"/>
          <w:sz w:val="24"/>
        </w:rPr>
        <w:t xml:space="preserve">  In the  Biomarkers of Oxidative Stress Study (BOSS), sponsored by the National Institutes of Health (NIH), plasma </w:t>
      </w:r>
      <w:r>
        <w:rPr>
          <w:rFonts w:cs="Arial"/>
          <w:b w:val="0"/>
          <w:sz w:val="24"/>
        </w:rPr>
        <w:t xml:space="preserve">or urine </w:t>
      </w:r>
      <w:r w:rsidRPr="00BC383B">
        <w:rPr>
          <w:rFonts w:cs="Arial"/>
          <w:b w:val="0"/>
          <w:sz w:val="24"/>
        </w:rPr>
        <w:t xml:space="preserve">isoprostanes were found to be the most accurate method to assess </w:t>
      </w:r>
      <w:r w:rsidRPr="00D855B3">
        <w:rPr>
          <w:rFonts w:cs="Arial"/>
          <w:b w:val="0"/>
          <w:i/>
          <w:sz w:val="24"/>
        </w:rPr>
        <w:t>in vivo</w:t>
      </w:r>
      <w:r w:rsidRPr="00BC383B">
        <w:rPr>
          <w:rFonts w:cs="Arial"/>
          <w:b w:val="0"/>
          <w:sz w:val="24"/>
        </w:rPr>
        <w:t xml:space="preserve"> oxidant stress.</w:t>
      </w:r>
      <w:r>
        <w:rPr>
          <w:rFonts w:cs="Arial"/>
          <w:b w:val="0"/>
          <w:noProof/>
          <w:sz w:val="24"/>
        </w:rPr>
        <w:t>[147]</w:t>
      </w:r>
      <w:r>
        <w:rPr>
          <w:rFonts w:cs="Arial"/>
          <w:b w:val="0"/>
          <w:sz w:val="24"/>
        </w:rPr>
        <w:t xml:space="preserve">  Urine samples in particular</w:t>
      </w:r>
      <w:r w:rsidRPr="00BC383B">
        <w:rPr>
          <w:rFonts w:cs="Arial"/>
          <w:b w:val="0"/>
          <w:sz w:val="24"/>
        </w:rPr>
        <w:t xml:space="preserve"> have been viewed as an index of whole body oxidant stress over time.</w:t>
      </w:r>
      <w:r>
        <w:rPr>
          <w:rFonts w:cs="Arial"/>
          <w:b w:val="0"/>
          <w:noProof/>
          <w:sz w:val="24"/>
        </w:rPr>
        <w:t>[148]</w:t>
      </w:r>
      <w:r>
        <w:rPr>
          <w:rFonts w:cs="Arial"/>
          <w:b w:val="0"/>
          <w:sz w:val="24"/>
        </w:rPr>
        <w:t xml:space="preserve">    Levels of isoprostanes can </w:t>
      </w:r>
      <w:r w:rsidRPr="00BC383B">
        <w:rPr>
          <w:rFonts w:cs="Arial"/>
          <w:b w:val="0"/>
          <w:sz w:val="24"/>
        </w:rPr>
        <w:t xml:space="preserve">be analyzed by gas </w:t>
      </w:r>
      <w:r>
        <w:rPr>
          <w:rFonts w:cs="Arial"/>
          <w:b w:val="0"/>
          <w:sz w:val="24"/>
        </w:rPr>
        <w:t>chromatography-mass spectro</w:t>
      </w:r>
      <w:r w:rsidRPr="00E31BB1">
        <w:rPr>
          <w:rFonts w:cs="Arial"/>
          <w:b w:val="0"/>
          <w:sz w:val="24"/>
        </w:rPr>
        <w:t xml:space="preserve">scopy </w:t>
      </w:r>
      <w:r w:rsidRPr="00BC383B">
        <w:rPr>
          <w:rFonts w:cs="Arial"/>
          <w:b w:val="0"/>
          <w:sz w:val="24"/>
        </w:rPr>
        <w:t>or immunoassays.</w:t>
      </w:r>
      <w:r>
        <w:rPr>
          <w:rFonts w:cs="Arial"/>
          <w:b w:val="0"/>
          <w:noProof/>
          <w:sz w:val="24"/>
        </w:rPr>
        <w:t>[148]</w:t>
      </w:r>
      <w:r w:rsidRPr="00BC383B">
        <w:rPr>
          <w:rFonts w:cs="Arial"/>
          <w:b w:val="0"/>
          <w:sz w:val="24"/>
        </w:rPr>
        <w:t xml:space="preserve">  Normal ranges have been established in humans but to the author’s knowledge, no values have been established for dogs or cats.</w:t>
      </w:r>
      <w:r>
        <w:rPr>
          <w:rFonts w:cs="Arial"/>
          <w:b w:val="0"/>
          <w:sz w:val="24"/>
        </w:rPr>
        <w:t xml:space="preserve"> </w:t>
      </w:r>
      <w:r w:rsidRPr="00BC383B">
        <w:rPr>
          <w:rFonts w:cs="Arial"/>
          <w:b w:val="0"/>
          <w:sz w:val="24"/>
        </w:rPr>
        <w:t xml:space="preserve"> </w:t>
      </w:r>
      <w:r>
        <w:rPr>
          <w:rFonts w:cs="Arial"/>
          <w:b w:val="0"/>
          <w:sz w:val="24"/>
        </w:rPr>
        <w:t xml:space="preserve">My objective was to compare levels of lipid peroxidation and oxidative stress in kittens fed </w:t>
      </w:r>
      <w:r w:rsidRPr="003B18A9">
        <w:rPr>
          <w:rFonts w:cs="Arial"/>
          <w:b w:val="0"/>
          <w:sz w:val="24"/>
        </w:rPr>
        <w:t>a commercial raw food diet and a home-prepa</w:t>
      </w:r>
      <w:r>
        <w:rPr>
          <w:rFonts w:cs="Arial"/>
          <w:b w:val="0"/>
          <w:sz w:val="24"/>
        </w:rPr>
        <w:t>red raw food diet vs.</w:t>
      </w:r>
      <w:r w:rsidRPr="003B18A9">
        <w:rPr>
          <w:rFonts w:cs="Arial"/>
          <w:b w:val="0"/>
          <w:sz w:val="24"/>
        </w:rPr>
        <w:t xml:space="preserve"> kittens fed a control commercial heat-processed cat food.</w:t>
      </w:r>
      <w:r>
        <w:rPr>
          <w:rFonts w:cs="Arial"/>
          <w:b w:val="0"/>
          <w:sz w:val="24"/>
        </w:rPr>
        <w:t xml:space="preserve">  Urinary isoprostanes were the assay used to measure levels of lipid peroxidation.  </w:t>
      </w:r>
      <w:r w:rsidRPr="00E31BB1">
        <w:rPr>
          <w:rFonts w:cs="Arial"/>
          <w:b w:val="0"/>
          <w:sz w:val="24"/>
        </w:rPr>
        <w:t xml:space="preserve">My hypothesis was that the raw diets would have reduced levels of oxidative stress in kittens compared to kittens fed the control heat-processed diet.  </w:t>
      </w:r>
    </w:p>
    <w:p w:rsidR="00330CF1" w:rsidRDefault="00330CF1" w:rsidP="00871877"/>
    <w:p w:rsidR="00330CF1" w:rsidRPr="00871877" w:rsidRDefault="00330CF1" w:rsidP="00871877"/>
    <w:p w:rsidR="00330CF1" w:rsidRDefault="00330CF1" w:rsidP="00BD034C">
      <w:pPr>
        <w:pStyle w:val="Heading1"/>
        <w:jc w:val="center"/>
      </w:pPr>
      <w:bookmarkStart w:id="44" w:name="_Toc305485875"/>
      <w:r>
        <w:t>Materials and Methods</w:t>
      </w:r>
      <w:bookmarkEnd w:id="44"/>
    </w:p>
    <w:p w:rsidR="00330CF1" w:rsidRPr="0086645A" w:rsidRDefault="00330CF1" w:rsidP="0086645A"/>
    <w:p w:rsidR="00330CF1" w:rsidRDefault="00330CF1" w:rsidP="00DF307F">
      <w:pPr>
        <w:rPr>
          <w:rFonts w:ascii="Arial" w:hAnsi="Arial" w:cs="Arial"/>
        </w:rPr>
      </w:pPr>
      <w:r>
        <w:rPr>
          <w:rFonts w:ascii="Arial" w:hAnsi="Arial" w:cs="Arial"/>
        </w:rPr>
        <w:t xml:space="preserve">All kittens were born and raised at The University of Tennessee Veterinary Medical Center and Research facility and their care was in compliance with the Guide for the Use and Care of Laboratory Animals.  The experimental protocol was approved by the Institutional Animal Care and Use Committee.  </w:t>
      </w:r>
    </w:p>
    <w:p w:rsidR="00330CF1" w:rsidRDefault="00330CF1" w:rsidP="00DF307F">
      <w:pPr>
        <w:pStyle w:val="Heading3"/>
        <w:rPr>
          <w:b w:val="0"/>
          <w:i w:val="0"/>
        </w:rPr>
      </w:pPr>
      <w:r>
        <w:rPr>
          <w:i w:val="0"/>
        </w:rPr>
        <w:lastRenderedPageBreak/>
        <w:t xml:space="preserve">Animals: </w:t>
      </w:r>
      <w:r>
        <w:rPr>
          <w:b w:val="0"/>
          <w:i w:val="0"/>
        </w:rPr>
        <w:t>Twenty-four</w:t>
      </w:r>
      <w:r w:rsidRPr="00F34930">
        <w:rPr>
          <w:b w:val="0"/>
          <w:i w:val="0"/>
        </w:rPr>
        <w:t xml:space="preserve"> 9- to 19-week old domestic short-hair kittens born over a 3 year period were used</w:t>
      </w:r>
      <w:r>
        <w:rPr>
          <w:b w:val="0"/>
          <w:i w:val="0"/>
        </w:rPr>
        <w:t xml:space="preserve"> for an Association of American Feed Control Officials (AAFCO)</w:t>
      </w:r>
      <w:r w:rsidRPr="00F34930">
        <w:rPr>
          <w:b w:val="0"/>
          <w:i w:val="0"/>
        </w:rPr>
        <w:t xml:space="preserve"> growth feeding trial. </w:t>
      </w:r>
      <w:r>
        <w:rPr>
          <w:b w:val="0"/>
          <w:i w:val="0"/>
        </w:rPr>
        <w:t xml:space="preserve"> </w:t>
      </w:r>
      <w:r w:rsidRPr="00F34930">
        <w:rPr>
          <w:b w:val="0"/>
          <w:i w:val="0"/>
        </w:rPr>
        <w:t>The kittens were given physical examinations and tested for intestinal parasites one to three days prio</w:t>
      </w:r>
      <w:r>
        <w:rPr>
          <w:b w:val="0"/>
          <w:i w:val="0"/>
        </w:rPr>
        <w:t>r to starting the feeding trial and were healthy.</w:t>
      </w:r>
      <w:r w:rsidRPr="00F34930">
        <w:rPr>
          <w:b w:val="0"/>
          <w:i w:val="0"/>
        </w:rPr>
        <w:t xml:space="preserve">  All kittens were born</w:t>
      </w:r>
      <w:r>
        <w:rPr>
          <w:b w:val="0"/>
          <w:i w:val="0"/>
        </w:rPr>
        <w:t xml:space="preserve"> from the same queen and tom.  </w:t>
      </w:r>
      <w:r w:rsidRPr="00F34930">
        <w:rPr>
          <w:b w:val="0"/>
          <w:i w:val="0"/>
        </w:rPr>
        <w:t xml:space="preserve">Kittens were weaned </w:t>
      </w:r>
      <w:r>
        <w:rPr>
          <w:b w:val="0"/>
          <w:i w:val="0"/>
        </w:rPr>
        <w:t>on a canned and dry extruded diet</w:t>
      </w:r>
      <w:r>
        <w:rPr>
          <w:b w:val="0"/>
          <w:i w:val="0"/>
          <w:vertAlign w:val="superscript"/>
        </w:rPr>
        <w:t>1,2</w:t>
      </w:r>
      <w:r>
        <w:rPr>
          <w:b w:val="0"/>
          <w:i w:val="0"/>
        </w:rPr>
        <w:t xml:space="preserve"> at </w:t>
      </w:r>
      <w:r w:rsidRPr="00F34930">
        <w:rPr>
          <w:b w:val="0"/>
          <w:i w:val="0"/>
        </w:rPr>
        <w:t xml:space="preserve"> 6-7 weeks of age and eating solid food prior to beginning of the feeding trial at 9 weeks of age.  The kittens were housed in individual metabolism cages during the feeding trial </w:t>
      </w:r>
      <w:r>
        <w:rPr>
          <w:b w:val="0"/>
          <w:i w:val="0"/>
        </w:rPr>
        <w:t xml:space="preserve">and allowed daily group play.  </w:t>
      </w:r>
      <w:r w:rsidRPr="00F34930">
        <w:rPr>
          <w:b w:val="0"/>
          <w:i w:val="0"/>
        </w:rPr>
        <w:t xml:space="preserve">At the end of the study, the kittens were transferred to a permanent feline colony that is used for dietary and other non-invasive research or adopted to private homes. </w:t>
      </w:r>
    </w:p>
    <w:p w:rsidR="00330CF1" w:rsidRPr="00404090" w:rsidRDefault="00330CF1" w:rsidP="00404090"/>
    <w:p w:rsidR="00330CF1" w:rsidRDefault="00330CF1" w:rsidP="002E2071">
      <w:pPr>
        <w:rPr>
          <w:rFonts w:ascii="Arial" w:hAnsi="Arial" w:cs="Arial"/>
        </w:rPr>
      </w:pPr>
      <w:r w:rsidRPr="00F34930">
        <w:rPr>
          <w:rFonts w:ascii="Arial" w:hAnsi="Arial" w:cs="Arial"/>
          <w:b/>
        </w:rPr>
        <w:t>Diet:</w:t>
      </w:r>
      <w:r w:rsidRPr="00F34930">
        <w:rPr>
          <w:rFonts w:ascii="Arial" w:hAnsi="Arial" w:cs="Arial"/>
        </w:rPr>
        <w:t xml:space="preserve"> </w:t>
      </w:r>
      <w:r>
        <w:rPr>
          <w:rFonts w:ascii="Arial" w:hAnsi="Arial" w:cs="Arial"/>
        </w:rPr>
        <w:t xml:space="preserve">The kittens were randomized to 3 different dietary groups via a random numbers table for the AAFCO growth feeding protocol.  Each diet group consisted of 8 kittens.  </w:t>
      </w:r>
      <w:r w:rsidRPr="00F64A2D">
        <w:rPr>
          <w:rFonts w:ascii="Arial" w:hAnsi="Arial" w:cs="Arial"/>
        </w:rPr>
        <w:t>Diet</w:t>
      </w:r>
      <w:r>
        <w:rPr>
          <w:rFonts w:ascii="Arial" w:hAnsi="Arial" w:cs="Arial"/>
        </w:rPr>
        <w:t xml:space="preserve"> Group A was</w:t>
      </w:r>
      <w:r w:rsidRPr="00F64A2D">
        <w:rPr>
          <w:rFonts w:ascii="Arial" w:hAnsi="Arial" w:cs="Arial"/>
        </w:rPr>
        <w:t xml:space="preserve"> fed a commercial heat-processed food</w:t>
      </w:r>
      <w:r>
        <w:rPr>
          <w:rFonts w:ascii="Arial" w:hAnsi="Arial" w:cs="Arial"/>
          <w:vertAlign w:val="superscript"/>
        </w:rPr>
        <w:t>3</w:t>
      </w:r>
      <w:r w:rsidRPr="00F64A2D">
        <w:rPr>
          <w:rFonts w:ascii="Arial" w:hAnsi="Arial" w:cs="Arial"/>
        </w:rPr>
        <w:t xml:space="preserve"> that is nutritionally adequate for all life stages as determined by AAF</w:t>
      </w:r>
      <w:r>
        <w:rPr>
          <w:rFonts w:ascii="Arial" w:hAnsi="Arial" w:cs="Arial"/>
        </w:rPr>
        <w:t>CO guidelines.  This diet was</w:t>
      </w:r>
      <w:r w:rsidRPr="00F64A2D">
        <w:rPr>
          <w:rFonts w:ascii="Arial" w:hAnsi="Arial" w:cs="Arial"/>
        </w:rPr>
        <w:t xml:space="preserve"> a canned food a</w:t>
      </w:r>
      <w:r>
        <w:rPr>
          <w:rFonts w:ascii="Arial" w:hAnsi="Arial" w:cs="Arial"/>
        </w:rPr>
        <w:t>nd was chosen to closely match the</w:t>
      </w:r>
      <w:r w:rsidRPr="00F64A2D">
        <w:rPr>
          <w:rFonts w:ascii="Arial" w:hAnsi="Arial" w:cs="Arial"/>
        </w:rPr>
        <w:t xml:space="preserve"> raw diet</w:t>
      </w:r>
      <w:r>
        <w:rPr>
          <w:rFonts w:ascii="Arial" w:hAnsi="Arial" w:cs="Arial"/>
        </w:rPr>
        <w:t>s</w:t>
      </w:r>
      <w:r w:rsidRPr="00F64A2D">
        <w:rPr>
          <w:rFonts w:ascii="Arial" w:hAnsi="Arial" w:cs="Arial"/>
        </w:rPr>
        <w:t xml:space="preserve"> moisture </w:t>
      </w:r>
      <w:r>
        <w:rPr>
          <w:rFonts w:ascii="Arial" w:hAnsi="Arial" w:cs="Arial"/>
        </w:rPr>
        <w:t>and nutrient content.  This was</w:t>
      </w:r>
      <w:r w:rsidRPr="00F64A2D">
        <w:rPr>
          <w:rFonts w:ascii="Arial" w:hAnsi="Arial" w:cs="Arial"/>
        </w:rPr>
        <w:t xml:space="preserve"> the contr</w:t>
      </w:r>
      <w:r>
        <w:rPr>
          <w:rFonts w:ascii="Arial" w:hAnsi="Arial" w:cs="Arial"/>
        </w:rPr>
        <w:t>ol diet.  Treatment Group B was</w:t>
      </w:r>
      <w:r w:rsidRPr="00F64A2D">
        <w:rPr>
          <w:rFonts w:ascii="Arial" w:hAnsi="Arial" w:cs="Arial"/>
        </w:rPr>
        <w:t xml:space="preserve"> fed a commercial frozen raw d</w:t>
      </w:r>
      <w:r>
        <w:rPr>
          <w:rFonts w:ascii="Arial" w:hAnsi="Arial" w:cs="Arial"/>
        </w:rPr>
        <w:t>iet</w:t>
      </w:r>
      <w:r>
        <w:rPr>
          <w:rFonts w:ascii="Arial" w:hAnsi="Arial" w:cs="Arial"/>
          <w:vertAlign w:val="superscript"/>
        </w:rPr>
        <w:t>4</w:t>
      </w:r>
      <w:r>
        <w:rPr>
          <w:rFonts w:ascii="Arial" w:hAnsi="Arial" w:cs="Arial"/>
        </w:rPr>
        <w:t>.  Treatment Group C was</w:t>
      </w:r>
      <w:r w:rsidRPr="00F64A2D">
        <w:rPr>
          <w:rFonts w:ascii="Arial" w:hAnsi="Arial" w:cs="Arial"/>
        </w:rPr>
        <w:t xml:space="preserve"> fed a home-prepared r</w:t>
      </w:r>
      <w:r>
        <w:rPr>
          <w:rFonts w:ascii="Arial" w:hAnsi="Arial" w:cs="Arial"/>
        </w:rPr>
        <w:t>aw food diet</w:t>
      </w:r>
      <w:r>
        <w:rPr>
          <w:rFonts w:ascii="Arial" w:hAnsi="Arial" w:cs="Arial"/>
          <w:vertAlign w:val="superscript"/>
        </w:rPr>
        <w:t>5,6</w:t>
      </w:r>
      <w:r>
        <w:rPr>
          <w:rFonts w:ascii="Arial" w:hAnsi="Arial" w:cs="Arial"/>
        </w:rPr>
        <w:t>.  The diet was</w:t>
      </w:r>
      <w:r w:rsidRPr="00F64A2D">
        <w:rPr>
          <w:rFonts w:ascii="Arial" w:hAnsi="Arial" w:cs="Arial"/>
        </w:rPr>
        <w:t xml:space="preserve"> made with raw chicken</w:t>
      </w:r>
      <w:r>
        <w:rPr>
          <w:rFonts w:ascii="Arial" w:hAnsi="Arial" w:cs="Arial"/>
          <w:vertAlign w:val="superscript"/>
        </w:rPr>
        <w:t>6</w:t>
      </w:r>
      <w:r w:rsidRPr="00F64A2D">
        <w:rPr>
          <w:rFonts w:ascii="Arial" w:hAnsi="Arial" w:cs="Arial"/>
        </w:rPr>
        <w:t xml:space="preserve"> obtained from a local grocery store and mixed, according to manufacturer’s instructions, with a popular commercial food supplement</w:t>
      </w:r>
      <w:r>
        <w:rPr>
          <w:rFonts w:ascii="Arial" w:hAnsi="Arial" w:cs="Arial"/>
          <w:vertAlign w:val="superscript"/>
        </w:rPr>
        <w:t>4</w:t>
      </w:r>
      <w:r w:rsidRPr="00F64A2D">
        <w:rPr>
          <w:rFonts w:ascii="Arial" w:hAnsi="Arial" w:cs="Arial"/>
        </w:rPr>
        <w:t xml:space="preserve"> designed to balance a raw meat diet.  </w:t>
      </w:r>
      <w:r>
        <w:rPr>
          <w:rFonts w:ascii="Arial" w:hAnsi="Arial" w:cs="Arial"/>
        </w:rPr>
        <w:t>The homemade diet was</w:t>
      </w:r>
      <w:r w:rsidRPr="00F64A2D">
        <w:rPr>
          <w:rFonts w:ascii="Arial" w:hAnsi="Arial" w:cs="Arial"/>
        </w:rPr>
        <w:t xml:space="preserve"> prepared every 2 weeks and immediately frozen.  </w:t>
      </w:r>
      <w:r>
        <w:rPr>
          <w:rFonts w:ascii="Arial" w:hAnsi="Arial" w:cs="Arial"/>
        </w:rPr>
        <w:t>All raw foods were</w:t>
      </w:r>
      <w:r w:rsidRPr="00F64A2D">
        <w:rPr>
          <w:rFonts w:ascii="Arial" w:hAnsi="Arial" w:cs="Arial"/>
        </w:rPr>
        <w:t xml:space="preserve"> kept frozen until 1 day b</w:t>
      </w:r>
      <w:r>
        <w:rPr>
          <w:rFonts w:ascii="Arial" w:hAnsi="Arial" w:cs="Arial"/>
        </w:rPr>
        <w:t>efore feeding, when they were</w:t>
      </w:r>
      <w:r w:rsidRPr="00F64A2D">
        <w:rPr>
          <w:rFonts w:ascii="Arial" w:hAnsi="Arial" w:cs="Arial"/>
        </w:rPr>
        <w:t xml:space="preserve"> transferred to a refrigerator in preparation for feedin</w:t>
      </w:r>
      <w:r>
        <w:rPr>
          <w:rFonts w:ascii="Arial" w:hAnsi="Arial" w:cs="Arial"/>
        </w:rPr>
        <w:t xml:space="preserve">g the next day.  Each group was </w:t>
      </w:r>
      <w:r w:rsidRPr="00F64A2D">
        <w:rPr>
          <w:rFonts w:ascii="Arial" w:hAnsi="Arial" w:cs="Arial"/>
        </w:rPr>
        <w:t xml:space="preserve">fed three times daily a quantity of food in excess of daily needs to ensure adequate food intake.  </w:t>
      </w:r>
      <w:r>
        <w:rPr>
          <w:rFonts w:ascii="Arial" w:hAnsi="Arial" w:cs="Arial"/>
        </w:rPr>
        <w:t>T</w:t>
      </w:r>
      <w:r w:rsidRPr="00F64A2D">
        <w:rPr>
          <w:rFonts w:ascii="Arial" w:hAnsi="Arial" w:cs="Arial"/>
        </w:rPr>
        <w:t>he len</w:t>
      </w:r>
      <w:r>
        <w:rPr>
          <w:rFonts w:ascii="Arial" w:hAnsi="Arial" w:cs="Arial"/>
        </w:rPr>
        <w:t xml:space="preserve">gth of the feeding trial was 10 weeks.  Water was available at all times. </w:t>
      </w:r>
    </w:p>
    <w:p w:rsidR="00330CF1" w:rsidRDefault="00330CF1" w:rsidP="002E2071">
      <w:pPr>
        <w:rPr>
          <w:rFonts w:ascii="Arial" w:hAnsi="Arial" w:cs="Arial"/>
        </w:rPr>
      </w:pPr>
    </w:p>
    <w:p w:rsidR="00330CF1" w:rsidRDefault="00330CF1" w:rsidP="002E2071">
      <w:pPr>
        <w:rPr>
          <w:rFonts w:ascii="Arial" w:hAnsi="Arial" w:cs="Arial"/>
        </w:rPr>
      </w:pPr>
      <w:r>
        <w:rPr>
          <w:rFonts w:ascii="Arial" w:hAnsi="Arial" w:cs="Arial"/>
          <w:b/>
        </w:rPr>
        <w:t>Urine c</w:t>
      </w:r>
      <w:r w:rsidRPr="002E2071">
        <w:rPr>
          <w:rFonts w:ascii="Arial" w:hAnsi="Arial" w:cs="Arial"/>
          <w:b/>
        </w:rPr>
        <w:t>ollection</w:t>
      </w:r>
      <w:r w:rsidRPr="002E2071">
        <w:rPr>
          <w:rFonts w:ascii="Arial" w:hAnsi="Arial" w:cs="Arial"/>
        </w:rPr>
        <w:t>:  Urine was collected non-invasively (free-catch) at weeks 0, 5 and 10 of the study.  Urine was subsequent</w:t>
      </w:r>
      <w:r>
        <w:rPr>
          <w:rFonts w:ascii="Arial" w:hAnsi="Arial" w:cs="Arial"/>
        </w:rPr>
        <w:t>ly centrifuged and the supernatant</w:t>
      </w:r>
      <w:r w:rsidRPr="002E2071">
        <w:rPr>
          <w:rFonts w:ascii="Arial" w:hAnsi="Arial" w:cs="Arial"/>
        </w:rPr>
        <w:t xml:space="preserve"> was </w:t>
      </w:r>
      <w:r>
        <w:rPr>
          <w:rFonts w:ascii="Arial" w:hAnsi="Arial" w:cs="Arial"/>
        </w:rPr>
        <w:t xml:space="preserve">frozen at -80 °C. </w:t>
      </w:r>
      <w:r w:rsidRPr="002E2071">
        <w:rPr>
          <w:rFonts w:ascii="Arial" w:hAnsi="Arial" w:cs="Arial"/>
        </w:rPr>
        <w:t xml:space="preserve"> </w:t>
      </w:r>
      <w:r>
        <w:rPr>
          <w:rFonts w:ascii="Arial" w:hAnsi="Arial" w:cs="Arial"/>
        </w:rPr>
        <w:t>T</w:t>
      </w:r>
      <w:r w:rsidRPr="002E2071">
        <w:rPr>
          <w:rFonts w:ascii="Arial" w:hAnsi="Arial" w:cs="Arial"/>
        </w:rPr>
        <w:t xml:space="preserve">he samples were batched and run at the end of the study. </w:t>
      </w:r>
    </w:p>
    <w:p w:rsidR="00330CF1" w:rsidRDefault="00330CF1" w:rsidP="002E2071">
      <w:pPr>
        <w:rPr>
          <w:rFonts w:ascii="Arial" w:hAnsi="Arial" w:cs="Arial"/>
        </w:rPr>
      </w:pPr>
    </w:p>
    <w:p w:rsidR="00330CF1" w:rsidRDefault="00330CF1" w:rsidP="002E2071">
      <w:pPr>
        <w:rPr>
          <w:rFonts w:ascii="Arial" w:hAnsi="Arial" w:cs="Arial"/>
        </w:rPr>
      </w:pPr>
    </w:p>
    <w:p w:rsidR="00330CF1" w:rsidRDefault="00330CF1" w:rsidP="002E2071">
      <w:pPr>
        <w:rPr>
          <w:rFonts w:ascii="Arial" w:hAnsi="Arial" w:cs="Arial"/>
        </w:rPr>
      </w:pPr>
    </w:p>
    <w:p w:rsidR="00330CF1" w:rsidRDefault="00330CF1" w:rsidP="002E2071">
      <w:pPr>
        <w:rPr>
          <w:rFonts w:ascii="Arial" w:hAnsi="Arial" w:cs="Arial"/>
        </w:rPr>
      </w:pPr>
    </w:p>
    <w:p w:rsidR="00330CF1" w:rsidRDefault="00330CF1" w:rsidP="002E2071">
      <w:pPr>
        <w:rPr>
          <w:rFonts w:ascii="Arial" w:hAnsi="Arial" w:cs="Arial"/>
        </w:rPr>
      </w:pPr>
    </w:p>
    <w:p w:rsidR="00330CF1" w:rsidRDefault="00330CF1" w:rsidP="002E2071">
      <w:pPr>
        <w:rPr>
          <w:rFonts w:ascii="Arial" w:hAnsi="Arial" w:cs="Arial"/>
        </w:rPr>
      </w:pPr>
    </w:p>
    <w:p w:rsidR="00330CF1" w:rsidRDefault="00330CF1" w:rsidP="002E2071">
      <w:pPr>
        <w:rPr>
          <w:rFonts w:ascii="Arial" w:hAnsi="Arial" w:cs="Arial"/>
        </w:rPr>
      </w:pPr>
    </w:p>
    <w:p w:rsidR="00330CF1" w:rsidRDefault="00330CF1" w:rsidP="002E2071">
      <w:pPr>
        <w:rPr>
          <w:rFonts w:ascii="Arial" w:hAnsi="Arial" w:cs="Arial"/>
        </w:rPr>
      </w:pPr>
    </w:p>
    <w:p w:rsidR="00330CF1" w:rsidRDefault="00330CF1" w:rsidP="002E2071">
      <w:pPr>
        <w:rPr>
          <w:rFonts w:ascii="Arial" w:hAnsi="Arial" w:cs="Arial"/>
        </w:rPr>
      </w:pPr>
    </w:p>
    <w:p w:rsidR="00330CF1" w:rsidRDefault="00330CF1" w:rsidP="002E2071">
      <w:pPr>
        <w:rPr>
          <w:rFonts w:ascii="Arial" w:hAnsi="Arial" w:cs="Arial"/>
        </w:rPr>
      </w:pPr>
      <w:r>
        <w:rPr>
          <w:rFonts w:ascii="Arial" w:hAnsi="Arial" w:cs="Arial"/>
        </w:rPr>
        <w:t>___________________________________________________________________</w:t>
      </w:r>
    </w:p>
    <w:p w:rsidR="00330CF1" w:rsidRPr="00C343ED" w:rsidRDefault="00330CF1" w:rsidP="0023203C">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C343ED">
        <w:rPr>
          <w:rFonts w:ascii="Arial" w:hAnsi="Arial" w:cs="Arial"/>
          <w:sz w:val="20"/>
          <w:szCs w:val="20"/>
        </w:rPr>
        <w:t>Science Diet®- Kitten Healthy Development Liver and Chicken Entrée minced. Hill’s Pet Nutrition Inc.®, Topeka, KS</w:t>
      </w:r>
    </w:p>
    <w:p w:rsidR="00330CF1" w:rsidRPr="00C343ED" w:rsidRDefault="00330CF1" w:rsidP="0023203C">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  </w:t>
      </w:r>
      <w:r w:rsidRPr="00C343ED">
        <w:rPr>
          <w:rFonts w:ascii="Arial" w:hAnsi="Arial" w:cs="Arial"/>
          <w:sz w:val="20"/>
          <w:szCs w:val="20"/>
        </w:rPr>
        <w:t>Science Diet®- Kitten Healthy Development Original dry cat food. Hill’s Pet Nutrition, Inc.®, Topeka, KS</w:t>
      </w:r>
    </w:p>
    <w:p w:rsidR="00330CF1" w:rsidRPr="000238DF" w:rsidRDefault="00330CF1" w:rsidP="0023203C">
      <w:pPr>
        <w:rPr>
          <w:rFonts w:ascii="Arial" w:hAnsi="Arial" w:cs="Arial"/>
          <w:sz w:val="20"/>
          <w:szCs w:val="20"/>
        </w:rPr>
      </w:pPr>
      <w:r>
        <w:rPr>
          <w:rFonts w:ascii="Arial" w:hAnsi="Arial" w:cs="Arial"/>
          <w:sz w:val="20"/>
          <w:szCs w:val="20"/>
          <w:vertAlign w:val="superscript"/>
        </w:rPr>
        <w:t>3</w:t>
      </w:r>
      <w:r>
        <w:rPr>
          <w:rFonts w:ascii="Arial" w:hAnsi="Arial" w:cs="Arial"/>
          <w:sz w:val="20"/>
          <w:szCs w:val="20"/>
        </w:rPr>
        <w:t xml:space="preserve">  </w:t>
      </w:r>
      <w:r w:rsidRPr="000238DF">
        <w:rPr>
          <w:rFonts w:ascii="Arial" w:hAnsi="Arial" w:cs="Arial"/>
          <w:sz w:val="20"/>
          <w:szCs w:val="20"/>
        </w:rPr>
        <w:t>Evo – Turkey and Chicken Canned Cat and Kitten Cat Food. Natura Pet Foods, Santa Clara, CA</w:t>
      </w:r>
    </w:p>
    <w:p w:rsidR="00330CF1" w:rsidRPr="000238DF" w:rsidRDefault="00330CF1" w:rsidP="0023203C">
      <w:pPr>
        <w:rPr>
          <w:rFonts w:ascii="Arial" w:hAnsi="Arial" w:cs="Arial"/>
          <w:sz w:val="20"/>
          <w:szCs w:val="20"/>
        </w:rPr>
      </w:pPr>
      <w:r>
        <w:rPr>
          <w:rFonts w:ascii="Arial" w:hAnsi="Arial" w:cs="Arial"/>
          <w:sz w:val="20"/>
          <w:szCs w:val="20"/>
          <w:vertAlign w:val="superscript"/>
        </w:rPr>
        <w:t>4</w:t>
      </w:r>
      <w:r>
        <w:rPr>
          <w:rFonts w:ascii="Arial" w:hAnsi="Arial" w:cs="Arial"/>
          <w:sz w:val="20"/>
          <w:szCs w:val="20"/>
        </w:rPr>
        <w:t xml:space="preserve">  </w:t>
      </w:r>
      <w:r w:rsidRPr="000238DF">
        <w:rPr>
          <w:rFonts w:ascii="Arial" w:hAnsi="Arial" w:cs="Arial"/>
          <w:sz w:val="20"/>
          <w:szCs w:val="20"/>
        </w:rPr>
        <w:t xml:space="preserve">Wild Kitty Raw All Natural Cat Food – Chicken and Clam frozen raw diet.  Wild Kitty Cat Food, </w:t>
      </w:r>
      <w:r>
        <w:rPr>
          <w:rFonts w:ascii="Arial" w:hAnsi="Arial" w:cs="Arial"/>
          <w:sz w:val="20"/>
          <w:szCs w:val="20"/>
        </w:rPr>
        <w:t xml:space="preserve">     </w:t>
      </w:r>
      <w:r w:rsidRPr="000238DF">
        <w:rPr>
          <w:rFonts w:ascii="Arial" w:hAnsi="Arial" w:cs="Arial"/>
          <w:sz w:val="20"/>
          <w:szCs w:val="20"/>
        </w:rPr>
        <w:t xml:space="preserve">Kennebunkport, ME. </w:t>
      </w:r>
    </w:p>
    <w:p w:rsidR="00330CF1" w:rsidRPr="000238DF" w:rsidRDefault="00330CF1" w:rsidP="0023203C">
      <w:pPr>
        <w:rPr>
          <w:rFonts w:ascii="Arial" w:hAnsi="Arial" w:cs="Arial"/>
          <w:sz w:val="20"/>
          <w:szCs w:val="20"/>
        </w:rPr>
      </w:pPr>
      <w:r>
        <w:rPr>
          <w:rFonts w:ascii="Arial" w:hAnsi="Arial" w:cs="Arial"/>
          <w:sz w:val="20"/>
          <w:szCs w:val="20"/>
          <w:vertAlign w:val="superscript"/>
        </w:rPr>
        <w:t>5</w:t>
      </w:r>
      <w:r>
        <w:rPr>
          <w:rFonts w:ascii="Arial" w:hAnsi="Arial" w:cs="Arial"/>
          <w:sz w:val="20"/>
          <w:szCs w:val="20"/>
        </w:rPr>
        <w:t xml:space="preserve">  </w:t>
      </w:r>
      <w:r w:rsidRPr="000238DF">
        <w:rPr>
          <w:rFonts w:ascii="Arial" w:hAnsi="Arial" w:cs="Arial"/>
          <w:sz w:val="20"/>
          <w:szCs w:val="20"/>
        </w:rPr>
        <w:t>TCFeline Plus Cat Food Premix with beef liver.  TCFeline®, Salt Spring Island, BC, Canada</w:t>
      </w:r>
    </w:p>
    <w:p w:rsidR="00330CF1" w:rsidRPr="000238DF" w:rsidRDefault="00330CF1" w:rsidP="0023203C">
      <w:pPr>
        <w:rPr>
          <w:rFonts w:ascii="Arial" w:hAnsi="Arial" w:cs="Arial"/>
          <w:sz w:val="20"/>
          <w:szCs w:val="20"/>
        </w:rPr>
      </w:pPr>
      <w:r>
        <w:rPr>
          <w:rFonts w:ascii="Arial" w:hAnsi="Arial" w:cs="Arial"/>
          <w:sz w:val="20"/>
          <w:szCs w:val="20"/>
          <w:vertAlign w:val="superscript"/>
        </w:rPr>
        <w:t>6</w:t>
      </w:r>
      <w:r>
        <w:rPr>
          <w:rFonts w:ascii="Arial" w:hAnsi="Arial" w:cs="Arial"/>
          <w:sz w:val="20"/>
          <w:szCs w:val="20"/>
        </w:rPr>
        <w:t xml:space="preserve">  </w:t>
      </w:r>
      <w:r w:rsidRPr="000238DF">
        <w:rPr>
          <w:rFonts w:ascii="Arial" w:hAnsi="Arial" w:cs="Arial"/>
          <w:sz w:val="20"/>
          <w:szCs w:val="20"/>
        </w:rPr>
        <w:t>Tyson boneless, skinless chicken breast. Tyson Foods Inc., Springdale, AR</w:t>
      </w:r>
    </w:p>
    <w:p w:rsidR="00330CF1" w:rsidRDefault="00330CF1" w:rsidP="002E2071">
      <w:pPr>
        <w:rPr>
          <w:rFonts w:ascii="Arial" w:hAnsi="Arial" w:cs="Arial"/>
        </w:rPr>
      </w:pPr>
    </w:p>
    <w:p w:rsidR="00330CF1" w:rsidRDefault="00330CF1" w:rsidP="002E2071">
      <w:pPr>
        <w:rPr>
          <w:rFonts w:ascii="Arial" w:hAnsi="Arial" w:cs="Arial"/>
        </w:rPr>
      </w:pPr>
    </w:p>
    <w:p w:rsidR="00330CF1" w:rsidRPr="00404090" w:rsidRDefault="00330CF1" w:rsidP="002E2071">
      <w:pPr>
        <w:rPr>
          <w:rFonts w:ascii="Arial" w:hAnsi="Arial" w:cs="Arial"/>
          <w:color w:val="000000"/>
        </w:rPr>
      </w:pPr>
      <w:r>
        <w:rPr>
          <w:rFonts w:ascii="Arial" w:hAnsi="Arial" w:cs="Arial"/>
          <w:b/>
        </w:rPr>
        <w:t>Urinary c</w:t>
      </w:r>
      <w:r w:rsidRPr="009005CD">
        <w:rPr>
          <w:rFonts w:ascii="Arial" w:hAnsi="Arial" w:cs="Arial"/>
          <w:b/>
        </w:rPr>
        <w:t xml:space="preserve">reatinine </w:t>
      </w:r>
      <w:r>
        <w:rPr>
          <w:rFonts w:ascii="Arial" w:hAnsi="Arial" w:cs="Arial"/>
          <w:b/>
        </w:rPr>
        <w:t>m</w:t>
      </w:r>
      <w:r w:rsidRPr="009005CD">
        <w:rPr>
          <w:rFonts w:ascii="Arial" w:hAnsi="Arial" w:cs="Arial"/>
          <w:b/>
        </w:rPr>
        <w:t>easurement:</w:t>
      </w:r>
      <w:r>
        <w:rPr>
          <w:rFonts w:ascii="Arial" w:hAnsi="Arial" w:cs="Arial"/>
          <w:b/>
        </w:rPr>
        <w:t xml:space="preserve"> </w:t>
      </w:r>
      <w:r>
        <w:rPr>
          <w:rFonts w:ascii="Arial" w:hAnsi="Arial" w:cs="Arial"/>
        </w:rPr>
        <w:t>A commercially available immunoassay kit</w:t>
      </w:r>
      <w:r>
        <w:rPr>
          <w:rFonts w:ascii="Arial" w:hAnsi="Arial" w:cs="Arial"/>
          <w:vertAlign w:val="superscript"/>
        </w:rPr>
        <w:t xml:space="preserve">1 </w:t>
      </w:r>
      <w:r>
        <w:rPr>
          <w:rFonts w:ascii="Arial" w:hAnsi="Arial" w:cs="Arial"/>
        </w:rPr>
        <w:t xml:space="preserve">was used to quantify urine creatinine.  Using the Jaffe reaction, urine creatinine reacted with picric acid under alkaline conditions to produce an orange color which was quantified by absorption spectroscopy.  Briefly, urine samples were diluted to calculate creatinine concentrations in the optimal portion of the standard curve.  25 microliters were added along with 3 provided standards (1, 3 and 10 mg/dL) to a 96-well microplate.  Samples were run in triplicate.  One hundred and eighty microliters of alkaline picrate reagent was added and the plate was incubated at room temperature for 10 minutes.  Absorbances were read at 490 nm using a Bio-Tek microplate reader.  A standard curve was </w:t>
      </w:r>
      <w:r>
        <w:rPr>
          <w:rFonts w:ascii="Arial" w:hAnsi="Arial" w:cs="Arial"/>
          <w:color w:val="000000"/>
        </w:rPr>
        <w:t>established from absorbance readings using KCJunior software and sample concentrations were calculated in mg/dL.  Average intrassay coefficient of variation was 3.54% while average interassay coefficient of variation was 21.37%.</w:t>
      </w:r>
    </w:p>
    <w:p w:rsidR="00330CF1" w:rsidRDefault="00330CF1" w:rsidP="002E2071">
      <w:pPr>
        <w:rPr>
          <w:rFonts w:ascii="Arial" w:hAnsi="Arial" w:cs="Arial"/>
        </w:rPr>
      </w:pPr>
    </w:p>
    <w:p w:rsidR="00330CF1" w:rsidRDefault="00330CF1" w:rsidP="002E2071">
      <w:pPr>
        <w:rPr>
          <w:rFonts w:ascii="Arial" w:hAnsi="Arial" w:cs="Arial"/>
          <w:color w:val="333333"/>
        </w:rPr>
      </w:pPr>
      <w:r>
        <w:rPr>
          <w:rFonts w:ascii="Arial" w:hAnsi="Arial" w:cs="Arial"/>
          <w:b/>
        </w:rPr>
        <w:t>Urinary isoprostane m</w:t>
      </w:r>
      <w:r w:rsidRPr="002E2071">
        <w:rPr>
          <w:rFonts w:ascii="Arial" w:hAnsi="Arial" w:cs="Arial"/>
          <w:b/>
        </w:rPr>
        <w:t>easurement:</w:t>
      </w:r>
      <w:r>
        <w:rPr>
          <w:rFonts w:ascii="Arial" w:hAnsi="Arial" w:cs="Arial"/>
          <w:b/>
        </w:rPr>
        <w:t xml:space="preserve">  </w:t>
      </w:r>
      <w:r>
        <w:rPr>
          <w:rFonts w:ascii="Arial" w:hAnsi="Arial" w:cs="Arial"/>
        </w:rPr>
        <w:t>A commercially available competitive enzyme-linked immunoassay kit</w:t>
      </w:r>
      <w:r>
        <w:rPr>
          <w:rFonts w:ascii="Arial" w:hAnsi="Arial" w:cs="Arial"/>
          <w:vertAlign w:val="superscript"/>
        </w:rPr>
        <w:t xml:space="preserve">2 </w:t>
      </w:r>
      <w:r>
        <w:rPr>
          <w:rFonts w:ascii="Arial" w:hAnsi="Arial" w:cs="Arial"/>
        </w:rPr>
        <w:t>was used to quantify urinary F2-isoprostanes.  The F2 isoprostanes in the samples and standards competed with F2-isoprostane conjugated to horseradish peroxidase coated on a microplate.  The kit recommended pretreatment with glucuronidase but this was not performed as cats are known to have low levels of glucorosyltransferase activity.</w:t>
      </w:r>
      <w:r>
        <w:rPr>
          <w:rFonts w:ascii="Arial" w:hAnsi="Arial" w:cs="Arial"/>
          <w:noProof/>
          <w:color w:val="333333"/>
        </w:rPr>
        <w:t>[366, 367]</w:t>
      </w:r>
    </w:p>
    <w:p w:rsidR="00330CF1" w:rsidRDefault="00330CF1" w:rsidP="00D828E5">
      <w:pPr>
        <w:rPr>
          <w:rFonts w:ascii="Arial" w:hAnsi="Arial" w:cs="Arial"/>
          <w:color w:val="000000"/>
        </w:rPr>
      </w:pPr>
      <w:r>
        <w:rPr>
          <w:rFonts w:ascii="Arial" w:hAnsi="Arial" w:cs="Arial"/>
        </w:rPr>
        <w:t xml:space="preserve">     </w:t>
      </w:r>
      <w:r w:rsidRPr="007109AE">
        <w:rPr>
          <w:rFonts w:ascii="Arial" w:hAnsi="Arial" w:cs="Arial"/>
        </w:rPr>
        <w:t xml:space="preserve">Briefly, </w:t>
      </w:r>
      <w:r>
        <w:rPr>
          <w:rFonts w:ascii="Arial" w:hAnsi="Arial" w:cs="Arial"/>
        </w:rPr>
        <w:t>the urine samples were</w:t>
      </w:r>
      <w:r w:rsidRPr="007109AE">
        <w:rPr>
          <w:rFonts w:ascii="Arial" w:hAnsi="Arial" w:cs="Arial"/>
        </w:rPr>
        <w:t xml:space="preserve"> diluted at a 1:8 ratio.  One hundred microliters of samples and standards were added to the coated plate along with 100 microliters of F2-isoprostane horseradish peroxide conjugate and allowed to incubate at room temperature </w:t>
      </w:r>
      <w:r>
        <w:rPr>
          <w:rFonts w:ascii="Arial" w:hAnsi="Arial" w:cs="Arial"/>
        </w:rPr>
        <w:t xml:space="preserve">for 2 hours.  </w:t>
      </w:r>
      <w:r w:rsidRPr="007109AE">
        <w:rPr>
          <w:rFonts w:ascii="Arial" w:hAnsi="Arial" w:cs="Arial"/>
        </w:rPr>
        <w:t>Plates were then washed in Tris buffered saline (TBS) 0.05% Tween 20.  Two hundr</w:t>
      </w:r>
      <w:r>
        <w:rPr>
          <w:rFonts w:ascii="Arial" w:hAnsi="Arial" w:cs="Arial"/>
        </w:rPr>
        <w:t>ed microliters of TMB was</w:t>
      </w:r>
      <w:r w:rsidRPr="007109AE">
        <w:rPr>
          <w:rFonts w:ascii="Arial" w:hAnsi="Arial" w:cs="Arial"/>
        </w:rPr>
        <w:t xml:space="preserve"> then added and the plates were left a room temperature for 20 minutes for full color development to occur.  Fifty microlite</w:t>
      </w:r>
      <w:r>
        <w:rPr>
          <w:rFonts w:ascii="Arial" w:hAnsi="Arial" w:cs="Arial"/>
        </w:rPr>
        <w:t>r</w:t>
      </w:r>
      <w:r w:rsidRPr="007109AE">
        <w:rPr>
          <w:rFonts w:ascii="Arial" w:hAnsi="Arial" w:cs="Arial"/>
        </w:rPr>
        <w:t>s of 3 M H</w:t>
      </w:r>
      <w:r w:rsidRPr="007109AE">
        <w:rPr>
          <w:rFonts w:ascii="Arial" w:hAnsi="Arial" w:cs="Arial"/>
          <w:vertAlign w:val="subscript"/>
        </w:rPr>
        <w:t>2</w:t>
      </w:r>
      <w:r w:rsidRPr="007109AE">
        <w:rPr>
          <w:rFonts w:ascii="Arial" w:hAnsi="Arial" w:cs="Arial"/>
        </w:rPr>
        <w:t>SO</w:t>
      </w:r>
      <w:r w:rsidRPr="007109AE">
        <w:rPr>
          <w:rFonts w:ascii="Arial" w:hAnsi="Arial" w:cs="Arial"/>
          <w:vertAlign w:val="subscript"/>
        </w:rPr>
        <w:t xml:space="preserve">4 </w:t>
      </w:r>
      <w:r>
        <w:rPr>
          <w:rFonts w:ascii="Arial" w:hAnsi="Arial" w:cs="Arial"/>
        </w:rPr>
        <w:t xml:space="preserve">was then added </w:t>
      </w:r>
      <w:r w:rsidRPr="007109AE">
        <w:rPr>
          <w:rFonts w:ascii="Arial" w:hAnsi="Arial" w:cs="Arial"/>
        </w:rPr>
        <w:t>to stop the reaction and absorbances were read at 450 nm using a Bio</w:t>
      </w:r>
      <w:r>
        <w:rPr>
          <w:rFonts w:ascii="Arial" w:hAnsi="Arial" w:cs="Arial"/>
          <w:color w:val="000000"/>
        </w:rPr>
        <w:t>-Tek microplate reader.  A standard curve was established from absorbance readings using KCJunior software and sample concentrations were calculated in ng/dL. Average intrassay coefficient of variation was 7.16% while average interassay coefficient of variation was 32.44%.</w:t>
      </w:r>
    </w:p>
    <w:p w:rsidR="00330CF1" w:rsidRPr="0062258B" w:rsidRDefault="00330CF1" w:rsidP="002E2071">
      <w:pPr>
        <w:rPr>
          <w:rFonts w:ascii="Arial" w:hAnsi="Arial" w:cs="Arial"/>
          <w:color w:val="000000"/>
        </w:rPr>
      </w:pPr>
      <w:r>
        <w:rPr>
          <w:rFonts w:ascii="Arial" w:hAnsi="Arial" w:cs="Arial"/>
          <w:color w:val="000000"/>
        </w:rPr>
        <w:t xml:space="preserve">     Urinary creatinine concentration was used to standardize for urine dilution and the urinary isoprostane level was expressed as an F2-isoprostane/urinary creatinine ratio.  Six random samples that were tested for isoprostanes and creatinine using the immunoassay kits were also sent to the Eicosanoid Core Laboratory at Vanderbilt University for isoprostane quantification using </w:t>
      </w:r>
      <w:r w:rsidRPr="0062258B">
        <w:rPr>
          <w:rFonts w:ascii="Arial" w:hAnsi="Arial" w:cs="Arial"/>
        </w:rPr>
        <w:t xml:space="preserve">gas </w:t>
      </w:r>
      <w:r>
        <w:rPr>
          <w:rFonts w:ascii="Arial" w:hAnsi="Arial" w:cs="Arial"/>
        </w:rPr>
        <w:t>chromatography-mass spectro</w:t>
      </w:r>
      <w:r w:rsidRPr="00E31BB1">
        <w:rPr>
          <w:rFonts w:ascii="Arial" w:hAnsi="Arial" w:cs="Arial"/>
        </w:rPr>
        <w:t>scopy</w:t>
      </w:r>
      <w:r w:rsidRPr="004231C9">
        <w:rPr>
          <w:rFonts w:ascii="Arial" w:hAnsi="Arial" w:cs="Arial"/>
          <w:color w:val="FF0000"/>
        </w:rPr>
        <w:t xml:space="preserve"> </w:t>
      </w:r>
      <w:r>
        <w:rPr>
          <w:rFonts w:ascii="Arial" w:hAnsi="Arial" w:cs="Arial"/>
        </w:rPr>
        <w:t>(GS-MS) and creatinine quantification using colorimetric Jaffe reaction.  Vanderbilt University’s method for isoprostane quantification using GC-MS has recently been published in detail.</w:t>
      </w:r>
      <w:r>
        <w:rPr>
          <w:rFonts w:ascii="Arial" w:hAnsi="Arial" w:cs="Arial"/>
          <w:noProof/>
        </w:rPr>
        <w:t>[148]</w:t>
      </w:r>
      <w:r>
        <w:rPr>
          <w:rFonts w:ascii="Arial" w:hAnsi="Arial" w:cs="Arial"/>
        </w:rPr>
        <w:t xml:space="preserve">  Intra- and inter-assay coefficients of variation for GS-MS isoprostane measurements were 10%.</w:t>
      </w:r>
    </w:p>
    <w:p w:rsidR="00330CF1" w:rsidRDefault="00330CF1" w:rsidP="002E2071">
      <w:pPr>
        <w:rPr>
          <w:rFonts w:ascii="Arial" w:hAnsi="Arial" w:cs="Arial"/>
          <w:color w:val="000000"/>
        </w:rPr>
      </w:pPr>
    </w:p>
    <w:p w:rsidR="00330CF1" w:rsidRDefault="00330CF1" w:rsidP="002E2071">
      <w:pPr>
        <w:rPr>
          <w:rFonts w:ascii="Arial" w:hAnsi="Arial" w:cs="Arial"/>
          <w:color w:val="000000"/>
        </w:rPr>
      </w:pPr>
      <w:r>
        <w:rPr>
          <w:rFonts w:ascii="Arial" w:hAnsi="Arial" w:cs="Arial"/>
          <w:color w:val="000000"/>
        </w:rPr>
        <w:t>___________________________________________________________</w:t>
      </w:r>
    </w:p>
    <w:p w:rsidR="00330CF1" w:rsidRPr="007F1CBD" w:rsidRDefault="00330CF1" w:rsidP="007F1CBD">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7F1CBD">
        <w:rPr>
          <w:rFonts w:ascii="Arial" w:hAnsi="Arial" w:cs="Arial"/>
          <w:sz w:val="20"/>
          <w:szCs w:val="20"/>
        </w:rPr>
        <w:t>Colorimetric Creatinine Assay Kit, Oxford Biomedical Research, Inc., Oxford, MI</w:t>
      </w:r>
    </w:p>
    <w:p w:rsidR="00330CF1" w:rsidRPr="007F1CBD" w:rsidRDefault="00330CF1" w:rsidP="007F1CBD">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  </w:t>
      </w:r>
      <w:r w:rsidRPr="007F1CBD">
        <w:rPr>
          <w:rFonts w:ascii="Arial" w:hAnsi="Arial" w:cs="Arial"/>
          <w:sz w:val="20"/>
          <w:szCs w:val="20"/>
        </w:rPr>
        <w:t>Urinary Isoprostane EIA Kit, Oxford Biomedical Research, Inc., Oxford, MI</w:t>
      </w:r>
    </w:p>
    <w:p w:rsidR="00330CF1" w:rsidRDefault="00330CF1" w:rsidP="002E2071">
      <w:pPr>
        <w:rPr>
          <w:rFonts w:ascii="Arial" w:hAnsi="Arial" w:cs="Arial"/>
          <w:color w:val="000000"/>
        </w:rPr>
      </w:pPr>
    </w:p>
    <w:p w:rsidR="00330CF1" w:rsidRPr="0062258B" w:rsidRDefault="00330CF1" w:rsidP="002E2071">
      <w:pPr>
        <w:rPr>
          <w:rFonts w:ascii="Arial" w:hAnsi="Arial" w:cs="Arial"/>
          <w:color w:val="000000"/>
        </w:rPr>
      </w:pPr>
    </w:p>
    <w:p w:rsidR="00330CF1" w:rsidRDefault="00330CF1" w:rsidP="00175D38">
      <w:pPr>
        <w:rPr>
          <w:rFonts w:ascii="Arial" w:hAnsi="Arial" w:cs="Arial"/>
        </w:rPr>
      </w:pPr>
      <w:r w:rsidRPr="0062258B">
        <w:rPr>
          <w:rFonts w:ascii="Arial" w:hAnsi="Arial" w:cs="Arial"/>
          <w:b/>
        </w:rPr>
        <w:t>Statistic</w:t>
      </w:r>
      <w:r>
        <w:rPr>
          <w:rFonts w:ascii="Arial" w:hAnsi="Arial" w:cs="Arial"/>
          <w:b/>
        </w:rPr>
        <w:t>al a</w:t>
      </w:r>
      <w:r w:rsidRPr="0062258B">
        <w:rPr>
          <w:rFonts w:ascii="Arial" w:hAnsi="Arial" w:cs="Arial"/>
          <w:b/>
        </w:rPr>
        <w:t>nalysis</w:t>
      </w:r>
      <w:r>
        <w:rPr>
          <w:rFonts w:ascii="Arial" w:hAnsi="Arial" w:cs="Arial"/>
          <w:b/>
        </w:rPr>
        <w:t>:</w:t>
      </w:r>
      <w:r w:rsidRPr="00175D38">
        <w:rPr>
          <w:rFonts w:ascii="Arial" w:hAnsi="Arial" w:cs="Arial"/>
          <w:b/>
        </w:rPr>
        <w:t xml:space="preserve"> </w:t>
      </w:r>
      <w:r w:rsidRPr="000160FA">
        <w:rPr>
          <w:rFonts w:ascii="Arial" w:hAnsi="Arial" w:cs="Arial"/>
        </w:rPr>
        <w:t xml:space="preserve"> </w:t>
      </w:r>
      <w:r>
        <w:rPr>
          <w:rFonts w:ascii="Arial" w:hAnsi="Arial" w:cs="Arial"/>
        </w:rPr>
        <w:t xml:space="preserve">A completely randomized design was used to compare mean differences in kitten urinary creatinine, urinary isoprostanes and urinary isoprostane/creatinine ratio by diet treatment and week.  Twenty-four kittens were randomly assigned to the three diet treatments with eight kittens per treatment.  Mixed model ANOVA (SAS, Version </w:t>
      </w:r>
      <w:r w:rsidRPr="00C57CAC">
        <w:rPr>
          <w:rFonts w:ascii="Arial" w:hAnsi="Arial" w:cs="Arial"/>
        </w:rPr>
        <w:t xml:space="preserve">9.2) </w:t>
      </w:r>
      <w:r>
        <w:rPr>
          <w:rFonts w:ascii="Arial" w:hAnsi="Arial" w:cs="Arial"/>
        </w:rPr>
        <w:t>with repeated measures was used to compare least square means.  Log10 transformation was required in all variables to meet equal variance and normality.  The limit of statistical significance of the tests performed was defined as p ≤ 0.05 while trend was defined as p ≤ 0.10.</w:t>
      </w:r>
    </w:p>
    <w:p w:rsidR="00330CF1" w:rsidRPr="008C7D43" w:rsidRDefault="00330CF1" w:rsidP="008C7D43">
      <w:pPr>
        <w:rPr>
          <w:rFonts w:ascii="Arial" w:hAnsi="Arial" w:cs="Arial"/>
        </w:rPr>
      </w:pPr>
      <w:r>
        <w:rPr>
          <w:rFonts w:ascii="Arial" w:hAnsi="Arial" w:cs="Arial"/>
        </w:rPr>
        <w:t xml:space="preserve">     Spearman correlation (SAS, Version 9.2) was used to compare six values each of isoprostanes, creatinine, and isoprostane/creatinine ratios using the immunoassay method and the gas chromatography-mass spectrometry method.  Correlation between creatinine values using the immunoassay method and colorimetric method was also done.  Strong correlation coefficients were defined as R &gt;0.7, moderate 0.3-0.7,and weak &lt;0.3.  </w:t>
      </w:r>
    </w:p>
    <w:p w:rsidR="00330CF1" w:rsidRDefault="00330CF1" w:rsidP="00392539">
      <w:pPr>
        <w:pStyle w:val="Heading1"/>
      </w:pPr>
    </w:p>
    <w:p w:rsidR="00330CF1" w:rsidRDefault="00330CF1" w:rsidP="00BD034C">
      <w:pPr>
        <w:pStyle w:val="Heading1"/>
        <w:jc w:val="center"/>
      </w:pPr>
      <w:bookmarkStart w:id="45" w:name="_Toc305485876"/>
      <w:r>
        <w:t>Results</w:t>
      </w:r>
      <w:bookmarkEnd w:id="45"/>
    </w:p>
    <w:p w:rsidR="00330CF1" w:rsidRDefault="00330CF1" w:rsidP="00CE2EA7">
      <w:r>
        <w:t xml:space="preserve">     </w:t>
      </w:r>
    </w:p>
    <w:p w:rsidR="00330CF1" w:rsidRDefault="00330CF1" w:rsidP="00CE2EA7">
      <w:pPr>
        <w:rPr>
          <w:rFonts w:ascii="Arial" w:hAnsi="Arial" w:cs="Arial"/>
        </w:rPr>
      </w:pPr>
      <w:r>
        <w:t xml:space="preserve">     </w:t>
      </w:r>
      <w:r>
        <w:rPr>
          <w:rFonts w:ascii="Arial" w:hAnsi="Arial" w:cs="Arial"/>
        </w:rPr>
        <w:t xml:space="preserve">Table 4.1 and 4.2 list the mean creatinine and isoprostane values for each diet group at each time point.  The moisture content of the homemade raw diet was 78.5% compared to 72% and 71% respectively for the control and commercial raw diet. Higher water intake in the homemade raw diet group resulted in greater urine output and urine dilution as can be seen with lower creatinine and isoprostane levels.  Table 4.3 lists the mean isoprostane/creatinine ratio for each diet at each time point.  Figure 4.1 diagrams the log10 transformed ratios for each diet treatment. There were no significant differences in isoprostane/creatinine ratios between the raw diets and control diet within each specific time point.  Significant effects were noted within </w:t>
      </w:r>
      <w:r w:rsidRPr="00BE55A0">
        <w:rPr>
          <w:rFonts w:ascii="Arial" w:hAnsi="Arial" w:cs="Arial"/>
        </w:rPr>
        <w:t>the control and homemade raw diets</w:t>
      </w:r>
      <w:r>
        <w:rPr>
          <w:rFonts w:ascii="Arial" w:hAnsi="Arial" w:cs="Arial"/>
        </w:rPr>
        <w:t xml:space="preserve"> over time.  The control diet had a significant decrease in isoprostanes/creatinine ratio from week 0 to week 5, while the homemade raw diet had a significant decrease in the ratio from week 5 to week 10.  Although the isoprostane/creatinine ratio in the commercial raw diet also declined over time, the level of decline was not significant over the 10 week period.  </w:t>
      </w:r>
    </w:p>
    <w:p w:rsidR="00330CF1" w:rsidRDefault="00330CF1" w:rsidP="009F7C9F"/>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Default="00330CF1" w:rsidP="009F7C9F">
      <w:pPr>
        <w:jc w:val="center"/>
        <w:rPr>
          <w:rFonts w:ascii="Arial" w:hAnsi="Arial" w:cs="Arial"/>
        </w:rPr>
      </w:pPr>
    </w:p>
    <w:p w:rsidR="00330CF1" w:rsidRPr="00404090" w:rsidRDefault="00330CF1" w:rsidP="009F7C9F">
      <w:pPr>
        <w:jc w:val="center"/>
        <w:rPr>
          <w:color w:val="C00000"/>
        </w:rPr>
      </w:pPr>
      <w:r w:rsidRPr="00A706DC">
        <w:rPr>
          <w:rFonts w:ascii="Arial" w:hAnsi="Arial" w:cs="Arial"/>
          <w:b/>
        </w:rPr>
        <w:t>Table 4.1</w:t>
      </w:r>
      <w:r w:rsidRPr="00A706DC">
        <w:rPr>
          <w:rFonts w:ascii="Arial" w:hAnsi="Arial" w:cs="Arial"/>
        </w:rPr>
        <w:t xml:space="preserve"> Urinary creatinine </w:t>
      </w:r>
      <w:r>
        <w:rPr>
          <w:rFonts w:ascii="Arial" w:hAnsi="Arial" w:cs="Arial"/>
        </w:rPr>
        <w:t>by diet treatment and week</w:t>
      </w:r>
      <w:r w:rsidRPr="00A706DC">
        <w:rPr>
          <w:rFonts w:ascii="Arial" w:hAnsi="Arial" w:cs="Arial"/>
        </w:rPr>
        <w:t>(Mean ± SEM</w:t>
      </w:r>
      <w:r>
        <w:rPr>
          <w:rFonts w:ascii="Arial" w:hAnsi="Arial" w:cs="Arial"/>
        </w:rPr>
        <w:t>)</w:t>
      </w:r>
    </w:p>
    <w:p w:rsidR="00330CF1" w:rsidRDefault="00330CF1" w:rsidP="005E6756">
      <w:pPr>
        <w:jc w:val="center"/>
        <w:rPr>
          <w:rFonts w:ascii="Arial" w:hAnsi="Arial" w:cs="Arial"/>
        </w:rPr>
      </w:pPr>
    </w:p>
    <w:tbl>
      <w:tblPr>
        <w:tblStyle w:val="TableGrid"/>
        <w:tblW w:w="0" w:type="auto"/>
        <w:tblLook w:val="04A0" w:firstRow="1" w:lastRow="0" w:firstColumn="1" w:lastColumn="0" w:noHBand="0" w:noVBand="1"/>
      </w:tblPr>
      <w:tblGrid>
        <w:gridCol w:w="2214"/>
        <w:gridCol w:w="2214"/>
        <w:gridCol w:w="2214"/>
        <w:gridCol w:w="2214"/>
      </w:tblGrid>
      <w:tr w:rsidR="00330CF1" w:rsidTr="00530C2E">
        <w:tc>
          <w:tcPr>
            <w:tcW w:w="2214" w:type="dxa"/>
          </w:tcPr>
          <w:p w:rsidR="00330CF1" w:rsidRDefault="00330CF1" w:rsidP="00530C2E">
            <w:pPr>
              <w:rPr>
                <w:rFonts w:ascii="Arial" w:hAnsi="Arial" w:cs="Arial"/>
              </w:rPr>
            </w:pPr>
            <w:r>
              <w:rPr>
                <w:rFonts w:ascii="Arial" w:hAnsi="Arial" w:cs="Arial"/>
              </w:rPr>
              <w:t>Analyte/Week</w:t>
            </w:r>
          </w:p>
        </w:tc>
        <w:tc>
          <w:tcPr>
            <w:tcW w:w="2214" w:type="dxa"/>
          </w:tcPr>
          <w:p w:rsidR="00330CF1" w:rsidRDefault="00330CF1" w:rsidP="00530C2E">
            <w:pPr>
              <w:jc w:val="center"/>
              <w:rPr>
                <w:rFonts w:ascii="Arial" w:hAnsi="Arial" w:cs="Arial"/>
              </w:rPr>
            </w:pPr>
            <w:r>
              <w:rPr>
                <w:rFonts w:ascii="Arial" w:hAnsi="Arial" w:cs="Arial"/>
              </w:rPr>
              <w:t>Control</w:t>
            </w:r>
          </w:p>
        </w:tc>
        <w:tc>
          <w:tcPr>
            <w:tcW w:w="2214" w:type="dxa"/>
          </w:tcPr>
          <w:p w:rsidR="00330CF1" w:rsidRDefault="00330CF1" w:rsidP="00530C2E">
            <w:pPr>
              <w:jc w:val="center"/>
              <w:rPr>
                <w:rFonts w:ascii="Arial" w:hAnsi="Arial" w:cs="Arial"/>
              </w:rPr>
            </w:pPr>
            <w:r>
              <w:rPr>
                <w:rFonts w:ascii="Arial" w:hAnsi="Arial" w:cs="Arial"/>
              </w:rPr>
              <w:t>Commercial Raw</w:t>
            </w:r>
          </w:p>
        </w:tc>
        <w:tc>
          <w:tcPr>
            <w:tcW w:w="2214" w:type="dxa"/>
          </w:tcPr>
          <w:p w:rsidR="00330CF1" w:rsidRDefault="00330CF1" w:rsidP="00530C2E">
            <w:pPr>
              <w:jc w:val="center"/>
              <w:rPr>
                <w:rFonts w:ascii="Arial" w:hAnsi="Arial" w:cs="Arial"/>
              </w:rPr>
            </w:pPr>
            <w:r>
              <w:rPr>
                <w:rFonts w:ascii="Arial" w:hAnsi="Arial" w:cs="Arial"/>
              </w:rPr>
              <w:t>Homemade Raw</w:t>
            </w:r>
          </w:p>
        </w:tc>
      </w:tr>
      <w:tr w:rsidR="00330CF1" w:rsidTr="00530C2E">
        <w:tc>
          <w:tcPr>
            <w:tcW w:w="2214" w:type="dxa"/>
          </w:tcPr>
          <w:p w:rsidR="00330CF1" w:rsidRDefault="00330CF1" w:rsidP="00530C2E">
            <w:pPr>
              <w:rPr>
                <w:rFonts w:ascii="Arial" w:hAnsi="Arial" w:cs="Arial"/>
              </w:rPr>
            </w:pPr>
            <w:r>
              <w:rPr>
                <w:rFonts w:ascii="Arial" w:hAnsi="Arial" w:cs="Arial"/>
              </w:rPr>
              <w:t>Creatinine (mg/dL)</w:t>
            </w:r>
          </w:p>
        </w:tc>
        <w:tc>
          <w:tcPr>
            <w:tcW w:w="2214" w:type="dxa"/>
          </w:tcPr>
          <w:p w:rsidR="00330CF1" w:rsidRDefault="00330CF1" w:rsidP="00530C2E">
            <w:pPr>
              <w:jc w:val="center"/>
              <w:rPr>
                <w:rFonts w:ascii="Arial" w:hAnsi="Arial" w:cs="Arial"/>
              </w:rPr>
            </w:pPr>
          </w:p>
        </w:tc>
        <w:tc>
          <w:tcPr>
            <w:tcW w:w="2214" w:type="dxa"/>
          </w:tcPr>
          <w:p w:rsidR="00330CF1" w:rsidRDefault="00330CF1" w:rsidP="00530C2E">
            <w:pPr>
              <w:jc w:val="center"/>
              <w:rPr>
                <w:rFonts w:ascii="Arial" w:hAnsi="Arial" w:cs="Arial"/>
              </w:rPr>
            </w:pPr>
          </w:p>
        </w:tc>
        <w:tc>
          <w:tcPr>
            <w:tcW w:w="2214" w:type="dxa"/>
          </w:tcPr>
          <w:p w:rsidR="00330CF1" w:rsidRDefault="00330CF1" w:rsidP="00530C2E">
            <w:pPr>
              <w:jc w:val="center"/>
              <w:rPr>
                <w:rFonts w:ascii="Arial" w:hAnsi="Arial" w:cs="Arial"/>
              </w:rPr>
            </w:pPr>
          </w:p>
        </w:tc>
      </w:tr>
      <w:tr w:rsidR="00330CF1" w:rsidTr="00530C2E">
        <w:tc>
          <w:tcPr>
            <w:tcW w:w="2214" w:type="dxa"/>
          </w:tcPr>
          <w:p w:rsidR="00330CF1" w:rsidRDefault="00330CF1" w:rsidP="00530C2E">
            <w:pPr>
              <w:rPr>
                <w:rFonts w:ascii="Arial" w:hAnsi="Arial" w:cs="Arial"/>
              </w:rPr>
            </w:pPr>
            <w:r>
              <w:rPr>
                <w:rFonts w:ascii="Arial" w:hAnsi="Arial" w:cs="Arial"/>
              </w:rPr>
              <w:t xml:space="preserve">   Week 0</w:t>
            </w:r>
          </w:p>
        </w:tc>
        <w:tc>
          <w:tcPr>
            <w:tcW w:w="2214" w:type="dxa"/>
          </w:tcPr>
          <w:p w:rsidR="00330CF1" w:rsidRPr="0065309C" w:rsidRDefault="00330CF1" w:rsidP="00530C2E">
            <w:pPr>
              <w:jc w:val="center"/>
              <w:rPr>
                <w:rFonts w:ascii="Arial" w:hAnsi="Arial" w:cs="Arial"/>
                <w:vertAlign w:val="superscript"/>
              </w:rPr>
            </w:pPr>
            <w:r>
              <w:rPr>
                <w:rFonts w:ascii="Arial" w:hAnsi="Arial" w:cs="Arial"/>
              </w:rPr>
              <w:t>295.95 ± 37.89</w:t>
            </w:r>
            <w:r>
              <w:rPr>
                <w:rFonts w:ascii="Arial" w:hAnsi="Arial" w:cs="Arial"/>
                <w:vertAlign w:val="superscript"/>
              </w:rPr>
              <w:t>a</w:t>
            </w:r>
          </w:p>
        </w:tc>
        <w:tc>
          <w:tcPr>
            <w:tcW w:w="2214" w:type="dxa"/>
          </w:tcPr>
          <w:p w:rsidR="00330CF1" w:rsidRPr="0065309C" w:rsidRDefault="00330CF1" w:rsidP="00530C2E">
            <w:pPr>
              <w:jc w:val="center"/>
              <w:rPr>
                <w:rFonts w:ascii="Arial" w:hAnsi="Arial" w:cs="Arial"/>
                <w:vertAlign w:val="superscript"/>
              </w:rPr>
            </w:pPr>
            <w:r>
              <w:rPr>
                <w:rFonts w:ascii="Arial" w:hAnsi="Arial" w:cs="Arial"/>
              </w:rPr>
              <w:t>209.21 ± 37.89</w:t>
            </w:r>
            <w:r>
              <w:rPr>
                <w:rFonts w:ascii="Arial" w:hAnsi="Arial" w:cs="Arial"/>
                <w:vertAlign w:val="superscript"/>
              </w:rPr>
              <w:t>bc</w:t>
            </w:r>
          </w:p>
        </w:tc>
        <w:tc>
          <w:tcPr>
            <w:tcW w:w="2214" w:type="dxa"/>
          </w:tcPr>
          <w:p w:rsidR="00330CF1" w:rsidRPr="0065309C" w:rsidRDefault="00330CF1" w:rsidP="00530C2E">
            <w:pPr>
              <w:jc w:val="center"/>
              <w:rPr>
                <w:rFonts w:ascii="Arial" w:hAnsi="Arial" w:cs="Arial"/>
                <w:vertAlign w:val="superscript"/>
              </w:rPr>
            </w:pPr>
            <w:r>
              <w:rPr>
                <w:rFonts w:ascii="Arial" w:hAnsi="Arial" w:cs="Arial"/>
              </w:rPr>
              <w:t>230.06 ± 37.89</w:t>
            </w:r>
            <w:r>
              <w:rPr>
                <w:rFonts w:ascii="Arial" w:hAnsi="Arial" w:cs="Arial"/>
                <w:vertAlign w:val="superscript"/>
              </w:rPr>
              <w:t>abc</w:t>
            </w:r>
          </w:p>
        </w:tc>
      </w:tr>
      <w:tr w:rsidR="00330CF1" w:rsidTr="00530C2E">
        <w:tc>
          <w:tcPr>
            <w:tcW w:w="2214" w:type="dxa"/>
          </w:tcPr>
          <w:p w:rsidR="00330CF1" w:rsidRDefault="00330CF1" w:rsidP="00530C2E">
            <w:pPr>
              <w:rPr>
                <w:rFonts w:ascii="Arial" w:hAnsi="Arial" w:cs="Arial"/>
              </w:rPr>
            </w:pPr>
            <w:r>
              <w:rPr>
                <w:rFonts w:ascii="Arial" w:hAnsi="Arial" w:cs="Arial"/>
              </w:rPr>
              <w:t xml:space="preserve">   Week 5</w:t>
            </w:r>
          </w:p>
        </w:tc>
        <w:tc>
          <w:tcPr>
            <w:tcW w:w="2214" w:type="dxa"/>
          </w:tcPr>
          <w:p w:rsidR="00330CF1" w:rsidRPr="0065309C" w:rsidRDefault="00330CF1" w:rsidP="00530C2E">
            <w:pPr>
              <w:jc w:val="center"/>
              <w:rPr>
                <w:rFonts w:ascii="Arial" w:hAnsi="Arial" w:cs="Arial"/>
                <w:vertAlign w:val="superscript"/>
              </w:rPr>
            </w:pPr>
            <w:r>
              <w:rPr>
                <w:rFonts w:ascii="Arial" w:hAnsi="Arial" w:cs="Arial"/>
              </w:rPr>
              <w:t>325.16 ± 37.89</w:t>
            </w:r>
            <w:r>
              <w:rPr>
                <w:rFonts w:ascii="Arial" w:hAnsi="Arial" w:cs="Arial"/>
                <w:vertAlign w:val="superscript"/>
              </w:rPr>
              <w:t>a</w:t>
            </w:r>
          </w:p>
        </w:tc>
        <w:tc>
          <w:tcPr>
            <w:tcW w:w="2214" w:type="dxa"/>
          </w:tcPr>
          <w:p w:rsidR="00330CF1" w:rsidRPr="0065309C" w:rsidRDefault="00330CF1" w:rsidP="00530C2E">
            <w:pPr>
              <w:jc w:val="center"/>
              <w:rPr>
                <w:rFonts w:ascii="Arial" w:hAnsi="Arial" w:cs="Arial"/>
                <w:vertAlign w:val="superscript"/>
              </w:rPr>
            </w:pPr>
            <w:r>
              <w:rPr>
                <w:rFonts w:ascii="Arial" w:hAnsi="Arial" w:cs="Arial"/>
              </w:rPr>
              <w:t>174.55 ± 37.89</w:t>
            </w:r>
            <w:r>
              <w:rPr>
                <w:rFonts w:ascii="Arial" w:hAnsi="Arial" w:cs="Arial"/>
                <w:vertAlign w:val="superscript"/>
              </w:rPr>
              <w:t>bc</w:t>
            </w:r>
          </w:p>
        </w:tc>
        <w:tc>
          <w:tcPr>
            <w:tcW w:w="2214" w:type="dxa"/>
          </w:tcPr>
          <w:p w:rsidR="00330CF1" w:rsidRPr="0065309C" w:rsidRDefault="00330CF1" w:rsidP="00530C2E">
            <w:pPr>
              <w:jc w:val="center"/>
              <w:rPr>
                <w:rFonts w:ascii="Arial" w:hAnsi="Arial" w:cs="Arial"/>
                <w:vertAlign w:val="superscript"/>
              </w:rPr>
            </w:pPr>
            <w:r>
              <w:rPr>
                <w:rFonts w:ascii="Arial" w:hAnsi="Arial" w:cs="Arial"/>
              </w:rPr>
              <w:t>88.68 ± 37.89</w:t>
            </w:r>
            <w:r>
              <w:rPr>
                <w:rFonts w:ascii="Arial" w:hAnsi="Arial" w:cs="Arial"/>
                <w:vertAlign w:val="superscript"/>
              </w:rPr>
              <w:t>d</w:t>
            </w:r>
          </w:p>
        </w:tc>
      </w:tr>
      <w:tr w:rsidR="00330CF1" w:rsidTr="00530C2E">
        <w:tc>
          <w:tcPr>
            <w:tcW w:w="2214" w:type="dxa"/>
          </w:tcPr>
          <w:p w:rsidR="00330CF1" w:rsidRDefault="00330CF1" w:rsidP="00530C2E">
            <w:pPr>
              <w:rPr>
                <w:rFonts w:ascii="Arial" w:hAnsi="Arial" w:cs="Arial"/>
              </w:rPr>
            </w:pPr>
            <w:r>
              <w:rPr>
                <w:rFonts w:ascii="Arial" w:hAnsi="Arial" w:cs="Arial"/>
              </w:rPr>
              <w:t xml:space="preserve">   Week 10</w:t>
            </w:r>
          </w:p>
        </w:tc>
        <w:tc>
          <w:tcPr>
            <w:tcW w:w="2214" w:type="dxa"/>
          </w:tcPr>
          <w:p w:rsidR="00330CF1" w:rsidRPr="0065309C" w:rsidRDefault="00330CF1" w:rsidP="00530C2E">
            <w:pPr>
              <w:jc w:val="center"/>
              <w:rPr>
                <w:rFonts w:ascii="Arial" w:hAnsi="Arial" w:cs="Arial"/>
                <w:vertAlign w:val="superscript"/>
              </w:rPr>
            </w:pPr>
            <w:r>
              <w:rPr>
                <w:rFonts w:ascii="Arial" w:hAnsi="Arial" w:cs="Arial"/>
              </w:rPr>
              <w:t>332.18 ± 37.89</w:t>
            </w:r>
            <w:r>
              <w:rPr>
                <w:rFonts w:ascii="Arial" w:hAnsi="Arial" w:cs="Arial"/>
                <w:vertAlign w:val="superscript"/>
              </w:rPr>
              <w:t>a</w:t>
            </w:r>
          </w:p>
        </w:tc>
        <w:tc>
          <w:tcPr>
            <w:tcW w:w="2214" w:type="dxa"/>
          </w:tcPr>
          <w:p w:rsidR="00330CF1" w:rsidRPr="0065309C" w:rsidRDefault="00330CF1" w:rsidP="00530C2E">
            <w:pPr>
              <w:jc w:val="center"/>
              <w:rPr>
                <w:rFonts w:ascii="Arial" w:hAnsi="Arial" w:cs="Arial"/>
                <w:vertAlign w:val="superscript"/>
              </w:rPr>
            </w:pPr>
            <w:r>
              <w:rPr>
                <w:rFonts w:ascii="Arial" w:hAnsi="Arial" w:cs="Arial"/>
              </w:rPr>
              <w:t>243.66 ± 37.89</w:t>
            </w:r>
            <w:r>
              <w:rPr>
                <w:rFonts w:ascii="Arial" w:hAnsi="Arial" w:cs="Arial"/>
                <w:vertAlign w:val="superscript"/>
              </w:rPr>
              <w:t>a</w:t>
            </w:r>
          </w:p>
        </w:tc>
        <w:tc>
          <w:tcPr>
            <w:tcW w:w="2214" w:type="dxa"/>
          </w:tcPr>
          <w:p w:rsidR="00330CF1" w:rsidRPr="0065309C" w:rsidRDefault="00330CF1" w:rsidP="00530C2E">
            <w:pPr>
              <w:jc w:val="center"/>
              <w:rPr>
                <w:rFonts w:ascii="Arial" w:hAnsi="Arial" w:cs="Arial"/>
                <w:vertAlign w:val="superscript"/>
              </w:rPr>
            </w:pPr>
            <w:r>
              <w:rPr>
                <w:rFonts w:ascii="Arial" w:hAnsi="Arial" w:cs="Arial"/>
              </w:rPr>
              <w:t>158.85 ± 37.89</w:t>
            </w:r>
            <w:r>
              <w:rPr>
                <w:rFonts w:ascii="Arial" w:hAnsi="Arial" w:cs="Arial"/>
                <w:vertAlign w:val="superscript"/>
              </w:rPr>
              <w:t>c</w:t>
            </w:r>
          </w:p>
        </w:tc>
      </w:tr>
    </w:tbl>
    <w:p w:rsidR="00330CF1" w:rsidRDefault="00330CF1" w:rsidP="004A3330">
      <w:pPr>
        <w:rPr>
          <w:rFonts w:ascii="Arial" w:hAnsi="Arial" w:cs="Arial"/>
        </w:rPr>
      </w:pPr>
      <w:r>
        <w:rPr>
          <w:rFonts w:ascii="Arial" w:hAnsi="Arial" w:cs="Arial"/>
        </w:rPr>
        <w:t>NOTE: Different letter superscripts in both rows and columns indicate p values ≤ 0.05.  Data are non-transformed means and SEM.</w:t>
      </w:r>
    </w:p>
    <w:p w:rsidR="00330CF1" w:rsidRDefault="00330CF1" w:rsidP="004A3330">
      <w:pPr>
        <w:rPr>
          <w:rFonts w:ascii="Arial" w:hAnsi="Arial" w:cs="Arial"/>
        </w:rPr>
      </w:pPr>
    </w:p>
    <w:p w:rsidR="00330CF1" w:rsidRDefault="00330CF1" w:rsidP="004A3330">
      <w:pPr>
        <w:rPr>
          <w:rFonts w:ascii="Arial" w:hAnsi="Arial" w:cs="Arial"/>
        </w:rPr>
      </w:pPr>
    </w:p>
    <w:p w:rsidR="00330CF1" w:rsidRPr="00687E70" w:rsidRDefault="00330CF1" w:rsidP="004A3330">
      <w:pPr>
        <w:rPr>
          <w:rFonts w:ascii="Arial" w:hAnsi="Arial" w:cs="Arial"/>
        </w:rPr>
      </w:pPr>
    </w:p>
    <w:p w:rsidR="00330CF1" w:rsidRPr="0065309C" w:rsidRDefault="00330CF1" w:rsidP="005E6756">
      <w:pPr>
        <w:rPr>
          <w:rFonts w:ascii="Arial" w:hAnsi="Arial" w:cs="Arial"/>
        </w:rPr>
      </w:pPr>
      <w:r>
        <w:rPr>
          <w:rFonts w:ascii="Arial" w:hAnsi="Arial" w:cs="Arial"/>
        </w:rPr>
        <w:t xml:space="preserve"> </w:t>
      </w:r>
    </w:p>
    <w:p w:rsidR="00330CF1" w:rsidRPr="00A706DC" w:rsidRDefault="00330CF1" w:rsidP="005E6756">
      <w:pPr>
        <w:jc w:val="center"/>
        <w:rPr>
          <w:rFonts w:ascii="Arial" w:hAnsi="Arial" w:cs="Arial"/>
        </w:rPr>
      </w:pPr>
      <w:r w:rsidRPr="00A706DC">
        <w:rPr>
          <w:rFonts w:ascii="Arial" w:hAnsi="Arial" w:cs="Arial"/>
          <w:b/>
        </w:rPr>
        <w:t>Table 4.2</w:t>
      </w:r>
      <w:r>
        <w:rPr>
          <w:rFonts w:ascii="Arial" w:hAnsi="Arial" w:cs="Arial"/>
        </w:rPr>
        <w:t xml:space="preserve"> Urinary i</w:t>
      </w:r>
      <w:r w:rsidRPr="00A706DC">
        <w:rPr>
          <w:rFonts w:ascii="Arial" w:hAnsi="Arial" w:cs="Arial"/>
        </w:rPr>
        <w:t xml:space="preserve">soprostanes </w:t>
      </w:r>
      <w:r>
        <w:rPr>
          <w:rFonts w:ascii="Arial" w:hAnsi="Arial" w:cs="Arial"/>
        </w:rPr>
        <w:t xml:space="preserve">by diet treatment and week </w:t>
      </w:r>
      <w:r w:rsidRPr="00A706DC">
        <w:rPr>
          <w:rFonts w:ascii="Arial" w:hAnsi="Arial" w:cs="Arial"/>
        </w:rPr>
        <w:t>(Mean ± SEM)</w:t>
      </w:r>
    </w:p>
    <w:p w:rsidR="00330CF1" w:rsidRPr="00A706DC" w:rsidRDefault="00330CF1" w:rsidP="005E6756">
      <w:pPr>
        <w:jc w:val="center"/>
        <w:rPr>
          <w:rFonts w:ascii="Arial" w:hAnsi="Arial" w:cs="Arial"/>
        </w:rPr>
      </w:pPr>
    </w:p>
    <w:tbl>
      <w:tblPr>
        <w:tblStyle w:val="TableGrid"/>
        <w:tblW w:w="0" w:type="auto"/>
        <w:tblLook w:val="04A0" w:firstRow="1" w:lastRow="0" w:firstColumn="1" w:lastColumn="0" w:noHBand="0" w:noVBand="1"/>
      </w:tblPr>
      <w:tblGrid>
        <w:gridCol w:w="2538"/>
        <w:gridCol w:w="2070"/>
        <w:gridCol w:w="2070"/>
        <w:gridCol w:w="2178"/>
      </w:tblGrid>
      <w:tr w:rsidR="00330CF1" w:rsidTr="00530C2E">
        <w:tc>
          <w:tcPr>
            <w:tcW w:w="2538" w:type="dxa"/>
          </w:tcPr>
          <w:p w:rsidR="00330CF1" w:rsidRDefault="00330CF1" w:rsidP="00530C2E">
            <w:pPr>
              <w:rPr>
                <w:rFonts w:ascii="Arial" w:hAnsi="Arial" w:cs="Arial"/>
              </w:rPr>
            </w:pPr>
            <w:r>
              <w:rPr>
                <w:rFonts w:ascii="Arial" w:hAnsi="Arial" w:cs="Arial"/>
              </w:rPr>
              <w:t>Analyte/Week</w:t>
            </w:r>
          </w:p>
        </w:tc>
        <w:tc>
          <w:tcPr>
            <w:tcW w:w="2070" w:type="dxa"/>
          </w:tcPr>
          <w:p w:rsidR="00330CF1" w:rsidRDefault="00330CF1" w:rsidP="00530C2E">
            <w:pPr>
              <w:rPr>
                <w:rFonts w:ascii="Arial" w:hAnsi="Arial" w:cs="Arial"/>
              </w:rPr>
            </w:pPr>
            <w:r>
              <w:rPr>
                <w:rFonts w:ascii="Arial" w:hAnsi="Arial" w:cs="Arial"/>
              </w:rPr>
              <w:t>Control</w:t>
            </w:r>
          </w:p>
        </w:tc>
        <w:tc>
          <w:tcPr>
            <w:tcW w:w="2070" w:type="dxa"/>
          </w:tcPr>
          <w:p w:rsidR="00330CF1" w:rsidRDefault="00330CF1" w:rsidP="00530C2E">
            <w:pPr>
              <w:rPr>
                <w:rFonts w:ascii="Arial" w:hAnsi="Arial" w:cs="Arial"/>
              </w:rPr>
            </w:pPr>
            <w:r>
              <w:rPr>
                <w:rFonts w:ascii="Arial" w:hAnsi="Arial" w:cs="Arial"/>
              </w:rPr>
              <w:t>Commercial Raw</w:t>
            </w:r>
          </w:p>
        </w:tc>
        <w:tc>
          <w:tcPr>
            <w:tcW w:w="2178" w:type="dxa"/>
          </w:tcPr>
          <w:p w:rsidR="00330CF1" w:rsidRDefault="00330CF1" w:rsidP="00530C2E">
            <w:pPr>
              <w:rPr>
                <w:rFonts w:ascii="Arial" w:hAnsi="Arial" w:cs="Arial"/>
              </w:rPr>
            </w:pPr>
            <w:r>
              <w:rPr>
                <w:rFonts w:ascii="Arial" w:hAnsi="Arial" w:cs="Arial"/>
              </w:rPr>
              <w:t>Homemade Raw</w:t>
            </w:r>
          </w:p>
        </w:tc>
      </w:tr>
      <w:tr w:rsidR="00330CF1" w:rsidTr="00530C2E">
        <w:tc>
          <w:tcPr>
            <w:tcW w:w="2538" w:type="dxa"/>
          </w:tcPr>
          <w:p w:rsidR="00330CF1" w:rsidRDefault="00330CF1" w:rsidP="00530C2E">
            <w:pPr>
              <w:rPr>
                <w:rFonts w:ascii="Arial" w:hAnsi="Arial" w:cs="Arial"/>
              </w:rPr>
            </w:pPr>
            <w:r>
              <w:rPr>
                <w:rFonts w:ascii="Arial" w:hAnsi="Arial" w:cs="Arial"/>
              </w:rPr>
              <w:t>Isoprostanes (ng/mL)</w:t>
            </w:r>
          </w:p>
        </w:tc>
        <w:tc>
          <w:tcPr>
            <w:tcW w:w="2070" w:type="dxa"/>
          </w:tcPr>
          <w:p w:rsidR="00330CF1" w:rsidRDefault="00330CF1" w:rsidP="00530C2E">
            <w:pPr>
              <w:rPr>
                <w:rFonts w:ascii="Arial" w:hAnsi="Arial" w:cs="Arial"/>
              </w:rPr>
            </w:pPr>
          </w:p>
        </w:tc>
        <w:tc>
          <w:tcPr>
            <w:tcW w:w="2070" w:type="dxa"/>
          </w:tcPr>
          <w:p w:rsidR="00330CF1" w:rsidRDefault="00330CF1" w:rsidP="00530C2E">
            <w:pPr>
              <w:rPr>
                <w:rFonts w:ascii="Arial" w:hAnsi="Arial" w:cs="Arial"/>
              </w:rPr>
            </w:pPr>
          </w:p>
        </w:tc>
        <w:tc>
          <w:tcPr>
            <w:tcW w:w="2178" w:type="dxa"/>
          </w:tcPr>
          <w:p w:rsidR="00330CF1" w:rsidRDefault="00330CF1" w:rsidP="00530C2E">
            <w:pPr>
              <w:rPr>
                <w:rFonts w:ascii="Arial" w:hAnsi="Arial" w:cs="Arial"/>
              </w:rPr>
            </w:pPr>
          </w:p>
        </w:tc>
      </w:tr>
      <w:tr w:rsidR="00330CF1" w:rsidTr="00530C2E">
        <w:tc>
          <w:tcPr>
            <w:tcW w:w="2538" w:type="dxa"/>
          </w:tcPr>
          <w:p w:rsidR="00330CF1" w:rsidRDefault="00330CF1" w:rsidP="00530C2E">
            <w:pPr>
              <w:rPr>
                <w:rFonts w:ascii="Arial" w:hAnsi="Arial" w:cs="Arial"/>
              </w:rPr>
            </w:pPr>
            <w:r>
              <w:rPr>
                <w:rFonts w:ascii="Arial" w:hAnsi="Arial" w:cs="Arial"/>
              </w:rPr>
              <w:t xml:space="preserve">   Week 0</w:t>
            </w:r>
          </w:p>
        </w:tc>
        <w:tc>
          <w:tcPr>
            <w:tcW w:w="2070" w:type="dxa"/>
          </w:tcPr>
          <w:p w:rsidR="00330CF1" w:rsidRPr="00142FB1" w:rsidRDefault="00330CF1" w:rsidP="00530C2E">
            <w:pPr>
              <w:rPr>
                <w:rFonts w:ascii="Arial" w:hAnsi="Arial" w:cs="Arial"/>
                <w:vertAlign w:val="superscript"/>
              </w:rPr>
            </w:pPr>
            <w:r>
              <w:rPr>
                <w:rFonts w:ascii="Arial" w:hAnsi="Arial" w:cs="Arial"/>
              </w:rPr>
              <w:t>4.40 ± 0.57</w:t>
            </w:r>
            <w:r>
              <w:rPr>
                <w:rFonts w:ascii="Arial" w:hAnsi="Arial" w:cs="Arial"/>
                <w:vertAlign w:val="superscript"/>
              </w:rPr>
              <w:t>a</w:t>
            </w:r>
          </w:p>
        </w:tc>
        <w:tc>
          <w:tcPr>
            <w:tcW w:w="2070" w:type="dxa"/>
          </w:tcPr>
          <w:p w:rsidR="00330CF1" w:rsidRPr="00142FB1" w:rsidRDefault="00330CF1" w:rsidP="00530C2E">
            <w:pPr>
              <w:rPr>
                <w:rFonts w:ascii="Arial" w:hAnsi="Arial" w:cs="Arial"/>
                <w:vertAlign w:val="superscript"/>
              </w:rPr>
            </w:pPr>
            <w:r>
              <w:rPr>
                <w:rFonts w:ascii="Arial" w:hAnsi="Arial" w:cs="Arial"/>
              </w:rPr>
              <w:t>3.77 ± 0.57</w:t>
            </w:r>
            <w:r>
              <w:rPr>
                <w:rFonts w:ascii="Arial" w:hAnsi="Arial" w:cs="Arial"/>
                <w:vertAlign w:val="superscript"/>
              </w:rPr>
              <w:t>ab</w:t>
            </w:r>
          </w:p>
        </w:tc>
        <w:tc>
          <w:tcPr>
            <w:tcW w:w="2178" w:type="dxa"/>
          </w:tcPr>
          <w:p w:rsidR="00330CF1" w:rsidRPr="00142FB1" w:rsidRDefault="00330CF1" w:rsidP="00530C2E">
            <w:pPr>
              <w:rPr>
                <w:rFonts w:ascii="Arial" w:hAnsi="Arial" w:cs="Arial"/>
                <w:vertAlign w:val="superscript"/>
              </w:rPr>
            </w:pPr>
            <w:r>
              <w:rPr>
                <w:rFonts w:ascii="Arial" w:hAnsi="Arial" w:cs="Arial"/>
              </w:rPr>
              <w:t>4.20 ± 0.57</w:t>
            </w:r>
            <w:r>
              <w:rPr>
                <w:rFonts w:ascii="Arial" w:hAnsi="Arial" w:cs="Arial"/>
                <w:vertAlign w:val="superscript"/>
              </w:rPr>
              <w:t>ab</w:t>
            </w:r>
          </w:p>
        </w:tc>
      </w:tr>
      <w:tr w:rsidR="00330CF1" w:rsidTr="00530C2E">
        <w:tc>
          <w:tcPr>
            <w:tcW w:w="2538" w:type="dxa"/>
          </w:tcPr>
          <w:p w:rsidR="00330CF1" w:rsidRDefault="00330CF1" w:rsidP="00530C2E">
            <w:pPr>
              <w:rPr>
                <w:rFonts w:ascii="Arial" w:hAnsi="Arial" w:cs="Arial"/>
              </w:rPr>
            </w:pPr>
            <w:r>
              <w:rPr>
                <w:rFonts w:ascii="Arial" w:hAnsi="Arial" w:cs="Arial"/>
              </w:rPr>
              <w:t xml:space="preserve">   Week 5</w:t>
            </w:r>
          </w:p>
        </w:tc>
        <w:tc>
          <w:tcPr>
            <w:tcW w:w="2070" w:type="dxa"/>
          </w:tcPr>
          <w:p w:rsidR="00330CF1" w:rsidRPr="00142FB1" w:rsidRDefault="00330CF1" w:rsidP="00530C2E">
            <w:pPr>
              <w:rPr>
                <w:rFonts w:ascii="Arial" w:hAnsi="Arial" w:cs="Arial"/>
                <w:vertAlign w:val="superscript"/>
              </w:rPr>
            </w:pPr>
            <w:r>
              <w:rPr>
                <w:rFonts w:ascii="Arial" w:hAnsi="Arial" w:cs="Arial"/>
              </w:rPr>
              <w:t>2.68 ± 0.57</w:t>
            </w:r>
            <w:r>
              <w:rPr>
                <w:rFonts w:ascii="Arial" w:hAnsi="Arial" w:cs="Arial"/>
                <w:vertAlign w:val="superscript"/>
              </w:rPr>
              <w:t>b</w:t>
            </w:r>
          </w:p>
        </w:tc>
        <w:tc>
          <w:tcPr>
            <w:tcW w:w="2070" w:type="dxa"/>
          </w:tcPr>
          <w:p w:rsidR="00330CF1" w:rsidRPr="00142FB1" w:rsidRDefault="00330CF1" w:rsidP="00530C2E">
            <w:pPr>
              <w:rPr>
                <w:rFonts w:ascii="Arial" w:hAnsi="Arial" w:cs="Arial"/>
                <w:vertAlign w:val="superscript"/>
              </w:rPr>
            </w:pPr>
            <w:r>
              <w:rPr>
                <w:rFonts w:ascii="Arial" w:hAnsi="Arial" w:cs="Arial"/>
              </w:rPr>
              <w:t>2.77 ± 0.57</w:t>
            </w:r>
            <w:r>
              <w:rPr>
                <w:rFonts w:ascii="Arial" w:hAnsi="Arial" w:cs="Arial"/>
                <w:vertAlign w:val="superscript"/>
              </w:rPr>
              <w:t>ab</w:t>
            </w:r>
          </w:p>
        </w:tc>
        <w:tc>
          <w:tcPr>
            <w:tcW w:w="2178" w:type="dxa"/>
          </w:tcPr>
          <w:p w:rsidR="00330CF1" w:rsidRPr="00142FB1" w:rsidRDefault="00330CF1" w:rsidP="00530C2E">
            <w:pPr>
              <w:rPr>
                <w:rFonts w:ascii="Arial" w:hAnsi="Arial" w:cs="Arial"/>
                <w:vertAlign w:val="superscript"/>
              </w:rPr>
            </w:pPr>
            <w:r>
              <w:rPr>
                <w:rFonts w:ascii="Arial" w:hAnsi="Arial" w:cs="Arial"/>
              </w:rPr>
              <w:t>1.52 ± 0.57</w:t>
            </w:r>
            <w:r>
              <w:rPr>
                <w:rFonts w:ascii="Arial" w:hAnsi="Arial" w:cs="Arial"/>
                <w:vertAlign w:val="superscript"/>
              </w:rPr>
              <w:t>c</w:t>
            </w:r>
          </w:p>
        </w:tc>
      </w:tr>
      <w:tr w:rsidR="00330CF1" w:rsidTr="00530C2E">
        <w:tc>
          <w:tcPr>
            <w:tcW w:w="2538" w:type="dxa"/>
          </w:tcPr>
          <w:p w:rsidR="00330CF1" w:rsidRDefault="00330CF1" w:rsidP="00530C2E">
            <w:pPr>
              <w:rPr>
                <w:rFonts w:ascii="Arial" w:hAnsi="Arial" w:cs="Arial"/>
              </w:rPr>
            </w:pPr>
            <w:r>
              <w:rPr>
                <w:rFonts w:ascii="Arial" w:hAnsi="Arial" w:cs="Arial"/>
              </w:rPr>
              <w:t xml:space="preserve">   Week 10</w:t>
            </w:r>
          </w:p>
        </w:tc>
        <w:tc>
          <w:tcPr>
            <w:tcW w:w="2070" w:type="dxa"/>
          </w:tcPr>
          <w:p w:rsidR="00330CF1" w:rsidRPr="00142FB1" w:rsidRDefault="00330CF1" w:rsidP="00530C2E">
            <w:pPr>
              <w:rPr>
                <w:rFonts w:ascii="Arial" w:hAnsi="Arial" w:cs="Arial"/>
                <w:vertAlign w:val="superscript"/>
              </w:rPr>
            </w:pPr>
            <w:r>
              <w:rPr>
                <w:rFonts w:ascii="Arial" w:hAnsi="Arial" w:cs="Arial"/>
              </w:rPr>
              <w:t>3.29 ± 0.57</w:t>
            </w:r>
            <w:r>
              <w:rPr>
                <w:rFonts w:ascii="Arial" w:hAnsi="Arial" w:cs="Arial"/>
                <w:vertAlign w:val="superscript"/>
              </w:rPr>
              <w:t>b</w:t>
            </w:r>
          </w:p>
        </w:tc>
        <w:tc>
          <w:tcPr>
            <w:tcW w:w="2070" w:type="dxa"/>
          </w:tcPr>
          <w:p w:rsidR="00330CF1" w:rsidRPr="00142FB1" w:rsidRDefault="00330CF1" w:rsidP="00530C2E">
            <w:pPr>
              <w:rPr>
                <w:rFonts w:ascii="Arial" w:hAnsi="Arial" w:cs="Arial"/>
                <w:vertAlign w:val="superscript"/>
              </w:rPr>
            </w:pPr>
            <w:r>
              <w:rPr>
                <w:rFonts w:ascii="Arial" w:hAnsi="Arial" w:cs="Arial"/>
              </w:rPr>
              <w:t>3.62 ± 0.57</w:t>
            </w:r>
            <w:r>
              <w:rPr>
                <w:rFonts w:ascii="Arial" w:hAnsi="Arial" w:cs="Arial"/>
                <w:vertAlign w:val="superscript"/>
              </w:rPr>
              <w:t>ab</w:t>
            </w:r>
          </w:p>
        </w:tc>
        <w:tc>
          <w:tcPr>
            <w:tcW w:w="2178" w:type="dxa"/>
          </w:tcPr>
          <w:p w:rsidR="00330CF1" w:rsidRPr="00142FB1" w:rsidRDefault="00330CF1" w:rsidP="00530C2E">
            <w:pPr>
              <w:rPr>
                <w:rFonts w:ascii="Arial" w:hAnsi="Arial" w:cs="Arial"/>
                <w:vertAlign w:val="superscript"/>
              </w:rPr>
            </w:pPr>
            <w:r>
              <w:rPr>
                <w:rFonts w:ascii="Arial" w:hAnsi="Arial" w:cs="Arial"/>
              </w:rPr>
              <w:t>1.50 ± 0.57</w:t>
            </w:r>
            <w:r>
              <w:rPr>
                <w:rFonts w:ascii="Arial" w:hAnsi="Arial" w:cs="Arial"/>
                <w:vertAlign w:val="superscript"/>
              </w:rPr>
              <w:t>c</w:t>
            </w:r>
          </w:p>
        </w:tc>
      </w:tr>
    </w:tbl>
    <w:p w:rsidR="00330CF1" w:rsidRDefault="00330CF1" w:rsidP="004A3330">
      <w:pPr>
        <w:rPr>
          <w:rFonts w:ascii="Arial" w:hAnsi="Arial" w:cs="Arial"/>
        </w:rPr>
      </w:pPr>
      <w:r>
        <w:rPr>
          <w:rFonts w:ascii="Arial" w:hAnsi="Arial" w:cs="Arial"/>
        </w:rPr>
        <w:t>NOTE: Different letter superscripts in both rows and columns indicate p values ≤ 0.05.  Data are non-transformed means and SEM.</w:t>
      </w:r>
    </w:p>
    <w:p w:rsidR="00330CF1" w:rsidRDefault="00330CF1" w:rsidP="004A3330">
      <w:pPr>
        <w:rPr>
          <w:rFonts w:ascii="Arial" w:hAnsi="Arial" w:cs="Arial"/>
        </w:rPr>
      </w:pPr>
    </w:p>
    <w:p w:rsidR="00330CF1" w:rsidRDefault="00330CF1" w:rsidP="004A3330">
      <w:pPr>
        <w:rPr>
          <w:rFonts w:ascii="Arial" w:hAnsi="Arial" w:cs="Arial"/>
        </w:rPr>
      </w:pPr>
    </w:p>
    <w:p w:rsidR="00330CF1" w:rsidRPr="00687E70" w:rsidRDefault="00330CF1" w:rsidP="004A3330">
      <w:pPr>
        <w:rPr>
          <w:rFonts w:ascii="Arial" w:hAnsi="Arial" w:cs="Arial"/>
        </w:rPr>
      </w:pPr>
    </w:p>
    <w:p w:rsidR="00330CF1" w:rsidRPr="001E3B14" w:rsidRDefault="00330CF1" w:rsidP="005E6756">
      <w:pPr>
        <w:rPr>
          <w:rFonts w:ascii="Arial" w:hAnsi="Arial" w:cs="Arial"/>
        </w:rPr>
      </w:pPr>
    </w:p>
    <w:p w:rsidR="00330CF1" w:rsidRDefault="00330CF1" w:rsidP="005E6756">
      <w:pPr>
        <w:jc w:val="center"/>
        <w:rPr>
          <w:rFonts w:ascii="Arial" w:hAnsi="Arial" w:cs="Arial"/>
        </w:rPr>
      </w:pPr>
      <w:r w:rsidRPr="00A706DC">
        <w:rPr>
          <w:rFonts w:ascii="Arial" w:hAnsi="Arial" w:cs="Arial"/>
          <w:b/>
        </w:rPr>
        <w:t>Table 4.3</w:t>
      </w:r>
      <w:r>
        <w:rPr>
          <w:rFonts w:ascii="Arial" w:hAnsi="Arial" w:cs="Arial"/>
        </w:rPr>
        <w:t xml:space="preserve"> Urinary i</w:t>
      </w:r>
      <w:r w:rsidRPr="00A706DC">
        <w:rPr>
          <w:rFonts w:ascii="Arial" w:hAnsi="Arial" w:cs="Arial"/>
        </w:rPr>
        <w:t xml:space="preserve">soprostanes/creatinine ratio </w:t>
      </w:r>
      <w:r>
        <w:rPr>
          <w:rFonts w:ascii="Arial" w:hAnsi="Arial" w:cs="Arial"/>
        </w:rPr>
        <w:t>by diet treatment and week</w:t>
      </w:r>
    </w:p>
    <w:p w:rsidR="00330CF1" w:rsidRPr="00404090" w:rsidRDefault="00330CF1" w:rsidP="005E6756">
      <w:pPr>
        <w:jc w:val="center"/>
        <w:rPr>
          <w:rFonts w:ascii="Arial" w:hAnsi="Arial" w:cs="Arial"/>
          <w:color w:val="C00000"/>
        </w:rPr>
      </w:pPr>
      <w:r w:rsidRPr="00A706DC">
        <w:rPr>
          <w:rFonts w:ascii="Arial" w:hAnsi="Arial" w:cs="Arial"/>
        </w:rPr>
        <w:t>(Mean ± SEM</w:t>
      </w:r>
      <w:r w:rsidRPr="00404090">
        <w:rPr>
          <w:rFonts w:ascii="Arial" w:hAnsi="Arial" w:cs="Arial"/>
          <w:color w:val="C00000"/>
        </w:rPr>
        <w:t>)</w:t>
      </w:r>
    </w:p>
    <w:p w:rsidR="00330CF1" w:rsidRPr="00722C71" w:rsidRDefault="00330CF1" w:rsidP="005E6756">
      <w:pPr>
        <w:jc w:val="center"/>
        <w:rPr>
          <w:rFonts w:ascii="Arial" w:hAnsi="Arial" w:cs="Arial"/>
        </w:rPr>
      </w:pPr>
    </w:p>
    <w:tbl>
      <w:tblPr>
        <w:tblStyle w:val="TableGrid"/>
        <w:tblW w:w="0" w:type="auto"/>
        <w:tblLook w:val="04A0" w:firstRow="1" w:lastRow="0" w:firstColumn="1" w:lastColumn="0" w:noHBand="0" w:noVBand="1"/>
      </w:tblPr>
      <w:tblGrid>
        <w:gridCol w:w="2698"/>
        <w:gridCol w:w="1950"/>
        <w:gridCol w:w="2110"/>
        <w:gridCol w:w="2098"/>
      </w:tblGrid>
      <w:tr w:rsidR="00330CF1" w:rsidRPr="00722C71" w:rsidTr="004A3330">
        <w:tc>
          <w:tcPr>
            <w:tcW w:w="2698" w:type="dxa"/>
          </w:tcPr>
          <w:p w:rsidR="00330CF1" w:rsidRPr="00722C71" w:rsidRDefault="00330CF1" w:rsidP="00530C2E">
            <w:pPr>
              <w:rPr>
                <w:rFonts w:ascii="Arial" w:hAnsi="Arial" w:cs="Arial"/>
              </w:rPr>
            </w:pPr>
            <w:r w:rsidRPr="00722C71">
              <w:rPr>
                <w:rFonts w:ascii="Arial" w:hAnsi="Arial" w:cs="Arial"/>
              </w:rPr>
              <w:t>Analyte/Week</w:t>
            </w:r>
          </w:p>
        </w:tc>
        <w:tc>
          <w:tcPr>
            <w:tcW w:w="1950" w:type="dxa"/>
          </w:tcPr>
          <w:p w:rsidR="00330CF1" w:rsidRPr="00722C71" w:rsidRDefault="00330CF1" w:rsidP="00530C2E">
            <w:pPr>
              <w:jc w:val="center"/>
              <w:rPr>
                <w:rFonts w:ascii="Arial" w:hAnsi="Arial" w:cs="Arial"/>
              </w:rPr>
            </w:pPr>
            <w:r>
              <w:rPr>
                <w:rFonts w:ascii="Arial" w:hAnsi="Arial" w:cs="Arial"/>
              </w:rPr>
              <w:t>Control</w:t>
            </w:r>
          </w:p>
        </w:tc>
        <w:tc>
          <w:tcPr>
            <w:tcW w:w="2110" w:type="dxa"/>
          </w:tcPr>
          <w:p w:rsidR="00330CF1" w:rsidRPr="00722C71" w:rsidRDefault="00330CF1" w:rsidP="00530C2E">
            <w:pPr>
              <w:jc w:val="center"/>
              <w:rPr>
                <w:rFonts w:ascii="Arial" w:hAnsi="Arial" w:cs="Arial"/>
              </w:rPr>
            </w:pPr>
            <w:r>
              <w:rPr>
                <w:rFonts w:ascii="Arial" w:hAnsi="Arial" w:cs="Arial"/>
              </w:rPr>
              <w:t>Commercial Raw</w:t>
            </w:r>
          </w:p>
        </w:tc>
        <w:tc>
          <w:tcPr>
            <w:tcW w:w="2098" w:type="dxa"/>
          </w:tcPr>
          <w:p w:rsidR="00330CF1" w:rsidRPr="00722C71" w:rsidRDefault="00330CF1" w:rsidP="00530C2E">
            <w:pPr>
              <w:jc w:val="center"/>
              <w:rPr>
                <w:rFonts w:ascii="Arial" w:hAnsi="Arial" w:cs="Arial"/>
              </w:rPr>
            </w:pPr>
            <w:r>
              <w:rPr>
                <w:rFonts w:ascii="Arial" w:hAnsi="Arial" w:cs="Arial"/>
              </w:rPr>
              <w:t>Homemade Raw</w:t>
            </w:r>
          </w:p>
        </w:tc>
      </w:tr>
      <w:tr w:rsidR="00330CF1" w:rsidRPr="00722C71" w:rsidTr="004A3330">
        <w:tc>
          <w:tcPr>
            <w:tcW w:w="2698" w:type="dxa"/>
          </w:tcPr>
          <w:p w:rsidR="00330CF1" w:rsidRPr="00722C71" w:rsidRDefault="00330CF1" w:rsidP="00530C2E">
            <w:pPr>
              <w:rPr>
                <w:rFonts w:ascii="Arial" w:hAnsi="Arial" w:cs="Arial"/>
              </w:rPr>
            </w:pPr>
            <w:r w:rsidRPr="00722C71">
              <w:rPr>
                <w:rFonts w:ascii="Arial" w:hAnsi="Arial" w:cs="Arial"/>
              </w:rPr>
              <w:t>Isoprostanes</w:t>
            </w:r>
            <w:r>
              <w:rPr>
                <w:rFonts w:ascii="Arial" w:hAnsi="Arial" w:cs="Arial"/>
              </w:rPr>
              <w:t>/creatinine</w:t>
            </w:r>
            <w:r w:rsidRPr="00722C71">
              <w:rPr>
                <w:rFonts w:ascii="Arial" w:hAnsi="Arial" w:cs="Arial"/>
              </w:rPr>
              <w:t xml:space="preserve"> ratio</w:t>
            </w:r>
            <w:r>
              <w:rPr>
                <w:rFonts w:ascii="Arial" w:hAnsi="Arial" w:cs="Arial"/>
              </w:rPr>
              <w:t>(ng/mg Creatinine)</w:t>
            </w:r>
          </w:p>
        </w:tc>
        <w:tc>
          <w:tcPr>
            <w:tcW w:w="1950" w:type="dxa"/>
          </w:tcPr>
          <w:p w:rsidR="00330CF1" w:rsidRPr="00722C71" w:rsidRDefault="00330CF1" w:rsidP="00530C2E">
            <w:pPr>
              <w:jc w:val="center"/>
              <w:rPr>
                <w:rFonts w:ascii="Arial" w:hAnsi="Arial" w:cs="Arial"/>
              </w:rPr>
            </w:pPr>
          </w:p>
        </w:tc>
        <w:tc>
          <w:tcPr>
            <w:tcW w:w="2110" w:type="dxa"/>
          </w:tcPr>
          <w:p w:rsidR="00330CF1" w:rsidRPr="00722C71" w:rsidRDefault="00330CF1" w:rsidP="00530C2E">
            <w:pPr>
              <w:jc w:val="center"/>
              <w:rPr>
                <w:rFonts w:ascii="Arial" w:hAnsi="Arial" w:cs="Arial"/>
              </w:rPr>
            </w:pPr>
          </w:p>
        </w:tc>
        <w:tc>
          <w:tcPr>
            <w:tcW w:w="2098" w:type="dxa"/>
          </w:tcPr>
          <w:p w:rsidR="00330CF1" w:rsidRPr="00722C71" w:rsidRDefault="00330CF1" w:rsidP="00530C2E">
            <w:pPr>
              <w:jc w:val="center"/>
              <w:rPr>
                <w:rFonts w:ascii="Arial" w:hAnsi="Arial" w:cs="Arial"/>
              </w:rPr>
            </w:pPr>
          </w:p>
        </w:tc>
      </w:tr>
      <w:tr w:rsidR="00330CF1" w:rsidRPr="00722C71" w:rsidTr="004A3330">
        <w:tc>
          <w:tcPr>
            <w:tcW w:w="2698" w:type="dxa"/>
          </w:tcPr>
          <w:p w:rsidR="00330CF1" w:rsidRPr="00722C71" w:rsidRDefault="00330CF1" w:rsidP="00530C2E">
            <w:pPr>
              <w:rPr>
                <w:rFonts w:ascii="Arial" w:hAnsi="Arial" w:cs="Arial"/>
              </w:rPr>
            </w:pPr>
            <w:r w:rsidRPr="00722C71">
              <w:rPr>
                <w:rFonts w:ascii="Arial" w:hAnsi="Arial" w:cs="Arial"/>
              </w:rPr>
              <w:t xml:space="preserve">   Week 0</w:t>
            </w:r>
          </w:p>
        </w:tc>
        <w:tc>
          <w:tcPr>
            <w:tcW w:w="1950" w:type="dxa"/>
          </w:tcPr>
          <w:p w:rsidR="00330CF1" w:rsidRPr="00193F63" w:rsidRDefault="00330CF1" w:rsidP="00530C2E">
            <w:pPr>
              <w:jc w:val="center"/>
              <w:rPr>
                <w:rFonts w:ascii="Arial" w:hAnsi="Arial" w:cs="Arial"/>
                <w:vertAlign w:val="superscript"/>
              </w:rPr>
            </w:pPr>
            <w:r>
              <w:rPr>
                <w:rFonts w:ascii="Arial" w:hAnsi="Arial" w:cs="Arial"/>
              </w:rPr>
              <w:t>1.659</w:t>
            </w:r>
            <w:r w:rsidRPr="00722C71">
              <w:rPr>
                <w:rFonts w:ascii="Arial" w:hAnsi="Arial" w:cs="Arial"/>
              </w:rPr>
              <w:t xml:space="preserve"> ± 0.</w:t>
            </w:r>
            <w:r>
              <w:rPr>
                <w:rFonts w:ascii="Arial" w:hAnsi="Arial" w:cs="Arial"/>
              </w:rPr>
              <w:t>372</w:t>
            </w:r>
            <w:r>
              <w:rPr>
                <w:rFonts w:ascii="Arial" w:hAnsi="Arial" w:cs="Arial"/>
                <w:vertAlign w:val="superscript"/>
              </w:rPr>
              <w:t>a</w:t>
            </w:r>
          </w:p>
        </w:tc>
        <w:tc>
          <w:tcPr>
            <w:tcW w:w="2110" w:type="dxa"/>
          </w:tcPr>
          <w:p w:rsidR="00330CF1" w:rsidRPr="00193F63" w:rsidRDefault="00330CF1" w:rsidP="00530C2E">
            <w:pPr>
              <w:jc w:val="center"/>
              <w:rPr>
                <w:rFonts w:ascii="Arial" w:hAnsi="Arial" w:cs="Arial"/>
                <w:vertAlign w:val="superscript"/>
              </w:rPr>
            </w:pPr>
            <w:r>
              <w:rPr>
                <w:rFonts w:ascii="Arial" w:hAnsi="Arial" w:cs="Arial"/>
              </w:rPr>
              <w:t>2.519</w:t>
            </w:r>
            <w:r w:rsidRPr="00722C71">
              <w:rPr>
                <w:rFonts w:ascii="Arial" w:hAnsi="Arial" w:cs="Arial"/>
              </w:rPr>
              <w:t xml:space="preserve"> ± 0.</w:t>
            </w:r>
            <w:r>
              <w:rPr>
                <w:rFonts w:ascii="Arial" w:hAnsi="Arial" w:cs="Arial"/>
              </w:rPr>
              <w:t>372</w:t>
            </w:r>
            <w:r>
              <w:rPr>
                <w:rFonts w:ascii="Arial" w:hAnsi="Arial" w:cs="Arial"/>
                <w:vertAlign w:val="superscript"/>
              </w:rPr>
              <w:t>a</w:t>
            </w:r>
          </w:p>
        </w:tc>
        <w:tc>
          <w:tcPr>
            <w:tcW w:w="2098" w:type="dxa"/>
          </w:tcPr>
          <w:p w:rsidR="00330CF1" w:rsidRPr="00193F63" w:rsidRDefault="00330CF1" w:rsidP="00530C2E">
            <w:pPr>
              <w:jc w:val="center"/>
              <w:rPr>
                <w:rFonts w:ascii="Arial" w:hAnsi="Arial" w:cs="Arial"/>
                <w:vertAlign w:val="superscript"/>
              </w:rPr>
            </w:pPr>
            <w:r>
              <w:rPr>
                <w:rFonts w:ascii="Arial" w:hAnsi="Arial" w:cs="Arial"/>
              </w:rPr>
              <w:t>2.185</w:t>
            </w:r>
            <w:r w:rsidRPr="00722C71">
              <w:rPr>
                <w:rFonts w:ascii="Arial" w:hAnsi="Arial" w:cs="Arial"/>
              </w:rPr>
              <w:t xml:space="preserve"> ± 0.</w:t>
            </w:r>
            <w:r>
              <w:rPr>
                <w:rFonts w:ascii="Arial" w:hAnsi="Arial" w:cs="Arial"/>
              </w:rPr>
              <w:t>372</w:t>
            </w:r>
            <w:r>
              <w:rPr>
                <w:rFonts w:ascii="Arial" w:hAnsi="Arial" w:cs="Arial"/>
                <w:vertAlign w:val="superscript"/>
              </w:rPr>
              <w:t>a</w:t>
            </w:r>
          </w:p>
        </w:tc>
      </w:tr>
      <w:tr w:rsidR="00330CF1" w:rsidRPr="00722C71" w:rsidTr="004A3330">
        <w:tc>
          <w:tcPr>
            <w:tcW w:w="2698" w:type="dxa"/>
          </w:tcPr>
          <w:p w:rsidR="00330CF1" w:rsidRPr="00722C71" w:rsidRDefault="00330CF1" w:rsidP="00530C2E">
            <w:pPr>
              <w:rPr>
                <w:rFonts w:ascii="Arial" w:hAnsi="Arial" w:cs="Arial"/>
              </w:rPr>
            </w:pPr>
            <w:r w:rsidRPr="00722C71">
              <w:rPr>
                <w:rFonts w:ascii="Arial" w:hAnsi="Arial" w:cs="Arial"/>
              </w:rPr>
              <w:t xml:space="preserve">   Week 5</w:t>
            </w:r>
          </w:p>
        </w:tc>
        <w:tc>
          <w:tcPr>
            <w:tcW w:w="1950" w:type="dxa"/>
          </w:tcPr>
          <w:p w:rsidR="00330CF1" w:rsidRPr="00193F63" w:rsidRDefault="00330CF1" w:rsidP="00530C2E">
            <w:pPr>
              <w:jc w:val="center"/>
              <w:rPr>
                <w:rFonts w:ascii="Arial" w:hAnsi="Arial" w:cs="Arial"/>
                <w:vertAlign w:val="superscript"/>
              </w:rPr>
            </w:pPr>
            <w:r>
              <w:rPr>
                <w:rFonts w:ascii="Arial" w:hAnsi="Arial" w:cs="Arial"/>
              </w:rPr>
              <w:t>0.879</w:t>
            </w:r>
            <w:r w:rsidRPr="00722C71">
              <w:rPr>
                <w:rFonts w:ascii="Arial" w:hAnsi="Arial" w:cs="Arial"/>
              </w:rPr>
              <w:t xml:space="preserve"> ± 0.</w:t>
            </w:r>
            <w:r>
              <w:rPr>
                <w:rFonts w:ascii="Arial" w:hAnsi="Arial" w:cs="Arial"/>
              </w:rPr>
              <w:t>372</w:t>
            </w:r>
            <w:r>
              <w:rPr>
                <w:rFonts w:ascii="Arial" w:hAnsi="Arial" w:cs="Arial"/>
                <w:vertAlign w:val="superscript"/>
              </w:rPr>
              <w:t>bc</w:t>
            </w:r>
          </w:p>
        </w:tc>
        <w:tc>
          <w:tcPr>
            <w:tcW w:w="2110" w:type="dxa"/>
          </w:tcPr>
          <w:p w:rsidR="00330CF1" w:rsidRPr="00E9279D" w:rsidRDefault="00330CF1" w:rsidP="00530C2E">
            <w:pPr>
              <w:jc w:val="center"/>
              <w:rPr>
                <w:rFonts w:ascii="Arial" w:hAnsi="Arial" w:cs="Arial"/>
                <w:vertAlign w:val="superscript"/>
              </w:rPr>
            </w:pPr>
            <w:r>
              <w:rPr>
                <w:rFonts w:ascii="Arial" w:hAnsi="Arial" w:cs="Arial"/>
              </w:rPr>
              <w:t>1.726</w:t>
            </w:r>
            <w:r w:rsidRPr="00722C71">
              <w:rPr>
                <w:rFonts w:ascii="Arial" w:hAnsi="Arial" w:cs="Arial"/>
              </w:rPr>
              <w:t xml:space="preserve"> ± 0.</w:t>
            </w:r>
            <w:r>
              <w:rPr>
                <w:rFonts w:ascii="Arial" w:hAnsi="Arial" w:cs="Arial"/>
              </w:rPr>
              <w:t>372</w:t>
            </w:r>
            <w:r>
              <w:rPr>
                <w:rFonts w:ascii="Arial" w:hAnsi="Arial" w:cs="Arial"/>
                <w:vertAlign w:val="superscript"/>
              </w:rPr>
              <w:t>ab</w:t>
            </w:r>
          </w:p>
        </w:tc>
        <w:tc>
          <w:tcPr>
            <w:tcW w:w="2098" w:type="dxa"/>
          </w:tcPr>
          <w:p w:rsidR="00330CF1" w:rsidRPr="00265545" w:rsidRDefault="00330CF1" w:rsidP="00530C2E">
            <w:pPr>
              <w:jc w:val="center"/>
              <w:rPr>
                <w:rFonts w:ascii="Arial" w:hAnsi="Arial" w:cs="Arial"/>
                <w:vertAlign w:val="superscript"/>
              </w:rPr>
            </w:pPr>
            <w:r>
              <w:rPr>
                <w:rFonts w:ascii="Arial" w:hAnsi="Arial" w:cs="Arial"/>
              </w:rPr>
              <w:t>1.758 ± 0.372</w:t>
            </w:r>
            <w:r>
              <w:rPr>
                <w:rFonts w:ascii="Arial" w:hAnsi="Arial" w:cs="Arial"/>
                <w:vertAlign w:val="superscript"/>
              </w:rPr>
              <w:t>ab</w:t>
            </w:r>
          </w:p>
        </w:tc>
      </w:tr>
      <w:tr w:rsidR="00330CF1" w:rsidRPr="00722C71" w:rsidTr="004A3330">
        <w:tc>
          <w:tcPr>
            <w:tcW w:w="2698" w:type="dxa"/>
          </w:tcPr>
          <w:p w:rsidR="00330CF1" w:rsidRPr="00722C71" w:rsidRDefault="00330CF1" w:rsidP="00530C2E">
            <w:pPr>
              <w:rPr>
                <w:rFonts w:ascii="Arial" w:hAnsi="Arial" w:cs="Arial"/>
              </w:rPr>
            </w:pPr>
            <w:r w:rsidRPr="00722C71">
              <w:rPr>
                <w:rFonts w:ascii="Arial" w:hAnsi="Arial" w:cs="Arial"/>
              </w:rPr>
              <w:t xml:space="preserve">   Week 10</w:t>
            </w:r>
          </w:p>
        </w:tc>
        <w:tc>
          <w:tcPr>
            <w:tcW w:w="1950" w:type="dxa"/>
          </w:tcPr>
          <w:p w:rsidR="00330CF1" w:rsidRPr="00E9279D" w:rsidRDefault="00330CF1" w:rsidP="00530C2E">
            <w:pPr>
              <w:jc w:val="center"/>
              <w:rPr>
                <w:rFonts w:ascii="Arial" w:hAnsi="Arial" w:cs="Arial"/>
                <w:vertAlign w:val="superscript"/>
              </w:rPr>
            </w:pPr>
            <w:r>
              <w:rPr>
                <w:rFonts w:ascii="Arial" w:hAnsi="Arial" w:cs="Arial"/>
              </w:rPr>
              <w:t>0.917</w:t>
            </w:r>
            <w:r w:rsidRPr="00722C71">
              <w:rPr>
                <w:rFonts w:ascii="Arial" w:hAnsi="Arial" w:cs="Arial"/>
              </w:rPr>
              <w:t xml:space="preserve"> ± 0.</w:t>
            </w:r>
            <w:r>
              <w:rPr>
                <w:rFonts w:ascii="Arial" w:hAnsi="Arial" w:cs="Arial"/>
              </w:rPr>
              <w:t>372</w:t>
            </w:r>
            <w:r>
              <w:rPr>
                <w:rFonts w:ascii="Arial" w:hAnsi="Arial" w:cs="Arial"/>
                <w:vertAlign w:val="superscript"/>
              </w:rPr>
              <w:t>c</w:t>
            </w:r>
          </w:p>
        </w:tc>
        <w:tc>
          <w:tcPr>
            <w:tcW w:w="2110" w:type="dxa"/>
          </w:tcPr>
          <w:p w:rsidR="00330CF1" w:rsidRPr="00265545" w:rsidRDefault="00330CF1" w:rsidP="00530C2E">
            <w:pPr>
              <w:jc w:val="center"/>
              <w:rPr>
                <w:rFonts w:ascii="Arial" w:hAnsi="Arial" w:cs="Arial"/>
                <w:vertAlign w:val="superscript"/>
              </w:rPr>
            </w:pPr>
            <w:r>
              <w:rPr>
                <w:rFonts w:ascii="Arial" w:hAnsi="Arial" w:cs="Arial"/>
              </w:rPr>
              <w:t>1.603 ± 0.372</w:t>
            </w:r>
            <w:r>
              <w:rPr>
                <w:rFonts w:ascii="Arial" w:hAnsi="Arial" w:cs="Arial"/>
                <w:vertAlign w:val="superscript"/>
              </w:rPr>
              <w:t>abc</w:t>
            </w:r>
          </w:p>
        </w:tc>
        <w:tc>
          <w:tcPr>
            <w:tcW w:w="2098" w:type="dxa"/>
          </w:tcPr>
          <w:p w:rsidR="00330CF1" w:rsidRPr="00265545" w:rsidRDefault="00330CF1" w:rsidP="00530C2E">
            <w:pPr>
              <w:jc w:val="center"/>
              <w:rPr>
                <w:rFonts w:ascii="Arial" w:hAnsi="Arial" w:cs="Arial"/>
                <w:vertAlign w:val="superscript"/>
              </w:rPr>
            </w:pPr>
            <w:r>
              <w:rPr>
                <w:rFonts w:ascii="Arial" w:hAnsi="Arial" w:cs="Arial"/>
              </w:rPr>
              <w:t>0.920 ± 0.372</w:t>
            </w:r>
            <w:r>
              <w:rPr>
                <w:rFonts w:ascii="Arial" w:hAnsi="Arial" w:cs="Arial"/>
                <w:vertAlign w:val="superscript"/>
              </w:rPr>
              <w:t>c</w:t>
            </w:r>
          </w:p>
        </w:tc>
      </w:tr>
    </w:tbl>
    <w:p w:rsidR="00330CF1" w:rsidRPr="00687E70" w:rsidRDefault="00330CF1" w:rsidP="004A3330">
      <w:pPr>
        <w:rPr>
          <w:rFonts w:ascii="Arial" w:hAnsi="Arial" w:cs="Arial"/>
        </w:rPr>
      </w:pPr>
      <w:r>
        <w:rPr>
          <w:rFonts w:ascii="Arial" w:hAnsi="Arial" w:cs="Arial"/>
        </w:rPr>
        <w:t>NOTE: Different letter superscripts in both rows and columns indicate p values ≤ 0.05.  Data are non-transformed means and SEM.</w:t>
      </w:r>
    </w:p>
    <w:p w:rsidR="00330CF1" w:rsidRDefault="00330CF1" w:rsidP="00054C42"/>
    <w:p w:rsidR="00330CF1" w:rsidRDefault="00330CF1" w:rsidP="00054C42">
      <w:r>
        <w:br w:type="page"/>
      </w:r>
    </w:p>
    <w:p w:rsidR="00330CF1" w:rsidRDefault="00330CF1" w:rsidP="00054C42">
      <w:r>
        <w:rPr>
          <w:noProof/>
        </w:rPr>
        <w:lastRenderedPageBreak/>
        <w:drawing>
          <wp:inline distT="0" distB="0" distL="0" distR="0" wp14:anchorId="1B8FE780" wp14:editId="7AB0DDAE">
            <wp:extent cx="5362575" cy="3190875"/>
            <wp:effectExtent l="0" t="0" r="9525" b="9525"/>
            <wp:docPr id="28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4"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62575" cy="31908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330CF1" w:rsidRPr="00054C42" w:rsidRDefault="00330CF1" w:rsidP="00054C42"/>
    <w:p w:rsidR="00330CF1" w:rsidRDefault="00330CF1" w:rsidP="00B21046">
      <w:pPr>
        <w:rPr>
          <w:rFonts w:ascii="Arial" w:eastAsiaTheme="minorEastAsia" w:hAnsi="Arial" w:cs="Arial"/>
          <w:color w:val="000000" w:themeColor="text1"/>
          <w:kern w:val="24"/>
        </w:rPr>
      </w:pPr>
      <w:r w:rsidRPr="00B21046">
        <w:rPr>
          <w:rFonts w:ascii="Arial" w:hAnsi="Arial" w:cs="Arial"/>
          <w:b/>
        </w:rPr>
        <w:t xml:space="preserve">Figure 4.1 </w:t>
      </w:r>
      <w:r>
        <w:rPr>
          <w:rFonts w:ascii="Arial" w:hAnsi="Arial" w:cs="Arial"/>
        </w:rPr>
        <w:t xml:space="preserve">Urinary isoprostanes/creatinine </w:t>
      </w:r>
      <w:r w:rsidRPr="00B21046">
        <w:rPr>
          <w:rFonts w:ascii="Arial" w:hAnsi="Arial" w:cs="Arial"/>
        </w:rPr>
        <w:t>ratio</w:t>
      </w:r>
      <w:r w:rsidRPr="00CD16E2">
        <w:rPr>
          <w:rFonts w:ascii="Arial" w:hAnsi="Arial" w:cs="Arial"/>
        </w:rPr>
        <w:t xml:space="preserve"> </w:t>
      </w:r>
      <w:r>
        <w:rPr>
          <w:rFonts w:ascii="Arial" w:hAnsi="Arial" w:cs="Arial"/>
        </w:rPr>
        <w:t>l</w:t>
      </w:r>
      <w:r w:rsidRPr="00B21046">
        <w:rPr>
          <w:rFonts w:ascii="Arial" w:hAnsi="Arial" w:cs="Arial"/>
        </w:rPr>
        <w:t>og10 transformation</w:t>
      </w:r>
      <w:r>
        <w:rPr>
          <w:rFonts w:ascii="Arial" w:hAnsi="Arial" w:cs="Arial"/>
        </w:rPr>
        <w:t xml:space="preserve"> by diet treatment and week. </w:t>
      </w:r>
      <w:r w:rsidRPr="00B21046">
        <w:rPr>
          <w:rFonts w:ascii="Arial" w:hAnsi="Arial" w:cs="Arial"/>
          <w:b/>
        </w:rPr>
        <w:t xml:space="preserve"> </w:t>
      </w:r>
      <w:r w:rsidRPr="00B21046">
        <w:rPr>
          <w:rFonts w:ascii="Arial" w:eastAsiaTheme="minorEastAsia" w:hAnsi="Arial" w:cs="Arial"/>
          <w:color w:val="000000" w:themeColor="text1"/>
          <w:kern w:val="24"/>
        </w:rPr>
        <w:t>The top and bottom of the box represent the 25% and 75%, while the band near the middle is the median.  Whiskers go from the smallest to the highest value.</w:t>
      </w:r>
    </w:p>
    <w:p w:rsidR="00330CF1" w:rsidRDefault="00330CF1" w:rsidP="00B21046">
      <w:pPr>
        <w:rPr>
          <w:rFonts w:ascii="Arial" w:hAnsi="Arial" w:cs="Arial"/>
        </w:rPr>
      </w:pPr>
    </w:p>
    <w:p w:rsidR="00330CF1" w:rsidRPr="00B21046" w:rsidRDefault="00330CF1" w:rsidP="00B21046">
      <w:pPr>
        <w:rPr>
          <w:rFonts w:ascii="Arial" w:hAnsi="Arial" w:cs="Arial"/>
        </w:rPr>
      </w:pPr>
    </w:p>
    <w:p w:rsidR="00330CF1" w:rsidRDefault="00330CF1" w:rsidP="009F7C9F">
      <w:pPr>
        <w:pStyle w:val="Heading1"/>
        <w:rPr>
          <w:b w:val="0"/>
          <w:sz w:val="24"/>
        </w:rPr>
      </w:pPr>
      <w:r>
        <w:rPr>
          <w:rFonts w:cs="Arial"/>
          <w:b w:val="0"/>
          <w:sz w:val="24"/>
        </w:rPr>
        <w:t xml:space="preserve">     </w:t>
      </w:r>
      <w:r>
        <w:rPr>
          <w:b w:val="0"/>
          <w:sz w:val="24"/>
        </w:rPr>
        <w:t xml:space="preserve">Table 4.4 lists the correlation coefficients for each group of assays. </w:t>
      </w:r>
      <w:r w:rsidRPr="006B171B">
        <w:rPr>
          <w:b w:val="0"/>
          <w:sz w:val="24"/>
        </w:rPr>
        <w:t xml:space="preserve">There was  </w:t>
      </w:r>
      <w:r>
        <w:rPr>
          <w:b w:val="0"/>
          <w:sz w:val="24"/>
        </w:rPr>
        <w:t>a strong correlation (R=0.97) between</w:t>
      </w:r>
      <w:r w:rsidRPr="006B171B">
        <w:rPr>
          <w:b w:val="0"/>
          <w:sz w:val="24"/>
        </w:rPr>
        <w:t xml:space="preserve"> the i</w:t>
      </w:r>
      <w:r>
        <w:rPr>
          <w:b w:val="0"/>
          <w:sz w:val="24"/>
        </w:rPr>
        <w:t>mmunoassay and colorimetric</w:t>
      </w:r>
      <w:r w:rsidRPr="006B171B">
        <w:rPr>
          <w:b w:val="0"/>
          <w:sz w:val="24"/>
        </w:rPr>
        <w:t xml:space="preserve"> </w:t>
      </w:r>
      <w:r>
        <w:rPr>
          <w:b w:val="0"/>
          <w:sz w:val="24"/>
        </w:rPr>
        <w:t xml:space="preserve">methods </w:t>
      </w:r>
      <w:r w:rsidRPr="006B171B">
        <w:rPr>
          <w:b w:val="0"/>
          <w:sz w:val="24"/>
        </w:rPr>
        <w:t>for</w:t>
      </w:r>
      <w:r>
        <w:rPr>
          <w:b w:val="0"/>
          <w:sz w:val="24"/>
        </w:rPr>
        <w:t xml:space="preserve"> creatinine concentration levels.  A weak correlation level was found between the two methods for analyzing urinary isoprostanes (R=0.38) and a moderate to strong correlation (R=0.76) was found between the two methods for the isoprostane/creatinine ratio.</w:t>
      </w:r>
    </w:p>
    <w:p w:rsidR="00330CF1" w:rsidRDefault="00330CF1" w:rsidP="00392539">
      <w:pPr>
        <w:pStyle w:val="Heading1"/>
      </w:pPr>
      <w:bookmarkStart w:id="46" w:name="_Toc305485878"/>
    </w:p>
    <w:p w:rsidR="00330CF1" w:rsidRDefault="00330CF1" w:rsidP="00392539">
      <w:pPr>
        <w:pStyle w:val="Heading1"/>
      </w:pPr>
    </w:p>
    <w:p w:rsidR="00330CF1" w:rsidRPr="00A706DC" w:rsidRDefault="00330CF1" w:rsidP="0086645A">
      <w:pPr>
        <w:pStyle w:val="Heading1"/>
        <w:jc w:val="center"/>
        <w:rPr>
          <w:b w:val="0"/>
          <w:sz w:val="24"/>
        </w:rPr>
      </w:pPr>
      <w:r w:rsidRPr="00A706DC">
        <w:rPr>
          <w:sz w:val="24"/>
        </w:rPr>
        <w:t>Table 4.4</w:t>
      </w:r>
      <w:r w:rsidRPr="00A706DC">
        <w:rPr>
          <w:b w:val="0"/>
          <w:sz w:val="24"/>
        </w:rPr>
        <w:t xml:space="preserve"> Pearson Correlation coefficients for urinary isoprostane, creatinine and isoprostane/creatinine ratio</w:t>
      </w:r>
    </w:p>
    <w:p w:rsidR="00330CF1" w:rsidRDefault="00330CF1" w:rsidP="004A3330"/>
    <w:tbl>
      <w:tblPr>
        <w:tblStyle w:val="TableGrid"/>
        <w:tblW w:w="0" w:type="auto"/>
        <w:tblLook w:val="04A0" w:firstRow="1" w:lastRow="0" w:firstColumn="1" w:lastColumn="0" w:noHBand="0" w:noVBand="1"/>
      </w:tblPr>
      <w:tblGrid>
        <w:gridCol w:w="2358"/>
        <w:gridCol w:w="2070"/>
        <w:gridCol w:w="2610"/>
        <w:gridCol w:w="1818"/>
      </w:tblGrid>
      <w:tr w:rsidR="00330CF1" w:rsidTr="004218C0">
        <w:tc>
          <w:tcPr>
            <w:tcW w:w="2358" w:type="dxa"/>
          </w:tcPr>
          <w:p w:rsidR="00330CF1" w:rsidRPr="007C734D" w:rsidRDefault="00330CF1" w:rsidP="004218C0">
            <w:pPr>
              <w:rPr>
                <w:rFonts w:ascii="Arial" w:hAnsi="Arial" w:cs="Arial"/>
              </w:rPr>
            </w:pPr>
          </w:p>
        </w:tc>
        <w:tc>
          <w:tcPr>
            <w:tcW w:w="2070" w:type="dxa"/>
          </w:tcPr>
          <w:p w:rsidR="00330CF1" w:rsidRPr="007C734D" w:rsidRDefault="00330CF1" w:rsidP="004218C0">
            <w:pPr>
              <w:jc w:val="center"/>
              <w:rPr>
                <w:rFonts w:ascii="Arial" w:hAnsi="Arial" w:cs="Arial"/>
              </w:rPr>
            </w:pPr>
            <w:r>
              <w:rPr>
                <w:rFonts w:ascii="Arial" w:hAnsi="Arial" w:cs="Arial"/>
              </w:rPr>
              <w:t>GS-</w:t>
            </w:r>
            <w:r w:rsidRPr="007C734D">
              <w:rPr>
                <w:rFonts w:ascii="Arial" w:hAnsi="Arial" w:cs="Arial"/>
              </w:rPr>
              <w:t>MS Isoprostane</w:t>
            </w:r>
          </w:p>
        </w:tc>
        <w:tc>
          <w:tcPr>
            <w:tcW w:w="2610" w:type="dxa"/>
          </w:tcPr>
          <w:p w:rsidR="00330CF1" w:rsidRPr="007C734D" w:rsidRDefault="00330CF1" w:rsidP="004218C0">
            <w:pPr>
              <w:jc w:val="center"/>
              <w:rPr>
                <w:rFonts w:ascii="Arial" w:hAnsi="Arial" w:cs="Arial"/>
              </w:rPr>
            </w:pPr>
            <w:r w:rsidRPr="007C734D">
              <w:rPr>
                <w:rFonts w:ascii="Arial" w:hAnsi="Arial" w:cs="Arial"/>
              </w:rPr>
              <w:t>Color</w:t>
            </w:r>
            <w:r>
              <w:rPr>
                <w:rFonts w:ascii="Arial" w:hAnsi="Arial" w:cs="Arial"/>
              </w:rPr>
              <w:t>i</w:t>
            </w:r>
            <w:r w:rsidRPr="007C734D">
              <w:rPr>
                <w:rFonts w:ascii="Arial" w:hAnsi="Arial" w:cs="Arial"/>
              </w:rPr>
              <w:t>metric Creatinine</w:t>
            </w:r>
          </w:p>
        </w:tc>
        <w:tc>
          <w:tcPr>
            <w:tcW w:w="1818" w:type="dxa"/>
          </w:tcPr>
          <w:p w:rsidR="00330CF1" w:rsidRPr="007C734D" w:rsidRDefault="00330CF1" w:rsidP="004218C0">
            <w:pPr>
              <w:jc w:val="center"/>
              <w:rPr>
                <w:rFonts w:ascii="Arial" w:hAnsi="Arial" w:cs="Arial"/>
              </w:rPr>
            </w:pPr>
            <w:r>
              <w:rPr>
                <w:rFonts w:ascii="Arial" w:hAnsi="Arial" w:cs="Arial"/>
              </w:rPr>
              <w:t>GS-</w:t>
            </w:r>
            <w:r w:rsidRPr="007C734D">
              <w:rPr>
                <w:rFonts w:ascii="Arial" w:hAnsi="Arial" w:cs="Arial"/>
              </w:rPr>
              <w:t>MS Ratio</w:t>
            </w:r>
          </w:p>
        </w:tc>
      </w:tr>
      <w:tr w:rsidR="00330CF1" w:rsidTr="004218C0">
        <w:tc>
          <w:tcPr>
            <w:tcW w:w="2358" w:type="dxa"/>
          </w:tcPr>
          <w:p w:rsidR="00330CF1" w:rsidRPr="007C734D" w:rsidRDefault="00330CF1" w:rsidP="004218C0">
            <w:pPr>
              <w:rPr>
                <w:rFonts w:ascii="Arial" w:hAnsi="Arial" w:cs="Arial"/>
              </w:rPr>
            </w:pPr>
            <w:r w:rsidRPr="007C734D">
              <w:rPr>
                <w:rFonts w:ascii="Arial" w:hAnsi="Arial" w:cs="Arial"/>
              </w:rPr>
              <w:t>Immuno Isoprostane</w:t>
            </w:r>
          </w:p>
        </w:tc>
        <w:tc>
          <w:tcPr>
            <w:tcW w:w="2070" w:type="dxa"/>
          </w:tcPr>
          <w:p w:rsidR="00330CF1" w:rsidRPr="007C734D" w:rsidRDefault="00330CF1" w:rsidP="004218C0">
            <w:pPr>
              <w:jc w:val="center"/>
              <w:rPr>
                <w:rFonts w:ascii="Arial" w:hAnsi="Arial" w:cs="Arial"/>
              </w:rPr>
            </w:pPr>
            <w:r w:rsidRPr="007C734D">
              <w:rPr>
                <w:rFonts w:ascii="Arial" w:hAnsi="Arial" w:cs="Arial"/>
              </w:rPr>
              <w:t>0.38017</w:t>
            </w:r>
          </w:p>
        </w:tc>
        <w:tc>
          <w:tcPr>
            <w:tcW w:w="2610" w:type="dxa"/>
          </w:tcPr>
          <w:p w:rsidR="00330CF1" w:rsidRPr="007C734D" w:rsidRDefault="00330CF1" w:rsidP="004218C0">
            <w:pPr>
              <w:jc w:val="center"/>
              <w:rPr>
                <w:rFonts w:ascii="Arial" w:hAnsi="Arial" w:cs="Arial"/>
              </w:rPr>
            </w:pPr>
          </w:p>
        </w:tc>
        <w:tc>
          <w:tcPr>
            <w:tcW w:w="1818" w:type="dxa"/>
          </w:tcPr>
          <w:p w:rsidR="00330CF1" w:rsidRPr="007C734D" w:rsidRDefault="00330CF1" w:rsidP="004218C0">
            <w:pPr>
              <w:jc w:val="center"/>
              <w:rPr>
                <w:rFonts w:ascii="Arial" w:hAnsi="Arial" w:cs="Arial"/>
              </w:rPr>
            </w:pPr>
          </w:p>
        </w:tc>
      </w:tr>
      <w:tr w:rsidR="00330CF1" w:rsidTr="004218C0">
        <w:tc>
          <w:tcPr>
            <w:tcW w:w="2358" w:type="dxa"/>
          </w:tcPr>
          <w:p w:rsidR="00330CF1" w:rsidRPr="007C734D" w:rsidRDefault="00330CF1" w:rsidP="004218C0">
            <w:pPr>
              <w:rPr>
                <w:rFonts w:ascii="Arial" w:hAnsi="Arial" w:cs="Arial"/>
              </w:rPr>
            </w:pPr>
            <w:r w:rsidRPr="007C734D">
              <w:rPr>
                <w:rFonts w:ascii="Arial" w:hAnsi="Arial" w:cs="Arial"/>
              </w:rPr>
              <w:t>Immuno Creatinine</w:t>
            </w:r>
          </w:p>
        </w:tc>
        <w:tc>
          <w:tcPr>
            <w:tcW w:w="2070" w:type="dxa"/>
          </w:tcPr>
          <w:p w:rsidR="00330CF1" w:rsidRPr="007C734D" w:rsidRDefault="00330CF1" w:rsidP="004218C0">
            <w:pPr>
              <w:jc w:val="center"/>
              <w:rPr>
                <w:rFonts w:ascii="Arial" w:hAnsi="Arial" w:cs="Arial"/>
              </w:rPr>
            </w:pPr>
          </w:p>
        </w:tc>
        <w:tc>
          <w:tcPr>
            <w:tcW w:w="2610" w:type="dxa"/>
          </w:tcPr>
          <w:p w:rsidR="00330CF1" w:rsidRPr="007C734D" w:rsidRDefault="00330CF1" w:rsidP="004218C0">
            <w:pPr>
              <w:jc w:val="center"/>
              <w:rPr>
                <w:rFonts w:ascii="Arial" w:hAnsi="Arial" w:cs="Arial"/>
              </w:rPr>
            </w:pPr>
            <w:r w:rsidRPr="007C734D">
              <w:rPr>
                <w:rFonts w:ascii="Arial" w:hAnsi="Arial" w:cs="Arial"/>
              </w:rPr>
              <w:t>0.97173</w:t>
            </w:r>
          </w:p>
        </w:tc>
        <w:tc>
          <w:tcPr>
            <w:tcW w:w="1818" w:type="dxa"/>
          </w:tcPr>
          <w:p w:rsidR="00330CF1" w:rsidRPr="007C734D" w:rsidRDefault="00330CF1" w:rsidP="004218C0">
            <w:pPr>
              <w:jc w:val="center"/>
              <w:rPr>
                <w:rFonts w:ascii="Arial" w:hAnsi="Arial" w:cs="Arial"/>
              </w:rPr>
            </w:pPr>
          </w:p>
        </w:tc>
      </w:tr>
      <w:tr w:rsidR="00330CF1" w:rsidTr="004218C0">
        <w:tc>
          <w:tcPr>
            <w:tcW w:w="2358" w:type="dxa"/>
          </w:tcPr>
          <w:p w:rsidR="00330CF1" w:rsidRPr="007C734D" w:rsidRDefault="00330CF1" w:rsidP="004218C0">
            <w:pPr>
              <w:rPr>
                <w:rFonts w:ascii="Arial" w:hAnsi="Arial" w:cs="Arial"/>
              </w:rPr>
            </w:pPr>
            <w:r w:rsidRPr="007C734D">
              <w:rPr>
                <w:rFonts w:ascii="Arial" w:hAnsi="Arial" w:cs="Arial"/>
              </w:rPr>
              <w:t>Immuno Ratio</w:t>
            </w:r>
          </w:p>
        </w:tc>
        <w:tc>
          <w:tcPr>
            <w:tcW w:w="2070" w:type="dxa"/>
          </w:tcPr>
          <w:p w:rsidR="00330CF1" w:rsidRPr="007C734D" w:rsidRDefault="00330CF1" w:rsidP="004218C0">
            <w:pPr>
              <w:jc w:val="center"/>
              <w:rPr>
                <w:rFonts w:ascii="Arial" w:hAnsi="Arial" w:cs="Arial"/>
              </w:rPr>
            </w:pPr>
          </w:p>
        </w:tc>
        <w:tc>
          <w:tcPr>
            <w:tcW w:w="2610" w:type="dxa"/>
          </w:tcPr>
          <w:p w:rsidR="00330CF1" w:rsidRPr="007C734D" w:rsidRDefault="00330CF1" w:rsidP="004218C0">
            <w:pPr>
              <w:jc w:val="center"/>
              <w:rPr>
                <w:rFonts w:ascii="Arial" w:hAnsi="Arial" w:cs="Arial"/>
              </w:rPr>
            </w:pPr>
          </w:p>
        </w:tc>
        <w:tc>
          <w:tcPr>
            <w:tcW w:w="1818" w:type="dxa"/>
          </w:tcPr>
          <w:p w:rsidR="00330CF1" w:rsidRPr="007C734D" w:rsidRDefault="00330CF1" w:rsidP="004218C0">
            <w:pPr>
              <w:jc w:val="center"/>
              <w:rPr>
                <w:rFonts w:ascii="Arial" w:hAnsi="Arial" w:cs="Arial"/>
              </w:rPr>
            </w:pPr>
            <w:r w:rsidRPr="007C734D">
              <w:rPr>
                <w:rFonts w:ascii="Arial" w:hAnsi="Arial" w:cs="Arial"/>
              </w:rPr>
              <w:t>0.76597</w:t>
            </w:r>
          </w:p>
        </w:tc>
      </w:tr>
    </w:tbl>
    <w:p w:rsidR="00330CF1" w:rsidRDefault="00330CF1" w:rsidP="005E6756">
      <w:pPr>
        <w:rPr>
          <w:rFonts w:ascii="Arial" w:hAnsi="Arial"/>
          <w:b/>
          <w:bCs/>
          <w:sz w:val="28"/>
        </w:rPr>
      </w:pPr>
    </w:p>
    <w:p w:rsidR="00330CF1" w:rsidRDefault="00330CF1" w:rsidP="00392539">
      <w:pPr>
        <w:pStyle w:val="Heading1"/>
      </w:pPr>
      <w:r>
        <w:t xml:space="preserve">    </w:t>
      </w:r>
    </w:p>
    <w:p w:rsidR="00330CF1" w:rsidRDefault="00330CF1" w:rsidP="00392539">
      <w:pPr>
        <w:pStyle w:val="Heading1"/>
        <w:rPr>
          <w:b w:val="0"/>
          <w:sz w:val="24"/>
        </w:rPr>
      </w:pPr>
      <w:r>
        <w:t xml:space="preserve"> </w:t>
      </w:r>
      <w:r>
        <w:rPr>
          <w:b w:val="0"/>
          <w:sz w:val="24"/>
        </w:rPr>
        <w:t xml:space="preserve">  </w:t>
      </w:r>
    </w:p>
    <w:bookmarkEnd w:id="46"/>
    <w:p w:rsidR="00330CF1" w:rsidRDefault="00330CF1" w:rsidP="009F7C9F">
      <w:pPr>
        <w:pStyle w:val="Heading1"/>
        <w:jc w:val="center"/>
      </w:pPr>
      <w:r>
        <w:lastRenderedPageBreak/>
        <w:t>Discussion</w:t>
      </w:r>
    </w:p>
    <w:p w:rsidR="00330CF1" w:rsidRDefault="00330CF1" w:rsidP="006B171B"/>
    <w:p w:rsidR="00330CF1" w:rsidRDefault="00330CF1" w:rsidP="006B171B">
      <w:pPr>
        <w:rPr>
          <w:rFonts w:ascii="Arial" w:hAnsi="Arial" w:cs="Arial"/>
        </w:rPr>
      </w:pPr>
      <w:r>
        <w:rPr>
          <w:rFonts w:ascii="Arial" w:hAnsi="Arial" w:cs="Arial"/>
        </w:rPr>
        <w:t xml:space="preserve">     Common causes of increased oxidative stress in mammals include hypoxia, infection, inflammation, neoplasia, phagocytic immune responses, drug metabolism, hyperglycemia, and ultraviolet radiation.</w:t>
      </w:r>
      <w:r>
        <w:rPr>
          <w:rFonts w:ascii="Arial" w:hAnsi="Arial" w:cs="Arial"/>
          <w:noProof/>
        </w:rPr>
        <w:t>[368]</w:t>
      </w:r>
      <w:r>
        <w:rPr>
          <w:rFonts w:ascii="Arial" w:hAnsi="Arial" w:cs="Arial"/>
        </w:rPr>
        <w:t xml:space="preserve">  Networks of both endogenous and exogenous antioxidants are utilized to combat these oxidative insults.  Endogenous compounds include the enzymes superoxide dismutase and catalase along with glutathione.</w:t>
      </w:r>
      <w:r>
        <w:rPr>
          <w:rFonts w:ascii="Arial" w:hAnsi="Arial" w:cs="Arial"/>
          <w:noProof/>
        </w:rPr>
        <w:t>[368]</w:t>
      </w:r>
      <w:r>
        <w:rPr>
          <w:rFonts w:ascii="Arial" w:hAnsi="Arial" w:cs="Arial"/>
        </w:rPr>
        <w:t xml:space="preserve">  Dietary exogenous antioxidants include Vitamin E, Vitamin C, carotenoids, and selenium.</w:t>
      </w:r>
      <w:r>
        <w:rPr>
          <w:rFonts w:ascii="Arial" w:hAnsi="Arial" w:cs="Arial"/>
          <w:noProof/>
        </w:rPr>
        <w:t>[369]</w:t>
      </w:r>
      <w:r>
        <w:rPr>
          <w:rFonts w:ascii="Arial" w:hAnsi="Arial" w:cs="Arial"/>
        </w:rPr>
        <w:t xml:space="preserve">  Diet can also increase levels of oxidative stress through ingestion of oxidized lipids and transition metals.</w:t>
      </w:r>
      <w:r>
        <w:rPr>
          <w:rFonts w:ascii="Arial" w:hAnsi="Arial" w:cs="Arial"/>
          <w:noProof/>
        </w:rPr>
        <w:t>[370]</w:t>
      </w:r>
    </w:p>
    <w:p w:rsidR="00330CF1" w:rsidRDefault="00330CF1" w:rsidP="006B171B">
      <w:pPr>
        <w:rPr>
          <w:rFonts w:ascii="Arial" w:hAnsi="Arial" w:cs="Arial"/>
        </w:rPr>
      </w:pPr>
      <w:r>
        <w:rPr>
          <w:rFonts w:ascii="Arial" w:hAnsi="Arial" w:cs="Arial"/>
        </w:rPr>
        <w:t xml:space="preserve">     All foods that contain lipids are susceptible to oxidation but especially affected are foods that are cooked to high temperatures and subsequently stored.</w:t>
      </w:r>
      <w:r>
        <w:rPr>
          <w:rFonts w:ascii="Arial" w:hAnsi="Arial" w:cs="Arial"/>
          <w:noProof/>
        </w:rPr>
        <w:t>[371]</w:t>
      </w:r>
      <w:r>
        <w:rPr>
          <w:rFonts w:ascii="Arial" w:hAnsi="Arial" w:cs="Arial"/>
        </w:rPr>
        <w:t xml:space="preserve">  Severe processing conditions, such as those used in extrusion, can reduce lipid stability resulting in increased levels of lipid peroxide and secondary lipid oxidation products.</w:t>
      </w:r>
      <w:r>
        <w:rPr>
          <w:rFonts w:ascii="Arial" w:hAnsi="Arial" w:cs="Arial"/>
          <w:noProof/>
        </w:rPr>
        <w:t>[372]</w:t>
      </w:r>
      <w:r>
        <w:rPr>
          <w:rFonts w:ascii="Arial" w:hAnsi="Arial" w:cs="Arial"/>
        </w:rPr>
        <w:t xml:space="preserve">  Peroxidized fats increase the turnover of Vitamin E and consequently increase the requirement for Vitamin E despite dietary nutritionally adequate amounts.</w:t>
      </w:r>
      <w:r>
        <w:rPr>
          <w:rFonts w:ascii="Arial" w:hAnsi="Arial" w:cs="Arial"/>
          <w:noProof/>
        </w:rPr>
        <w:t>[370]</w:t>
      </w:r>
      <w:r>
        <w:rPr>
          <w:rFonts w:ascii="Arial" w:hAnsi="Arial" w:cs="Arial"/>
        </w:rPr>
        <w:t xml:space="preserve">  Differences in levels of oxidative stress related to diet therefore could  be related to processing conditions, and/or levels of endogenous and exogenous pro-oxidants and antioxidants in the diet.  </w:t>
      </w:r>
    </w:p>
    <w:p w:rsidR="00330CF1" w:rsidRDefault="00330CF1" w:rsidP="006B171B">
      <w:pPr>
        <w:rPr>
          <w:rFonts w:ascii="Arial" w:hAnsi="Arial" w:cs="Arial"/>
        </w:rPr>
      </w:pPr>
      <w:r>
        <w:rPr>
          <w:rFonts w:ascii="Arial" w:hAnsi="Arial" w:cs="Arial"/>
        </w:rPr>
        <w:t xml:space="preserve">     No significant differences were found between treatments at each time point but a trend toward reductions in oxidative stress was seen in all the diets over the 10 week trial.  All the kittens were weaned on a canned and dry extruded kitten food prior to entry into the feeding trial.  Measurements of oxidized lipids and lipid antioxidant levels in the diets were not done.  These overall reductions seen over the 10 week period may have been related to the content and level of antioxidants in each of the diets or the stresses associated with weaning.  The transition to independent feeding, greater environmental exposure and decreasing maternal antibodies could result in increased oxidative stress.</w:t>
      </w:r>
      <w:r>
        <w:rPr>
          <w:rFonts w:ascii="Arial" w:hAnsi="Arial" w:cs="Arial"/>
          <w:noProof/>
        </w:rPr>
        <w:t>[373]</w:t>
      </w:r>
      <w:r>
        <w:rPr>
          <w:rFonts w:ascii="Arial" w:hAnsi="Arial" w:cs="Arial"/>
        </w:rPr>
        <w:t xml:space="preserve">  To the author’s knowledge, no published studies have been performed looking at pre- and post- weaning levels of oxidative stress in kittens. </w:t>
      </w:r>
    </w:p>
    <w:p w:rsidR="00330CF1" w:rsidRDefault="00330CF1" w:rsidP="006B171B">
      <w:pPr>
        <w:rPr>
          <w:rFonts w:ascii="Arial" w:hAnsi="Arial" w:cs="Arial"/>
        </w:rPr>
      </w:pPr>
      <w:r>
        <w:rPr>
          <w:rFonts w:ascii="Arial" w:hAnsi="Arial" w:cs="Arial"/>
        </w:rPr>
        <w:t xml:space="preserve">     Another potential cause for the reduction in oxidative stress seen over time could be specific processing conditions.  Heat processing can increase or decrease free radical production in foods.  Some of the Maillard reaction products produced in heat processing possess antioxidant activity </w:t>
      </w:r>
      <w:r>
        <w:rPr>
          <w:rFonts w:ascii="Arial" w:hAnsi="Arial" w:cs="Arial"/>
          <w:noProof/>
        </w:rPr>
        <w:t>[224]</w:t>
      </w:r>
      <w:r>
        <w:rPr>
          <w:rFonts w:ascii="Arial" w:hAnsi="Arial" w:cs="Arial"/>
        </w:rPr>
        <w:t xml:space="preserve"> while heat processing disrupts muscle cell structure, inactivates endogenous anti-oxidant enzymes and releases oxygen from oxymyoglobin producing hydrogen peroxide.</w:t>
      </w:r>
      <w:r>
        <w:rPr>
          <w:rFonts w:ascii="Arial" w:hAnsi="Arial" w:cs="Arial"/>
          <w:noProof/>
        </w:rPr>
        <w:t>[374]</w:t>
      </w:r>
      <w:r>
        <w:rPr>
          <w:rFonts w:ascii="Arial" w:hAnsi="Arial" w:cs="Arial"/>
        </w:rPr>
        <w:t xml:space="preserve">  The kittens went from a canned and extruded diet to a canned heat processed diet or raw diets.  Processing through extrusion has been found to increase lipid oxidation.</w:t>
      </w:r>
      <w:r>
        <w:rPr>
          <w:rFonts w:ascii="Arial" w:hAnsi="Arial" w:cs="Arial"/>
          <w:noProof/>
        </w:rPr>
        <w:t>[372]</w:t>
      </w:r>
      <w:r>
        <w:rPr>
          <w:rFonts w:ascii="Arial" w:hAnsi="Arial" w:cs="Arial"/>
        </w:rPr>
        <w:t xml:space="preserve">  These effects have been attributed to increasing temperature, increase in surface area exposed, and an increase in transition metal content in the food secondary to high pressure on the metal extruder components.</w:t>
      </w:r>
      <w:r>
        <w:rPr>
          <w:rFonts w:ascii="Arial" w:hAnsi="Arial" w:cs="Arial"/>
          <w:noProof/>
        </w:rPr>
        <w:t>[372]</w:t>
      </w:r>
      <w:r>
        <w:rPr>
          <w:rFonts w:ascii="Arial" w:hAnsi="Arial" w:cs="Arial"/>
        </w:rPr>
        <w:t xml:space="preserve">  </w:t>
      </w:r>
    </w:p>
    <w:p w:rsidR="00330CF1" w:rsidRPr="0019139D" w:rsidRDefault="00330CF1" w:rsidP="006B171B">
      <w:r>
        <w:rPr>
          <w:rFonts w:ascii="Arial" w:hAnsi="Arial" w:cs="Arial"/>
        </w:rPr>
        <w:t xml:space="preserve">     Muscle tissue is a good source of the sulfur amino acids methionine and cysteine.</w:t>
      </w:r>
      <w:r>
        <w:rPr>
          <w:rFonts w:ascii="Arial" w:hAnsi="Arial" w:cs="Arial"/>
          <w:noProof/>
        </w:rPr>
        <w:t>[373]</w:t>
      </w:r>
      <w:r>
        <w:rPr>
          <w:rFonts w:ascii="Arial" w:hAnsi="Arial" w:cs="Arial"/>
        </w:rPr>
        <w:t xml:space="preserve">  Methionine is used for the production of glutathione.  Very high levels of animal protein as seen in the homemade raw diet (78% DM) may have reduced oxidative stress in this diet through higher production of glutathione.</w:t>
      </w: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sz w:val="32"/>
          <w:szCs w:val="32"/>
        </w:rPr>
        <w:lastRenderedPageBreak/>
        <w:t xml:space="preserve">     </w:t>
      </w:r>
      <w:r>
        <w:rPr>
          <w:rFonts w:ascii="Arial" w:hAnsi="Arial" w:cs="Arial"/>
        </w:rPr>
        <w:t xml:space="preserve">Inflammation and infection will increase systemic levels of oxidative stress through the production of free radicals in granulocytes. </w:t>
      </w:r>
      <w:r>
        <w:rPr>
          <w:rFonts w:ascii="Arial" w:hAnsi="Arial" w:cs="Arial"/>
          <w:noProof/>
        </w:rPr>
        <w:t>[139]</w:t>
      </w:r>
      <w:r>
        <w:rPr>
          <w:rFonts w:ascii="Arial" w:hAnsi="Arial" w:cs="Arial"/>
        </w:rPr>
        <w:t xml:space="preserve"> Microbial exposure was higher in raw meat diets (Table 6.3) but this did not seem to increase oxidative stress levels in the kittens fed these diets. </w:t>
      </w: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rPr>
        <w:t xml:space="preserve">     There was moderate to weak correlation between the immunoassay method and gas chromatography-mass spectro</w:t>
      </w:r>
      <w:r w:rsidRPr="00E31BB1">
        <w:rPr>
          <w:rFonts w:ascii="Arial" w:hAnsi="Arial" w:cs="Arial"/>
        </w:rPr>
        <w:t>scopy</w:t>
      </w:r>
      <w:r w:rsidRPr="00CD1175">
        <w:rPr>
          <w:rFonts w:ascii="Arial" w:hAnsi="Arial" w:cs="Arial"/>
          <w:color w:val="FF0000"/>
        </w:rPr>
        <w:t xml:space="preserve"> </w:t>
      </w:r>
      <w:r>
        <w:rPr>
          <w:rFonts w:ascii="Arial" w:hAnsi="Arial" w:cs="Arial"/>
        </w:rPr>
        <w:t xml:space="preserve">method for analysis of urinary isoprostanes alone (R=0.38).  The isoprostane immunoassay also had large interassay variability (32%).  Yet the correlation between the methods for isoprostane/creatinine ratio was strong (R=0.76).  While it does not seem reasonable to view any individual data as reliable, group trends in isoprostane level using the immunoassay may be interpreted with some </w:t>
      </w:r>
      <w:r w:rsidRPr="00320D16">
        <w:rPr>
          <w:rFonts w:ascii="Arial" w:hAnsi="Arial" w:cs="Arial"/>
        </w:rPr>
        <w:t>reliability.</w:t>
      </w:r>
      <w:r>
        <w:rPr>
          <w:rFonts w:ascii="Arial" w:hAnsi="Arial" w:cs="Arial"/>
        </w:rPr>
        <w:t xml:space="preserve"> </w:t>
      </w:r>
    </w:p>
    <w:p w:rsidR="00330CF1" w:rsidRPr="00001B46" w:rsidRDefault="00330CF1" w:rsidP="00001B4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330CF1" w:rsidRDefault="00330CF1" w:rsidP="002D4C91">
      <w:pPr>
        <w:pStyle w:val="StyleHeading1Centered"/>
        <w:jc w:val="left"/>
        <w:rPr>
          <w:b w:val="0"/>
          <w:caps w:val="0"/>
          <w:sz w:val="24"/>
          <w:szCs w:val="24"/>
        </w:rPr>
      </w:pPr>
    </w:p>
    <w:p w:rsidR="00330CF1" w:rsidRDefault="00330CF1" w:rsidP="009F7C9F">
      <w:pPr>
        <w:pStyle w:val="StyleHeading1Centered"/>
        <w:rPr>
          <w:caps w:val="0"/>
        </w:rPr>
      </w:pPr>
      <w:r>
        <w:t>C</w:t>
      </w:r>
      <w:r>
        <w:rPr>
          <w:caps w:val="0"/>
        </w:rPr>
        <w:t>onclusions</w:t>
      </w:r>
    </w:p>
    <w:p w:rsidR="00330CF1" w:rsidRDefault="00330CF1" w:rsidP="009F7C9F">
      <w:pPr>
        <w:pStyle w:val="StyleHeading1Centered"/>
        <w:rPr>
          <w:caps w:val="0"/>
        </w:rPr>
      </w:pPr>
    </w:p>
    <w:p w:rsidR="00330CF1" w:rsidRPr="00001B46" w:rsidRDefault="00330CF1" w:rsidP="002D4C91">
      <w:pPr>
        <w:pStyle w:val="StyleHeading1Centered"/>
        <w:jc w:val="left"/>
        <w:rPr>
          <w:b w:val="0"/>
          <w:caps w:val="0"/>
          <w:sz w:val="24"/>
          <w:szCs w:val="24"/>
        </w:rPr>
      </w:pPr>
      <w:r>
        <w:rPr>
          <w:caps w:val="0"/>
        </w:rPr>
        <w:t xml:space="preserve">     </w:t>
      </w:r>
      <w:r>
        <w:rPr>
          <w:b w:val="0"/>
          <w:caps w:val="0"/>
          <w:sz w:val="24"/>
          <w:szCs w:val="24"/>
        </w:rPr>
        <w:t xml:space="preserve">No significant differences in levels of oxidative stress were found between a heat-processed canned diet and 2 raw meat diets in kittens.  There was a trend toward lower levels of oxidative stress in all of the groups over the 10 week feeding trial period.  These reductions may have been attributable to differing levels of antioxidants in each of the diets, stresses associated with weaning, and differences in pro-oxidants in an extruded vs. canned or raw diet.  Further studies examining effects of extrusion on oxidation in pet foods is warranted.  </w:t>
      </w:r>
    </w:p>
    <w:p w:rsidR="00330CF1" w:rsidRDefault="00330CF1" w:rsidP="00B9722A">
      <w:pPr>
        <w:pStyle w:val="StyleHeading1Centered"/>
        <w:rPr>
          <w:sz w:val="32"/>
          <w:szCs w:val="32"/>
        </w:rPr>
      </w:pPr>
      <w:r>
        <w:br w:type="page"/>
      </w:r>
      <w:bookmarkStart w:id="47" w:name="_Toc305485881"/>
      <w:r>
        <w:rPr>
          <w:sz w:val="32"/>
          <w:szCs w:val="32"/>
        </w:rPr>
        <w:lastRenderedPageBreak/>
        <w:t>Chapter V</w:t>
      </w:r>
    </w:p>
    <w:p w:rsidR="00330CF1" w:rsidRPr="00B9722A" w:rsidRDefault="00330CF1" w:rsidP="00B9722A">
      <w:pPr>
        <w:pStyle w:val="StyleHeading1Centered"/>
      </w:pPr>
      <w:r>
        <w:rPr>
          <w:sz w:val="32"/>
          <w:szCs w:val="32"/>
        </w:rPr>
        <w:t xml:space="preserve">Effects of Raw vs. Heat-Processed diets on Digestibility in </w:t>
      </w:r>
      <w:bookmarkEnd w:id="47"/>
      <w:r>
        <w:rPr>
          <w:sz w:val="32"/>
          <w:szCs w:val="32"/>
        </w:rPr>
        <w:t>Domestic Kittens and Cats</w:t>
      </w:r>
    </w:p>
    <w:p w:rsidR="00330CF1" w:rsidRDefault="00330CF1" w:rsidP="00B9722A">
      <w:pPr>
        <w:pStyle w:val="Heading1"/>
        <w:jc w:val="center"/>
      </w:pPr>
    </w:p>
    <w:p w:rsidR="00330CF1" w:rsidRDefault="00330CF1" w:rsidP="009F7C9F">
      <w:pPr>
        <w:pStyle w:val="Heading1"/>
        <w:jc w:val="center"/>
      </w:pPr>
      <w:bookmarkStart w:id="48" w:name="_Toc305485882"/>
      <w:r>
        <w:t>Introduction</w:t>
      </w:r>
      <w:bookmarkEnd w:id="48"/>
    </w:p>
    <w:p w:rsidR="00330CF1" w:rsidRPr="009F7C9F" w:rsidRDefault="00330CF1" w:rsidP="009F7C9F"/>
    <w:p w:rsidR="00330CF1" w:rsidRDefault="00330CF1" w:rsidP="00CD5562">
      <w:pPr>
        <w:autoSpaceDE w:val="0"/>
        <w:autoSpaceDN w:val="0"/>
        <w:adjustRightInd w:val="0"/>
        <w:rPr>
          <w:rFonts w:ascii="Arial" w:hAnsi="Arial" w:cs="Arial"/>
        </w:rPr>
      </w:pPr>
      <w:r>
        <w:rPr>
          <w:rFonts w:ascii="Arial" w:hAnsi="Arial" w:cs="Arial"/>
        </w:rPr>
        <w:t xml:space="preserve">     Nutrient digestibility of raw diets has not been well characterized in domestic felines.  Due to their strict carnivorous nature, protein is a key component in the feline diet.  Many factors affect protein digestibility.  A main effector is protein quality which includes amino acid composition, presence of any anti-nutritional factors such as trypsin inhibitors, phytates, tannins or fiber, and the storage and processing of the protein itself.</w:t>
      </w:r>
      <w:r>
        <w:rPr>
          <w:rFonts w:ascii="Arial" w:hAnsi="Arial" w:cs="Arial"/>
          <w:noProof/>
        </w:rPr>
        <w:t>[221]</w:t>
      </w:r>
      <w:r>
        <w:rPr>
          <w:rFonts w:ascii="Arial" w:hAnsi="Arial" w:cs="Arial"/>
        </w:rPr>
        <w:t xml:space="preserve">  The nutritional value of a protein depends on both the distribution of amino acids and their bioavailability.  Proteolytic enzymes in the gut may not be able to digest altered proteins if the protein is not recognized by the enzyme’s active site.</w:t>
      </w:r>
      <w:r>
        <w:rPr>
          <w:rFonts w:ascii="Arial" w:hAnsi="Arial" w:cs="Arial"/>
          <w:noProof/>
        </w:rPr>
        <w:t>[9]</w:t>
      </w:r>
      <w:r>
        <w:rPr>
          <w:rFonts w:ascii="Arial" w:hAnsi="Arial" w:cs="Arial"/>
        </w:rPr>
        <w:t xml:space="preserve">  If the modified amino acid or peptide is hydrolyzed, it may not be transported across the epithelial wall.  If the modified amino acid is absorbed, the animal may not be able to convert it back to its native form.</w:t>
      </w:r>
      <w:r>
        <w:rPr>
          <w:rFonts w:ascii="Arial" w:hAnsi="Arial" w:cs="Arial"/>
          <w:noProof/>
        </w:rPr>
        <w:t>[9]</w:t>
      </w:r>
    </w:p>
    <w:p w:rsidR="00330CF1" w:rsidRDefault="00330CF1" w:rsidP="00CD5562">
      <w:pPr>
        <w:autoSpaceDE w:val="0"/>
        <w:autoSpaceDN w:val="0"/>
        <w:adjustRightInd w:val="0"/>
        <w:rPr>
          <w:rFonts w:ascii="Arial" w:hAnsi="Arial" w:cs="Arial"/>
        </w:rPr>
      </w:pPr>
      <w:r>
        <w:rPr>
          <w:rFonts w:ascii="Arial" w:hAnsi="Arial" w:cs="Arial"/>
        </w:rPr>
        <w:t xml:space="preserve">     Proteins and amino acids can undergo significant chemical changes during processing.  Processing conditions include both chemical and physical factors such pressure, temperature, and water content.  Food proteins react with other food components such as sugars, fats, oxidizing agents, acids, alkali, polyphenols and food additives.</w:t>
      </w:r>
      <w:r>
        <w:rPr>
          <w:rFonts w:ascii="Arial" w:hAnsi="Arial" w:cs="Arial"/>
          <w:noProof/>
        </w:rPr>
        <w:t>[222]</w:t>
      </w:r>
      <w:r>
        <w:rPr>
          <w:rFonts w:ascii="Arial" w:hAnsi="Arial" w:cs="Arial"/>
        </w:rPr>
        <w:t xml:space="preserve">  The benefits of processing include food preservation, destruction of toxins and microorganisms, improved palatability, and convenience.  Processing can also both positively and negatively affect the bioavailability of nutrients.  Heating of certain plant proteins increases nutrient bioavailability secondary to destruction of intrinsic trypsin inhibitors</w:t>
      </w:r>
      <w:r>
        <w:rPr>
          <w:rFonts w:ascii="Arial" w:hAnsi="Arial" w:cs="Arial"/>
          <w:noProof/>
        </w:rPr>
        <w:t>[9]</w:t>
      </w:r>
      <w:r>
        <w:rPr>
          <w:rFonts w:ascii="Arial" w:hAnsi="Arial" w:cs="Arial"/>
        </w:rPr>
        <w:t>, but in general, heat treatment decreases animal protein bioavailability.</w:t>
      </w:r>
    </w:p>
    <w:p w:rsidR="00330CF1" w:rsidRDefault="00330CF1" w:rsidP="00CD5562">
      <w:pPr>
        <w:autoSpaceDE w:val="0"/>
        <w:autoSpaceDN w:val="0"/>
        <w:adjustRightInd w:val="0"/>
        <w:rPr>
          <w:rFonts w:ascii="Arial" w:hAnsi="Arial" w:cs="Arial"/>
        </w:rPr>
      </w:pPr>
      <w:r>
        <w:rPr>
          <w:rFonts w:ascii="Arial" w:hAnsi="Arial" w:cs="Arial"/>
        </w:rPr>
        <w:t xml:space="preserve">     Heat processing results in </w:t>
      </w:r>
      <w:r w:rsidRPr="009E41C6">
        <w:rPr>
          <w:rFonts w:ascii="Arial" w:hAnsi="Arial" w:cs="Arial"/>
        </w:rPr>
        <w:t xml:space="preserve">denaturing </w:t>
      </w:r>
      <w:r>
        <w:rPr>
          <w:rFonts w:ascii="Arial" w:hAnsi="Arial" w:cs="Arial"/>
        </w:rPr>
        <w:t>of proteins.  The loss of secondary and tertiary structure results in a loss of functionality.  Denaturing exposes reactive groups to reactions not previously possible when the protein was in its native confirmation.</w:t>
      </w:r>
      <w:r>
        <w:rPr>
          <w:rFonts w:ascii="Arial" w:hAnsi="Arial" w:cs="Arial"/>
          <w:noProof/>
        </w:rPr>
        <w:t>[9]</w:t>
      </w:r>
      <w:r>
        <w:rPr>
          <w:rFonts w:ascii="Arial" w:hAnsi="Arial" w:cs="Arial"/>
        </w:rPr>
        <w:t xml:space="preserve">  Processing effects on a range of amino acids include proteolysis, protein-crosslinking, amino acid racemization, protein-polyphenol reactions, oxidative reactions, and browning or Maillard reactions.</w:t>
      </w:r>
      <w:r>
        <w:rPr>
          <w:rFonts w:ascii="Arial" w:hAnsi="Arial" w:cs="Arial"/>
          <w:noProof/>
        </w:rPr>
        <w:t>[9]</w:t>
      </w:r>
    </w:p>
    <w:p w:rsidR="00330CF1" w:rsidRDefault="00330CF1" w:rsidP="00CD5562">
      <w:pPr>
        <w:autoSpaceDE w:val="0"/>
        <w:autoSpaceDN w:val="0"/>
        <w:adjustRightInd w:val="0"/>
        <w:rPr>
          <w:rFonts w:ascii="Arial" w:hAnsi="Arial" w:cs="Arial"/>
        </w:rPr>
      </w:pPr>
      <w:r>
        <w:rPr>
          <w:rFonts w:ascii="Arial" w:hAnsi="Arial" w:cs="Arial"/>
        </w:rPr>
        <w:t xml:space="preserve">     The Maillard reaction is a form of nonenzymatic browning resulting from the reaction between an amino group and reducing sugar with the application of heat.</w:t>
      </w:r>
      <w:r>
        <w:rPr>
          <w:rFonts w:ascii="Arial" w:hAnsi="Arial" w:cs="Arial"/>
          <w:noProof/>
        </w:rPr>
        <w:t>[224]</w:t>
      </w:r>
      <w:r>
        <w:rPr>
          <w:rFonts w:ascii="Arial" w:hAnsi="Arial" w:cs="Arial"/>
        </w:rPr>
        <w:t xml:space="preserve">  These compounds are responsible for many of the positive flavor, color and textural components of foods.  Reduction in bioavailability occurs due to damage to essential amino acid structure, and formation of potentially toxic compounds.</w:t>
      </w:r>
    </w:p>
    <w:p w:rsidR="00330CF1" w:rsidRDefault="00330CF1" w:rsidP="00D02632">
      <w:pPr>
        <w:autoSpaceDE w:val="0"/>
        <w:autoSpaceDN w:val="0"/>
        <w:adjustRightInd w:val="0"/>
        <w:rPr>
          <w:rFonts w:ascii="Arial" w:hAnsi="Arial" w:cs="Arial"/>
        </w:rPr>
      </w:pPr>
      <w:r>
        <w:rPr>
          <w:rFonts w:ascii="Arial" w:hAnsi="Arial" w:cs="Arial"/>
        </w:rPr>
        <w:t xml:space="preserve">     </w:t>
      </w:r>
      <w:r w:rsidRPr="006606DE">
        <w:rPr>
          <w:rFonts w:ascii="Arial" w:hAnsi="Arial" w:cs="Arial"/>
        </w:rPr>
        <w:t xml:space="preserve">Lysine is the most chemically reactive of the amino acids due to the presence of its side chain ε-amino group.  Heating in the absence of fats and carbohydrates can lead to </w:t>
      </w:r>
      <w:r>
        <w:rPr>
          <w:rFonts w:ascii="Arial" w:hAnsi="Arial" w:cs="Arial"/>
        </w:rPr>
        <w:t>the reaction of lysine residues with amide side chains forming the isopeptides glutamyl-lysine and aspartyl-lysine.  Heating, in the presence of reducing sugars, results in Maillard compounds.  Testing for lysine availability after processing in pet foods has been found to be significantly reduced.</w:t>
      </w:r>
      <w:r>
        <w:rPr>
          <w:rFonts w:ascii="Arial" w:hAnsi="Arial" w:cs="Arial"/>
          <w:noProof/>
        </w:rPr>
        <w:t>[208, 236]</w:t>
      </w:r>
      <w:r>
        <w:rPr>
          <w:rFonts w:ascii="Arial" w:hAnsi="Arial" w:cs="Arial"/>
        </w:rPr>
        <w:t xml:space="preserve">  Arginine can also undergo Maillard </w:t>
      </w:r>
      <w:r>
        <w:rPr>
          <w:rFonts w:ascii="Arial" w:hAnsi="Arial" w:cs="Arial"/>
        </w:rPr>
        <w:lastRenderedPageBreak/>
        <w:t>reactions and formation of cross-linked proteins.  Changes to methionine and cysteine are primarily due to oxidation during food processing forming sulfoxides and sulfones.  In one study, methionine bioavailability was reduced by 25% in heat processed casein compared to raw casein fed to growing kittens.</w:t>
      </w:r>
      <w:r>
        <w:rPr>
          <w:rFonts w:ascii="Arial" w:hAnsi="Arial" w:cs="Arial"/>
          <w:noProof/>
        </w:rPr>
        <w:t>[237]</w:t>
      </w:r>
      <w:r w:rsidRPr="00F664D6">
        <w:rPr>
          <w:rFonts w:ascii="Arial" w:hAnsi="Arial" w:cs="Arial"/>
        </w:rPr>
        <w:t xml:space="preserve">  Lysine, and methionine are the most common limiting amino acids in commercial cat foods.</w:t>
      </w:r>
      <w:r w:rsidRPr="00F664D6">
        <w:rPr>
          <w:rFonts w:ascii="Arial" w:hAnsi="Arial" w:cs="Arial"/>
          <w:noProof/>
        </w:rPr>
        <w:t>[12]</w:t>
      </w:r>
      <w:r w:rsidRPr="00F664D6">
        <w:rPr>
          <w:rFonts w:ascii="Arial" w:hAnsi="Arial" w:cs="Arial"/>
        </w:rPr>
        <w:t xml:space="preserve"> </w:t>
      </w:r>
    </w:p>
    <w:p w:rsidR="00330CF1" w:rsidRDefault="00330CF1" w:rsidP="00012430">
      <w:pPr>
        <w:rPr>
          <w:rFonts w:ascii="Arial" w:hAnsi="Arial" w:cs="Arial"/>
        </w:rPr>
      </w:pPr>
      <w:r>
        <w:rPr>
          <w:rFonts w:ascii="Arial" w:hAnsi="Arial" w:cs="Arial"/>
        </w:rPr>
        <w:t xml:space="preserve">     Heterocyclic amines (HAA) can be found in heat-processed muscle protein foods, formed from reactions of amino acids with creatinine.  These compounds not only decrease bioavailability but have been shown to be toxic.</w:t>
      </w:r>
      <w:r>
        <w:rPr>
          <w:rFonts w:ascii="Arial" w:hAnsi="Arial" w:cs="Arial"/>
          <w:noProof/>
        </w:rPr>
        <w:t>[224, 232]</w:t>
      </w:r>
      <w:r>
        <w:rPr>
          <w:rFonts w:ascii="Arial" w:hAnsi="Arial" w:cs="Arial"/>
        </w:rPr>
        <w:t xml:space="preserve">  Heterocyclic amines have been detected in all muscle sources when foods are cooked to well done or charred state.</w:t>
      </w:r>
      <w:r>
        <w:rPr>
          <w:rFonts w:ascii="Arial" w:hAnsi="Arial" w:cs="Arial"/>
          <w:noProof/>
        </w:rPr>
        <w:t>[232]</w:t>
      </w:r>
      <w:r>
        <w:rPr>
          <w:rFonts w:ascii="Arial" w:hAnsi="Arial" w:cs="Arial"/>
        </w:rPr>
        <w:t xml:space="preserve">  HAA’s have not been detected in raw meat prior to processing.</w:t>
      </w:r>
      <w:r>
        <w:rPr>
          <w:rFonts w:ascii="Arial" w:hAnsi="Arial" w:cs="Arial"/>
          <w:noProof/>
        </w:rPr>
        <w:t>[232]</w:t>
      </w:r>
      <w:r>
        <w:rPr>
          <w:rFonts w:ascii="Arial" w:hAnsi="Arial" w:cs="Arial"/>
        </w:rPr>
        <w:t xml:space="preserve">  HAAs found in cooked proteins are in the parts per billions or ng/gm food.  Testing in mice fed a pellet diet containing HAA’s in parts per million found that almost all of the HAAs are multisite carcinogens that induce highly significant increases in tumors compared with controls.</w:t>
      </w:r>
      <w:r>
        <w:rPr>
          <w:rFonts w:ascii="Arial" w:hAnsi="Arial" w:cs="Arial"/>
          <w:noProof/>
        </w:rPr>
        <w:t>[232]</w:t>
      </w:r>
      <w:r>
        <w:rPr>
          <w:rFonts w:ascii="Arial" w:hAnsi="Arial" w:cs="Arial"/>
        </w:rPr>
        <w:t xml:space="preserve">  Heterocyclic amines produced at moderate cooking temperatures may be </w:t>
      </w:r>
      <w:r w:rsidRPr="00F664D6">
        <w:rPr>
          <w:rFonts w:ascii="Arial" w:hAnsi="Arial" w:cs="Arial"/>
        </w:rPr>
        <w:t xml:space="preserve">toxic over longer periods </w:t>
      </w:r>
      <w:r>
        <w:rPr>
          <w:rFonts w:ascii="Arial" w:hAnsi="Arial" w:cs="Arial"/>
        </w:rPr>
        <w:t>and appear to be cumulative in their toxicity.</w:t>
      </w:r>
      <w:r>
        <w:rPr>
          <w:rFonts w:ascii="Arial" w:hAnsi="Arial" w:cs="Arial"/>
          <w:noProof/>
        </w:rPr>
        <w:t>[232]</w:t>
      </w:r>
      <w:r>
        <w:rPr>
          <w:rFonts w:ascii="Arial" w:hAnsi="Arial" w:cs="Arial"/>
        </w:rPr>
        <w:t xml:space="preserve"> </w:t>
      </w:r>
    </w:p>
    <w:p w:rsidR="00330CF1" w:rsidRDefault="00330CF1" w:rsidP="00F12175">
      <w:pPr>
        <w:autoSpaceDE w:val="0"/>
        <w:autoSpaceDN w:val="0"/>
        <w:adjustRightInd w:val="0"/>
        <w:rPr>
          <w:rFonts w:ascii="Arial" w:hAnsi="Arial" w:cs="Arial"/>
        </w:rPr>
      </w:pPr>
      <w:r>
        <w:rPr>
          <w:rFonts w:ascii="Arial" w:hAnsi="Arial" w:cs="Arial"/>
        </w:rPr>
        <w:t xml:space="preserve">     The effect of heat-processed vs. raw diets on digestibility has been previously examined in exotic felids.  Crissey compared a raw meat diet with a dry kibble diet in Sand cats and found the raw meat diet to have 10% higher digestibility in dry matter, and energy and 15% higher digestibility in crude protein compared to the kibble extruded diet.</w:t>
      </w:r>
      <w:r>
        <w:rPr>
          <w:rFonts w:ascii="Arial" w:hAnsi="Arial" w:cs="Arial"/>
          <w:noProof/>
        </w:rPr>
        <w:t>[199]</w:t>
      </w:r>
      <w:r>
        <w:rPr>
          <w:rFonts w:ascii="Arial" w:hAnsi="Arial" w:cs="Arial"/>
        </w:rPr>
        <w:t xml:space="preserve">  A more recent study looked at feeding the domestic cat’s wild ancestor, </w:t>
      </w:r>
      <w:r w:rsidRPr="003D2855">
        <w:rPr>
          <w:rFonts w:ascii="Arial" w:hAnsi="Arial" w:cs="Arial"/>
          <w:i/>
        </w:rPr>
        <w:t>Felis lybica</w:t>
      </w:r>
      <w:r>
        <w:rPr>
          <w:rFonts w:ascii="Arial" w:hAnsi="Arial" w:cs="Arial"/>
        </w:rPr>
        <w:t>, a commercial raw meat vs. an extruded high protein kibble diet.</w:t>
      </w:r>
      <w:r>
        <w:rPr>
          <w:rFonts w:ascii="Arial" w:hAnsi="Arial" w:cs="Arial"/>
          <w:noProof/>
        </w:rPr>
        <w:t>[205]</w:t>
      </w:r>
      <w:r>
        <w:rPr>
          <w:rFonts w:ascii="Arial" w:hAnsi="Arial" w:cs="Arial"/>
        </w:rPr>
        <w:t xml:space="preserve">  Crude protein digestibility in the raw diet was 8% higher compared to the extruded diet.</w:t>
      </w:r>
      <w:r>
        <w:rPr>
          <w:rFonts w:ascii="Arial" w:hAnsi="Arial" w:cs="Arial"/>
          <w:noProof/>
        </w:rPr>
        <w:t>[205]</w:t>
      </w:r>
      <w:r>
        <w:rPr>
          <w:rFonts w:ascii="Arial" w:hAnsi="Arial" w:cs="Arial"/>
        </w:rPr>
        <w:t xml:space="preserve">  Kerr compared energy and macronutrient digestibility in a raw beef based diet and the same diet microwaved to an internal temperature of at least 71° C.</w:t>
      </w:r>
      <w:r>
        <w:rPr>
          <w:rFonts w:ascii="Arial" w:hAnsi="Arial" w:cs="Arial"/>
          <w:noProof/>
        </w:rPr>
        <w:t>[375]</w:t>
      </w:r>
      <w:r w:rsidRPr="00ED777E">
        <w:rPr>
          <w:rFonts w:ascii="Arial" w:hAnsi="Arial" w:cs="Arial"/>
          <w:color w:val="FF0000"/>
        </w:rPr>
        <w:t xml:space="preserve">  </w:t>
      </w:r>
      <w:r>
        <w:rPr>
          <w:rFonts w:ascii="Arial" w:hAnsi="Arial" w:cs="Arial"/>
        </w:rPr>
        <w:t>No differences were found between the raw and microwaved diets with respect to macronutrient and energy digestibility.  Another study evaluating protein quality of various raw and rendered animal products, found total essential amino acid digestibility and total amino acid digestibility ranged from 93.7 to 96.7 and 90.3 to 95.5% respectively in the raw diets, and 84.0 to 87.7  and 79.2 to 84.8 respectively in the rendered animal meats.</w:t>
      </w:r>
      <w:r>
        <w:rPr>
          <w:rFonts w:ascii="Arial" w:hAnsi="Arial" w:cs="Arial"/>
          <w:noProof/>
        </w:rPr>
        <w:t>[206]</w:t>
      </w:r>
      <w:r>
        <w:rPr>
          <w:rFonts w:ascii="Arial" w:hAnsi="Arial" w:cs="Arial"/>
        </w:rPr>
        <w:t xml:space="preserve">  </w:t>
      </w:r>
    </w:p>
    <w:p w:rsidR="00330CF1" w:rsidRDefault="00330CF1" w:rsidP="00F12175">
      <w:pPr>
        <w:autoSpaceDE w:val="0"/>
        <w:autoSpaceDN w:val="0"/>
        <w:adjustRightInd w:val="0"/>
        <w:rPr>
          <w:rFonts w:ascii="Arial" w:hAnsi="Arial" w:cs="Arial"/>
        </w:rPr>
      </w:pPr>
      <w:r>
        <w:rPr>
          <w:rFonts w:ascii="Arial" w:hAnsi="Arial" w:cs="Arial"/>
        </w:rPr>
        <w:t xml:space="preserve">     A frequently cited benefit to feeding raw food diets is that active enzymes remain intact and thereby improve digestibility and bioavailability of foodstuffs.</w:t>
      </w:r>
      <w:r>
        <w:rPr>
          <w:rFonts w:ascii="Arial" w:hAnsi="Arial" w:cs="Arial"/>
          <w:noProof/>
        </w:rPr>
        <w:t>[4, 153]</w:t>
      </w:r>
      <w:r>
        <w:rPr>
          <w:rFonts w:ascii="Arial" w:hAnsi="Arial" w:cs="Arial"/>
        </w:rPr>
        <w:t xml:space="preserve"> Arguments against these claims are that protein enzymes are denatured and inactivated in the stomach secondary to hydrochloric acid and pepsin secretion </w:t>
      </w:r>
      <w:r>
        <w:rPr>
          <w:rFonts w:ascii="Arial" w:hAnsi="Arial" w:cs="Arial"/>
          <w:noProof/>
        </w:rPr>
        <w:t>[210]</w:t>
      </w:r>
      <w:r>
        <w:rPr>
          <w:rFonts w:ascii="Arial" w:hAnsi="Arial" w:cs="Arial"/>
        </w:rPr>
        <w:t>, and all the enzymes dogs and cats need for digestion are already produced in the gastrointestinal tract unless they have underlying exocrine pancreatic insufficiency.</w:t>
      </w:r>
      <w:r>
        <w:rPr>
          <w:rFonts w:ascii="Arial" w:hAnsi="Arial" w:cs="Arial"/>
          <w:noProof/>
        </w:rPr>
        <w:t>[210, 211]</w:t>
      </w:r>
      <w:r>
        <w:rPr>
          <w:rFonts w:ascii="Arial" w:hAnsi="Arial" w:cs="Arial"/>
        </w:rPr>
        <w:t xml:space="preserve">  The extent of enzyme degradation in the stomach is not completely quantified, but treatment for exocrine pancreatic insufficiency with raw pancreas is a common practice.  Westermarck found the highest level of supplemental lipase recovery in jejunally cannulated dogs fed raw porcine pancreas (39.1%) compared to Viokase</w:t>
      </w:r>
      <w:r>
        <w:rPr>
          <w:rFonts w:ascii="Arial" w:hAnsi="Arial" w:cs="Arial"/>
          <w:vertAlign w:val="superscript"/>
        </w:rPr>
        <w:t>1</w:t>
      </w:r>
      <w:r>
        <w:rPr>
          <w:rFonts w:ascii="Arial" w:hAnsi="Arial" w:cs="Arial"/>
        </w:rPr>
        <w:t xml:space="preserve"> powder (26.2%).  Dietary amylase and protease activity levels were still present in the </w:t>
      </w:r>
    </w:p>
    <w:p w:rsidR="00330CF1" w:rsidRDefault="00330CF1" w:rsidP="00F12175">
      <w:pPr>
        <w:autoSpaceDE w:val="0"/>
        <w:autoSpaceDN w:val="0"/>
        <w:adjustRightInd w:val="0"/>
        <w:rPr>
          <w:rFonts w:ascii="Arial" w:hAnsi="Arial" w:cs="Arial"/>
        </w:rPr>
      </w:pPr>
    </w:p>
    <w:p w:rsidR="00330CF1" w:rsidRDefault="00330CF1" w:rsidP="00F12175">
      <w:pPr>
        <w:autoSpaceDE w:val="0"/>
        <w:autoSpaceDN w:val="0"/>
        <w:adjustRightInd w:val="0"/>
        <w:rPr>
          <w:rFonts w:ascii="Arial" w:hAnsi="Arial" w:cs="Arial"/>
        </w:rPr>
      </w:pPr>
      <w:r>
        <w:rPr>
          <w:rFonts w:ascii="Arial" w:hAnsi="Arial" w:cs="Arial"/>
        </w:rPr>
        <w:t>_____________________________________________________________</w:t>
      </w:r>
    </w:p>
    <w:p w:rsidR="00330CF1" w:rsidRPr="0095195E" w:rsidRDefault="00330CF1" w:rsidP="0095195E">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95195E">
        <w:rPr>
          <w:rFonts w:ascii="Arial" w:hAnsi="Arial" w:cs="Arial"/>
          <w:sz w:val="20"/>
          <w:szCs w:val="20"/>
        </w:rPr>
        <w:t>Viocase-v powder, Boehringer Ingelheim/Fort Dodge Vetmedica, Inc. St. Joseph, MO.</w:t>
      </w:r>
    </w:p>
    <w:p w:rsidR="00330CF1" w:rsidRDefault="00330CF1" w:rsidP="00F12175">
      <w:pPr>
        <w:autoSpaceDE w:val="0"/>
        <w:autoSpaceDN w:val="0"/>
        <w:adjustRightInd w:val="0"/>
        <w:rPr>
          <w:rFonts w:ascii="Arial" w:hAnsi="Arial" w:cs="Arial"/>
        </w:rPr>
      </w:pPr>
    </w:p>
    <w:p w:rsidR="00330CF1" w:rsidRDefault="00330CF1" w:rsidP="00F12175">
      <w:pPr>
        <w:autoSpaceDE w:val="0"/>
        <w:autoSpaceDN w:val="0"/>
        <w:adjustRightInd w:val="0"/>
        <w:rPr>
          <w:rFonts w:ascii="Arial" w:hAnsi="Arial" w:cs="Arial"/>
        </w:rPr>
      </w:pPr>
      <w:r>
        <w:rPr>
          <w:rFonts w:ascii="Arial" w:hAnsi="Arial" w:cs="Arial"/>
        </w:rPr>
        <w:lastRenderedPageBreak/>
        <w:t>jejunum from the raw pancreas extract and higher than enzyme levels in a dog with subclinical exocrine pancreatic insufficiency.</w:t>
      </w:r>
      <w:r>
        <w:rPr>
          <w:rFonts w:ascii="Arial" w:hAnsi="Arial" w:cs="Arial"/>
          <w:noProof/>
        </w:rPr>
        <w:t>[212]</w:t>
      </w:r>
    </w:p>
    <w:p w:rsidR="00330CF1" w:rsidRPr="00012430" w:rsidRDefault="00330CF1" w:rsidP="00012430">
      <w:pPr>
        <w:rPr>
          <w:rFonts w:ascii="Arial" w:hAnsi="Arial" w:cs="Arial"/>
        </w:rPr>
      </w:pPr>
      <w:r>
        <w:rPr>
          <w:rFonts w:ascii="Arial" w:hAnsi="Arial" w:cs="Arial"/>
        </w:rPr>
        <w:t xml:space="preserve">     The objective of my research was to compare apparent digestibility in kittens and adult cats fed raw diets compared to a premium heat-processed high protein canned diet.  My hypothesis was that apparent digestibility of dry matter, organic matter, and protein would be greater in the raw vs. heat-processed diet, in both kittens and adult cats, but there will be no difference in fat or nitrogen free extract (NFE) apparent digestibility between the three treatment groups. </w:t>
      </w:r>
    </w:p>
    <w:p w:rsidR="00330CF1" w:rsidRDefault="00330CF1" w:rsidP="005400D1"/>
    <w:p w:rsidR="00330CF1" w:rsidRDefault="00330CF1" w:rsidP="009F7C9F">
      <w:pPr>
        <w:pStyle w:val="Heading1"/>
        <w:jc w:val="center"/>
      </w:pPr>
      <w:bookmarkStart w:id="49" w:name="_Toc305485883"/>
      <w:r>
        <w:t>Materials and Methods</w:t>
      </w:r>
      <w:bookmarkEnd w:id="49"/>
    </w:p>
    <w:p w:rsidR="00330CF1" w:rsidRPr="009F7C9F" w:rsidRDefault="00330CF1" w:rsidP="009F7C9F"/>
    <w:p w:rsidR="00330CF1" w:rsidRDefault="00330CF1" w:rsidP="006D71BB">
      <w:pPr>
        <w:rPr>
          <w:rFonts w:ascii="Arial" w:hAnsi="Arial" w:cs="Arial"/>
        </w:rPr>
      </w:pPr>
      <w:r>
        <w:rPr>
          <w:rFonts w:ascii="Arial" w:hAnsi="Arial" w:cs="Arial"/>
        </w:rPr>
        <w:t xml:space="preserve">All kittens and adult cats were born and raised at The University of Tennessee Veterinary Medical Center and Research facility and their care was in compliance with the Guide for the Use and Care of Laboratory Animals.  The experimental protocol was approved by the Institutional Animal Care and Use Committee.  </w:t>
      </w:r>
    </w:p>
    <w:p w:rsidR="00330CF1" w:rsidRDefault="00330CF1" w:rsidP="00510BE1">
      <w:pPr>
        <w:pStyle w:val="Heading3"/>
        <w:rPr>
          <w:b w:val="0"/>
          <w:i w:val="0"/>
        </w:rPr>
      </w:pPr>
      <w:r w:rsidRPr="00510BE1">
        <w:rPr>
          <w:i w:val="0"/>
        </w:rPr>
        <w:t>Animals</w:t>
      </w:r>
      <w:r>
        <w:rPr>
          <w:i w:val="0"/>
        </w:rPr>
        <w:t xml:space="preserve">: </w:t>
      </w:r>
      <w:r>
        <w:rPr>
          <w:b w:val="0"/>
          <w:i w:val="0"/>
        </w:rPr>
        <w:t>Six 20-week old kittens (5 males and 1 female) and 4 adult cats (2 males and 2 females) with ages ranging from 1-4 years were used.  All kittens and cats were given a physical exam before and after the digestibility trial and were deemed healthy.  The kittens had just completed a 10-week AAFCO growth feeding trial and had been randomly chosen to be on one of 3 diets (Diet A</w:t>
      </w:r>
      <w:r>
        <w:rPr>
          <w:b w:val="0"/>
          <w:i w:val="0"/>
          <w:vertAlign w:val="superscript"/>
        </w:rPr>
        <w:t>1</w:t>
      </w:r>
      <w:r>
        <w:rPr>
          <w:b w:val="0"/>
          <w:i w:val="0"/>
        </w:rPr>
        <w:t>, Diet B</w:t>
      </w:r>
      <w:r>
        <w:rPr>
          <w:b w:val="0"/>
          <w:i w:val="0"/>
          <w:vertAlign w:val="superscript"/>
        </w:rPr>
        <w:t>2</w:t>
      </w:r>
      <w:r>
        <w:rPr>
          <w:b w:val="0"/>
          <w:i w:val="0"/>
        </w:rPr>
        <w:t>, Diet C</w:t>
      </w:r>
      <w:r>
        <w:rPr>
          <w:b w:val="0"/>
          <w:i w:val="0"/>
          <w:vertAlign w:val="superscript"/>
        </w:rPr>
        <w:t>3,4</w:t>
      </w:r>
      <w:r>
        <w:rPr>
          <w:b w:val="0"/>
          <w:i w:val="0"/>
        </w:rPr>
        <w:t>) during the growth trial prior to entry in the digestibility trial.  The adult cats had been receiving a commercial dry diet</w:t>
      </w:r>
      <w:r>
        <w:rPr>
          <w:b w:val="0"/>
          <w:i w:val="0"/>
          <w:vertAlign w:val="superscript"/>
        </w:rPr>
        <w:t>5</w:t>
      </w:r>
      <w:r>
        <w:rPr>
          <w:b w:val="0"/>
          <w:i w:val="0"/>
        </w:rPr>
        <w:t xml:space="preserve"> prior to entry in the digestibility study.  Body weights were recorded biweekly on all kittens and cats to ensure weight maintenance.  </w:t>
      </w:r>
      <w:r w:rsidRPr="00F34930">
        <w:rPr>
          <w:b w:val="0"/>
          <w:i w:val="0"/>
        </w:rPr>
        <w:t>The kittens</w:t>
      </w:r>
      <w:r>
        <w:rPr>
          <w:b w:val="0"/>
          <w:i w:val="0"/>
        </w:rPr>
        <w:t xml:space="preserve"> and adult cats</w:t>
      </w:r>
      <w:r w:rsidRPr="00F34930">
        <w:rPr>
          <w:b w:val="0"/>
          <w:i w:val="0"/>
        </w:rPr>
        <w:t xml:space="preserve"> were housed in individual met</w:t>
      </w:r>
      <w:r>
        <w:rPr>
          <w:b w:val="0"/>
          <w:i w:val="0"/>
        </w:rPr>
        <w:t>abolism cages during the digestibility</w:t>
      </w:r>
      <w:r w:rsidRPr="00F34930">
        <w:rPr>
          <w:b w:val="0"/>
          <w:i w:val="0"/>
        </w:rPr>
        <w:t xml:space="preserve"> tr</w:t>
      </w:r>
      <w:r>
        <w:rPr>
          <w:b w:val="0"/>
          <w:i w:val="0"/>
        </w:rPr>
        <w:t>ial</w:t>
      </w:r>
      <w:r w:rsidRPr="00F34930">
        <w:rPr>
          <w:b w:val="0"/>
          <w:i w:val="0"/>
        </w:rPr>
        <w:t xml:space="preserve">.   At the end of the study, the kittens </w:t>
      </w:r>
      <w:r>
        <w:rPr>
          <w:b w:val="0"/>
          <w:i w:val="0"/>
        </w:rPr>
        <w:t xml:space="preserve">and adult cats </w:t>
      </w:r>
      <w:r w:rsidRPr="00F34930">
        <w:rPr>
          <w:b w:val="0"/>
          <w:i w:val="0"/>
        </w:rPr>
        <w:t>were transferred to a permanent feline colony that is used for dietary and other non-invasive researc</w:t>
      </w:r>
      <w:r>
        <w:rPr>
          <w:b w:val="0"/>
          <w:i w:val="0"/>
        </w:rPr>
        <w:t xml:space="preserve">h or adopted to private homes. </w:t>
      </w:r>
    </w:p>
    <w:p w:rsidR="00330CF1" w:rsidRPr="002A047B" w:rsidRDefault="00330CF1" w:rsidP="002A047B"/>
    <w:p w:rsidR="00330CF1" w:rsidRDefault="00330CF1" w:rsidP="001E084C">
      <w:pPr>
        <w:rPr>
          <w:rFonts w:ascii="Arial" w:hAnsi="Arial" w:cs="Arial"/>
        </w:rPr>
      </w:pPr>
      <w:r w:rsidRPr="001E084C">
        <w:rPr>
          <w:rFonts w:ascii="Arial" w:hAnsi="Arial" w:cs="Arial"/>
          <w:b/>
        </w:rPr>
        <w:t>D</w:t>
      </w:r>
      <w:r>
        <w:rPr>
          <w:rFonts w:ascii="Arial" w:hAnsi="Arial" w:cs="Arial"/>
          <w:b/>
        </w:rPr>
        <w:t>iet</w:t>
      </w:r>
      <w:r w:rsidRPr="001E084C">
        <w:rPr>
          <w:rFonts w:ascii="Arial" w:hAnsi="Arial" w:cs="Arial"/>
          <w:b/>
        </w:rPr>
        <w:t>:</w:t>
      </w:r>
      <w:r w:rsidRPr="001E084C">
        <w:rPr>
          <w:rFonts w:ascii="Arial" w:hAnsi="Arial" w:cs="Arial"/>
        </w:rPr>
        <w:t xml:space="preserve"> </w:t>
      </w:r>
      <w:r>
        <w:rPr>
          <w:rFonts w:ascii="Arial" w:hAnsi="Arial" w:cs="Arial"/>
        </w:rPr>
        <w:t>Diet A was</w:t>
      </w:r>
      <w:r w:rsidRPr="001E084C">
        <w:rPr>
          <w:rFonts w:ascii="Arial" w:hAnsi="Arial" w:cs="Arial"/>
        </w:rPr>
        <w:t xml:space="preserve"> a commercial heat-processed </w:t>
      </w:r>
      <w:r>
        <w:rPr>
          <w:rFonts w:ascii="Arial" w:hAnsi="Arial" w:cs="Arial"/>
        </w:rPr>
        <w:t>canned diet</w:t>
      </w:r>
      <w:r>
        <w:rPr>
          <w:rFonts w:ascii="Arial" w:hAnsi="Arial" w:cs="Arial"/>
          <w:vertAlign w:val="superscript"/>
        </w:rPr>
        <w:t>1</w:t>
      </w:r>
      <w:r w:rsidRPr="001E084C">
        <w:rPr>
          <w:rFonts w:ascii="Arial" w:hAnsi="Arial" w:cs="Arial"/>
        </w:rPr>
        <w:t xml:space="preserve"> that is nutritionally adequate for all life stages as de</w:t>
      </w:r>
      <w:r>
        <w:rPr>
          <w:rFonts w:ascii="Arial" w:hAnsi="Arial" w:cs="Arial"/>
        </w:rPr>
        <w:t>termined by AAFCO guidelines.  This diet was</w:t>
      </w:r>
      <w:r w:rsidRPr="001E084C">
        <w:rPr>
          <w:rFonts w:ascii="Arial" w:hAnsi="Arial" w:cs="Arial"/>
        </w:rPr>
        <w:t xml:space="preserve"> a canned food and was chosen to closely match a raw diet moisture and</w:t>
      </w:r>
      <w:r>
        <w:rPr>
          <w:rFonts w:ascii="Arial" w:hAnsi="Arial" w:cs="Arial"/>
        </w:rPr>
        <w:t xml:space="preserve"> nutrient content.  This was</w:t>
      </w:r>
      <w:r w:rsidRPr="001E084C">
        <w:rPr>
          <w:rFonts w:ascii="Arial" w:hAnsi="Arial" w:cs="Arial"/>
        </w:rPr>
        <w:t xml:space="preserve"> th</w:t>
      </w:r>
      <w:r>
        <w:rPr>
          <w:rFonts w:ascii="Arial" w:hAnsi="Arial" w:cs="Arial"/>
        </w:rPr>
        <w:t>e control diet.  Diet B was</w:t>
      </w:r>
      <w:r w:rsidRPr="001E084C">
        <w:rPr>
          <w:rFonts w:ascii="Arial" w:hAnsi="Arial" w:cs="Arial"/>
        </w:rPr>
        <w:t xml:space="preserve"> a commercial froze</w:t>
      </w:r>
      <w:r>
        <w:rPr>
          <w:rFonts w:ascii="Arial" w:hAnsi="Arial" w:cs="Arial"/>
        </w:rPr>
        <w:t>n raw diet</w:t>
      </w:r>
      <w:r>
        <w:rPr>
          <w:rFonts w:ascii="Arial" w:hAnsi="Arial" w:cs="Arial"/>
          <w:vertAlign w:val="superscript"/>
        </w:rPr>
        <w:t>2</w:t>
      </w:r>
      <w:r>
        <w:rPr>
          <w:rFonts w:ascii="Arial" w:hAnsi="Arial" w:cs="Arial"/>
        </w:rPr>
        <w:t>.  Diet C was</w:t>
      </w:r>
      <w:r w:rsidRPr="001E084C">
        <w:rPr>
          <w:rFonts w:ascii="Arial" w:hAnsi="Arial" w:cs="Arial"/>
        </w:rPr>
        <w:t xml:space="preserve"> a home-prepared raw </w:t>
      </w:r>
      <w:r>
        <w:rPr>
          <w:rFonts w:ascii="Arial" w:hAnsi="Arial" w:cs="Arial"/>
        </w:rPr>
        <w:t>diet.  The diet was</w:t>
      </w:r>
      <w:r w:rsidRPr="001E084C">
        <w:rPr>
          <w:rFonts w:ascii="Arial" w:hAnsi="Arial" w:cs="Arial"/>
        </w:rPr>
        <w:t xml:space="preserve"> made with raw </w:t>
      </w:r>
      <w:r>
        <w:rPr>
          <w:rFonts w:ascii="Arial" w:hAnsi="Arial" w:cs="Arial"/>
        </w:rPr>
        <w:t xml:space="preserve">skinless </w:t>
      </w:r>
      <w:r w:rsidRPr="001E084C">
        <w:rPr>
          <w:rFonts w:ascii="Arial" w:hAnsi="Arial" w:cs="Arial"/>
        </w:rPr>
        <w:t xml:space="preserve">chicken </w:t>
      </w:r>
      <w:r>
        <w:rPr>
          <w:rFonts w:ascii="Arial" w:hAnsi="Arial" w:cs="Arial"/>
        </w:rPr>
        <w:t>breast</w:t>
      </w:r>
      <w:r>
        <w:rPr>
          <w:rFonts w:ascii="Arial" w:hAnsi="Arial" w:cs="Arial"/>
          <w:vertAlign w:val="superscript"/>
        </w:rPr>
        <w:t>4</w:t>
      </w:r>
      <w:r>
        <w:rPr>
          <w:rFonts w:ascii="Arial" w:hAnsi="Arial" w:cs="Arial"/>
        </w:rPr>
        <w:t xml:space="preserve"> </w:t>
      </w:r>
      <w:r w:rsidRPr="001E084C">
        <w:rPr>
          <w:rFonts w:ascii="Arial" w:hAnsi="Arial" w:cs="Arial"/>
        </w:rPr>
        <w:t>obtained from a local grocery store and mixed, according to manufacturer’s instructions, with a popular commercial food supplement</w:t>
      </w:r>
      <w:r>
        <w:rPr>
          <w:rFonts w:ascii="Arial" w:hAnsi="Arial" w:cs="Arial"/>
          <w:vertAlign w:val="superscript"/>
        </w:rPr>
        <w:t>3</w:t>
      </w:r>
      <w:r w:rsidRPr="001E084C">
        <w:rPr>
          <w:rFonts w:ascii="Arial" w:hAnsi="Arial" w:cs="Arial"/>
        </w:rPr>
        <w:t xml:space="preserve"> designed to balance a raw m</w:t>
      </w:r>
      <w:r>
        <w:rPr>
          <w:rFonts w:ascii="Arial" w:hAnsi="Arial" w:cs="Arial"/>
        </w:rPr>
        <w:t>eat diet.  The homemade diet was</w:t>
      </w:r>
      <w:r w:rsidRPr="001E084C">
        <w:rPr>
          <w:rFonts w:ascii="Arial" w:hAnsi="Arial" w:cs="Arial"/>
        </w:rPr>
        <w:t xml:space="preserve"> prepared every 2 weeks and immediatel</w:t>
      </w:r>
      <w:r>
        <w:rPr>
          <w:rFonts w:ascii="Arial" w:hAnsi="Arial" w:cs="Arial"/>
        </w:rPr>
        <w:t>y frozen.  All raw foods were</w:t>
      </w:r>
      <w:r w:rsidRPr="001E084C">
        <w:rPr>
          <w:rFonts w:ascii="Arial" w:hAnsi="Arial" w:cs="Arial"/>
        </w:rPr>
        <w:t xml:space="preserve"> kept </w:t>
      </w:r>
      <w:r>
        <w:rPr>
          <w:rFonts w:ascii="Arial" w:hAnsi="Arial" w:cs="Arial"/>
        </w:rPr>
        <w:t>frozen until 1 day before feeding, when they were transferred to a refrigerator</w:t>
      </w:r>
    </w:p>
    <w:p w:rsidR="00330CF1" w:rsidRDefault="00330CF1" w:rsidP="001E084C">
      <w:pPr>
        <w:rPr>
          <w:rFonts w:ascii="Arial" w:hAnsi="Arial" w:cs="Arial"/>
        </w:rPr>
      </w:pPr>
      <w:r>
        <w:rPr>
          <w:rFonts w:ascii="Arial" w:hAnsi="Arial" w:cs="Arial"/>
        </w:rPr>
        <w:t>____________________________________________________________________</w:t>
      </w:r>
    </w:p>
    <w:p w:rsidR="00330CF1" w:rsidRPr="000238DF" w:rsidRDefault="00330CF1" w:rsidP="0095195E">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0238DF">
        <w:rPr>
          <w:rFonts w:ascii="Arial" w:hAnsi="Arial" w:cs="Arial"/>
          <w:sz w:val="20"/>
          <w:szCs w:val="20"/>
        </w:rPr>
        <w:t>Evo – Turkey and Chicken Canned Cat and Kitten Cat Food. Natura Pet Foods, Santa Clara, CA</w:t>
      </w:r>
    </w:p>
    <w:p w:rsidR="00330CF1" w:rsidRPr="000238DF" w:rsidRDefault="00330CF1" w:rsidP="0095195E">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  </w:t>
      </w:r>
      <w:r w:rsidRPr="000238DF">
        <w:rPr>
          <w:rFonts w:ascii="Arial" w:hAnsi="Arial" w:cs="Arial"/>
          <w:sz w:val="20"/>
          <w:szCs w:val="20"/>
        </w:rPr>
        <w:t xml:space="preserve">Wild Kitty Raw All Natural Cat Food – Chicken and Clam frozen raw diet.  Wild Kitty Cat Food, </w:t>
      </w:r>
      <w:r>
        <w:rPr>
          <w:rFonts w:ascii="Arial" w:hAnsi="Arial" w:cs="Arial"/>
          <w:sz w:val="20"/>
          <w:szCs w:val="20"/>
        </w:rPr>
        <w:t xml:space="preserve">     </w:t>
      </w:r>
      <w:r w:rsidRPr="000238DF">
        <w:rPr>
          <w:rFonts w:ascii="Arial" w:hAnsi="Arial" w:cs="Arial"/>
          <w:sz w:val="20"/>
          <w:szCs w:val="20"/>
        </w:rPr>
        <w:t xml:space="preserve">Kennebunkport, ME. </w:t>
      </w:r>
    </w:p>
    <w:p w:rsidR="00330CF1" w:rsidRPr="000238DF" w:rsidRDefault="00330CF1" w:rsidP="0095195E">
      <w:pPr>
        <w:rPr>
          <w:rFonts w:ascii="Arial" w:hAnsi="Arial" w:cs="Arial"/>
          <w:sz w:val="20"/>
          <w:szCs w:val="20"/>
        </w:rPr>
      </w:pPr>
      <w:r>
        <w:rPr>
          <w:rFonts w:ascii="Arial" w:hAnsi="Arial" w:cs="Arial"/>
          <w:sz w:val="20"/>
          <w:szCs w:val="20"/>
          <w:vertAlign w:val="superscript"/>
        </w:rPr>
        <w:t>3</w:t>
      </w:r>
      <w:r>
        <w:rPr>
          <w:rFonts w:ascii="Arial" w:hAnsi="Arial" w:cs="Arial"/>
          <w:sz w:val="20"/>
          <w:szCs w:val="20"/>
        </w:rPr>
        <w:t xml:space="preserve">  </w:t>
      </w:r>
      <w:r w:rsidRPr="000238DF">
        <w:rPr>
          <w:rFonts w:ascii="Arial" w:hAnsi="Arial" w:cs="Arial"/>
          <w:sz w:val="20"/>
          <w:szCs w:val="20"/>
        </w:rPr>
        <w:t>TCFeline Plus Cat Food Premix with beef liver.  TCFeline®, Salt Spring Island, BC, Canada</w:t>
      </w:r>
    </w:p>
    <w:p w:rsidR="00330CF1" w:rsidRPr="000238DF" w:rsidRDefault="00330CF1" w:rsidP="0095195E">
      <w:pPr>
        <w:rPr>
          <w:rFonts w:ascii="Arial" w:hAnsi="Arial" w:cs="Arial"/>
          <w:sz w:val="20"/>
          <w:szCs w:val="20"/>
        </w:rPr>
      </w:pPr>
      <w:r>
        <w:rPr>
          <w:rFonts w:ascii="Arial" w:hAnsi="Arial" w:cs="Arial"/>
          <w:sz w:val="20"/>
          <w:szCs w:val="20"/>
          <w:vertAlign w:val="superscript"/>
        </w:rPr>
        <w:t>4</w:t>
      </w:r>
      <w:r>
        <w:rPr>
          <w:rFonts w:ascii="Arial" w:hAnsi="Arial" w:cs="Arial"/>
          <w:sz w:val="20"/>
          <w:szCs w:val="20"/>
        </w:rPr>
        <w:t xml:space="preserve">  </w:t>
      </w:r>
      <w:r w:rsidRPr="000238DF">
        <w:rPr>
          <w:rFonts w:ascii="Arial" w:hAnsi="Arial" w:cs="Arial"/>
          <w:sz w:val="20"/>
          <w:szCs w:val="20"/>
        </w:rPr>
        <w:t>Tyson boneless, skinless chicken breast. Tyson Foods Inc., Springdale, AR</w:t>
      </w:r>
    </w:p>
    <w:p w:rsidR="00330CF1" w:rsidRPr="0095195E" w:rsidRDefault="00330CF1" w:rsidP="00543034">
      <w:pPr>
        <w:rPr>
          <w:rFonts w:ascii="Arial" w:hAnsi="Arial" w:cs="Arial"/>
        </w:rPr>
      </w:pPr>
      <w:r>
        <w:rPr>
          <w:rFonts w:ascii="Arial" w:hAnsi="Arial" w:cs="Arial"/>
          <w:sz w:val="20"/>
          <w:szCs w:val="20"/>
          <w:vertAlign w:val="superscript"/>
        </w:rPr>
        <w:t>5</w:t>
      </w:r>
      <w:r>
        <w:rPr>
          <w:rFonts w:ascii="Arial" w:hAnsi="Arial" w:cs="Arial"/>
          <w:sz w:val="20"/>
          <w:szCs w:val="20"/>
        </w:rPr>
        <w:t xml:space="preserve">  </w:t>
      </w:r>
      <w:r w:rsidRPr="0095195E">
        <w:rPr>
          <w:rFonts w:ascii="Arial" w:hAnsi="Arial" w:cs="Arial"/>
          <w:sz w:val="20"/>
          <w:szCs w:val="20"/>
        </w:rPr>
        <w:t>Science Diet®-Adult Optimal Care™ Original dry cat food.  Hill’s Pet Nutrition, Inc.®, Topeka, KS</w:t>
      </w:r>
    </w:p>
    <w:p w:rsidR="00330CF1" w:rsidRDefault="00330CF1" w:rsidP="001E084C">
      <w:pPr>
        <w:rPr>
          <w:rFonts w:ascii="Arial" w:hAnsi="Arial" w:cs="Arial"/>
        </w:rPr>
      </w:pPr>
    </w:p>
    <w:p w:rsidR="00330CF1" w:rsidRDefault="00330CF1" w:rsidP="0095195E">
      <w:pPr>
        <w:rPr>
          <w:rFonts w:ascii="Arial" w:hAnsi="Arial" w:cs="Arial"/>
        </w:rPr>
      </w:pPr>
      <w:r w:rsidRPr="001E084C">
        <w:rPr>
          <w:rFonts w:ascii="Arial" w:hAnsi="Arial" w:cs="Arial"/>
        </w:rPr>
        <w:lastRenderedPageBreak/>
        <w:t xml:space="preserve">in preparation for feeding the next day. </w:t>
      </w:r>
      <w:r>
        <w:rPr>
          <w:rFonts w:ascii="Arial" w:hAnsi="Arial" w:cs="Arial"/>
        </w:rPr>
        <w:t xml:space="preserve"> Table 5.1 compares label guaranteed analysis where available and lists ingredients in each diet. </w:t>
      </w:r>
      <w:r w:rsidRPr="001E084C">
        <w:rPr>
          <w:rFonts w:ascii="Arial" w:hAnsi="Arial" w:cs="Arial"/>
        </w:rPr>
        <w:t xml:space="preserve"> </w:t>
      </w:r>
      <w:r>
        <w:rPr>
          <w:rFonts w:ascii="Arial" w:hAnsi="Arial" w:cs="Arial"/>
        </w:rPr>
        <w:t>Each kitten/cat was fed twice</w:t>
      </w:r>
      <w:r w:rsidRPr="001E084C">
        <w:rPr>
          <w:rFonts w:ascii="Arial" w:hAnsi="Arial" w:cs="Arial"/>
        </w:rPr>
        <w:t xml:space="preserve"> daily a quantity of food in excess of daily needs to ensure adequate f</w:t>
      </w:r>
      <w:r>
        <w:rPr>
          <w:rFonts w:ascii="Arial" w:hAnsi="Arial" w:cs="Arial"/>
        </w:rPr>
        <w:t>ood intake.  Water was</w:t>
      </w:r>
      <w:r w:rsidRPr="001E084C">
        <w:rPr>
          <w:rFonts w:ascii="Arial" w:hAnsi="Arial" w:cs="Arial"/>
        </w:rPr>
        <w:t xml:space="preserve"> available at all times. </w:t>
      </w:r>
    </w:p>
    <w:p w:rsidR="00330CF1" w:rsidRDefault="00330CF1" w:rsidP="001E084C">
      <w:pPr>
        <w:rPr>
          <w:rFonts w:ascii="Arial" w:hAnsi="Arial" w:cs="Arial"/>
        </w:rPr>
      </w:pPr>
    </w:p>
    <w:p w:rsidR="00330CF1" w:rsidRDefault="00330CF1" w:rsidP="001E084C">
      <w:pPr>
        <w:rPr>
          <w:rFonts w:ascii="Arial" w:hAnsi="Arial" w:cs="Arial"/>
        </w:rPr>
      </w:pPr>
    </w:p>
    <w:p w:rsidR="00330CF1" w:rsidRDefault="00330CF1" w:rsidP="001E084C">
      <w:pPr>
        <w:rPr>
          <w:rFonts w:ascii="Arial" w:hAnsi="Arial" w:cs="Arial"/>
        </w:rPr>
      </w:pPr>
    </w:p>
    <w:p w:rsidR="00330CF1" w:rsidRDefault="00330CF1" w:rsidP="001E084C">
      <w:pPr>
        <w:rPr>
          <w:rFonts w:ascii="Arial" w:hAnsi="Arial" w:cs="Arial"/>
        </w:rPr>
      </w:pPr>
    </w:p>
    <w:p w:rsidR="00330CF1" w:rsidRPr="003E1E9B" w:rsidRDefault="00330CF1" w:rsidP="00DD1539">
      <w:pPr>
        <w:jc w:val="center"/>
        <w:rPr>
          <w:rFonts w:ascii="Arial" w:hAnsi="Arial" w:cs="Arial"/>
        </w:rPr>
      </w:pPr>
      <w:r w:rsidRPr="003E1E9B">
        <w:rPr>
          <w:rFonts w:ascii="Arial" w:hAnsi="Arial" w:cs="Arial"/>
          <w:b/>
        </w:rPr>
        <w:t>Table 5.1</w:t>
      </w:r>
      <w:r w:rsidRPr="003E1E9B">
        <w:rPr>
          <w:rFonts w:ascii="Arial" w:hAnsi="Arial" w:cs="Arial"/>
        </w:rPr>
        <w:t xml:space="preserve"> Published </w:t>
      </w:r>
      <w:r>
        <w:rPr>
          <w:rFonts w:ascii="Arial" w:hAnsi="Arial" w:cs="Arial"/>
        </w:rPr>
        <w:t xml:space="preserve">diet </w:t>
      </w:r>
      <w:r w:rsidRPr="003E1E9B">
        <w:rPr>
          <w:rFonts w:ascii="Arial" w:hAnsi="Arial" w:cs="Arial"/>
        </w:rPr>
        <w:t>guaranteed a</w:t>
      </w:r>
      <w:r>
        <w:rPr>
          <w:rFonts w:ascii="Arial" w:hAnsi="Arial" w:cs="Arial"/>
        </w:rPr>
        <w:t>nalysis (</w:t>
      </w:r>
      <w:r w:rsidRPr="003E1E9B">
        <w:rPr>
          <w:rFonts w:ascii="Arial" w:hAnsi="Arial" w:cs="Arial"/>
        </w:rPr>
        <w:t>dry matter</w:t>
      </w:r>
      <w:r>
        <w:rPr>
          <w:rFonts w:ascii="Arial" w:hAnsi="Arial" w:cs="Arial"/>
        </w:rPr>
        <w:t xml:space="preserve"> basis</w:t>
      </w:r>
      <w:r w:rsidRPr="003E1E9B">
        <w:rPr>
          <w:rFonts w:ascii="Arial" w:hAnsi="Arial" w:cs="Arial"/>
        </w:rPr>
        <w:t xml:space="preserve">) </w:t>
      </w:r>
    </w:p>
    <w:p w:rsidR="00330CF1" w:rsidRPr="00404090" w:rsidRDefault="00330CF1" w:rsidP="00DD1539">
      <w:pPr>
        <w:jc w:val="center"/>
        <w:rPr>
          <w:rFonts w:ascii="Arial" w:hAnsi="Arial" w:cs="Arial"/>
          <w:color w:val="C00000"/>
        </w:rPr>
      </w:pPr>
      <w:r w:rsidRPr="003E1E9B">
        <w:rPr>
          <w:rFonts w:ascii="Arial" w:hAnsi="Arial" w:cs="Arial"/>
        </w:rPr>
        <w:t>and diet ingredient lists</w:t>
      </w:r>
    </w:p>
    <w:p w:rsidR="00330CF1" w:rsidRDefault="00330CF1" w:rsidP="00DD1539">
      <w:pPr>
        <w:jc w:val="center"/>
        <w:rPr>
          <w:rFonts w:ascii="Arial" w:hAnsi="Arial" w:cs="Arial"/>
        </w:rPr>
      </w:pPr>
    </w:p>
    <w:tbl>
      <w:tblPr>
        <w:tblStyle w:val="TableGrid"/>
        <w:tblW w:w="9738" w:type="dxa"/>
        <w:tblLook w:val="04A0" w:firstRow="1" w:lastRow="0" w:firstColumn="1" w:lastColumn="0" w:noHBand="0" w:noVBand="1"/>
      </w:tblPr>
      <w:tblGrid>
        <w:gridCol w:w="3168"/>
        <w:gridCol w:w="2070"/>
        <w:gridCol w:w="2250"/>
        <w:gridCol w:w="2250"/>
      </w:tblGrid>
      <w:tr w:rsidR="00330CF1" w:rsidTr="001A1619">
        <w:tc>
          <w:tcPr>
            <w:tcW w:w="3168" w:type="dxa"/>
          </w:tcPr>
          <w:p w:rsidR="00330CF1" w:rsidRDefault="00330CF1" w:rsidP="00534F65">
            <w:pPr>
              <w:rPr>
                <w:rFonts w:ascii="Arial" w:hAnsi="Arial" w:cs="Arial"/>
              </w:rPr>
            </w:pPr>
          </w:p>
        </w:tc>
        <w:tc>
          <w:tcPr>
            <w:tcW w:w="2070" w:type="dxa"/>
          </w:tcPr>
          <w:p w:rsidR="00330CF1" w:rsidRDefault="00330CF1" w:rsidP="00534F65">
            <w:pPr>
              <w:jc w:val="center"/>
              <w:rPr>
                <w:rFonts w:ascii="Arial" w:hAnsi="Arial" w:cs="Arial"/>
              </w:rPr>
            </w:pPr>
            <w:r>
              <w:rPr>
                <w:rFonts w:ascii="Arial" w:hAnsi="Arial" w:cs="Arial"/>
              </w:rPr>
              <w:t xml:space="preserve"> Control</w:t>
            </w:r>
          </w:p>
        </w:tc>
        <w:tc>
          <w:tcPr>
            <w:tcW w:w="2250" w:type="dxa"/>
          </w:tcPr>
          <w:p w:rsidR="00330CF1" w:rsidRDefault="00330CF1" w:rsidP="00534F65">
            <w:pPr>
              <w:jc w:val="center"/>
              <w:rPr>
                <w:rFonts w:ascii="Arial" w:hAnsi="Arial" w:cs="Arial"/>
              </w:rPr>
            </w:pPr>
            <w:r>
              <w:rPr>
                <w:rFonts w:ascii="Arial" w:hAnsi="Arial" w:cs="Arial"/>
              </w:rPr>
              <w:t xml:space="preserve"> Commercial Raw</w:t>
            </w:r>
          </w:p>
        </w:tc>
        <w:tc>
          <w:tcPr>
            <w:tcW w:w="2250" w:type="dxa"/>
          </w:tcPr>
          <w:p w:rsidR="00330CF1" w:rsidRDefault="00330CF1" w:rsidP="00534F65">
            <w:pPr>
              <w:jc w:val="center"/>
              <w:rPr>
                <w:rFonts w:ascii="Arial" w:hAnsi="Arial" w:cs="Arial"/>
              </w:rPr>
            </w:pPr>
            <w:r>
              <w:rPr>
                <w:rFonts w:ascii="Arial" w:hAnsi="Arial" w:cs="Arial"/>
              </w:rPr>
              <w:t xml:space="preserve"> Homemade Raw*</w:t>
            </w:r>
          </w:p>
        </w:tc>
      </w:tr>
      <w:tr w:rsidR="00330CF1" w:rsidTr="001A1619">
        <w:tc>
          <w:tcPr>
            <w:tcW w:w="3168" w:type="dxa"/>
          </w:tcPr>
          <w:p w:rsidR="00330CF1" w:rsidRDefault="00330CF1" w:rsidP="00534F65">
            <w:pPr>
              <w:rPr>
                <w:rFonts w:ascii="Arial" w:hAnsi="Arial" w:cs="Arial"/>
              </w:rPr>
            </w:pPr>
            <w:r>
              <w:rPr>
                <w:rFonts w:ascii="Arial" w:hAnsi="Arial" w:cs="Arial"/>
              </w:rPr>
              <w:t>Crude Protein (Minimum)</w:t>
            </w:r>
          </w:p>
        </w:tc>
        <w:tc>
          <w:tcPr>
            <w:tcW w:w="2070" w:type="dxa"/>
          </w:tcPr>
          <w:p w:rsidR="00330CF1" w:rsidRDefault="00330CF1" w:rsidP="00534F65">
            <w:pPr>
              <w:jc w:val="center"/>
              <w:rPr>
                <w:rFonts w:ascii="Arial" w:hAnsi="Arial" w:cs="Arial"/>
              </w:rPr>
            </w:pPr>
            <w:r>
              <w:rPr>
                <w:rFonts w:ascii="Arial" w:hAnsi="Arial" w:cs="Arial"/>
              </w:rPr>
              <w:t>54.5%</w:t>
            </w:r>
          </w:p>
        </w:tc>
        <w:tc>
          <w:tcPr>
            <w:tcW w:w="2250" w:type="dxa"/>
          </w:tcPr>
          <w:p w:rsidR="00330CF1" w:rsidRDefault="00330CF1" w:rsidP="00534F65">
            <w:pPr>
              <w:jc w:val="center"/>
              <w:rPr>
                <w:rFonts w:ascii="Arial" w:hAnsi="Arial" w:cs="Arial"/>
              </w:rPr>
            </w:pPr>
            <w:r>
              <w:rPr>
                <w:rFonts w:ascii="Arial" w:hAnsi="Arial" w:cs="Arial"/>
              </w:rPr>
              <w:t>51.8%</w:t>
            </w:r>
          </w:p>
        </w:tc>
        <w:tc>
          <w:tcPr>
            <w:tcW w:w="2250" w:type="dxa"/>
          </w:tcPr>
          <w:p w:rsidR="00330CF1" w:rsidRDefault="00330CF1" w:rsidP="00534F65">
            <w:pPr>
              <w:jc w:val="center"/>
              <w:rPr>
                <w:rFonts w:ascii="Arial" w:hAnsi="Arial" w:cs="Arial"/>
              </w:rPr>
            </w:pPr>
            <w:r>
              <w:rPr>
                <w:rFonts w:ascii="Arial" w:hAnsi="Arial" w:cs="Arial"/>
              </w:rPr>
              <w:t>*</w:t>
            </w:r>
          </w:p>
        </w:tc>
      </w:tr>
      <w:tr w:rsidR="00330CF1" w:rsidTr="001A1619">
        <w:tc>
          <w:tcPr>
            <w:tcW w:w="3168" w:type="dxa"/>
          </w:tcPr>
          <w:p w:rsidR="00330CF1" w:rsidRDefault="00330CF1" w:rsidP="00534F65">
            <w:pPr>
              <w:rPr>
                <w:rFonts w:ascii="Arial" w:hAnsi="Arial" w:cs="Arial"/>
              </w:rPr>
            </w:pPr>
            <w:r>
              <w:rPr>
                <w:rFonts w:ascii="Arial" w:hAnsi="Arial" w:cs="Arial"/>
              </w:rPr>
              <w:t>Crude Fat (Minimum)</w:t>
            </w:r>
          </w:p>
        </w:tc>
        <w:tc>
          <w:tcPr>
            <w:tcW w:w="2070" w:type="dxa"/>
          </w:tcPr>
          <w:p w:rsidR="00330CF1" w:rsidRDefault="00330CF1" w:rsidP="00534F65">
            <w:pPr>
              <w:jc w:val="center"/>
              <w:rPr>
                <w:rFonts w:ascii="Arial" w:hAnsi="Arial" w:cs="Arial"/>
              </w:rPr>
            </w:pPr>
            <w:r>
              <w:rPr>
                <w:rFonts w:ascii="Arial" w:hAnsi="Arial" w:cs="Arial"/>
              </w:rPr>
              <w:t>36.4%</w:t>
            </w:r>
          </w:p>
        </w:tc>
        <w:tc>
          <w:tcPr>
            <w:tcW w:w="2250" w:type="dxa"/>
          </w:tcPr>
          <w:p w:rsidR="00330CF1" w:rsidRDefault="00330CF1" w:rsidP="00534F65">
            <w:pPr>
              <w:jc w:val="center"/>
              <w:rPr>
                <w:rFonts w:ascii="Arial" w:hAnsi="Arial" w:cs="Arial"/>
              </w:rPr>
            </w:pPr>
            <w:r>
              <w:rPr>
                <w:rFonts w:ascii="Arial" w:hAnsi="Arial" w:cs="Arial"/>
              </w:rPr>
              <w:t>40.7%</w:t>
            </w:r>
          </w:p>
        </w:tc>
        <w:tc>
          <w:tcPr>
            <w:tcW w:w="2250" w:type="dxa"/>
          </w:tcPr>
          <w:p w:rsidR="00330CF1" w:rsidRDefault="00330CF1" w:rsidP="00534F65">
            <w:pPr>
              <w:jc w:val="center"/>
              <w:rPr>
                <w:rFonts w:ascii="Arial" w:hAnsi="Arial" w:cs="Arial"/>
              </w:rPr>
            </w:pPr>
            <w:r>
              <w:rPr>
                <w:rFonts w:ascii="Arial" w:hAnsi="Arial" w:cs="Arial"/>
              </w:rPr>
              <w:t>*</w:t>
            </w:r>
          </w:p>
        </w:tc>
      </w:tr>
      <w:tr w:rsidR="00330CF1" w:rsidTr="001A1619">
        <w:tc>
          <w:tcPr>
            <w:tcW w:w="3168" w:type="dxa"/>
          </w:tcPr>
          <w:p w:rsidR="00330CF1" w:rsidRDefault="00330CF1" w:rsidP="00534F65">
            <w:pPr>
              <w:rPr>
                <w:rFonts w:ascii="Arial" w:hAnsi="Arial" w:cs="Arial"/>
              </w:rPr>
            </w:pPr>
            <w:r>
              <w:rPr>
                <w:rFonts w:ascii="Arial" w:hAnsi="Arial" w:cs="Arial"/>
              </w:rPr>
              <w:t>Crude Fiber (Maximum)</w:t>
            </w:r>
          </w:p>
        </w:tc>
        <w:tc>
          <w:tcPr>
            <w:tcW w:w="2070" w:type="dxa"/>
          </w:tcPr>
          <w:p w:rsidR="00330CF1" w:rsidRDefault="00330CF1" w:rsidP="00534F65">
            <w:pPr>
              <w:jc w:val="center"/>
              <w:rPr>
                <w:rFonts w:ascii="Arial" w:hAnsi="Arial" w:cs="Arial"/>
              </w:rPr>
            </w:pPr>
            <w:r>
              <w:rPr>
                <w:rFonts w:ascii="Arial" w:hAnsi="Arial" w:cs="Arial"/>
              </w:rPr>
              <w:t>2.8%</w:t>
            </w:r>
          </w:p>
        </w:tc>
        <w:tc>
          <w:tcPr>
            <w:tcW w:w="2250" w:type="dxa"/>
          </w:tcPr>
          <w:p w:rsidR="00330CF1" w:rsidRDefault="00330CF1" w:rsidP="00534F65">
            <w:pPr>
              <w:jc w:val="center"/>
              <w:rPr>
                <w:rFonts w:ascii="Arial" w:hAnsi="Arial" w:cs="Arial"/>
              </w:rPr>
            </w:pPr>
            <w:r>
              <w:rPr>
                <w:rFonts w:ascii="Arial" w:hAnsi="Arial" w:cs="Arial"/>
              </w:rPr>
              <w:t>9.3%</w:t>
            </w:r>
          </w:p>
        </w:tc>
        <w:tc>
          <w:tcPr>
            <w:tcW w:w="2250" w:type="dxa"/>
          </w:tcPr>
          <w:p w:rsidR="00330CF1" w:rsidRDefault="00330CF1" w:rsidP="00534F65">
            <w:pPr>
              <w:jc w:val="center"/>
              <w:rPr>
                <w:rFonts w:ascii="Arial" w:hAnsi="Arial" w:cs="Arial"/>
              </w:rPr>
            </w:pPr>
            <w:r>
              <w:rPr>
                <w:rFonts w:ascii="Arial" w:hAnsi="Arial" w:cs="Arial"/>
              </w:rPr>
              <w:t>*</w:t>
            </w:r>
          </w:p>
        </w:tc>
      </w:tr>
      <w:tr w:rsidR="00330CF1" w:rsidTr="001A1619">
        <w:tc>
          <w:tcPr>
            <w:tcW w:w="3168" w:type="dxa"/>
          </w:tcPr>
          <w:p w:rsidR="00330CF1" w:rsidRDefault="00330CF1" w:rsidP="00534F65">
            <w:pPr>
              <w:rPr>
                <w:rFonts w:ascii="Arial" w:hAnsi="Arial" w:cs="Arial"/>
              </w:rPr>
            </w:pPr>
            <w:r>
              <w:rPr>
                <w:rFonts w:ascii="Arial" w:hAnsi="Arial" w:cs="Arial"/>
              </w:rPr>
              <w:t>Ash (Maximum)</w:t>
            </w:r>
          </w:p>
        </w:tc>
        <w:tc>
          <w:tcPr>
            <w:tcW w:w="2070" w:type="dxa"/>
          </w:tcPr>
          <w:p w:rsidR="00330CF1" w:rsidRDefault="00330CF1" w:rsidP="00534F65">
            <w:pPr>
              <w:jc w:val="center"/>
              <w:rPr>
                <w:rFonts w:ascii="Arial" w:hAnsi="Arial" w:cs="Arial"/>
              </w:rPr>
            </w:pPr>
            <w:r>
              <w:rPr>
                <w:rFonts w:ascii="Arial" w:hAnsi="Arial" w:cs="Arial"/>
              </w:rPr>
              <w:t>13.6%</w:t>
            </w:r>
          </w:p>
        </w:tc>
        <w:tc>
          <w:tcPr>
            <w:tcW w:w="2250" w:type="dxa"/>
          </w:tcPr>
          <w:p w:rsidR="00330CF1" w:rsidRDefault="00330CF1" w:rsidP="00534F65">
            <w:pPr>
              <w:jc w:val="center"/>
              <w:rPr>
                <w:rFonts w:ascii="Arial" w:hAnsi="Arial" w:cs="Arial"/>
              </w:rPr>
            </w:pPr>
            <w:r>
              <w:rPr>
                <w:rFonts w:ascii="Arial" w:hAnsi="Arial" w:cs="Arial"/>
              </w:rPr>
              <w:t>9.3%</w:t>
            </w:r>
          </w:p>
        </w:tc>
        <w:tc>
          <w:tcPr>
            <w:tcW w:w="2250" w:type="dxa"/>
          </w:tcPr>
          <w:p w:rsidR="00330CF1" w:rsidRDefault="00330CF1" w:rsidP="00534F65">
            <w:pPr>
              <w:jc w:val="center"/>
              <w:rPr>
                <w:rFonts w:ascii="Arial" w:hAnsi="Arial" w:cs="Arial"/>
              </w:rPr>
            </w:pPr>
            <w:r>
              <w:rPr>
                <w:rFonts w:ascii="Arial" w:hAnsi="Arial" w:cs="Arial"/>
              </w:rPr>
              <w:t>*</w:t>
            </w:r>
          </w:p>
        </w:tc>
      </w:tr>
      <w:tr w:rsidR="00330CF1" w:rsidTr="001A1619">
        <w:tc>
          <w:tcPr>
            <w:tcW w:w="3168" w:type="dxa"/>
          </w:tcPr>
          <w:p w:rsidR="00330CF1" w:rsidRDefault="00330CF1" w:rsidP="00534F65">
            <w:pPr>
              <w:rPr>
                <w:rFonts w:ascii="Arial" w:hAnsi="Arial" w:cs="Arial"/>
              </w:rPr>
            </w:pPr>
            <w:r>
              <w:rPr>
                <w:rFonts w:ascii="Arial" w:hAnsi="Arial" w:cs="Arial"/>
              </w:rPr>
              <w:t xml:space="preserve">Energy </w:t>
            </w:r>
          </w:p>
        </w:tc>
        <w:tc>
          <w:tcPr>
            <w:tcW w:w="2070" w:type="dxa"/>
          </w:tcPr>
          <w:p w:rsidR="00330CF1" w:rsidRDefault="00330CF1" w:rsidP="00534F65">
            <w:pPr>
              <w:jc w:val="center"/>
              <w:rPr>
                <w:rFonts w:ascii="Arial" w:hAnsi="Arial" w:cs="Arial"/>
              </w:rPr>
            </w:pPr>
            <w:r>
              <w:rPr>
                <w:rFonts w:ascii="Arial" w:hAnsi="Arial" w:cs="Arial"/>
              </w:rPr>
              <w:t>1.28 kcal/g**</w:t>
            </w:r>
          </w:p>
        </w:tc>
        <w:tc>
          <w:tcPr>
            <w:tcW w:w="2250" w:type="dxa"/>
          </w:tcPr>
          <w:p w:rsidR="00330CF1" w:rsidRDefault="00330CF1" w:rsidP="00534F65">
            <w:pPr>
              <w:jc w:val="center"/>
              <w:rPr>
                <w:rFonts w:ascii="Arial" w:hAnsi="Arial" w:cs="Arial"/>
              </w:rPr>
            </w:pPr>
            <w:r>
              <w:rPr>
                <w:rFonts w:ascii="Arial" w:hAnsi="Arial" w:cs="Arial"/>
              </w:rPr>
              <w:t>*</w:t>
            </w:r>
          </w:p>
        </w:tc>
        <w:tc>
          <w:tcPr>
            <w:tcW w:w="2250" w:type="dxa"/>
          </w:tcPr>
          <w:p w:rsidR="00330CF1" w:rsidRDefault="00330CF1" w:rsidP="00534F65">
            <w:pPr>
              <w:jc w:val="center"/>
              <w:rPr>
                <w:rFonts w:ascii="Arial" w:hAnsi="Arial" w:cs="Arial"/>
              </w:rPr>
            </w:pPr>
            <w:r>
              <w:rPr>
                <w:rFonts w:ascii="Arial" w:hAnsi="Arial" w:cs="Arial"/>
              </w:rPr>
              <w:t>*</w:t>
            </w:r>
          </w:p>
        </w:tc>
      </w:tr>
    </w:tbl>
    <w:p w:rsidR="00330CF1" w:rsidRDefault="00330CF1" w:rsidP="00605F23">
      <w:pPr>
        <w:rPr>
          <w:rFonts w:ascii="Arial" w:hAnsi="Arial" w:cs="Arial"/>
        </w:rPr>
      </w:pPr>
      <w:r>
        <w:rPr>
          <w:rFonts w:ascii="Arial" w:hAnsi="Arial" w:cs="Arial"/>
        </w:rPr>
        <w:t xml:space="preserve">*Not available    </w:t>
      </w:r>
    </w:p>
    <w:p w:rsidR="00330CF1" w:rsidRDefault="00330CF1" w:rsidP="00605F23">
      <w:pPr>
        <w:rPr>
          <w:rFonts w:ascii="Arial" w:hAnsi="Arial" w:cs="Arial"/>
        </w:rPr>
      </w:pPr>
      <w:r>
        <w:rPr>
          <w:rFonts w:ascii="Arial" w:hAnsi="Arial" w:cs="Arial"/>
        </w:rPr>
        <w:t xml:space="preserve"> **as fed basis</w:t>
      </w:r>
    </w:p>
    <w:p w:rsidR="00330CF1" w:rsidRDefault="00330CF1" w:rsidP="00605F23">
      <w:pPr>
        <w:rPr>
          <w:rFonts w:ascii="Arial" w:hAnsi="Arial" w:cs="Arial"/>
        </w:rPr>
      </w:pPr>
    </w:p>
    <w:p w:rsidR="00330CF1" w:rsidRDefault="00330CF1" w:rsidP="00605F23">
      <w:pPr>
        <w:rPr>
          <w:rFonts w:ascii="Arial" w:hAnsi="Arial" w:cs="Arial"/>
        </w:rPr>
      </w:pPr>
    </w:p>
    <w:p w:rsidR="00330CF1" w:rsidRPr="00B9722A" w:rsidRDefault="00330CF1" w:rsidP="00605F23">
      <w:pPr>
        <w:rPr>
          <w:rFonts w:ascii="Arial" w:hAnsi="Arial" w:cs="Arial"/>
          <w:i/>
          <w:u w:val="single"/>
        </w:rPr>
      </w:pPr>
      <w:r w:rsidRPr="00B9722A">
        <w:rPr>
          <w:rFonts w:ascii="Arial" w:hAnsi="Arial" w:cs="Arial"/>
          <w:i/>
          <w:u w:val="single"/>
        </w:rPr>
        <w:t>Diet Ingredient lists</w:t>
      </w:r>
    </w:p>
    <w:p w:rsidR="00330CF1" w:rsidRDefault="00330CF1" w:rsidP="00605F23">
      <w:pPr>
        <w:rPr>
          <w:rFonts w:ascii="Arial" w:hAnsi="Arial" w:cs="Arial"/>
        </w:rPr>
      </w:pPr>
      <w:r>
        <w:rPr>
          <w:rFonts w:ascii="Arial" w:hAnsi="Arial" w:cs="Arial"/>
        </w:rPr>
        <w:t xml:space="preserve">Control Ingredients: Turkey, chicken, turkey broth, chicken broth, chicken meal, herring, carrots, whole egg, salmon meal, natural flavor, carrageenan, tomato flakes, cottage cheese, L-ascorbyl-2-polyphosphate, apples, guargum, Vitamin E supplement, Vitamin A supplement, Vitamin D3 supplement, Vitamin B12 supplement, thiamine mononitrate, niacin supplement, d-calcium pantothenate, pyridoxine hydrochloride, riboflavin supplement, folic acid, biotin, zinc amino acid chelate, cobalt amino acid chelate, copper amino acid chelate, manganese amino acid chelate, potassium iodide, inulin, herring oil, choline chloride, potassium chloride, salt, sunflower oil, taurine, sodium phosphate, beta carotene. </w:t>
      </w:r>
    </w:p>
    <w:p w:rsidR="00330CF1" w:rsidRDefault="00330CF1" w:rsidP="00605F23">
      <w:pPr>
        <w:rPr>
          <w:rFonts w:ascii="Arial" w:hAnsi="Arial" w:cs="Arial"/>
        </w:rPr>
      </w:pPr>
    </w:p>
    <w:p w:rsidR="00330CF1" w:rsidRDefault="00330CF1" w:rsidP="00605F23">
      <w:pPr>
        <w:rPr>
          <w:rFonts w:ascii="Arial" w:hAnsi="Arial" w:cs="Arial"/>
        </w:rPr>
      </w:pPr>
      <w:r>
        <w:rPr>
          <w:rFonts w:ascii="Arial" w:hAnsi="Arial" w:cs="Arial"/>
        </w:rPr>
        <w:t>Commercial Raw Ingredients: Free range organic chicken, apples, Atlantic clams, beets, broccoli, carrots, chicken hearts, chicken liver, cod liver oil, dried kelp, dried yeast, flax, flax seed, lecithin, mushrooms, water sufficient for processing, oysters, peas, rice bran, spinach, wheat germ, wheat germ oil.</w:t>
      </w:r>
    </w:p>
    <w:p w:rsidR="00330CF1" w:rsidRDefault="00330CF1" w:rsidP="00605F23">
      <w:pPr>
        <w:rPr>
          <w:rFonts w:ascii="Arial" w:hAnsi="Arial" w:cs="Arial"/>
        </w:rPr>
      </w:pPr>
    </w:p>
    <w:p w:rsidR="00330CF1" w:rsidRDefault="00330CF1" w:rsidP="00605F23">
      <w:pPr>
        <w:rPr>
          <w:rFonts w:ascii="Arial" w:hAnsi="Arial" w:cs="Arial"/>
        </w:rPr>
      </w:pPr>
      <w:r>
        <w:rPr>
          <w:rFonts w:ascii="Arial" w:hAnsi="Arial" w:cs="Arial"/>
        </w:rPr>
        <w:t>Homemade Raw Ingredients: Skinless chicken breast</w:t>
      </w:r>
      <w:r>
        <w:rPr>
          <w:rFonts w:ascii="Arial" w:hAnsi="Arial" w:cs="Arial"/>
          <w:vertAlign w:val="superscript"/>
        </w:rPr>
        <w:t>5</w:t>
      </w:r>
      <w:r>
        <w:rPr>
          <w:rFonts w:ascii="Arial" w:hAnsi="Arial" w:cs="Arial"/>
        </w:rPr>
        <w:t xml:space="preserve">,   Supplement: </w:t>
      </w:r>
      <w:r w:rsidRPr="00605F23">
        <w:rPr>
          <w:rFonts w:ascii="Arial" w:hAnsi="Arial" w:cs="Arial"/>
        </w:rPr>
        <w:t>Free</w:t>
      </w:r>
      <w:r>
        <w:rPr>
          <w:rFonts w:ascii="Arial" w:hAnsi="Arial" w:cs="Arial"/>
        </w:rPr>
        <w:t xml:space="preserve">-dried bovine bone </w:t>
      </w:r>
      <w:r w:rsidRPr="00730D33">
        <w:rPr>
          <w:rFonts w:ascii="Arial" w:hAnsi="Arial" w:cs="Arial"/>
          <w:i/>
        </w:rPr>
        <w:t>(New Zealand),</w:t>
      </w:r>
      <w:r>
        <w:rPr>
          <w:rFonts w:ascii="Arial" w:hAnsi="Arial" w:cs="Arial"/>
        </w:rPr>
        <w:t xml:space="preserve"> egg yolk, whey protein isolate, beef liver, freeze-dried krill, taurine, cellulose, kelp, Vitamin E, Vitamin D3, Vitamin A, Vitamin B complex.</w:t>
      </w:r>
    </w:p>
    <w:p w:rsidR="00330CF1" w:rsidRDefault="00330CF1" w:rsidP="001E084C">
      <w:pPr>
        <w:rPr>
          <w:rFonts w:ascii="Arial" w:hAnsi="Arial" w:cs="Arial"/>
        </w:rPr>
      </w:pPr>
      <w:r w:rsidRPr="001E084C">
        <w:rPr>
          <w:rFonts w:ascii="Arial" w:hAnsi="Arial" w:cs="Arial"/>
        </w:rPr>
        <w:t xml:space="preserve">  </w:t>
      </w:r>
    </w:p>
    <w:p w:rsidR="00330CF1" w:rsidRDefault="00330CF1" w:rsidP="001E084C">
      <w:pPr>
        <w:rPr>
          <w:rFonts w:ascii="Arial" w:hAnsi="Arial" w:cs="Arial"/>
        </w:rPr>
      </w:pPr>
    </w:p>
    <w:p w:rsidR="00330CF1" w:rsidRDefault="00330CF1" w:rsidP="001E084C">
      <w:pPr>
        <w:rPr>
          <w:rFonts w:ascii="Arial" w:hAnsi="Arial" w:cs="Arial"/>
        </w:rPr>
      </w:pPr>
    </w:p>
    <w:p w:rsidR="00330CF1" w:rsidRDefault="00330CF1" w:rsidP="001E084C">
      <w:pPr>
        <w:rPr>
          <w:rFonts w:ascii="Arial" w:hAnsi="Arial" w:cs="Arial"/>
        </w:rPr>
      </w:pPr>
    </w:p>
    <w:p w:rsidR="00330CF1" w:rsidRDefault="00330CF1" w:rsidP="001E084C">
      <w:pPr>
        <w:rPr>
          <w:rFonts w:ascii="Arial" w:hAnsi="Arial" w:cs="Arial"/>
        </w:rPr>
      </w:pPr>
    </w:p>
    <w:p w:rsidR="00330CF1" w:rsidRPr="001E084C" w:rsidRDefault="00330CF1" w:rsidP="001E084C">
      <w:pPr>
        <w:rPr>
          <w:rFonts w:ascii="Arial" w:hAnsi="Arial" w:cs="Arial"/>
        </w:rPr>
      </w:pPr>
    </w:p>
    <w:p w:rsidR="00330CF1" w:rsidRDefault="00330CF1" w:rsidP="001E084C">
      <w:pPr>
        <w:rPr>
          <w:rFonts w:ascii="Arial" w:hAnsi="Arial" w:cs="Arial"/>
        </w:rPr>
      </w:pPr>
      <w:r>
        <w:rPr>
          <w:rFonts w:ascii="Arial" w:hAnsi="Arial" w:cs="Arial"/>
          <w:b/>
        </w:rPr>
        <w:t>Food i</w:t>
      </w:r>
      <w:r w:rsidRPr="001E084C">
        <w:rPr>
          <w:rFonts w:ascii="Arial" w:hAnsi="Arial" w:cs="Arial"/>
          <w:b/>
        </w:rPr>
        <w:t xml:space="preserve">ntake: </w:t>
      </w:r>
      <w:r w:rsidRPr="001E084C">
        <w:rPr>
          <w:rFonts w:ascii="Arial" w:hAnsi="Arial" w:cs="Arial"/>
        </w:rPr>
        <w:t>To determi</w:t>
      </w:r>
      <w:r>
        <w:rPr>
          <w:rFonts w:ascii="Arial" w:hAnsi="Arial" w:cs="Arial"/>
        </w:rPr>
        <w:t>ne food intake, all food was</w:t>
      </w:r>
      <w:r w:rsidRPr="001E084C">
        <w:rPr>
          <w:rFonts w:ascii="Arial" w:hAnsi="Arial" w:cs="Arial"/>
        </w:rPr>
        <w:t xml:space="preserve"> weighed before and after each off</w:t>
      </w:r>
      <w:r>
        <w:rPr>
          <w:rFonts w:ascii="Arial" w:hAnsi="Arial" w:cs="Arial"/>
        </w:rPr>
        <w:t>ering and the difference was</w:t>
      </w:r>
      <w:r w:rsidRPr="001E084C">
        <w:rPr>
          <w:rFonts w:ascii="Arial" w:hAnsi="Arial" w:cs="Arial"/>
        </w:rPr>
        <w:t xml:space="preserve"> determined.  All food not ingested wit</w:t>
      </w:r>
      <w:r>
        <w:rPr>
          <w:rFonts w:ascii="Arial" w:hAnsi="Arial" w:cs="Arial"/>
        </w:rPr>
        <w:t>hin 4 hours of presentation was</w:t>
      </w:r>
      <w:r w:rsidRPr="001E084C">
        <w:rPr>
          <w:rFonts w:ascii="Arial" w:hAnsi="Arial" w:cs="Arial"/>
        </w:rPr>
        <w:t xml:space="preserve"> removed to further prevent microbial contamination or proliferation.  Feedin</w:t>
      </w:r>
      <w:r>
        <w:rPr>
          <w:rFonts w:ascii="Arial" w:hAnsi="Arial" w:cs="Arial"/>
        </w:rPr>
        <w:t>g bowls and feeding area were</w:t>
      </w:r>
      <w:r w:rsidRPr="001E084C">
        <w:rPr>
          <w:rFonts w:ascii="Arial" w:hAnsi="Arial" w:cs="Arial"/>
        </w:rPr>
        <w:t xml:space="preserve"> sanitized between feedings.</w:t>
      </w:r>
    </w:p>
    <w:p w:rsidR="00330CF1" w:rsidRDefault="00330CF1" w:rsidP="001E084C">
      <w:pPr>
        <w:rPr>
          <w:rFonts w:ascii="Arial" w:hAnsi="Arial" w:cs="Arial"/>
        </w:rPr>
      </w:pPr>
    </w:p>
    <w:p w:rsidR="00330CF1" w:rsidRDefault="00330CF1" w:rsidP="001E084C">
      <w:pPr>
        <w:rPr>
          <w:rFonts w:ascii="Arial" w:hAnsi="Arial" w:cs="Arial"/>
        </w:rPr>
      </w:pPr>
      <w:r>
        <w:rPr>
          <w:rFonts w:ascii="Arial" w:hAnsi="Arial" w:cs="Arial"/>
          <w:b/>
        </w:rPr>
        <w:t xml:space="preserve">Digestibility trial:  </w:t>
      </w:r>
      <w:r>
        <w:rPr>
          <w:rFonts w:ascii="Arial" w:hAnsi="Arial" w:cs="Arial"/>
        </w:rPr>
        <w:t xml:space="preserve">Each kitten/cat was rotated through the 3 dietary regimens.  </w:t>
      </w:r>
      <w:r w:rsidRPr="001E084C">
        <w:rPr>
          <w:rFonts w:ascii="Arial" w:hAnsi="Arial" w:cs="Arial"/>
        </w:rPr>
        <w:t xml:space="preserve"> </w:t>
      </w:r>
      <w:r>
        <w:rPr>
          <w:rFonts w:ascii="Arial" w:hAnsi="Arial" w:cs="Arial"/>
        </w:rPr>
        <w:t xml:space="preserve">The kittens/cats were fed the three diets in random order with a 7 day acclimation period followed by 7 day feces collection period.  Feces were scored and recorded daily by the same individual (BAH) during the 7 day collection period.  </w:t>
      </w:r>
      <w:r w:rsidRPr="00BA6097">
        <w:rPr>
          <w:rFonts w:ascii="Arial" w:hAnsi="Arial" w:cs="Arial"/>
        </w:rPr>
        <w:t xml:space="preserve">Scoring was done using a 5 point scale as follows: 1 = watery, liquid that can be poured, 2 = soft, unformed stool, 3 = soft, moist, formed stool, 4 = dry, well formed </w:t>
      </w:r>
      <w:r>
        <w:rPr>
          <w:rFonts w:ascii="Arial" w:hAnsi="Arial" w:cs="Arial"/>
        </w:rPr>
        <w:t xml:space="preserve">stool, 5 = hard, dry pellets.  </w:t>
      </w:r>
      <w:r w:rsidRPr="00BA6097">
        <w:rPr>
          <w:rFonts w:ascii="Arial" w:hAnsi="Arial" w:cs="Arial"/>
        </w:rPr>
        <w:t>A</w:t>
      </w:r>
      <w:r>
        <w:rPr>
          <w:rFonts w:ascii="Arial" w:hAnsi="Arial" w:cs="Arial"/>
        </w:rPr>
        <w:t xml:space="preserve">ll feces were </w:t>
      </w:r>
      <w:r w:rsidRPr="00BA6097">
        <w:rPr>
          <w:rFonts w:ascii="Arial" w:hAnsi="Arial" w:cs="Arial"/>
        </w:rPr>
        <w:t xml:space="preserve">collected </w:t>
      </w:r>
      <w:r>
        <w:rPr>
          <w:rFonts w:ascii="Arial" w:hAnsi="Arial" w:cs="Arial"/>
        </w:rPr>
        <w:t xml:space="preserve">and weighed </w:t>
      </w:r>
      <w:r w:rsidRPr="00BA6097">
        <w:rPr>
          <w:rFonts w:ascii="Arial" w:hAnsi="Arial" w:cs="Arial"/>
        </w:rPr>
        <w:t>daily in individual</w:t>
      </w:r>
      <w:r>
        <w:rPr>
          <w:rFonts w:ascii="Arial" w:hAnsi="Arial" w:cs="Arial"/>
        </w:rPr>
        <w:t xml:space="preserve"> containers and immediately frozen at -20° C.  A composite sample of each diet and all feces were submitted to Eurofin laboratory</w:t>
      </w:r>
      <w:r>
        <w:rPr>
          <w:rFonts w:ascii="Arial" w:hAnsi="Arial" w:cs="Arial"/>
          <w:vertAlign w:val="superscript"/>
        </w:rPr>
        <w:t>9</w:t>
      </w:r>
      <w:r>
        <w:rPr>
          <w:rFonts w:ascii="Arial" w:hAnsi="Arial" w:cs="Arial"/>
        </w:rPr>
        <w:t xml:space="preserve"> for proximate analysis of moisture, protein, fat, ash, crude fiber and energy digestibility.  Apparent digestibility was calculated using the equation:</w:t>
      </w:r>
      <w:r w:rsidRPr="001E084C">
        <w:rPr>
          <w:rFonts w:ascii="Arial" w:hAnsi="Arial" w:cs="Arial"/>
        </w:rPr>
        <w:t xml:space="preserve"> </w:t>
      </w:r>
    </w:p>
    <w:p w:rsidR="00330CF1" w:rsidRDefault="00330CF1" w:rsidP="00404090">
      <w:pPr>
        <w:ind w:left="720"/>
        <w:rPr>
          <w:rFonts w:ascii="Arial" w:hAnsi="Arial" w:cs="Arial"/>
          <w:i/>
        </w:rPr>
      </w:pPr>
      <w:r>
        <w:rPr>
          <w:rFonts w:ascii="Arial" w:hAnsi="Arial" w:cs="Arial"/>
          <w:i/>
        </w:rPr>
        <w:t>(Intake – Output)/ Intake.</w:t>
      </w:r>
    </w:p>
    <w:p w:rsidR="00330CF1" w:rsidRDefault="00330CF1" w:rsidP="000B7A64">
      <w:pPr>
        <w:rPr>
          <w:rFonts w:ascii="Arial" w:hAnsi="Arial" w:cs="Arial"/>
          <w:i/>
        </w:rPr>
      </w:pPr>
    </w:p>
    <w:p w:rsidR="00330CF1" w:rsidRDefault="00330CF1" w:rsidP="002A047B">
      <w:pPr>
        <w:rPr>
          <w:rFonts w:ascii="Arial" w:hAnsi="Arial" w:cs="Arial"/>
        </w:rPr>
      </w:pPr>
      <w:r>
        <w:rPr>
          <w:rFonts w:ascii="Arial" w:hAnsi="Arial" w:cs="Arial"/>
          <w:b/>
        </w:rPr>
        <w:t>Statistical a</w:t>
      </w:r>
      <w:r w:rsidRPr="002A047B">
        <w:rPr>
          <w:rFonts w:ascii="Arial" w:hAnsi="Arial" w:cs="Arial"/>
          <w:b/>
        </w:rPr>
        <w:t>nalysis:</w:t>
      </w:r>
      <w:r w:rsidRPr="002A047B">
        <w:rPr>
          <w:rFonts w:ascii="Arial" w:hAnsi="Arial" w:cs="Arial"/>
        </w:rPr>
        <w:t xml:space="preserve"> </w:t>
      </w:r>
      <w:r>
        <w:rPr>
          <w:rFonts w:ascii="Arial" w:hAnsi="Arial" w:cs="Arial"/>
        </w:rPr>
        <w:t xml:space="preserve">A completely randomized design was used to compare mean differences in apparent digestibility (dry matter, organic matter, protein, fat, nitrogen free extract, energy), dry matter food intake, dry matter fecal output, kcal ingested and fecal scores in kittens and adult cats by treatment, with blocking by treatment(diet) and period (week).  Mixed model ANOVA (SAS, Version </w:t>
      </w:r>
      <w:r w:rsidRPr="00C57CAC">
        <w:rPr>
          <w:rFonts w:ascii="Arial" w:hAnsi="Arial" w:cs="Arial"/>
        </w:rPr>
        <w:t xml:space="preserve">9.2) </w:t>
      </w:r>
      <w:r>
        <w:rPr>
          <w:rFonts w:ascii="Arial" w:hAnsi="Arial" w:cs="Arial"/>
        </w:rPr>
        <w:t xml:space="preserve">was used to compare least square means.  </w:t>
      </w:r>
    </w:p>
    <w:p w:rsidR="00330CF1" w:rsidRDefault="00330CF1" w:rsidP="00051379">
      <w:pPr>
        <w:rPr>
          <w:rFonts w:ascii="Arial" w:hAnsi="Arial" w:cs="Arial"/>
        </w:rPr>
      </w:pPr>
      <w:r>
        <w:rPr>
          <w:rFonts w:ascii="Arial" w:hAnsi="Arial" w:cs="Arial"/>
        </w:rPr>
        <w:t xml:space="preserve">     The two testable assumptions of ANOVA, normally distributed residuals and equal variances between groups, where tested for all dependent variables.  No variables failed to meet these assumptions.  Normality was tested using the Shapiro-Wilk test and homogeneity of variance was tested using the Leven’s F test.  Statistical significance was defined as p ≤ 0.05 while trend was defined as p ≤ 0.10.</w:t>
      </w:r>
    </w:p>
    <w:p w:rsidR="00330CF1" w:rsidRPr="009F7C9F" w:rsidRDefault="00330CF1" w:rsidP="009F7C9F"/>
    <w:p w:rsidR="00330CF1" w:rsidRDefault="00330CF1" w:rsidP="009F7C9F">
      <w:pPr>
        <w:pStyle w:val="Heading1"/>
        <w:jc w:val="center"/>
      </w:pPr>
      <w:bookmarkStart w:id="50" w:name="_Toc305485884"/>
      <w:r>
        <w:t>Results</w:t>
      </w:r>
      <w:bookmarkEnd w:id="50"/>
    </w:p>
    <w:p w:rsidR="00330CF1" w:rsidRPr="009F7C9F" w:rsidRDefault="00330CF1" w:rsidP="009F7C9F"/>
    <w:p w:rsidR="00330CF1" w:rsidRDefault="00330CF1" w:rsidP="00CE1610">
      <w:pPr>
        <w:rPr>
          <w:rFonts w:ascii="Arial" w:hAnsi="Arial" w:cs="Arial"/>
        </w:rPr>
      </w:pPr>
      <w:r>
        <w:rPr>
          <w:rFonts w:ascii="Arial" w:hAnsi="Arial" w:cs="Arial"/>
        </w:rPr>
        <w:t xml:space="preserve">     Table 5.2 lists the analyzed composition of each of the diets fed during the digestibility trial.  Protein content of both the control and commercial raw diet were similar but less than the label minimum guaranteed analysis.  All protein levels were greater than the National Research Council (NRC) feline growth minimum requirement of 18% dry matter.</w:t>
      </w:r>
      <w:r>
        <w:rPr>
          <w:rFonts w:ascii="Arial" w:hAnsi="Arial" w:cs="Arial"/>
          <w:noProof/>
        </w:rPr>
        <w:t>[12]</w:t>
      </w:r>
      <w:r>
        <w:rPr>
          <w:rFonts w:ascii="Arial" w:hAnsi="Arial" w:cs="Arial"/>
        </w:rPr>
        <w:t xml:space="preserve">  The homemade raw diet had a </w:t>
      </w:r>
      <w:r w:rsidRPr="00C3694D">
        <w:rPr>
          <w:rFonts w:ascii="Arial" w:hAnsi="Arial" w:cs="Arial"/>
        </w:rPr>
        <w:t xml:space="preserve">substantially higher </w:t>
      </w:r>
      <w:r>
        <w:rPr>
          <w:rFonts w:ascii="Arial" w:hAnsi="Arial" w:cs="Arial"/>
        </w:rPr>
        <w:t>level of protein and lower level of fat compared to the other 2 diets.  The fat content of the commercial raw was less than the label minimum guaranteed analysis but all of the diets had fat contents greater than NRC feline growth minimum requirement of 9% dry matter.</w:t>
      </w:r>
      <w:r>
        <w:rPr>
          <w:rFonts w:ascii="Arial" w:hAnsi="Arial" w:cs="Arial"/>
          <w:noProof/>
        </w:rPr>
        <w:t>[12]</w:t>
      </w:r>
      <w:r>
        <w:rPr>
          <w:rFonts w:ascii="Arial" w:hAnsi="Arial" w:cs="Arial"/>
        </w:rPr>
        <w:t xml:space="preserve">  There was no detectable carbohydrate in the homemade raw diet while both the control and commercial raw had less than 8% dry matter level of carbohydrate.  The moisture level of the homemade raw diet was higher than either control or commercial raw. The kittens on this diet had subsequent higher urine output.  </w:t>
      </w:r>
    </w:p>
    <w:p w:rsidR="00330CF1" w:rsidRDefault="00330CF1" w:rsidP="00CE1610">
      <w:pPr>
        <w:rPr>
          <w:rFonts w:ascii="Arial" w:hAnsi="Arial" w:cs="Arial"/>
        </w:rPr>
      </w:pPr>
    </w:p>
    <w:p w:rsidR="00330CF1" w:rsidRDefault="00330CF1" w:rsidP="00DD1539">
      <w:pPr>
        <w:jc w:val="center"/>
        <w:rPr>
          <w:rFonts w:ascii="Arial" w:hAnsi="Arial" w:cs="Arial"/>
        </w:rPr>
      </w:pPr>
    </w:p>
    <w:p w:rsidR="00330CF1" w:rsidRDefault="00330CF1" w:rsidP="00DD1539">
      <w:pPr>
        <w:jc w:val="center"/>
        <w:rPr>
          <w:rFonts w:ascii="Arial" w:hAnsi="Arial" w:cs="Arial"/>
        </w:rPr>
      </w:pPr>
    </w:p>
    <w:p w:rsidR="00330CF1" w:rsidRDefault="00330CF1" w:rsidP="00DD1539">
      <w:pPr>
        <w:jc w:val="center"/>
        <w:rPr>
          <w:rFonts w:ascii="Arial" w:hAnsi="Arial" w:cs="Arial"/>
        </w:rPr>
      </w:pPr>
    </w:p>
    <w:p w:rsidR="00330CF1" w:rsidRPr="003E1E9B" w:rsidRDefault="00330CF1" w:rsidP="00DD1539">
      <w:pPr>
        <w:jc w:val="center"/>
        <w:rPr>
          <w:rFonts w:ascii="Arial" w:hAnsi="Arial" w:cs="Arial"/>
        </w:rPr>
      </w:pPr>
      <w:r w:rsidRPr="003E1E9B">
        <w:rPr>
          <w:rFonts w:ascii="Arial" w:hAnsi="Arial" w:cs="Arial"/>
          <w:b/>
        </w:rPr>
        <w:t>Table 5.2</w:t>
      </w:r>
      <w:r w:rsidRPr="003E1E9B">
        <w:rPr>
          <w:rFonts w:ascii="Arial" w:hAnsi="Arial" w:cs="Arial"/>
        </w:rPr>
        <w:t xml:space="preserve"> Analyzed </w:t>
      </w:r>
      <w:r>
        <w:rPr>
          <w:rFonts w:ascii="Arial" w:hAnsi="Arial" w:cs="Arial"/>
        </w:rPr>
        <w:t xml:space="preserve">diet </w:t>
      </w:r>
      <w:r w:rsidRPr="003E1E9B">
        <w:rPr>
          <w:rFonts w:ascii="Arial" w:hAnsi="Arial" w:cs="Arial"/>
        </w:rPr>
        <w:t>nutrient</w:t>
      </w:r>
      <w:r>
        <w:rPr>
          <w:rFonts w:ascii="Arial" w:hAnsi="Arial" w:cs="Arial"/>
        </w:rPr>
        <w:t xml:space="preserve"> composition </w:t>
      </w:r>
      <w:r w:rsidRPr="003E1E9B">
        <w:rPr>
          <w:rFonts w:ascii="Arial" w:hAnsi="Arial" w:cs="Arial"/>
        </w:rPr>
        <w:t xml:space="preserve"> </w:t>
      </w:r>
    </w:p>
    <w:p w:rsidR="00330CF1" w:rsidRPr="003E1E9B" w:rsidRDefault="00330CF1" w:rsidP="003E1E9B">
      <w:pPr>
        <w:jc w:val="center"/>
        <w:rPr>
          <w:rFonts w:ascii="Arial" w:hAnsi="Arial" w:cs="Arial"/>
        </w:rPr>
      </w:pPr>
      <w:r w:rsidRPr="003E1E9B">
        <w:rPr>
          <w:rFonts w:ascii="Arial" w:hAnsi="Arial" w:cs="Arial"/>
        </w:rPr>
        <w:t>(dry matter basis)</w:t>
      </w:r>
    </w:p>
    <w:p w:rsidR="00330CF1" w:rsidRPr="003E1E9B" w:rsidRDefault="00330CF1" w:rsidP="00DD1539">
      <w:pPr>
        <w:jc w:val="center"/>
        <w:rPr>
          <w:rFonts w:ascii="Arial" w:hAnsi="Arial" w:cs="Arial"/>
        </w:rPr>
      </w:pPr>
    </w:p>
    <w:tbl>
      <w:tblPr>
        <w:tblStyle w:val="TableGrid"/>
        <w:tblW w:w="9108" w:type="dxa"/>
        <w:tblLook w:val="04A0" w:firstRow="1" w:lastRow="0" w:firstColumn="1" w:lastColumn="0" w:noHBand="0" w:noVBand="1"/>
      </w:tblPr>
      <w:tblGrid>
        <w:gridCol w:w="2214"/>
        <w:gridCol w:w="2214"/>
        <w:gridCol w:w="2340"/>
        <w:gridCol w:w="2340"/>
      </w:tblGrid>
      <w:tr w:rsidR="00330CF1" w:rsidTr="001A1619">
        <w:tc>
          <w:tcPr>
            <w:tcW w:w="2214" w:type="dxa"/>
          </w:tcPr>
          <w:p w:rsidR="00330CF1" w:rsidRDefault="00330CF1" w:rsidP="00CE1610">
            <w:pPr>
              <w:rPr>
                <w:rFonts w:ascii="Arial" w:hAnsi="Arial" w:cs="Arial"/>
              </w:rPr>
            </w:pPr>
          </w:p>
        </w:tc>
        <w:tc>
          <w:tcPr>
            <w:tcW w:w="2214" w:type="dxa"/>
          </w:tcPr>
          <w:p w:rsidR="00330CF1" w:rsidRDefault="00330CF1" w:rsidP="00C811BB">
            <w:pPr>
              <w:jc w:val="center"/>
              <w:rPr>
                <w:rFonts w:ascii="Arial" w:hAnsi="Arial" w:cs="Arial"/>
              </w:rPr>
            </w:pPr>
            <w:r>
              <w:rPr>
                <w:rFonts w:ascii="Arial" w:hAnsi="Arial" w:cs="Arial"/>
              </w:rPr>
              <w:t>Control</w:t>
            </w:r>
          </w:p>
        </w:tc>
        <w:tc>
          <w:tcPr>
            <w:tcW w:w="2340" w:type="dxa"/>
          </w:tcPr>
          <w:p w:rsidR="00330CF1" w:rsidRDefault="00330CF1" w:rsidP="00C811BB">
            <w:pPr>
              <w:jc w:val="center"/>
              <w:rPr>
                <w:rFonts w:ascii="Arial" w:hAnsi="Arial" w:cs="Arial"/>
              </w:rPr>
            </w:pPr>
            <w:r>
              <w:rPr>
                <w:rFonts w:ascii="Arial" w:hAnsi="Arial" w:cs="Arial"/>
              </w:rPr>
              <w:t>Commercial Raw</w:t>
            </w:r>
          </w:p>
        </w:tc>
        <w:tc>
          <w:tcPr>
            <w:tcW w:w="2340" w:type="dxa"/>
          </w:tcPr>
          <w:p w:rsidR="00330CF1" w:rsidRDefault="00330CF1" w:rsidP="00C811BB">
            <w:pPr>
              <w:jc w:val="center"/>
              <w:rPr>
                <w:rFonts w:ascii="Arial" w:hAnsi="Arial" w:cs="Arial"/>
              </w:rPr>
            </w:pPr>
            <w:r>
              <w:rPr>
                <w:rFonts w:ascii="Arial" w:hAnsi="Arial" w:cs="Arial"/>
              </w:rPr>
              <w:t>Homemade Raw</w:t>
            </w:r>
          </w:p>
        </w:tc>
      </w:tr>
      <w:tr w:rsidR="00330CF1" w:rsidTr="001A1619">
        <w:tc>
          <w:tcPr>
            <w:tcW w:w="2214" w:type="dxa"/>
          </w:tcPr>
          <w:p w:rsidR="00330CF1" w:rsidRDefault="00330CF1" w:rsidP="00CE1610">
            <w:pPr>
              <w:rPr>
                <w:rFonts w:ascii="Arial" w:hAnsi="Arial" w:cs="Arial"/>
              </w:rPr>
            </w:pPr>
            <w:r>
              <w:rPr>
                <w:rFonts w:ascii="Arial" w:hAnsi="Arial" w:cs="Arial"/>
              </w:rPr>
              <w:t>Crude Protein</w:t>
            </w:r>
          </w:p>
        </w:tc>
        <w:tc>
          <w:tcPr>
            <w:tcW w:w="2214" w:type="dxa"/>
          </w:tcPr>
          <w:p w:rsidR="00330CF1" w:rsidRDefault="00330CF1" w:rsidP="00C811BB">
            <w:pPr>
              <w:jc w:val="center"/>
              <w:rPr>
                <w:rFonts w:ascii="Arial" w:hAnsi="Arial" w:cs="Arial"/>
              </w:rPr>
            </w:pPr>
            <w:r>
              <w:rPr>
                <w:rFonts w:ascii="Arial" w:hAnsi="Arial" w:cs="Arial"/>
              </w:rPr>
              <w:t>46.7%</w:t>
            </w:r>
          </w:p>
        </w:tc>
        <w:tc>
          <w:tcPr>
            <w:tcW w:w="2340" w:type="dxa"/>
          </w:tcPr>
          <w:p w:rsidR="00330CF1" w:rsidRDefault="00330CF1" w:rsidP="00C811BB">
            <w:pPr>
              <w:jc w:val="center"/>
              <w:rPr>
                <w:rFonts w:ascii="Arial" w:hAnsi="Arial" w:cs="Arial"/>
              </w:rPr>
            </w:pPr>
            <w:r>
              <w:rPr>
                <w:rFonts w:ascii="Arial" w:hAnsi="Arial" w:cs="Arial"/>
              </w:rPr>
              <w:t>49.7%</w:t>
            </w:r>
          </w:p>
        </w:tc>
        <w:tc>
          <w:tcPr>
            <w:tcW w:w="2340" w:type="dxa"/>
          </w:tcPr>
          <w:p w:rsidR="00330CF1" w:rsidRDefault="00330CF1" w:rsidP="00C811BB">
            <w:pPr>
              <w:jc w:val="center"/>
              <w:rPr>
                <w:rFonts w:ascii="Arial" w:hAnsi="Arial" w:cs="Arial"/>
              </w:rPr>
            </w:pPr>
            <w:r>
              <w:rPr>
                <w:rFonts w:ascii="Arial" w:hAnsi="Arial" w:cs="Arial"/>
              </w:rPr>
              <w:t>78.3%</w:t>
            </w:r>
          </w:p>
        </w:tc>
      </w:tr>
      <w:tr w:rsidR="00330CF1" w:rsidTr="001A1619">
        <w:tc>
          <w:tcPr>
            <w:tcW w:w="2214" w:type="dxa"/>
          </w:tcPr>
          <w:p w:rsidR="00330CF1" w:rsidRDefault="00330CF1" w:rsidP="00CE1610">
            <w:pPr>
              <w:rPr>
                <w:rFonts w:ascii="Arial" w:hAnsi="Arial" w:cs="Arial"/>
              </w:rPr>
            </w:pPr>
            <w:r>
              <w:rPr>
                <w:rFonts w:ascii="Arial" w:hAnsi="Arial" w:cs="Arial"/>
              </w:rPr>
              <w:t>Crude Fat</w:t>
            </w:r>
          </w:p>
        </w:tc>
        <w:tc>
          <w:tcPr>
            <w:tcW w:w="2214" w:type="dxa"/>
          </w:tcPr>
          <w:p w:rsidR="00330CF1" w:rsidRDefault="00330CF1" w:rsidP="00C811BB">
            <w:pPr>
              <w:jc w:val="center"/>
              <w:rPr>
                <w:rFonts w:ascii="Arial" w:hAnsi="Arial" w:cs="Arial"/>
              </w:rPr>
            </w:pPr>
            <w:r>
              <w:rPr>
                <w:rFonts w:ascii="Arial" w:hAnsi="Arial" w:cs="Arial"/>
              </w:rPr>
              <w:t>37.8%</w:t>
            </w:r>
          </w:p>
        </w:tc>
        <w:tc>
          <w:tcPr>
            <w:tcW w:w="2340" w:type="dxa"/>
          </w:tcPr>
          <w:p w:rsidR="00330CF1" w:rsidRDefault="00330CF1" w:rsidP="00C811BB">
            <w:pPr>
              <w:jc w:val="center"/>
              <w:rPr>
                <w:rFonts w:ascii="Arial" w:hAnsi="Arial" w:cs="Arial"/>
              </w:rPr>
            </w:pPr>
            <w:r>
              <w:rPr>
                <w:rFonts w:ascii="Arial" w:hAnsi="Arial" w:cs="Arial"/>
              </w:rPr>
              <w:t>34.2%</w:t>
            </w:r>
          </w:p>
        </w:tc>
        <w:tc>
          <w:tcPr>
            <w:tcW w:w="2340" w:type="dxa"/>
          </w:tcPr>
          <w:p w:rsidR="00330CF1" w:rsidRDefault="00330CF1" w:rsidP="00C811BB">
            <w:pPr>
              <w:jc w:val="center"/>
              <w:rPr>
                <w:rFonts w:ascii="Arial" w:hAnsi="Arial" w:cs="Arial"/>
              </w:rPr>
            </w:pPr>
            <w:r>
              <w:rPr>
                <w:rFonts w:ascii="Arial" w:hAnsi="Arial" w:cs="Arial"/>
              </w:rPr>
              <w:t>12.2%</w:t>
            </w:r>
          </w:p>
        </w:tc>
      </w:tr>
      <w:tr w:rsidR="00330CF1" w:rsidTr="001A1619">
        <w:tc>
          <w:tcPr>
            <w:tcW w:w="2214" w:type="dxa"/>
          </w:tcPr>
          <w:p w:rsidR="00330CF1" w:rsidRDefault="00330CF1" w:rsidP="00CE1610">
            <w:pPr>
              <w:rPr>
                <w:rFonts w:ascii="Arial" w:hAnsi="Arial" w:cs="Arial"/>
              </w:rPr>
            </w:pPr>
            <w:r>
              <w:rPr>
                <w:rFonts w:ascii="Arial" w:hAnsi="Arial" w:cs="Arial"/>
              </w:rPr>
              <w:t>Crude Fiber</w:t>
            </w:r>
          </w:p>
        </w:tc>
        <w:tc>
          <w:tcPr>
            <w:tcW w:w="2214" w:type="dxa"/>
          </w:tcPr>
          <w:p w:rsidR="00330CF1" w:rsidRDefault="00330CF1" w:rsidP="00C811BB">
            <w:pPr>
              <w:jc w:val="center"/>
              <w:rPr>
                <w:rFonts w:ascii="Arial" w:hAnsi="Arial" w:cs="Arial"/>
              </w:rPr>
            </w:pPr>
            <w:r>
              <w:rPr>
                <w:rFonts w:ascii="Arial" w:hAnsi="Arial" w:cs="Arial"/>
              </w:rPr>
              <w:t>0.60%</w:t>
            </w:r>
          </w:p>
        </w:tc>
        <w:tc>
          <w:tcPr>
            <w:tcW w:w="2340" w:type="dxa"/>
          </w:tcPr>
          <w:p w:rsidR="00330CF1" w:rsidRDefault="00330CF1" w:rsidP="00C811BB">
            <w:pPr>
              <w:jc w:val="center"/>
              <w:rPr>
                <w:rFonts w:ascii="Arial" w:hAnsi="Arial" w:cs="Arial"/>
              </w:rPr>
            </w:pPr>
            <w:r>
              <w:rPr>
                <w:rFonts w:ascii="Arial" w:hAnsi="Arial" w:cs="Arial"/>
              </w:rPr>
              <w:t>0.88%</w:t>
            </w:r>
          </w:p>
        </w:tc>
        <w:tc>
          <w:tcPr>
            <w:tcW w:w="2340" w:type="dxa"/>
          </w:tcPr>
          <w:p w:rsidR="00330CF1" w:rsidRDefault="00330CF1" w:rsidP="00C811BB">
            <w:pPr>
              <w:jc w:val="center"/>
              <w:rPr>
                <w:rFonts w:ascii="Arial" w:hAnsi="Arial" w:cs="Arial"/>
              </w:rPr>
            </w:pPr>
            <w:r>
              <w:rPr>
                <w:rFonts w:ascii="Arial" w:hAnsi="Arial" w:cs="Arial"/>
              </w:rPr>
              <w:t>0.16%</w:t>
            </w:r>
          </w:p>
        </w:tc>
      </w:tr>
      <w:tr w:rsidR="00330CF1" w:rsidTr="001A1619">
        <w:tc>
          <w:tcPr>
            <w:tcW w:w="2214" w:type="dxa"/>
          </w:tcPr>
          <w:p w:rsidR="00330CF1" w:rsidRDefault="00330CF1" w:rsidP="00CE1610">
            <w:pPr>
              <w:rPr>
                <w:rFonts w:ascii="Arial" w:hAnsi="Arial" w:cs="Arial"/>
              </w:rPr>
            </w:pPr>
            <w:r>
              <w:rPr>
                <w:rFonts w:ascii="Arial" w:hAnsi="Arial" w:cs="Arial"/>
              </w:rPr>
              <w:t>Ash</w:t>
            </w:r>
          </w:p>
        </w:tc>
        <w:tc>
          <w:tcPr>
            <w:tcW w:w="2214" w:type="dxa"/>
          </w:tcPr>
          <w:p w:rsidR="00330CF1" w:rsidRDefault="00330CF1" w:rsidP="00C811BB">
            <w:pPr>
              <w:jc w:val="center"/>
              <w:rPr>
                <w:rFonts w:ascii="Arial" w:hAnsi="Arial" w:cs="Arial"/>
              </w:rPr>
            </w:pPr>
            <w:r>
              <w:rPr>
                <w:rFonts w:ascii="Arial" w:hAnsi="Arial" w:cs="Arial"/>
              </w:rPr>
              <w:t>11.0%</w:t>
            </w:r>
          </w:p>
        </w:tc>
        <w:tc>
          <w:tcPr>
            <w:tcW w:w="2340" w:type="dxa"/>
          </w:tcPr>
          <w:p w:rsidR="00330CF1" w:rsidRDefault="00330CF1" w:rsidP="00C811BB">
            <w:pPr>
              <w:jc w:val="center"/>
              <w:rPr>
                <w:rFonts w:ascii="Arial" w:hAnsi="Arial" w:cs="Arial"/>
              </w:rPr>
            </w:pPr>
            <w:r>
              <w:rPr>
                <w:rFonts w:ascii="Arial" w:hAnsi="Arial" w:cs="Arial"/>
              </w:rPr>
              <w:t>8.1%</w:t>
            </w:r>
          </w:p>
        </w:tc>
        <w:tc>
          <w:tcPr>
            <w:tcW w:w="2340" w:type="dxa"/>
          </w:tcPr>
          <w:p w:rsidR="00330CF1" w:rsidRDefault="00330CF1" w:rsidP="00C811BB">
            <w:pPr>
              <w:jc w:val="center"/>
              <w:rPr>
                <w:rFonts w:ascii="Arial" w:hAnsi="Arial" w:cs="Arial"/>
              </w:rPr>
            </w:pPr>
            <w:r>
              <w:rPr>
                <w:rFonts w:ascii="Arial" w:hAnsi="Arial" w:cs="Arial"/>
              </w:rPr>
              <w:t>9.3%</w:t>
            </w:r>
          </w:p>
        </w:tc>
      </w:tr>
      <w:tr w:rsidR="00330CF1" w:rsidTr="001A1619">
        <w:tc>
          <w:tcPr>
            <w:tcW w:w="2214" w:type="dxa"/>
          </w:tcPr>
          <w:p w:rsidR="00330CF1" w:rsidRDefault="00330CF1" w:rsidP="00CE1610">
            <w:pPr>
              <w:rPr>
                <w:rFonts w:ascii="Arial" w:hAnsi="Arial" w:cs="Arial"/>
              </w:rPr>
            </w:pPr>
            <w:r>
              <w:rPr>
                <w:rFonts w:ascii="Arial" w:hAnsi="Arial" w:cs="Arial"/>
              </w:rPr>
              <w:t>NFE</w:t>
            </w:r>
          </w:p>
        </w:tc>
        <w:tc>
          <w:tcPr>
            <w:tcW w:w="2214" w:type="dxa"/>
          </w:tcPr>
          <w:p w:rsidR="00330CF1" w:rsidRDefault="00330CF1" w:rsidP="00C811BB">
            <w:pPr>
              <w:jc w:val="center"/>
              <w:rPr>
                <w:rFonts w:ascii="Arial" w:hAnsi="Arial" w:cs="Arial"/>
              </w:rPr>
            </w:pPr>
            <w:r>
              <w:rPr>
                <w:rFonts w:ascii="Arial" w:hAnsi="Arial" w:cs="Arial"/>
              </w:rPr>
              <w:t>3.9%</w:t>
            </w:r>
          </w:p>
        </w:tc>
        <w:tc>
          <w:tcPr>
            <w:tcW w:w="2340" w:type="dxa"/>
          </w:tcPr>
          <w:p w:rsidR="00330CF1" w:rsidRDefault="00330CF1" w:rsidP="00C811BB">
            <w:pPr>
              <w:jc w:val="center"/>
              <w:rPr>
                <w:rFonts w:ascii="Arial" w:hAnsi="Arial" w:cs="Arial"/>
              </w:rPr>
            </w:pPr>
            <w:r>
              <w:rPr>
                <w:rFonts w:ascii="Arial" w:hAnsi="Arial" w:cs="Arial"/>
              </w:rPr>
              <w:t>7.3%</w:t>
            </w:r>
          </w:p>
        </w:tc>
        <w:tc>
          <w:tcPr>
            <w:tcW w:w="2340" w:type="dxa"/>
          </w:tcPr>
          <w:p w:rsidR="00330CF1" w:rsidRDefault="00330CF1" w:rsidP="00C811BB">
            <w:pPr>
              <w:jc w:val="center"/>
              <w:rPr>
                <w:rFonts w:ascii="Arial" w:hAnsi="Arial" w:cs="Arial"/>
              </w:rPr>
            </w:pPr>
            <w:r>
              <w:rPr>
                <w:rFonts w:ascii="Arial" w:hAnsi="Arial" w:cs="Arial"/>
              </w:rPr>
              <w:t>0.0%</w:t>
            </w:r>
          </w:p>
        </w:tc>
      </w:tr>
      <w:tr w:rsidR="00330CF1" w:rsidTr="001A1619">
        <w:tc>
          <w:tcPr>
            <w:tcW w:w="2214" w:type="dxa"/>
          </w:tcPr>
          <w:p w:rsidR="00330CF1" w:rsidRDefault="00330CF1" w:rsidP="00CE1610">
            <w:pPr>
              <w:rPr>
                <w:rFonts w:ascii="Arial" w:hAnsi="Arial" w:cs="Arial"/>
              </w:rPr>
            </w:pPr>
            <w:r>
              <w:rPr>
                <w:rFonts w:ascii="Arial" w:hAnsi="Arial" w:cs="Arial"/>
              </w:rPr>
              <w:t>Energy*</w:t>
            </w:r>
          </w:p>
        </w:tc>
        <w:tc>
          <w:tcPr>
            <w:tcW w:w="2214" w:type="dxa"/>
          </w:tcPr>
          <w:p w:rsidR="00330CF1" w:rsidRDefault="00330CF1" w:rsidP="00C811BB">
            <w:pPr>
              <w:jc w:val="center"/>
              <w:rPr>
                <w:rFonts w:ascii="Arial" w:hAnsi="Arial" w:cs="Arial"/>
              </w:rPr>
            </w:pPr>
            <w:r>
              <w:rPr>
                <w:rFonts w:ascii="Arial" w:hAnsi="Arial" w:cs="Arial"/>
              </w:rPr>
              <w:t>1.76*</w:t>
            </w:r>
          </w:p>
        </w:tc>
        <w:tc>
          <w:tcPr>
            <w:tcW w:w="2340" w:type="dxa"/>
          </w:tcPr>
          <w:p w:rsidR="00330CF1" w:rsidRDefault="00330CF1" w:rsidP="00C811BB">
            <w:pPr>
              <w:jc w:val="center"/>
              <w:rPr>
                <w:rFonts w:ascii="Arial" w:hAnsi="Arial" w:cs="Arial"/>
              </w:rPr>
            </w:pPr>
            <w:r>
              <w:rPr>
                <w:rFonts w:ascii="Arial" w:hAnsi="Arial" w:cs="Arial"/>
              </w:rPr>
              <w:t>1.85*</w:t>
            </w:r>
          </w:p>
        </w:tc>
        <w:tc>
          <w:tcPr>
            <w:tcW w:w="2340" w:type="dxa"/>
          </w:tcPr>
          <w:p w:rsidR="00330CF1" w:rsidRDefault="00330CF1" w:rsidP="00C811BB">
            <w:pPr>
              <w:jc w:val="center"/>
              <w:rPr>
                <w:rFonts w:ascii="Arial" w:hAnsi="Arial" w:cs="Arial"/>
              </w:rPr>
            </w:pPr>
            <w:r>
              <w:rPr>
                <w:rFonts w:ascii="Arial" w:hAnsi="Arial" w:cs="Arial"/>
              </w:rPr>
              <w:t>1.17*</w:t>
            </w:r>
          </w:p>
        </w:tc>
      </w:tr>
      <w:tr w:rsidR="00330CF1" w:rsidTr="001A1619">
        <w:tc>
          <w:tcPr>
            <w:tcW w:w="2214" w:type="dxa"/>
          </w:tcPr>
          <w:p w:rsidR="00330CF1" w:rsidRDefault="00330CF1" w:rsidP="00CE1610">
            <w:pPr>
              <w:rPr>
                <w:rFonts w:ascii="Arial" w:hAnsi="Arial" w:cs="Arial"/>
              </w:rPr>
            </w:pPr>
            <w:r>
              <w:rPr>
                <w:rFonts w:ascii="Arial" w:hAnsi="Arial" w:cs="Arial"/>
              </w:rPr>
              <w:t xml:space="preserve">Moisture </w:t>
            </w:r>
          </w:p>
        </w:tc>
        <w:tc>
          <w:tcPr>
            <w:tcW w:w="2214" w:type="dxa"/>
          </w:tcPr>
          <w:p w:rsidR="00330CF1" w:rsidRDefault="00330CF1" w:rsidP="00C811BB">
            <w:pPr>
              <w:jc w:val="center"/>
              <w:rPr>
                <w:rFonts w:ascii="Arial" w:hAnsi="Arial" w:cs="Arial"/>
              </w:rPr>
            </w:pPr>
            <w:r>
              <w:rPr>
                <w:rFonts w:ascii="Arial" w:hAnsi="Arial" w:cs="Arial"/>
              </w:rPr>
              <w:t>71.81%</w:t>
            </w:r>
          </w:p>
        </w:tc>
        <w:tc>
          <w:tcPr>
            <w:tcW w:w="2340" w:type="dxa"/>
          </w:tcPr>
          <w:p w:rsidR="00330CF1" w:rsidRDefault="00330CF1" w:rsidP="00C811BB">
            <w:pPr>
              <w:jc w:val="center"/>
              <w:rPr>
                <w:rFonts w:ascii="Arial" w:hAnsi="Arial" w:cs="Arial"/>
              </w:rPr>
            </w:pPr>
            <w:r>
              <w:rPr>
                <w:rFonts w:ascii="Arial" w:hAnsi="Arial" w:cs="Arial"/>
              </w:rPr>
              <w:t>70.73%</w:t>
            </w:r>
          </w:p>
        </w:tc>
        <w:tc>
          <w:tcPr>
            <w:tcW w:w="2340" w:type="dxa"/>
          </w:tcPr>
          <w:p w:rsidR="00330CF1" w:rsidRDefault="00330CF1" w:rsidP="00C811BB">
            <w:pPr>
              <w:jc w:val="center"/>
              <w:rPr>
                <w:rFonts w:ascii="Arial" w:hAnsi="Arial" w:cs="Arial"/>
              </w:rPr>
            </w:pPr>
            <w:r>
              <w:rPr>
                <w:rFonts w:ascii="Arial" w:hAnsi="Arial" w:cs="Arial"/>
              </w:rPr>
              <w:t>78.58%</w:t>
            </w:r>
          </w:p>
        </w:tc>
      </w:tr>
    </w:tbl>
    <w:p w:rsidR="00330CF1" w:rsidRDefault="00330CF1" w:rsidP="00CE1610">
      <w:pPr>
        <w:rPr>
          <w:rFonts w:ascii="Arial" w:hAnsi="Arial" w:cs="Arial"/>
        </w:rPr>
      </w:pPr>
      <w:r>
        <w:rPr>
          <w:rFonts w:ascii="Arial" w:hAnsi="Arial" w:cs="Arial"/>
        </w:rPr>
        <w:t>*kcal as fed basis</w:t>
      </w:r>
    </w:p>
    <w:p w:rsidR="00330CF1" w:rsidRDefault="00330CF1" w:rsidP="00CE1610">
      <w:pPr>
        <w:rPr>
          <w:rFonts w:ascii="Arial" w:hAnsi="Arial" w:cs="Arial"/>
        </w:rPr>
      </w:pPr>
    </w:p>
    <w:p w:rsidR="00330CF1" w:rsidRDefault="00330CF1" w:rsidP="00CE1610">
      <w:pPr>
        <w:rPr>
          <w:rFonts w:ascii="Arial" w:hAnsi="Arial" w:cs="Arial"/>
        </w:rPr>
      </w:pPr>
    </w:p>
    <w:p w:rsidR="00330CF1" w:rsidRDefault="00330CF1" w:rsidP="00CE1610">
      <w:pPr>
        <w:rPr>
          <w:rFonts w:ascii="Arial" w:hAnsi="Arial" w:cs="Arial"/>
        </w:rPr>
      </w:pPr>
    </w:p>
    <w:p w:rsidR="00330CF1" w:rsidRDefault="00330CF1" w:rsidP="00CE1610">
      <w:pPr>
        <w:rPr>
          <w:rFonts w:ascii="Arial" w:hAnsi="Arial" w:cs="Arial"/>
        </w:rPr>
      </w:pPr>
      <w:r>
        <w:rPr>
          <w:rFonts w:ascii="Arial" w:hAnsi="Arial" w:cs="Arial"/>
        </w:rPr>
        <w:t xml:space="preserve">     Kitten mean apparent digestibility values are shown in Tables 5.3.  Kitten apparent total tract dry matter (p&lt;0.0001), organic matter (p&lt;0.0001), protein (p=0.0001), and energy (p&lt;0.0001) digestibility was significantly greater in the homemade raw diet compared to the commercial raw diet and control diet (p&lt;0.0001).  The commercial raw diet had significantly greater apparent DM, OM, protein, and energy digestibility compared to the control diet (p&lt;0.0001).  A trend toward significantly greater fat digestibility (p=0.056) was found in the commercial raw diet compared to the homemade diet and control diet.  The reduced level of fat in the homemade raw diet compared to the other two diets may have affected its digestibility value.  Nitrogen-free extract (NFE) apparent digestibility in the commercial raw diet was significantly higher than the control diet but both values were low (&lt; 65%). </w:t>
      </w:r>
    </w:p>
    <w:p w:rsidR="00330CF1" w:rsidRDefault="00330CF1" w:rsidP="00CE1610">
      <w:pPr>
        <w:rPr>
          <w:rFonts w:ascii="Arial" w:hAnsi="Arial" w:cs="Arial"/>
        </w:rPr>
      </w:pPr>
      <w:r>
        <w:rPr>
          <w:rFonts w:ascii="Arial" w:hAnsi="Arial" w:cs="Arial"/>
        </w:rPr>
        <w:t xml:space="preserve">     Adult mean apparent digestibility values are shown in Table 5.4.  The homemade raw diet had greater apparent protein digestibility (p=0.001) compared to both the commercial raw and control diets, and the commercial raw had greater protein digestibility (p=0.001) compared to the control diet.  Both raw diets had greater apparent DM digestibility (p=0.001) compared to the control diet.  The homemade diet had greater OM (p=0.041), and energy (p=0.021) digestibility compared to the control diet.  Fat digestibility (p=0.006) was significantly lower in the homemade raw diet compared to the commercial raw and control diet.  As previously stated, the reduced level of fat in the homemade raw diet may have affected its digestibility values.  There were no significant differences in NFE digestibility between the diets. </w:t>
      </w:r>
    </w:p>
    <w:p w:rsidR="00330CF1" w:rsidRDefault="00330CF1" w:rsidP="00CE1610">
      <w:pPr>
        <w:rPr>
          <w:rFonts w:ascii="Arial" w:hAnsi="Arial" w:cs="Arial"/>
        </w:rPr>
      </w:pPr>
      <w:r>
        <w:rPr>
          <w:rFonts w:ascii="Arial" w:hAnsi="Arial" w:cs="Arial"/>
        </w:rPr>
        <w:t xml:space="preserve">     With a few exceptions (i.e. overall NFE, OM and fat in control diet, protein in homemade diet), the kittens overall</w:t>
      </w:r>
      <w:r w:rsidRPr="00D53195">
        <w:rPr>
          <w:rFonts w:ascii="Arial" w:hAnsi="Arial" w:cs="Arial"/>
        </w:rPr>
        <w:t xml:space="preserve"> </w:t>
      </w:r>
      <w:r>
        <w:rPr>
          <w:rFonts w:ascii="Arial" w:hAnsi="Arial" w:cs="Arial"/>
        </w:rPr>
        <w:t>had higher digestibility values compared to the adults.</w:t>
      </w:r>
    </w:p>
    <w:p w:rsidR="00330CF1" w:rsidRDefault="00330CF1">
      <w:pPr>
        <w:rPr>
          <w:rFonts w:ascii="Arial" w:hAnsi="Arial" w:cs="Arial"/>
        </w:rPr>
      </w:pPr>
      <w:r>
        <w:rPr>
          <w:rFonts w:ascii="Arial" w:hAnsi="Arial" w:cs="Arial"/>
        </w:rPr>
        <w:br w:type="page"/>
      </w:r>
    </w:p>
    <w:p w:rsidR="00330CF1" w:rsidRDefault="00330CF1" w:rsidP="007C694C">
      <w:pPr>
        <w:jc w:val="center"/>
        <w:rPr>
          <w:rFonts w:ascii="Arial" w:hAnsi="Arial" w:cs="Arial"/>
        </w:rPr>
      </w:pPr>
      <w:r w:rsidRPr="003E1E9B">
        <w:rPr>
          <w:rFonts w:ascii="Arial" w:hAnsi="Arial" w:cs="Arial"/>
          <w:b/>
        </w:rPr>
        <w:lastRenderedPageBreak/>
        <w:t>Table 5.3</w:t>
      </w:r>
      <w:r>
        <w:rPr>
          <w:rFonts w:ascii="Arial" w:hAnsi="Arial" w:cs="Arial"/>
        </w:rPr>
        <w:t xml:space="preserve"> Kitten </w:t>
      </w:r>
      <w:r w:rsidRPr="003E1E9B">
        <w:rPr>
          <w:rFonts w:ascii="Arial" w:hAnsi="Arial" w:cs="Arial"/>
        </w:rPr>
        <w:t>apparent digestibility values</w:t>
      </w:r>
      <w:r>
        <w:rPr>
          <w:rFonts w:ascii="Arial" w:hAnsi="Arial" w:cs="Arial"/>
        </w:rPr>
        <w:t xml:space="preserve"> by diet treatment </w:t>
      </w:r>
    </w:p>
    <w:p w:rsidR="00330CF1" w:rsidRPr="003E1E9B" w:rsidRDefault="00330CF1" w:rsidP="007C694C">
      <w:pPr>
        <w:jc w:val="center"/>
        <w:rPr>
          <w:rFonts w:ascii="Arial" w:hAnsi="Arial" w:cs="Arial"/>
        </w:rPr>
      </w:pPr>
      <w:r>
        <w:rPr>
          <w:rFonts w:ascii="Arial" w:hAnsi="Arial" w:cs="Arial"/>
        </w:rPr>
        <w:t>(Mean</w:t>
      </w:r>
      <w:r w:rsidRPr="003E1E9B">
        <w:rPr>
          <w:rFonts w:ascii="Arial" w:hAnsi="Arial" w:cs="Arial"/>
        </w:rPr>
        <w:t xml:space="preserve"> ± SEM</w:t>
      </w:r>
      <w:r>
        <w:rPr>
          <w:rFonts w:ascii="Arial" w:hAnsi="Arial" w:cs="Arial"/>
        </w:rPr>
        <w:t>)</w:t>
      </w:r>
    </w:p>
    <w:p w:rsidR="00330CF1" w:rsidRPr="003E1E9B" w:rsidRDefault="00330CF1" w:rsidP="007C694C">
      <w:pPr>
        <w:jc w:val="center"/>
        <w:rPr>
          <w:rFonts w:ascii="Arial" w:hAnsi="Arial" w:cs="Arial"/>
        </w:rPr>
      </w:pPr>
    </w:p>
    <w:tbl>
      <w:tblPr>
        <w:tblStyle w:val="TableGrid"/>
        <w:tblW w:w="0" w:type="auto"/>
        <w:tblLook w:val="04A0" w:firstRow="1" w:lastRow="0" w:firstColumn="1" w:lastColumn="0" w:noHBand="0" w:noVBand="1"/>
      </w:tblPr>
      <w:tblGrid>
        <w:gridCol w:w="1998"/>
        <w:gridCol w:w="2430"/>
        <w:gridCol w:w="2430"/>
        <w:gridCol w:w="2430"/>
      </w:tblGrid>
      <w:tr w:rsidR="00330CF1" w:rsidRPr="00A85A0A" w:rsidTr="009F7C9F">
        <w:tc>
          <w:tcPr>
            <w:tcW w:w="1998" w:type="dxa"/>
          </w:tcPr>
          <w:p w:rsidR="00330CF1" w:rsidRPr="00A85A0A" w:rsidRDefault="00330CF1" w:rsidP="00530C2E">
            <w:pPr>
              <w:rPr>
                <w:rFonts w:ascii="Arial" w:hAnsi="Arial" w:cs="Arial"/>
              </w:rPr>
            </w:pPr>
          </w:p>
        </w:tc>
        <w:tc>
          <w:tcPr>
            <w:tcW w:w="2430" w:type="dxa"/>
          </w:tcPr>
          <w:p w:rsidR="00330CF1" w:rsidRPr="00A85A0A" w:rsidRDefault="00330CF1" w:rsidP="00530C2E">
            <w:pPr>
              <w:jc w:val="center"/>
              <w:rPr>
                <w:rFonts w:ascii="Arial" w:hAnsi="Arial" w:cs="Arial"/>
              </w:rPr>
            </w:pPr>
            <w:r>
              <w:rPr>
                <w:rFonts w:ascii="Arial" w:hAnsi="Arial" w:cs="Arial"/>
              </w:rPr>
              <w:t>Control</w:t>
            </w:r>
          </w:p>
        </w:tc>
        <w:tc>
          <w:tcPr>
            <w:tcW w:w="2430" w:type="dxa"/>
          </w:tcPr>
          <w:p w:rsidR="00330CF1" w:rsidRPr="00A85A0A" w:rsidRDefault="00330CF1" w:rsidP="00530C2E">
            <w:pPr>
              <w:rPr>
                <w:rFonts w:ascii="Arial" w:hAnsi="Arial" w:cs="Arial"/>
              </w:rPr>
            </w:pPr>
            <w:r>
              <w:rPr>
                <w:rFonts w:ascii="Arial" w:hAnsi="Arial" w:cs="Arial"/>
              </w:rPr>
              <w:t>Commercial Raw</w:t>
            </w:r>
          </w:p>
        </w:tc>
        <w:tc>
          <w:tcPr>
            <w:tcW w:w="2430" w:type="dxa"/>
          </w:tcPr>
          <w:p w:rsidR="00330CF1" w:rsidRPr="00A85A0A" w:rsidRDefault="00330CF1" w:rsidP="00530C2E">
            <w:pPr>
              <w:rPr>
                <w:rFonts w:ascii="Arial" w:hAnsi="Arial" w:cs="Arial"/>
              </w:rPr>
            </w:pPr>
            <w:r>
              <w:rPr>
                <w:rFonts w:ascii="Arial" w:hAnsi="Arial" w:cs="Arial"/>
              </w:rPr>
              <w:t>Homemade Raw</w:t>
            </w:r>
          </w:p>
        </w:tc>
      </w:tr>
      <w:tr w:rsidR="00330CF1" w:rsidRPr="00A85A0A" w:rsidTr="009F7C9F">
        <w:tc>
          <w:tcPr>
            <w:tcW w:w="1998" w:type="dxa"/>
          </w:tcPr>
          <w:p w:rsidR="00330CF1" w:rsidRPr="00A85A0A" w:rsidRDefault="00330CF1" w:rsidP="00530C2E">
            <w:pPr>
              <w:rPr>
                <w:rFonts w:ascii="Arial" w:hAnsi="Arial" w:cs="Arial"/>
              </w:rPr>
            </w:pPr>
            <w:r>
              <w:rPr>
                <w:rFonts w:ascii="Arial" w:hAnsi="Arial" w:cs="Arial"/>
              </w:rPr>
              <w:t xml:space="preserve">DM % </w:t>
            </w:r>
          </w:p>
        </w:tc>
        <w:tc>
          <w:tcPr>
            <w:tcW w:w="2430" w:type="dxa"/>
          </w:tcPr>
          <w:p w:rsidR="00330CF1" w:rsidRPr="00986961" w:rsidRDefault="00330CF1" w:rsidP="009B7956">
            <w:pPr>
              <w:jc w:val="center"/>
              <w:rPr>
                <w:rFonts w:ascii="Arial" w:hAnsi="Arial" w:cs="Arial"/>
              </w:rPr>
            </w:pPr>
            <w:r w:rsidRPr="00A85A0A">
              <w:rPr>
                <w:rFonts w:ascii="Arial" w:hAnsi="Arial" w:cs="Arial"/>
              </w:rPr>
              <w:t>83.849 ± 0.</w:t>
            </w:r>
            <w:r>
              <w:rPr>
                <w:rFonts w:ascii="Arial" w:hAnsi="Arial" w:cs="Arial"/>
              </w:rPr>
              <w:t>642</w:t>
            </w:r>
            <w:r>
              <w:rPr>
                <w:rFonts w:ascii="Arial" w:hAnsi="Arial" w:cs="Arial"/>
                <w:vertAlign w:val="superscript"/>
              </w:rPr>
              <w:t>c</w:t>
            </w:r>
          </w:p>
        </w:tc>
        <w:tc>
          <w:tcPr>
            <w:tcW w:w="2430" w:type="dxa"/>
          </w:tcPr>
          <w:p w:rsidR="00330CF1" w:rsidRPr="00986961" w:rsidRDefault="00330CF1" w:rsidP="009B7956">
            <w:pPr>
              <w:jc w:val="center"/>
              <w:rPr>
                <w:rFonts w:ascii="Arial" w:hAnsi="Arial" w:cs="Arial"/>
              </w:rPr>
            </w:pPr>
            <w:r w:rsidRPr="00A85A0A">
              <w:rPr>
                <w:rFonts w:ascii="Arial" w:hAnsi="Arial" w:cs="Arial"/>
              </w:rPr>
              <w:t>90.627 ± 0.</w:t>
            </w:r>
            <w:r>
              <w:rPr>
                <w:rFonts w:ascii="Arial" w:hAnsi="Arial" w:cs="Arial"/>
              </w:rPr>
              <w:t>642</w:t>
            </w:r>
            <w:r>
              <w:rPr>
                <w:rFonts w:ascii="Arial" w:hAnsi="Arial" w:cs="Arial"/>
                <w:vertAlign w:val="superscript"/>
              </w:rPr>
              <w:t>b</w:t>
            </w:r>
          </w:p>
        </w:tc>
        <w:tc>
          <w:tcPr>
            <w:tcW w:w="2430" w:type="dxa"/>
          </w:tcPr>
          <w:p w:rsidR="00330CF1" w:rsidRPr="00986961" w:rsidRDefault="00330CF1" w:rsidP="009B7956">
            <w:pPr>
              <w:jc w:val="center"/>
              <w:rPr>
                <w:rFonts w:ascii="Arial" w:hAnsi="Arial" w:cs="Arial"/>
              </w:rPr>
            </w:pPr>
            <w:r w:rsidRPr="00A85A0A">
              <w:rPr>
                <w:rFonts w:ascii="Arial" w:hAnsi="Arial" w:cs="Arial"/>
              </w:rPr>
              <w:t>92.625 ± 0.</w:t>
            </w:r>
            <w:r>
              <w:rPr>
                <w:rFonts w:ascii="Arial" w:hAnsi="Arial" w:cs="Arial"/>
              </w:rPr>
              <w:t>642</w:t>
            </w:r>
            <w:r>
              <w:rPr>
                <w:rFonts w:ascii="Arial" w:hAnsi="Arial" w:cs="Arial"/>
                <w:vertAlign w:val="superscript"/>
              </w:rPr>
              <w:t>a</w:t>
            </w:r>
          </w:p>
        </w:tc>
      </w:tr>
      <w:tr w:rsidR="00330CF1" w:rsidRPr="00A85A0A" w:rsidTr="009F7C9F">
        <w:tc>
          <w:tcPr>
            <w:tcW w:w="1998" w:type="dxa"/>
          </w:tcPr>
          <w:p w:rsidR="00330CF1" w:rsidRPr="00A85A0A" w:rsidRDefault="00330CF1" w:rsidP="00530C2E">
            <w:pPr>
              <w:rPr>
                <w:rFonts w:ascii="Arial" w:hAnsi="Arial" w:cs="Arial"/>
              </w:rPr>
            </w:pPr>
            <w:r>
              <w:rPr>
                <w:rFonts w:ascii="Arial" w:hAnsi="Arial" w:cs="Arial"/>
              </w:rPr>
              <w:t xml:space="preserve">OM % </w:t>
            </w:r>
          </w:p>
        </w:tc>
        <w:tc>
          <w:tcPr>
            <w:tcW w:w="2430" w:type="dxa"/>
          </w:tcPr>
          <w:p w:rsidR="00330CF1" w:rsidRPr="00986961" w:rsidRDefault="00330CF1" w:rsidP="009B7956">
            <w:pPr>
              <w:jc w:val="center"/>
              <w:rPr>
                <w:rFonts w:ascii="Arial" w:hAnsi="Arial" w:cs="Arial"/>
              </w:rPr>
            </w:pPr>
            <w:r>
              <w:rPr>
                <w:rFonts w:ascii="Arial" w:hAnsi="Arial" w:cs="Arial"/>
              </w:rPr>
              <w:t>88.446</w:t>
            </w:r>
            <w:r w:rsidRPr="00A85A0A">
              <w:rPr>
                <w:rFonts w:ascii="Arial" w:hAnsi="Arial" w:cs="Arial"/>
              </w:rPr>
              <w:t xml:space="preserve"> ± 0.</w:t>
            </w:r>
            <w:r>
              <w:rPr>
                <w:rFonts w:ascii="Arial" w:hAnsi="Arial" w:cs="Arial"/>
              </w:rPr>
              <w:t>423</w:t>
            </w:r>
            <w:r>
              <w:rPr>
                <w:rFonts w:ascii="Arial" w:hAnsi="Arial" w:cs="Arial"/>
                <w:vertAlign w:val="superscript"/>
              </w:rPr>
              <w:t>c</w:t>
            </w:r>
          </w:p>
        </w:tc>
        <w:tc>
          <w:tcPr>
            <w:tcW w:w="2430" w:type="dxa"/>
          </w:tcPr>
          <w:p w:rsidR="00330CF1" w:rsidRPr="00986961" w:rsidRDefault="00330CF1" w:rsidP="009B7956">
            <w:pPr>
              <w:jc w:val="center"/>
              <w:rPr>
                <w:rFonts w:ascii="Arial" w:hAnsi="Arial" w:cs="Arial"/>
              </w:rPr>
            </w:pPr>
            <w:r w:rsidRPr="00A85A0A">
              <w:rPr>
                <w:rFonts w:ascii="Arial" w:hAnsi="Arial" w:cs="Arial"/>
              </w:rPr>
              <w:t>93.537 ± 0.4</w:t>
            </w:r>
            <w:r>
              <w:rPr>
                <w:rFonts w:ascii="Arial" w:hAnsi="Arial" w:cs="Arial"/>
              </w:rPr>
              <w:t>23</w:t>
            </w:r>
            <w:r>
              <w:rPr>
                <w:rFonts w:ascii="Arial" w:hAnsi="Arial" w:cs="Arial"/>
                <w:vertAlign w:val="superscript"/>
              </w:rPr>
              <w:t>b</w:t>
            </w:r>
          </w:p>
        </w:tc>
        <w:tc>
          <w:tcPr>
            <w:tcW w:w="2430" w:type="dxa"/>
          </w:tcPr>
          <w:p w:rsidR="00330CF1" w:rsidRPr="00986961" w:rsidRDefault="00330CF1" w:rsidP="009B7956">
            <w:pPr>
              <w:jc w:val="center"/>
              <w:rPr>
                <w:rFonts w:ascii="Arial" w:hAnsi="Arial" w:cs="Arial"/>
                <w:vertAlign w:val="superscript"/>
              </w:rPr>
            </w:pPr>
            <w:r w:rsidRPr="00A85A0A">
              <w:rPr>
                <w:rFonts w:ascii="Arial" w:hAnsi="Arial" w:cs="Arial"/>
              </w:rPr>
              <w:t>96.540 ± 0.</w:t>
            </w:r>
            <w:r>
              <w:rPr>
                <w:rFonts w:ascii="Arial" w:hAnsi="Arial" w:cs="Arial"/>
              </w:rPr>
              <w:t>423</w:t>
            </w:r>
            <w:r>
              <w:rPr>
                <w:rFonts w:ascii="Arial" w:hAnsi="Arial" w:cs="Arial"/>
                <w:vertAlign w:val="superscript"/>
              </w:rPr>
              <w:t>a</w:t>
            </w:r>
          </w:p>
        </w:tc>
      </w:tr>
      <w:tr w:rsidR="00330CF1" w:rsidRPr="00A85A0A" w:rsidTr="009F7C9F">
        <w:tc>
          <w:tcPr>
            <w:tcW w:w="1998" w:type="dxa"/>
          </w:tcPr>
          <w:p w:rsidR="00330CF1" w:rsidRPr="00A85A0A" w:rsidRDefault="00330CF1" w:rsidP="00530C2E">
            <w:pPr>
              <w:rPr>
                <w:rFonts w:ascii="Arial" w:hAnsi="Arial" w:cs="Arial"/>
              </w:rPr>
            </w:pPr>
            <w:r w:rsidRPr="00A85A0A">
              <w:rPr>
                <w:rFonts w:ascii="Arial" w:hAnsi="Arial" w:cs="Arial"/>
              </w:rPr>
              <w:t>Protein %</w:t>
            </w:r>
          </w:p>
        </w:tc>
        <w:tc>
          <w:tcPr>
            <w:tcW w:w="2430" w:type="dxa"/>
          </w:tcPr>
          <w:p w:rsidR="00330CF1" w:rsidRPr="006371B1" w:rsidRDefault="00330CF1" w:rsidP="009B7956">
            <w:pPr>
              <w:jc w:val="center"/>
              <w:rPr>
                <w:rFonts w:ascii="Arial" w:hAnsi="Arial" w:cs="Arial"/>
              </w:rPr>
            </w:pPr>
            <w:r w:rsidRPr="00A85A0A">
              <w:rPr>
                <w:rFonts w:ascii="Arial" w:hAnsi="Arial" w:cs="Arial"/>
              </w:rPr>
              <w:t>88.899 ± 0.</w:t>
            </w:r>
            <w:r>
              <w:rPr>
                <w:rFonts w:ascii="Arial" w:hAnsi="Arial" w:cs="Arial"/>
              </w:rPr>
              <w:t>372</w:t>
            </w:r>
            <w:r>
              <w:rPr>
                <w:rFonts w:ascii="Arial" w:hAnsi="Arial" w:cs="Arial"/>
                <w:vertAlign w:val="superscript"/>
              </w:rPr>
              <w:t>c</w:t>
            </w:r>
          </w:p>
        </w:tc>
        <w:tc>
          <w:tcPr>
            <w:tcW w:w="2430" w:type="dxa"/>
          </w:tcPr>
          <w:p w:rsidR="00330CF1" w:rsidRPr="006371B1" w:rsidRDefault="00330CF1" w:rsidP="009B7956">
            <w:pPr>
              <w:jc w:val="center"/>
              <w:rPr>
                <w:rFonts w:ascii="Arial" w:hAnsi="Arial" w:cs="Arial"/>
              </w:rPr>
            </w:pPr>
            <w:r w:rsidRPr="00A85A0A">
              <w:rPr>
                <w:rFonts w:ascii="Arial" w:hAnsi="Arial" w:cs="Arial"/>
              </w:rPr>
              <w:t>94.712 ± 0.</w:t>
            </w:r>
            <w:r>
              <w:rPr>
                <w:rFonts w:ascii="Arial" w:hAnsi="Arial" w:cs="Arial"/>
              </w:rPr>
              <w:t>372</w:t>
            </w:r>
            <w:r>
              <w:rPr>
                <w:rFonts w:ascii="Arial" w:hAnsi="Arial" w:cs="Arial"/>
                <w:vertAlign w:val="superscript"/>
              </w:rPr>
              <w:t>b</w:t>
            </w:r>
          </w:p>
        </w:tc>
        <w:tc>
          <w:tcPr>
            <w:tcW w:w="2430" w:type="dxa"/>
          </w:tcPr>
          <w:p w:rsidR="00330CF1" w:rsidRPr="006371B1" w:rsidRDefault="00330CF1" w:rsidP="009B7956">
            <w:pPr>
              <w:jc w:val="center"/>
              <w:rPr>
                <w:rFonts w:ascii="Arial" w:hAnsi="Arial" w:cs="Arial"/>
              </w:rPr>
            </w:pPr>
            <w:r w:rsidRPr="00A85A0A">
              <w:rPr>
                <w:rFonts w:ascii="Arial" w:hAnsi="Arial" w:cs="Arial"/>
              </w:rPr>
              <w:t>97.719 ± 0.</w:t>
            </w:r>
            <w:r>
              <w:rPr>
                <w:rFonts w:ascii="Arial" w:hAnsi="Arial" w:cs="Arial"/>
              </w:rPr>
              <w:t>372</w:t>
            </w:r>
            <w:r>
              <w:rPr>
                <w:rFonts w:ascii="Arial" w:hAnsi="Arial" w:cs="Arial"/>
                <w:vertAlign w:val="superscript"/>
              </w:rPr>
              <w:t>a</w:t>
            </w:r>
          </w:p>
        </w:tc>
      </w:tr>
      <w:tr w:rsidR="00330CF1" w:rsidRPr="00A85A0A" w:rsidTr="009F7C9F">
        <w:tc>
          <w:tcPr>
            <w:tcW w:w="1998" w:type="dxa"/>
          </w:tcPr>
          <w:p w:rsidR="00330CF1" w:rsidRPr="00A85A0A" w:rsidRDefault="00330CF1" w:rsidP="00530C2E">
            <w:pPr>
              <w:rPr>
                <w:rFonts w:ascii="Arial" w:hAnsi="Arial" w:cs="Arial"/>
              </w:rPr>
            </w:pPr>
            <w:r w:rsidRPr="00A85A0A">
              <w:rPr>
                <w:rFonts w:ascii="Arial" w:hAnsi="Arial" w:cs="Arial"/>
              </w:rPr>
              <w:t>Fat %</w:t>
            </w:r>
          </w:p>
        </w:tc>
        <w:tc>
          <w:tcPr>
            <w:tcW w:w="2430" w:type="dxa"/>
          </w:tcPr>
          <w:p w:rsidR="00330CF1" w:rsidRPr="008F0DE1" w:rsidRDefault="00330CF1" w:rsidP="009B7956">
            <w:pPr>
              <w:jc w:val="center"/>
              <w:rPr>
                <w:rFonts w:ascii="Arial" w:hAnsi="Arial" w:cs="Arial"/>
              </w:rPr>
            </w:pPr>
            <w:r w:rsidRPr="00A85A0A">
              <w:rPr>
                <w:rFonts w:ascii="Arial" w:hAnsi="Arial" w:cs="Arial"/>
              </w:rPr>
              <w:t>94.230 ± 0.</w:t>
            </w:r>
            <w:r>
              <w:rPr>
                <w:rFonts w:ascii="Arial" w:hAnsi="Arial" w:cs="Arial"/>
              </w:rPr>
              <w:t>852</w:t>
            </w:r>
            <w:r>
              <w:rPr>
                <w:rFonts w:ascii="Arial" w:hAnsi="Arial" w:cs="Arial"/>
                <w:vertAlign w:val="superscript"/>
              </w:rPr>
              <w:t>a</w:t>
            </w:r>
          </w:p>
        </w:tc>
        <w:tc>
          <w:tcPr>
            <w:tcW w:w="2430" w:type="dxa"/>
          </w:tcPr>
          <w:p w:rsidR="00330CF1" w:rsidRPr="008F0DE1" w:rsidRDefault="00330CF1" w:rsidP="009B7956">
            <w:pPr>
              <w:jc w:val="center"/>
              <w:rPr>
                <w:rFonts w:ascii="Arial" w:hAnsi="Arial" w:cs="Arial"/>
              </w:rPr>
            </w:pPr>
            <w:r w:rsidRPr="00A85A0A">
              <w:rPr>
                <w:rFonts w:ascii="Arial" w:hAnsi="Arial" w:cs="Arial"/>
              </w:rPr>
              <w:t>96.952 ± 0.</w:t>
            </w:r>
            <w:r>
              <w:rPr>
                <w:rFonts w:ascii="Arial" w:hAnsi="Arial" w:cs="Arial"/>
              </w:rPr>
              <w:t>852</w:t>
            </w:r>
            <w:r>
              <w:rPr>
                <w:rFonts w:ascii="Arial" w:hAnsi="Arial" w:cs="Arial"/>
                <w:vertAlign w:val="superscript"/>
              </w:rPr>
              <w:t>a</w:t>
            </w:r>
          </w:p>
        </w:tc>
        <w:tc>
          <w:tcPr>
            <w:tcW w:w="2430" w:type="dxa"/>
          </w:tcPr>
          <w:p w:rsidR="00330CF1" w:rsidRPr="001423D7" w:rsidRDefault="00330CF1" w:rsidP="009B7956">
            <w:pPr>
              <w:jc w:val="center"/>
              <w:rPr>
                <w:rFonts w:ascii="Arial" w:hAnsi="Arial" w:cs="Arial"/>
                <w:vertAlign w:val="superscript"/>
              </w:rPr>
            </w:pPr>
            <w:r w:rsidRPr="00A85A0A">
              <w:rPr>
                <w:rFonts w:ascii="Arial" w:hAnsi="Arial" w:cs="Arial"/>
              </w:rPr>
              <w:t xml:space="preserve">93.872 ± </w:t>
            </w:r>
            <w:r>
              <w:rPr>
                <w:rFonts w:ascii="Arial" w:hAnsi="Arial" w:cs="Arial"/>
              </w:rPr>
              <w:t>0.852</w:t>
            </w:r>
            <w:r>
              <w:rPr>
                <w:rFonts w:ascii="Arial" w:hAnsi="Arial" w:cs="Arial"/>
                <w:vertAlign w:val="superscript"/>
              </w:rPr>
              <w:t>a</w:t>
            </w:r>
          </w:p>
        </w:tc>
      </w:tr>
      <w:tr w:rsidR="00330CF1" w:rsidRPr="00A85A0A" w:rsidTr="009F7C9F">
        <w:tc>
          <w:tcPr>
            <w:tcW w:w="1998" w:type="dxa"/>
          </w:tcPr>
          <w:p w:rsidR="00330CF1" w:rsidRPr="00A85A0A" w:rsidRDefault="00330CF1" w:rsidP="00530C2E">
            <w:pPr>
              <w:rPr>
                <w:rFonts w:ascii="Arial" w:hAnsi="Arial" w:cs="Arial"/>
              </w:rPr>
            </w:pPr>
            <w:r w:rsidRPr="00A85A0A">
              <w:rPr>
                <w:rFonts w:ascii="Arial" w:hAnsi="Arial" w:cs="Arial"/>
              </w:rPr>
              <w:t>NFE %</w:t>
            </w:r>
          </w:p>
        </w:tc>
        <w:tc>
          <w:tcPr>
            <w:tcW w:w="2430" w:type="dxa"/>
          </w:tcPr>
          <w:p w:rsidR="00330CF1" w:rsidRPr="008F0DE1" w:rsidRDefault="00330CF1" w:rsidP="009B7956">
            <w:pPr>
              <w:jc w:val="center"/>
              <w:rPr>
                <w:rFonts w:ascii="Arial" w:hAnsi="Arial" w:cs="Arial"/>
                <w:vertAlign w:val="superscript"/>
              </w:rPr>
            </w:pPr>
            <w:r w:rsidRPr="00A85A0A">
              <w:rPr>
                <w:rFonts w:ascii="Arial" w:hAnsi="Arial" w:cs="Arial"/>
              </w:rPr>
              <w:t xml:space="preserve">40.510 ± </w:t>
            </w:r>
            <w:r>
              <w:rPr>
                <w:rFonts w:ascii="Arial" w:hAnsi="Arial" w:cs="Arial"/>
              </w:rPr>
              <w:t>10.541</w:t>
            </w:r>
            <w:r>
              <w:rPr>
                <w:rFonts w:ascii="Arial" w:hAnsi="Arial" w:cs="Arial"/>
                <w:vertAlign w:val="superscript"/>
              </w:rPr>
              <w:t>b</w:t>
            </w:r>
          </w:p>
        </w:tc>
        <w:tc>
          <w:tcPr>
            <w:tcW w:w="2430" w:type="dxa"/>
          </w:tcPr>
          <w:p w:rsidR="00330CF1" w:rsidRPr="008F0DE1" w:rsidRDefault="00330CF1" w:rsidP="009B7956">
            <w:pPr>
              <w:jc w:val="center"/>
              <w:rPr>
                <w:rFonts w:ascii="Arial" w:hAnsi="Arial" w:cs="Arial"/>
              </w:rPr>
            </w:pPr>
            <w:r w:rsidRPr="00A85A0A">
              <w:rPr>
                <w:rFonts w:ascii="Arial" w:hAnsi="Arial" w:cs="Arial"/>
              </w:rPr>
              <w:t>62.856 ± 1</w:t>
            </w:r>
            <w:r>
              <w:rPr>
                <w:rFonts w:ascii="Arial" w:hAnsi="Arial" w:cs="Arial"/>
              </w:rPr>
              <w:t>0.541</w:t>
            </w:r>
            <w:r>
              <w:rPr>
                <w:rFonts w:ascii="Arial" w:hAnsi="Arial" w:cs="Arial"/>
                <w:vertAlign w:val="superscript"/>
              </w:rPr>
              <w:t>a</w:t>
            </w:r>
          </w:p>
        </w:tc>
        <w:tc>
          <w:tcPr>
            <w:tcW w:w="2430" w:type="dxa"/>
          </w:tcPr>
          <w:p w:rsidR="00330CF1" w:rsidRPr="00A85A0A" w:rsidRDefault="00330CF1" w:rsidP="009B7956">
            <w:pPr>
              <w:jc w:val="center"/>
              <w:rPr>
                <w:rFonts w:ascii="Arial" w:hAnsi="Arial" w:cs="Arial"/>
              </w:rPr>
            </w:pPr>
            <w:r w:rsidRPr="00A85A0A">
              <w:rPr>
                <w:rFonts w:ascii="Arial" w:hAnsi="Arial" w:cs="Arial"/>
              </w:rPr>
              <w:t>*</w:t>
            </w:r>
          </w:p>
        </w:tc>
      </w:tr>
      <w:tr w:rsidR="00330CF1" w:rsidRPr="00A85A0A" w:rsidTr="009F7C9F">
        <w:tc>
          <w:tcPr>
            <w:tcW w:w="1998" w:type="dxa"/>
          </w:tcPr>
          <w:p w:rsidR="00330CF1" w:rsidRPr="00A85A0A" w:rsidRDefault="00330CF1" w:rsidP="00530C2E">
            <w:pPr>
              <w:rPr>
                <w:rFonts w:ascii="Arial" w:hAnsi="Arial" w:cs="Arial"/>
              </w:rPr>
            </w:pPr>
            <w:r w:rsidRPr="00A85A0A">
              <w:rPr>
                <w:rFonts w:ascii="Arial" w:hAnsi="Arial" w:cs="Arial"/>
              </w:rPr>
              <w:t>Energy %</w:t>
            </w:r>
          </w:p>
        </w:tc>
        <w:tc>
          <w:tcPr>
            <w:tcW w:w="2430" w:type="dxa"/>
          </w:tcPr>
          <w:p w:rsidR="00330CF1" w:rsidRPr="00986961" w:rsidRDefault="00330CF1" w:rsidP="009B7956">
            <w:pPr>
              <w:jc w:val="center"/>
              <w:rPr>
                <w:rFonts w:ascii="Arial" w:hAnsi="Arial" w:cs="Arial"/>
              </w:rPr>
            </w:pPr>
            <w:r w:rsidRPr="00A85A0A">
              <w:rPr>
                <w:rFonts w:ascii="Arial" w:hAnsi="Arial" w:cs="Arial"/>
              </w:rPr>
              <w:t>90.258 ± 0.</w:t>
            </w:r>
            <w:r>
              <w:rPr>
                <w:rFonts w:ascii="Arial" w:hAnsi="Arial" w:cs="Arial"/>
              </w:rPr>
              <w:t>378</w:t>
            </w:r>
            <w:r>
              <w:rPr>
                <w:rFonts w:ascii="Arial" w:hAnsi="Arial" w:cs="Arial"/>
                <w:vertAlign w:val="superscript"/>
              </w:rPr>
              <w:t>c</w:t>
            </w:r>
          </w:p>
        </w:tc>
        <w:tc>
          <w:tcPr>
            <w:tcW w:w="2430" w:type="dxa"/>
          </w:tcPr>
          <w:p w:rsidR="00330CF1" w:rsidRPr="00986961" w:rsidRDefault="00330CF1" w:rsidP="009B7956">
            <w:pPr>
              <w:jc w:val="center"/>
              <w:rPr>
                <w:rFonts w:ascii="Arial" w:hAnsi="Arial" w:cs="Arial"/>
              </w:rPr>
            </w:pPr>
            <w:r w:rsidRPr="00A85A0A">
              <w:rPr>
                <w:rFonts w:ascii="Arial" w:hAnsi="Arial" w:cs="Arial"/>
              </w:rPr>
              <w:t>94.819 ± 0.3</w:t>
            </w:r>
            <w:r>
              <w:rPr>
                <w:rFonts w:ascii="Arial" w:hAnsi="Arial" w:cs="Arial"/>
              </w:rPr>
              <w:t>78</w:t>
            </w:r>
            <w:r>
              <w:rPr>
                <w:rFonts w:ascii="Arial" w:hAnsi="Arial" w:cs="Arial"/>
                <w:vertAlign w:val="superscript"/>
              </w:rPr>
              <w:t>b</w:t>
            </w:r>
          </w:p>
        </w:tc>
        <w:tc>
          <w:tcPr>
            <w:tcW w:w="2430" w:type="dxa"/>
          </w:tcPr>
          <w:p w:rsidR="00330CF1" w:rsidRPr="00986961" w:rsidRDefault="00330CF1" w:rsidP="009B7956">
            <w:pPr>
              <w:jc w:val="center"/>
              <w:rPr>
                <w:rFonts w:ascii="Arial" w:hAnsi="Arial" w:cs="Arial"/>
              </w:rPr>
            </w:pPr>
            <w:r w:rsidRPr="00A85A0A">
              <w:rPr>
                <w:rFonts w:ascii="Arial" w:hAnsi="Arial" w:cs="Arial"/>
              </w:rPr>
              <w:t>96.706 ± 0.</w:t>
            </w:r>
            <w:r>
              <w:rPr>
                <w:rFonts w:ascii="Arial" w:hAnsi="Arial" w:cs="Arial"/>
              </w:rPr>
              <w:t>378</w:t>
            </w:r>
            <w:r>
              <w:rPr>
                <w:rFonts w:ascii="Arial" w:hAnsi="Arial" w:cs="Arial"/>
                <w:vertAlign w:val="superscript"/>
              </w:rPr>
              <w:t>a</w:t>
            </w:r>
          </w:p>
        </w:tc>
      </w:tr>
    </w:tbl>
    <w:p w:rsidR="00330CF1" w:rsidRDefault="00330CF1" w:rsidP="007C694C">
      <w:pPr>
        <w:rPr>
          <w:rFonts w:ascii="Arial" w:hAnsi="Arial" w:cs="Arial"/>
        </w:rPr>
      </w:pPr>
      <w:r w:rsidRPr="00A85A0A">
        <w:rPr>
          <w:rFonts w:ascii="Arial" w:hAnsi="Arial" w:cs="Arial"/>
        </w:rPr>
        <w:t>*None in diet</w:t>
      </w:r>
    </w:p>
    <w:p w:rsidR="00330CF1" w:rsidRPr="00687E70" w:rsidRDefault="00330CF1" w:rsidP="00625B3B">
      <w:pPr>
        <w:rPr>
          <w:rFonts w:ascii="Arial" w:hAnsi="Arial" w:cs="Arial"/>
        </w:rPr>
      </w:pPr>
      <w:r>
        <w:rPr>
          <w:rFonts w:ascii="Arial" w:hAnsi="Arial" w:cs="Arial"/>
        </w:rPr>
        <w:t>NOTE: Different letter superscripts in both rows and columns indicate p values ≤ 0.05</w:t>
      </w: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Pr="00A85A0A" w:rsidRDefault="00330CF1" w:rsidP="007C694C">
      <w:pPr>
        <w:rPr>
          <w:rFonts w:ascii="Arial" w:hAnsi="Arial" w:cs="Arial"/>
        </w:rPr>
      </w:pPr>
    </w:p>
    <w:p w:rsidR="00330CF1" w:rsidRDefault="00330CF1" w:rsidP="007C694C">
      <w:pPr>
        <w:jc w:val="center"/>
        <w:rPr>
          <w:rFonts w:ascii="Arial" w:hAnsi="Arial" w:cs="Arial"/>
        </w:rPr>
      </w:pPr>
      <w:r w:rsidRPr="003E1E9B">
        <w:rPr>
          <w:rFonts w:ascii="Arial" w:hAnsi="Arial" w:cs="Arial"/>
          <w:b/>
        </w:rPr>
        <w:t>Table 5.4</w:t>
      </w:r>
      <w:r>
        <w:rPr>
          <w:rFonts w:ascii="Arial" w:hAnsi="Arial" w:cs="Arial"/>
        </w:rPr>
        <w:t xml:space="preserve"> Adult apparent d</w:t>
      </w:r>
      <w:r w:rsidRPr="003E1E9B">
        <w:rPr>
          <w:rFonts w:ascii="Arial" w:hAnsi="Arial" w:cs="Arial"/>
        </w:rPr>
        <w:t xml:space="preserve">igestibility values </w:t>
      </w:r>
      <w:r>
        <w:rPr>
          <w:rFonts w:ascii="Arial" w:hAnsi="Arial" w:cs="Arial"/>
        </w:rPr>
        <w:t xml:space="preserve">by diet treatment </w:t>
      </w:r>
    </w:p>
    <w:p w:rsidR="00330CF1" w:rsidRPr="003E1E9B" w:rsidRDefault="00330CF1" w:rsidP="007C694C">
      <w:pPr>
        <w:jc w:val="center"/>
        <w:rPr>
          <w:rFonts w:ascii="Arial" w:hAnsi="Arial" w:cs="Arial"/>
        </w:rPr>
      </w:pPr>
      <w:r>
        <w:rPr>
          <w:rFonts w:ascii="Arial" w:hAnsi="Arial" w:cs="Arial"/>
        </w:rPr>
        <w:t xml:space="preserve">(Mean </w:t>
      </w:r>
      <w:r w:rsidRPr="003E1E9B">
        <w:rPr>
          <w:rFonts w:ascii="Arial" w:hAnsi="Arial" w:cs="Arial"/>
        </w:rPr>
        <w:t>± SEM</w:t>
      </w:r>
      <w:r>
        <w:rPr>
          <w:rFonts w:ascii="Arial" w:hAnsi="Arial" w:cs="Arial"/>
        </w:rPr>
        <w:t>)</w:t>
      </w:r>
    </w:p>
    <w:p w:rsidR="00330CF1" w:rsidRPr="003E1E9B" w:rsidRDefault="00330CF1" w:rsidP="007C694C">
      <w:pPr>
        <w:jc w:val="center"/>
        <w:rPr>
          <w:rFonts w:ascii="Arial" w:hAnsi="Arial" w:cs="Arial"/>
        </w:rPr>
      </w:pPr>
    </w:p>
    <w:tbl>
      <w:tblPr>
        <w:tblStyle w:val="TableGrid"/>
        <w:tblW w:w="0" w:type="auto"/>
        <w:tblLook w:val="04A0" w:firstRow="1" w:lastRow="0" w:firstColumn="1" w:lastColumn="0" w:noHBand="0" w:noVBand="1"/>
      </w:tblPr>
      <w:tblGrid>
        <w:gridCol w:w="1998"/>
        <w:gridCol w:w="2430"/>
        <w:gridCol w:w="2430"/>
        <w:gridCol w:w="2430"/>
      </w:tblGrid>
      <w:tr w:rsidR="00330CF1" w:rsidRPr="00A85A0A" w:rsidTr="009F7C9F">
        <w:tc>
          <w:tcPr>
            <w:tcW w:w="1998" w:type="dxa"/>
          </w:tcPr>
          <w:p w:rsidR="00330CF1" w:rsidRPr="00A85A0A" w:rsidRDefault="00330CF1" w:rsidP="00530C2E">
            <w:pPr>
              <w:rPr>
                <w:rFonts w:ascii="Arial" w:hAnsi="Arial" w:cs="Arial"/>
              </w:rPr>
            </w:pPr>
          </w:p>
        </w:tc>
        <w:tc>
          <w:tcPr>
            <w:tcW w:w="2430" w:type="dxa"/>
          </w:tcPr>
          <w:p w:rsidR="00330CF1" w:rsidRPr="008F0DE1" w:rsidRDefault="00330CF1" w:rsidP="00530C2E">
            <w:pPr>
              <w:jc w:val="center"/>
              <w:rPr>
                <w:rFonts w:ascii="Arial" w:hAnsi="Arial" w:cs="Arial"/>
                <w:i/>
              </w:rPr>
            </w:pPr>
            <w:r>
              <w:rPr>
                <w:rFonts w:ascii="Arial" w:hAnsi="Arial" w:cs="Arial"/>
              </w:rPr>
              <w:t>Control</w:t>
            </w:r>
          </w:p>
        </w:tc>
        <w:tc>
          <w:tcPr>
            <w:tcW w:w="2430" w:type="dxa"/>
          </w:tcPr>
          <w:p w:rsidR="00330CF1" w:rsidRPr="00A85A0A" w:rsidRDefault="00330CF1" w:rsidP="00530C2E">
            <w:pPr>
              <w:rPr>
                <w:rFonts w:ascii="Arial" w:hAnsi="Arial" w:cs="Arial"/>
              </w:rPr>
            </w:pPr>
            <w:r>
              <w:rPr>
                <w:rFonts w:ascii="Arial" w:hAnsi="Arial" w:cs="Arial"/>
              </w:rPr>
              <w:t>Commercial Raw</w:t>
            </w:r>
          </w:p>
        </w:tc>
        <w:tc>
          <w:tcPr>
            <w:tcW w:w="2430" w:type="dxa"/>
          </w:tcPr>
          <w:p w:rsidR="00330CF1" w:rsidRPr="00A85A0A" w:rsidRDefault="00330CF1" w:rsidP="00530C2E">
            <w:pPr>
              <w:rPr>
                <w:rFonts w:ascii="Arial" w:hAnsi="Arial" w:cs="Arial"/>
              </w:rPr>
            </w:pPr>
            <w:r>
              <w:rPr>
                <w:rFonts w:ascii="Arial" w:hAnsi="Arial" w:cs="Arial"/>
              </w:rPr>
              <w:t>Homemade Raw</w:t>
            </w:r>
          </w:p>
        </w:tc>
      </w:tr>
      <w:tr w:rsidR="00330CF1" w:rsidRPr="00A85A0A" w:rsidTr="009F7C9F">
        <w:tc>
          <w:tcPr>
            <w:tcW w:w="1998" w:type="dxa"/>
          </w:tcPr>
          <w:p w:rsidR="00330CF1" w:rsidRPr="00A85A0A" w:rsidRDefault="00330CF1" w:rsidP="00530C2E">
            <w:pPr>
              <w:rPr>
                <w:rFonts w:ascii="Arial" w:hAnsi="Arial" w:cs="Arial"/>
              </w:rPr>
            </w:pPr>
            <w:r>
              <w:rPr>
                <w:rFonts w:ascii="Arial" w:hAnsi="Arial" w:cs="Arial"/>
              </w:rPr>
              <w:t>DM</w:t>
            </w:r>
            <w:r w:rsidRPr="00A85A0A">
              <w:rPr>
                <w:rFonts w:ascii="Arial" w:hAnsi="Arial" w:cs="Arial"/>
              </w:rPr>
              <w:t xml:space="preserve"> % </w:t>
            </w:r>
          </w:p>
        </w:tc>
        <w:tc>
          <w:tcPr>
            <w:tcW w:w="2430" w:type="dxa"/>
          </w:tcPr>
          <w:p w:rsidR="00330CF1" w:rsidRPr="005E4307" w:rsidRDefault="00330CF1" w:rsidP="009B7956">
            <w:pPr>
              <w:jc w:val="center"/>
              <w:rPr>
                <w:rFonts w:ascii="Arial" w:hAnsi="Arial" w:cs="Arial"/>
              </w:rPr>
            </w:pPr>
            <w:r w:rsidRPr="00A85A0A">
              <w:rPr>
                <w:rFonts w:ascii="Arial" w:hAnsi="Arial" w:cs="Arial"/>
              </w:rPr>
              <w:t>81.870 ± 1.</w:t>
            </w:r>
            <w:r>
              <w:rPr>
                <w:rFonts w:ascii="Arial" w:hAnsi="Arial" w:cs="Arial"/>
              </w:rPr>
              <w:t>016</w:t>
            </w:r>
            <w:r>
              <w:rPr>
                <w:rFonts w:ascii="Arial" w:hAnsi="Arial" w:cs="Arial"/>
                <w:vertAlign w:val="superscript"/>
              </w:rPr>
              <w:t>b</w:t>
            </w:r>
          </w:p>
        </w:tc>
        <w:tc>
          <w:tcPr>
            <w:tcW w:w="2430" w:type="dxa"/>
          </w:tcPr>
          <w:p w:rsidR="00330CF1" w:rsidRPr="005E4307" w:rsidRDefault="00330CF1" w:rsidP="009B7956">
            <w:pPr>
              <w:jc w:val="center"/>
              <w:rPr>
                <w:rFonts w:ascii="Arial" w:hAnsi="Arial" w:cs="Arial"/>
              </w:rPr>
            </w:pPr>
            <w:r w:rsidRPr="00A85A0A">
              <w:rPr>
                <w:rFonts w:ascii="Arial" w:hAnsi="Arial" w:cs="Arial"/>
              </w:rPr>
              <w:t xml:space="preserve">88.313 ± </w:t>
            </w:r>
            <w:r>
              <w:rPr>
                <w:rFonts w:ascii="Arial" w:hAnsi="Arial" w:cs="Arial"/>
              </w:rPr>
              <w:t>1.016</w:t>
            </w:r>
            <w:r>
              <w:rPr>
                <w:rFonts w:ascii="Arial" w:hAnsi="Arial" w:cs="Arial"/>
                <w:vertAlign w:val="superscript"/>
              </w:rPr>
              <w:t>a</w:t>
            </w:r>
          </w:p>
        </w:tc>
        <w:tc>
          <w:tcPr>
            <w:tcW w:w="2430" w:type="dxa"/>
          </w:tcPr>
          <w:p w:rsidR="00330CF1" w:rsidRPr="005E4307" w:rsidRDefault="00330CF1" w:rsidP="009B7956">
            <w:pPr>
              <w:jc w:val="center"/>
              <w:rPr>
                <w:rFonts w:ascii="Arial" w:hAnsi="Arial" w:cs="Arial"/>
              </w:rPr>
            </w:pPr>
            <w:r w:rsidRPr="00A85A0A">
              <w:rPr>
                <w:rFonts w:ascii="Arial" w:hAnsi="Arial" w:cs="Arial"/>
              </w:rPr>
              <w:t xml:space="preserve">91.497 ± </w:t>
            </w:r>
            <w:r>
              <w:rPr>
                <w:rFonts w:ascii="Arial" w:hAnsi="Arial" w:cs="Arial"/>
              </w:rPr>
              <w:t>1.016</w:t>
            </w:r>
            <w:r>
              <w:rPr>
                <w:rFonts w:ascii="Arial" w:hAnsi="Arial" w:cs="Arial"/>
                <w:vertAlign w:val="superscript"/>
              </w:rPr>
              <w:t>a</w:t>
            </w:r>
          </w:p>
        </w:tc>
      </w:tr>
      <w:tr w:rsidR="00330CF1" w:rsidRPr="00A85A0A" w:rsidTr="009F7C9F">
        <w:tc>
          <w:tcPr>
            <w:tcW w:w="1998" w:type="dxa"/>
          </w:tcPr>
          <w:p w:rsidR="00330CF1" w:rsidRPr="00A85A0A" w:rsidRDefault="00330CF1" w:rsidP="00530C2E">
            <w:pPr>
              <w:rPr>
                <w:rFonts w:ascii="Arial" w:hAnsi="Arial" w:cs="Arial"/>
              </w:rPr>
            </w:pPr>
            <w:r>
              <w:rPr>
                <w:rFonts w:ascii="Arial" w:hAnsi="Arial" w:cs="Arial"/>
              </w:rPr>
              <w:t>OM</w:t>
            </w:r>
            <w:r w:rsidRPr="00A85A0A">
              <w:rPr>
                <w:rFonts w:ascii="Arial" w:hAnsi="Arial" w:cs="Arial"/>
              </w:rPr>
              <w:t xml:space="preserve">% </w:t>
            </w:r>
          </w:p>
        </w:tc>
        <w:tc>
          <w:tcPr>
            <w:tcW w:w="2430" w:type="dxa"/>
          </w:tcPr>
          <w:p w:rsidR="00330CF1" w:rsidRPr="005E4307" w:rsidRDefault="00330CF1" w:rsidP="009B7956">
            <w:pPr>
              <w:jc w:val="center"/>
              <w:rPr>
                <w:rFonts w:ascii="Arial" w:hAnsi="Arial" w:cs="Arial"/>
              </w:rPr>
            </w:pPr>
            <w:r w:rsidRPr="00A85A0A">
              <w:rPr>
                <w:rFonts w:ascii="Arial" w:hAnsi="Arial" w:cs="Arial"/>
              </w:rPr>
              <w:t xml:space="preserve">88.973 ± </w:t>
            </w:r>
            <w:r>
              <w:rPr>
                <w:rFonts w:ascii="Arial" w:hAnsi="Arial" w:cs="Arial"/>
              </w:rPr>
              <w:t>1.168</w:t>
            </w:r>
            <w:r>
              <w:rPr>
                <w:rFonts w:ascii="Arial" w:hAnsi="Arial" w:cs="Arial"/>
                <w:vertAlign w:val="superscript"/>
              </w:rPr>
              <w:t>b</w:t>
            </w:r>
          </w:p>
        </w:tc>
        <w:tc>
          <w:tcPr>
            <w:tcW w:w="2430" w:type="dxa"/>
          </w:tcPr>
          <w:p w:rsidR="00330CF1" w:rsidRPr="005E4307" w:rsidRDefault="00330CF1" w:rsidP="009B7956">
            <w:pPr>
              <w:jc w:val="center"/>
              <w:rPr>
                <w:rFonts w:ascii="Arial" w:hAnsi="Arial" w:cs="Arial"/>
              </w:rPr>
            </w:pPr>
            <w:r w:rsidRPr="00A85A0A">
              <w:rPr>
                <w:rFonts w:ascii="Arial" w:hAnsi="Arial" w:cs="Arial"/>
              </w:rPr>
              <w:t xml:space="preserve">91.790 ± </w:t>
            </w:r>
            <w:r>
              <w:rPr>
                <w:rFonts w:ascii="Arial" w:hAnsi="Arial" w:cs="Arial"/>
              </w:rPr>
              <w:t>1.168</w:t>
            </w:r>
            <w:r>
              <w:rPr>
                <w:rFonts w:ascii="Arial" w:hAnsi="Arial" w:cs="Arial"/>
                <w:vertAlign w:val="superscript"/>
              </w:rPr>
              <w:t>ab</w:t>
            </w:r>
          </w:p>
        </w:tc>
        <w:tc>
          <w:tcPr>
            <w:tcW w:w="2430" w:type="dxa"/>
          </w:tcPr>
          <w:p w:rsidR="00330CF1" w:rsidRPr="005E4307" w:rsidRDefault="00330CF1" w:rsidP="009B7956">
            <w:pPr>
              <w:jc w:val="center"/>
              <w:rPr>
                <w:rFonts w:ascii="Arial" w:hAnsi="Arial" w:cs="Arial"/>
              </w:rPr>
            </w:pPr>
            <w:r w:rsidRPr="00A85A0A">
              <w:rPr>
                <w:rFonts w:ascii="Arial" w:hAnsi="Arial" w:cs="Arial"/>
              </w:rPr>
              <w:t>94.523 ± 1.</w:t>
            </w:r>
            <w:r>
              <w:rPr>
                <w:rFonts w:ascii="Arial" w:hAnsi="Arial" w:cs="Arial"/>
              </w:rPr>
              <w:t>168</w:t>
            </w:r>
            <w:r>
              <w:rPr>
                <w:rFonts w:ascii="Arial" w:hAnsi="Arial" w:cs="Arial"/>
                <w:vertAlign w:val="superscript"/>
              </w:rPr>
              <w:t>a</w:t>
            </w:r>
          </w:p>
        </w:tc>
      </w:tr>
      <w:tr w:rsidR="00330CF1" w:rsidRPr="00A85A0A" w:rsidTr="009F7C9F">
        <w:tc>
          <w:tcPr>
            <w:tcW w:w="1998" w:type="dxa"/>
          </w:tcPr>
          <w:p w:rsidR="00330CF1" w:rsidRPr="00A85A0A" w:rsidRDefault="00330CF1" w:rsidP="00530C2E">
            <w:pPr>
              <w:rPr>
                <w:rFonts w:ascii="Arial" w:hAnsi="Arial" w:cs="Arial"/>
              </w:rPr>
            </w:pPr>
            <w:r w:rsidRPr="00A85A0A">
              <w:rPr>
                <w:rFonts w:ascii="Arial" w:hAnsi="Arial" w:cs="Arial"/>
              </w:rPr>
              <w:t>Protein %</w:t>
            </w:r>
          </w:p>
        </w:tc>
        <w:tc>
          <w:tcPr>
            <w:tcW w:w="2430" w:type="dxa"/>
          </w:tcPr>
          <w:p w:rsidR="00330CF1" w:rsidRPr="008F0DE1" w:rsidRDefault="00330CF1" w:rsidP="009B7956">
            <w:pPr>
              <w:jc w:val="center"/>
              <w:rPr>
                <w:rFonts w:ascii="Arial" w:hAnsi="Arial" w:cs="Arial"/>
              </w:rPr>
            </w:pPr>
            <w:r w:rsidRPr="00A85A0A">
              <w:rPr>
                <w:rFonts w:ascii="Arial" w:hAnsi="Arial" w:cs="Arial"/>
              </w:rPr>
              <w:t>87.466 ± 1.</w:t>
            </w:r>
            <w:r>
              <w:rPr>
                <w:rFonts w:ascii="Arial" w:hAnsi="Arial" w:cs="Arial"/>
              </w:rPr>
              <w:t>087</w:t>
            </w:r>
            <w:r>
              <w:rPr>
                <w:rFonts w:ascii="Arial" w:hAnsi="Arial" w:cs="Arial"/>
                <w:vertAlign w:val="superscript"/>
              </w:rPr>
              <w:t>c</w:t>
            </w:r>
          </w:p>
        </w:tc>
        <w:tc>
          <w:tcPr>
            <w:tcW w:w="2430" w:type="dxa"/>
          </w:tcPr>
          <w:p w:rsidR="00330CF1" w:rsidRPr="008F0DE1" w:rsidRDefault="00330CF1" w:rsidP="009B7956">
            <w:pPr>
              <w:jc w:val="center"/>
              <w:rPr>
                <w:rFonts w:ascii="Arial" w:hAnsi="Arial" w:cs="Arial"/>
              </w:rPr>
            </w:pPr>
            <w:r w:rsidRPr="00A85A0A">
              <w:rPr>
                <w:rFonts w:ascii="Arial" w:hAnsi="Arial" w:cs="Arial"/>
              </w:rPr>
              <w:t xml:space="preserve">92.873 ± </w:t>
            </w:r>
            <w:r>
              <w:rPr>
                <w:rFonts w:ascii="Arial" w:hAnsi="Arial" w:cs="Arial"/>
              </w:rPr>
              <w:t>1.087</w:t>
            </w:r>
            <w:r>
              <w:rPr>
                <w:rFonts w:ascii="Arial" w:hAnsi="Arial" w:cs="Arial"/>
                <w:vertAlign w:val="superscript"/>
              </w:rPr>
              <w:t>b</w:t>
            </w:r>
          </w:p>
        </w:tc>
        <w:tc>
          <w:tcPr>
            <w:tcW w:w="2430" w:type="dxa"/>
          </w:tcPr>
          <w:p w:rsidR="00330CF1" w:rsidRPr="008F0DE1" w:rsidRDefault="00330CF1" w:rsidP="009B7956">
            <w:pPr>
              <w:jc w:val="center"/>
              <w:rPr>
                <w:rFonts w:ascii="Arial" w:hAnsi="Arial" w:cs="Arial"/>
              </w:rPr>
            </w:pPr>
            <w:r w:rsidRPr="00A85A0A">
              <w:rPr>
                <w:rFonts w:ascii="Arial" w:hAnsi="Arial" w:cs="Arial"/>
              </w:rPr>
              <w:t xml:space="preserve">97.536 ± </w:t>
            </w:r>
            <w:r>
              <w:rPr>
                <w:rFonts w:ascii="Arial" w:hAnsi="Arial" w:cs="Arial"/>
              </w:rPr>
              <w:t>1.087</w:t>
            </w:r>
            <w:r>
              <w:rPr>
                <w:rFonts w:ascii="Arial" w:hAnsi="Arial" w:cs="Arial"/>
                <w:vertAlign w:val="superscript"/>
              </w:rPr>
              <w:t>a</w:t>
            </w:r>
          </w:p>
        </w:tc>
      </w:tr>
      <w:tr w:rsidR="00330CF1" w:rsidRPr="00A85A0A" w:rsidTr="009F7C9F">
        <w:tc>
          <w:tcPr>
            <w:tcW w:w="1998" w:type="dxa"/>
          </w:tcPr>
          <w:p w:rsidR="00330CF1" w:rsidRPr="00A85A0A" w:rsidRDefault="00330CF1" w:rsidP="00530C2E">
            <w:pPr>
              <w:rPr>
                <w:rFonts w:ascii="Arial" w:hAnsi="Arial" w:cs="Arial"/>
              </w:rPr>
            </w:pPr>
            <w:r w:rsidRPr="00A85A0A">
              <w:rPr>
                <w:rFonts w:ascii="Arial" w:hAnsi="Arial" w:cs="Arial"/>
              </w:rPr>
              <w:t>Fat %</w:t>
            </w:r>
          </w:p>
        </w:tc>
        <w:tc>
          <w:tcPr>
            <w:tcW w:w="2430" w:type="dxa"/>
          </w:tcPr>
          <w:p w:rsidR="00330CF1" w:rsidRPr="008F0DE1" w:rsidRDefault="00330CF1" w:rsidP="009B7956">
            <w:pPr>
              <w:jc w:val="center"/>
              <w:rPr>
                <w:rFonts w:ascii="Arial" w:hAnsi="Arial" w:cs="Arial"/>
              </w:rPr>
            </w:pPr>
            <w:r w:rsidRPr="00A85A0A">
              <w:rPr>
                <w:rFonts w:ascii="Arial" w:hAnsi="Arial" w:cs="Arial"/>
              </w:rPr>
              <w:t>94.858 ± 0</w:t>
            </w:r>
            <w:r>
              <w:rPr>
                <w:rFonts w:ascii="Arial" w:hAnsi="Arial" w:cs="Arial"/>
              </w:rPr>
              <w:t>.812</w:t>
            </w:r>
            <w:r>
              <w:rPr>
                <w:rFonts w:ascii="Arial" w:hAnsi="Arial" w:cs="Arial"/>
                <w:vertAlign w:val="superscript"/>
              </w:rPr>
              <w:t>a</w:t>
            </w:r>
          </w:p>
        </w:tc>
        <w:tc>
          <w:tcPr>
            <w:tcW w:w="2430" w:type="dxa"/>
          </w:tcPr>
          <w:p w:rsidR="00330CF1" w:rsidRPr="008F0DE1" w:rsidRDefault="00330CF1" w:rsidP="009B7956">
            <w:pPr>
              <w:jc w:val="center"/>
              <w:rPr>
                <w:rFonts w:ascii="Arial" w:hAnsi="Arial" w:cs="Arial"/>
              </w:rPr>
            </w:pPr>
            <w:r w:rsidRPr="00A85A0A">
              <w:rPr>
                <w:rFonts w:ascii="Arial" w:hAnsi="Arial" w:cs="Arial"/>
              </w:rPr>
              <w:t xml:space="preserve">94.247 ± </w:t>
            </w:r>
            <w:r>
              <w:rPr>
                <w:rFonts w:ascii="Arial" w:hAnsi="Arial" w:cs="Arial"/>
              </w:rPr>
              <w:t>0.812</w:t>
            </w:r>
            <w:r>
              <w:rPr>
                <w:rFonts w:ascii="Arial" w:hAnsi="Arial" w:cs="Arial"/>
                <w:vertAlign w:val="superscript"/>
              </w:rPr>
              <w:t>a</w:t>
            </w:r>
          </w:p>
        </w:tc>
        <w:tc>
          <w:tcPr>
            <w:tcW w:w="2430" w:type="dxa"/>
          </w:tcPr>
          <w:p w:rsidR="00330CF1" w:rsidRPr="008F0DE1" w:rsidRDefault="00330CF1" w:rsidP="009B7956">
            <w:pPr>
              <w:jc w:val="center"/>
              <w:rPr>
                <w:rFonts w:ascii="Arial" w:hAnsi="Arial" w:cs="Arial"/>
              </w:rPr>
            </w:pPr>
            <w:r w:rsidRPr="00A85A0A">
              <w:rPr>
                <w:rFonts w:ascii="Arial" w:hAnsi="Arial" w:cs="Arial"/>
              </w:rPr>
              <w:t>90.266 ± 0.</w:t>
            </w:r>
            <w:r>
              <w:rPr>
                <w:rFonts w:ascii="Arial" w:hAnsi="Arial" w:cs="Arial"/>
              </w:rPr>
              <w:t>812</w:t>
            </w:r>
            <w:r>
              <w:rPr>
                <w:rFonts w:ascii="Arial" w:hAnsi="Arial" w:cs="Arial"/>
                <w:vertAlign w:val="superscript"/>
              </w:rPr>
              <w:t>b</w:t>
            </w:r>
          </w:p>
        </w:tc>
      </w:tr>
      <w:tr w:rsidR="00330CF1" w:rsidRPr="00A85A0A" w:rsidTr="009F7C9F">
        <w:tc>
          <w:tcPr>
            <w:tcW w:w="1998" w:type="dxa"/>
          </w:tcPr>
          <w:p w:rsidR="00330CF1" w:rsidRPr="00A85A0A" w:rsidRDefault="00330CF1" w:rsidP="00530C2E">
            <w:pPr>
              <w:rPr>
                <w:rFonts w:ascii="Arial" w:hAnsi="Arial" w:cs="Arial"/>
              </w:rPr>
            </w:pPr>
            <w:r w:rsidRPr="00A85A0A">
              <w:rPr>
                <w:rFonts w:ascii="Arial" w:hAnsi="Arial" w:cs="Arial"/>
              </w:rPr>
              <w:t>NFE %</w:t>
            </w:r>
          </w:p>
        </w:tc>
        <w:tc>
          <w:tcPr>
            <w:tcW w:w="2430" w:type="dxa"/>
          </w:tcPr>
          <w:p w:rsidR="00330CF1" w:rsidRPr="008F0DE1" w:rsidRDefault="00330CF1" w:rsidP="009B7956">
            <w:pPr>
              <w:jc w:val="center"/>
              <w:rPr>
                <w:rFonts w:ascii="Arial" w:hAnsi="Arial" w:cs="Arial"/>
              </w:rPr>
            </w:pPr>
            <w:r w:rsidRPr="00A85A0A">
              <w:rPr>
                <w:rFonts w:ascii="Arial" w:hAnsi="Arial" w:cs="Arial"/>
              </w:rPr>
              <w:t xml:space="preserve">66.879 ± </w:t>
            </w:r>
            <w:r>
              <w:rPr>
                <w:rFonts w:ascii="Arial" w:hAnsi="Arial" w:cs="Arial"/>
              </w:rPr>
              <w:t>7.603</w:t>
            </w:r>
            <w:r>
              <w:rPr>
                <w:rFonts w:ascii="Arial" w:hAnsi="Arial" w:cs="Arial"/>
                <w:vertAlign w:val="superscript"/>
              </w:rPr>
              <w:t>a</w:t>
            </w:r>
          </w:p>
        </w:tc>
        <w:tc>
          <w:tcPr>
            <w:tcW w:w="2430" w:type="dxa"/>
          </w:tcPr>
          <w:p w:rsidR="00330CF1" w:rsidRPr="008F0DE1" w:rsidRDefault="00330CF1" w:rsidP="009B7956">
            <w:pPr>
              <w:jc w:val="center"/>
              <w:rPr>
                <w:rFonts w:ascii="Arial" w:hAnsi="Arial" w:cs="Arial"/>
              </w:rPr>
            </w:pPr>
            <w:r w:rsidRPr="00A85A0A">
              <w:rPr>
                <w:rFonts w:ascii="Arial" w:hAnsi="Arial" w:cs="Arial"/>
              </w:rPr>
              <w:t xml:space="preserve">82.463 ± </w:t>
            </w:r>
            <w:r>
              <w:rPr>
                <w:rFonts w:ascii="Arial" w:hAnsi="Arial" w:cs="Arial"/>
              </w:rPr>
              <w:t>7.603</w:t>
            </w:r>
            <w:r>
              <w:rPr>
                <w:rFonts w:ascii="Arial" w:hAnsi="Arial" w:cs="Arial"/>
                <w:vertAlign w:val="superscript"/>
              </w:rPr>
              <w:t>a</w:t>
            </w:r>
          </w:p>
        </w:tc>
        <w:tc>
          <w:tcPr>
            <w:tcW w:w="2430" w:type="dxa"/>
          </w:tcPr>
          <w:p w:rsidR="00330CF1" w:rsidRPr="00A85A0A" w:rsidRDefault="00330CF1" w:rsidP="009B7956">
            <w:pPr>
              <w:jc w:val="center"/>
              <w:rPr>
                <w:rFonts w:ascii="Arial" w:hAnsi="Arial" w:cs="Arial"/>
              </w:rPr>
            </w:pPr>
            <w:r w:rsidRPr="00A85A0A">
              <w:rPr>
                <w:rFonts w:ascii="Arial" w:hAnsi="Arial" w:cs="Arial"/>
              </w:rPr>
              <w:t>*</w:t>
            </w:r>
          </w:p>
        </w:tc>
      </w:tr>
      <w:tr w:rsidR="00330CF1" w:rsidRPr="00A85A0A" w:rsidTr="009F7C9F">
        <w:tc>
          <w:tcPr>
            <w:tcW w:w="1998" w:type="dxa"/>
          </w:tcPr>
          <w:p w:rsidR="00330CF1" w:rsidRPr="00A85A0A" w:rsidRDefault="00330CF1" w:rsidP="00530C2E">
            <w:pPr>
              <w:rPr>
                <w:rFonts w:ascii="Arial" w:hAnsi="Arial" w:cs="Arial"/>
              </w:rPr>
            </w:pPr>
            <w:r w:rsidRPr="00A85A0A">
              <w:rPr>
                <w:rFonts w:ascii="Arial" w:hAnsi="Arial" w:cs="Arial"/>
              </w:rPr>
              <w:t>Energy %</w:t>
            </w:r>
          </w:p>
        </w:tc>
        <w:tc>
          <w:tcPr>
            <w:tcW w:w="2430" w:type="dxa"/>
          </w:tcPr>
          <w:p w:rsidR="00330CF1" w:rsidRPr="005E4307" w:rsidRDefault="00330CF1" w:rsidP="009B7956">
            <w:pPr>
              <w:jc w:val="center"/>
              <w:rPr>
                <w:rFonts w:ascii="Arial" w:hAnsi="Arial" w:cs="Arial"/>
              </w:rPr>
            </w:pPr>
            <w:r w:rsidRPr="00A85A0A">
              <w:rPr>
                <w:rFonts w:ascii="Arial" w:hAnsi="Arial" w:cs="Arial"/>
              </w:rPr>
              <w:t>88.556 ± 0.</w:t>
            </w:r>
            <w:r>
              <w:rPr>
                <w:rFonts w:ascii="Arial" w:hAnsi="Arial" w:cs="Arial"/>
              </w:rPr>
              <w:t>905</w:t>
            </w:r>
            <w:r>
              <w:rPr>
                <w:rFonts w:ascii="Arial" w:hAnsi="Arial" w:cs="Arial"/>
                <w:vertAlign w:val="superscript"/>
              </w:rPr>
              <w:t>b</w:t>
            </w:r>
          </w:p>
        </w:tc>
        <w:tc>
          <w:tcPr>
            <w:tcW w:w="2430" w:type="dxa"/>
          </w:tcPr>
          <w:p w:rsidR="00330CF1" w:rsidRPr="005E4307" w:rsidRDefault="00330CF1" w:rsidP="009B7956">
            <w:pPr>
              <w:jc w:val="center"/>
              <w:rPr>
                <w:rFonts w:ascii="Arial" w:hAnsi="Arial" w:cs="Arial"/>
              </w:rPr>
            </w:pPr>
            <w:r w:rsidRPr="00A85A0A">
              <w:rPr>
                <w:rFonts w:ascii="Arial" w:hAnsi="Arial" w:cs="Arial"/>
              </w:rPr>
              <w:t xml:space="preserve">91.187 ± </w:t>
            </w:r>
            <w:r>
              <w:rPr>
                <w:rFonts w:ascii="Arial" w:hAnsi="Arial" w:cs="Arial"/>
              </w:rPr>
              <w:t>0.905</w:t>
            </w:r>
            <w:r>
              <w:rPr>
                <w:rFonts w:ascii="Arial" w:hAnsi="Arial" w:cs="Arial"/>
                <w:vertAlign w:val="superscript"/>
              </w:rPr>
              <w:t>ab</w:t>
            </w:r>
          </w:p>
        </w:tc>
        <w:tc>
          <w:tcPr>
            <w:tcW w:w="2430" w:type="dxa"/>
          </w:tcPr>
          <w:p w:rsidR="00330CF1" w:rsidRPr="008F0DE1" w:rsidRDefault="00330CF1" w:rsidP="009B7956">
            <w:pPr>
              <w:jc w:val="center"/>
              <w:rPr>
                <w:rFonts w:ascii="Arial" w:hAnsi="Arial" w:cs="Arial"/>
              </w:rPr>
            </w:pPr>
            <w:r w:rsidRPr="00A85A0A">
              <w:rPr>
                <w:rFonts w:ascii="Arial" w:hAnsi="Arial" w:cs="Arial"/>
              </w:rPr>
              <w:t>93.598 ± 0.</w:t>
            </w:r>
            <w:r>
              <w:rPr>
                <w:rFonts w:ascii="Arial" w:hAnsi="Arial" w:cs="Arial"/>
              </w:rPr>
              <w:t>905</w:t>
            </w:r>
            <w:r>
              <w:rPr>
                <w:rFonts w:ascii="Arial" w:hAnsi="Arial" w:cs="Arial"/>
                <w:vertAlign w:val="superscript"/>
              </w:rPr>
              <w:t>a</w:t>
            </w:r>
          </w:p>
        </w:tc>
      </w:tr>
    </w:tbl>
    <w:p w:rsidR="00330CF1" w:rsidRPr="00A85A0A" w:rsidRDefault="00330CF1" w:rsidP="007C694C">
      <w:pPr>
        <w:rPr>
          <w:rFonts w:ascii="Arial" w:hAnsi="Arial" w:cs="Arial"/>
        </w:rPr>
      </w:pPr>
      <w:r w:rsidRPr="00A85A0A">
        <w:rPr>
          <w:rFonts w:ascii="Arial" w:hAnsi="Arial" w:cs="Arial"/>
        </w:rPr>
        <w:t>*None in diet</w:t>
      </w:r>
    </w:p>
    <w:p w:rsidR="00330CF1" w:rsidRPr="00687E70" w:rsidRDefault="00330CF1" w:rsidP="00625B3B">
      <w:pPr>
        <w:rPr>
          <w:rFonts w:ascii="Arial" w:hAnsi="Arial" w:cs="Arial"/>
        </w:rPr>
      </w:pPr>
      <w:r>
        <w:rPr>
          <w:rFonts w:ascii="Arial" w:hAnsi="Arial" w:cs="Arial"/>
        </w:rPr>
        <w:t>NOTE: Different letter superscripts in both rows and columns indicate p values ≤ 0.05</w:t>
      </w:r>
    </w:p>
    <w:p w:rsidR="00330CF1" w:rsidRDefault="00330CF1" w:rsidP="00CE1610">
      <w:pPr>
        <w:rPr>
          <w:rFonts w:ascii="Arial" w:hAnsi="Arial" w:cs="Arial"/>
        </w:rPr>
      </w:pPr>
    </w:p>
    <w:p w:rsidR="00330CF1" w:rsidRDefault="00330CF1" w:rsidP="00F2334C">
      <w:pPr>
        <w:rPr>
          <w:rFonts w:ascii="Arial" w:hAnsi="Arial" w:cs="Arial"/>
        </w:rPr>
      </w:pPr>
    </w:p>
    <w:p w:rsidR="00330CF1" w:rsidRPr="004A3330" w:rsidRDefault="00330CF1" w:rsidP="00F2334C">
      <w:pPr>
        <w:rPr>
          <w:rFonts w:ascii="Arial" w:hAnsi="Arial" w:cs="Arial"/>
        </w:rPr>
      </w:pPr>
      <w:r>
        <w:rPr>
          <w:rFonts w:ascii="Arial" w:hAnsi="Arial" w:cs="Arial"/>
        </w:rPr>
        <w:t xml:space="preserve">     Table 5.5 and 5.6 lists the mean absolute and weight corrected kitten and adult DM intake, DM fecal output, and kcal ingested during the 7 day collection periods.  Dry matter intake (p&lt;0.0001) and kcal ingested (p&lt;0.0001) was significantly greater in kittens compared to adult cats on both an absolute and weight corrected basis.  While there were no significant differences in fecal score,  absolute fecal output (p=0.0021) and fecal output per gram body weight (p &lt; 0.0001) was significantly less on both raw diets compared to the heat-processed diet despite similar dry matter intake.  The ratios for weight corrected DM intake/DM output for the kittens were 6:1, 10:1 and 14:1 for the control heat processed, commercial raw and homemade raw diets respectively.  For the adults, the ratio for corrected DM intake/DM output were 6:1, 8:1, 12:1 for the control heat processed, commercial raw and homemade raw diets respectively.  </w:t>
      </w:r>
    </w:p>
    <w:p w:rsidR="00330CF1" w:rsidRDefault="00330CF1" w:rsidP="007C694C">
      <w:pPr>
        <w:pStyle w:val="NoSpacing"/>
        <w:rPr>
          <w:rFonts w:ascii="Arial" w:hAnsi="Arial" w:cs="Arial"/>
        </w:rPr>
      </w:pPr>
      <w:bookmarkStart w:id="51" w:name="_Toc305485885"/>
    </w:p>
    <w:p w:rsidR="00330CF1" w:rsidRDefault="00330CF1" w:rsidP="007C694C">
      <w:pPr>
        <w:pStyle w:val="NoSpacing"/>
        <w:rPr>
          <w:rFonts w:ascii="Arial" w:hAnsi="Arial" w:cs="Arial"/>
        </w:rPr>
      </w:pPr>
    </w:p>
    <w:p w:rsidR="00330CF1" w:rsidRPr="003E1E9B" w:rsidRDefault="00330CF1" w:rsidP="0086645A">
      <w:pPr>
        <w:pStyle w:val="NoSpacing"/>
        <w:jc w:val="center"/>
        <w:rPr>
          <w:rFonts w:ascii="Arial" w:hAnsi="Arial" w:cs="Arial"/>
        </w:rPr>
      </w:pPr>
      <w:r w:rsidRPr="003E1E9B">
        <w:rPr>
          <w:rFonts w:ascii="Arial" w:hAnsi="Arial" w:cs="Arial"/>
          <w:b/>
        </w:rPr>
        <w:lastRenderedPageBreak/>
        <w:t>Table 5.5</w:t>
      </w:r>
      <w:r w:rsidRPr="003E1E9B">
        <w:rPr>
          <w:rFonts w:ascii="Arial" w:hAnsi="Arial" w:cs="Arial"/>
        </w:rPr>
        <w:t xml:space="preserve"> Kitten dry matter and  caloric intake, </w:t>
      </w:r>
    </w:p>
    <w:p w:rsidR="00330CF1" w:rsidRPr="00404090" w:rsidRDefault="00330CF1" w:rsidP="0086645A">
      <w:pPr>
        <w:pStyle w:val="NoSpacing"/>
        <w:jc w:val="center"/>
        <w:rPr>
          <w:rFonts w:ascii="Arial" w:hAnsi="Arial" w:cs="Arial"/>
          <w:color w:val="C00000"/>
        </w:rPr>
      </w:pPr>
      <w:r w:rsidRPr="003E1E9B">
        <w:rPr>
          <w:rFonts w:ascii="Arial" w:hAnsi="Arial" w:cs="Arial"/>
        </w:rPr>
        <w:t>and dry matter fecal output (Mean ± SEM)</w:t>
      </w:r>
    </w:p>
    <w:p w:rsidR="00330CF1" w:rsidRDefault="00330CF1" w:rsidP="007C694C">
      <w:pPr>
        <w:pStyle w:val="NoSpacing"/>
        <w:rPr>
          <w:rFonts w:ascii="Arial" w:hAnsi="Arial" w:cs="Arial"/>
        </w:rPr>
      </w:pPr>
    </w:p>
    <w:tbl>
      <w:tblPr>
        <w:tblStyle w:val="TableGrid"/>
        <w:tblW w:w="9108" w:type="dxa"/>
        <w:tblLook w:val="04A0" w:firstRow="1" w:lastRow="0" w:firstColumn="1" w:lastColumn="0" w:noHBand="0" w:noVBand="1"/>
      </w:tblPr>
      <w:tblGrid>
        <w:gridCol w:w="2988"/>
        <w:gridCol w:w="1980"/>
        <w:gridCol w:w="2070"/>
        <w:gridCol w:w="2070"/>
      </w:tblGrid>
      <w:tr w:rsidR="00330CF1" w:rsidTr="00530C2E">
        <w:tc>
          <w:tcPr>
            <w:tcW w:w="2988" w:type="dxa"/>
          </w:tcPr>
          <w:p w:rsidR="00330CF1" w:rsidRDefault="00330CF1" w:rsidP="00530C2E">
            <w:pPr>
              <w:pStyle w:val="NoSpacing"/>
              <w:rPr>
                <w:rFonts w:ascii="Arial" w:hAnsi="Arial" w:cs="Arial"/>
              </w:rPr>
            </w:pPr>
            <w:r>
              <w:rPr>
                <w:rFonts w:ascii="Arial" w:hAnsi="Arial" w:cs="Arial"/>
              </w:rPr>
              <w:t>Absolute</w:t>
            </w:r>
          </w:p>
        </w:tc>
        <w:tc>
          <w:tcPr>
            <w:tcW w:w="1980" w:type="dxa"/>
          </w:tcPr>
          <w:p w:rsidR="00330CF1" w:rsidRDefault="00330CF1" w:rsidP="00530C2E">
            <w:pPr>
              <w:pStyle w:val="NoSpacing"/>
              <w:jc w:val="center"/>
              <w:rPr>
                <w:rFonts w:ascii="Arial" w:hAnsi="Arial" w:cs="Arial"/>
              </w:rPr>
            </w:pPr>
            <w:r>
              <w:rPr>
                <w:rFonts w:ascii="Arial" w:hAnsi="Arial" w:cs="Arial"/>
              </w:rPr>
              <w:t>Control</w:t>
            </w:r>
          </w:p>
        </w:tc>
        <w:tc>
          <w:tcPr>
            <w:tcW w:w="2070" w:type="dxa"/>
          </w:tcPr>
          <w:p w:rsidR="00330CF1" w:rsidRDefault="00330CF1" w:rsidP="00530C2E">
            <w:pPr>
              <w:pStyle w:val="NoSpacing"/>
              <w:jc w:val="center"/>
              <w:rPr>
                <w:rFonts w:ascii="Arial" w:hAnsi="Arial" w:cs="Arial"/>
              </w:rPr>
            </w:pPr>
            <w:r>
              <w:rPr>
                <w:rFonts w:ascii="Arial" w:hAnsi="Arial" w:cs="Arial"/>
              </w:rPr>
              <w:t>Commercial Raw</w:t>
            </w:r>
          </w:p>
        </w:tc>
        <w:tc>
          <w:tcPr>
            <w:tcW w:w="2070" w:type="dxa"/>
          </w:tcPr>
          <w:p w:rsidR="00330CF1" w:rsidRDefault="00330CF1" w:rsidP="00530C2E">
            <w:pPr>
              <w:pStyle w:val="NoSpacing"/>
              <w:rPr>
                <w:rFonts w:ascii="Arial" w:hAnsi="Arial" w:cs="Arial"/>
              </w:rPr>
            </w:pPr>
            <w:r>
              <w:rPr>
                <w:rFonts w:ascii="Arial" w:hAnsi="Arial" w:cs="Arial"/>
              </w:rPr>
              <w:t>Homemade Raw</w:t>
            </w:r>
          </w:p>
        </w:tc>
      </w:tr>
      <w:tr w:rsidR="00330CF1" w:rsidTr="00530C2E">
        <w:tc>
          <w:tcPr>
            <w:tcW w:w="2988" w:type="dxa"/>
          </w:tcPr>
          <w:p w:rsidR="00330CF1" w:rsidRDefault="00330CF1" w:rsidP="00530C2E">
            <w:pPr>
              <w:pStyle w:val="NoSpacing"/>
              <w:rPr>
                <w:rFonts w:ascii="Arial" w:hAnsi="Arial" w:cs="Arial"/>
              </w:rPr>
            </w:pPr>
            <w:r>
              <w:rPr>
                <w:rFonts w:ascii="Arial" w:hAnsi="Arial" w:cs="Arial"/>
              </w:rPr>
              <w:t xml:space="preserve">   Total intake g/day</w:t>
            </w:r>
          </w:p>
        </w:tc>
        <w:tc>
          <w:tcPr>
            <w:tcW w:w="1980" w:type="dxa"/>
          </w:tcPr>
          <w:p w:rsidR="00330CF1" w:rsidRPr="005E4307" w:rsidRDefault="00330CF1" w:rsidP="00530C2E">
            <w:pPr>
              <w:pStyle w:val="NoSpacing"/>
              <w:jc w:val="center"/>
              <w:rPr>
                <w:rFonts w:ascii="Calibri" w:hAnsi="Calibri" w:cs="Arial"/>
              </w:rPr>
            </w:pPr>
            <w:r>
              <w:rPr>
                <w:rFonts w:ascii="Arial" w:hAnsi="Arial" w:cs="Arial"/>
              </w:rPr>
              <w:t>54.7 ± 3.98</w:t>
            </w:r>
            <w:r>
              <w:rPr>
                <w:rFonts w:ascii="Arial" w:hAnsi="Arial" w:cs="Arial"/>
                <w:vertAlign w:val="superscript"/>
              </w:rPr>
              <w:t>a</w:t>
            </w:r>
          </w:p>
        </w:tc>
        <w:tc>
          <w:tcPr>
            <w:tcW w:w="2070" w:type="dxa"/>
          </w:tcPr>
          <w:p w:rsidR="00330CF1" w:rsidRPr="005E4307" w:rsidRDefault="00330CF1" w:rsidP="00530C2E">
            <w:pPr>
              <w:pStyle w:val="NoSpacing"/>
              <w:jc w:val="center"/>
              <w:rPr>
                <w:rFonts w:ascii="Calibri" w:hAnsi="Calibri" w:cs="Arial"/>
              </w:rPr>
            </w:pPr>
            <w:r>
              <w:rPr>
                <w:rFonts w:ascii="Arial" w:hAnsi="Arial" w:cs="Arial"/>
              </w:rPr>
              <w:t>50.66 ± 3.98</w:t>
            </w:r>
            <w:r>
              <w:rPr>
                <w:rFonts w:ascii="Arial" w:hAnsi="Arial" w:cs="Arial"/>
                <w:vertAlign w:val="superscript"/>
              </w:rPr>
              <w:t>a</w:t>
            </w:r>
          </w:p>
        </w:tc>
        <w:tc>
          <w:tcPr>
            <w:tcW w:w="2070" w:type="dxa"/>
          </w:tcPr>
          <w:p w:rsidR="00330CF1" w:rsidRPr="005E4307" w:rsidRDefault="00330CF1" w:rsidP="00530C2E">
            <w:pPr>
              <w:pStyle w:val="NoSpacing"/>
              <w:jc w:val="center"/>
              <w:rPr>
                <w:rFonts w:ascii="Calibri" w:hAnsi="Calibri" w:cs="Arial"/>
              </w:rPr>
            </w:pPr>
            <w:r>
              <w:rPr>
                <w:rFonts w:ascii="Arial" w:hAnsi="Arial" w:cs="Arial"/>
              </w:rPr>
              <w:t>60.53 ± 3.98</w:t>
            </w:r>
            <w:r>
              <w:rPr>
                <w:rFonts w:ascii="Arial" w:hAnsi="Arial" w:cs="Arial"/>
                <w:vertAlign w:val="superscript"/>
              </w:rPr>
              <w:t>a</w:t>
            </w:r>
          </w:p>
        </w:tc>
      </w:tr>
      <w:tr w:rsidR="00330CF1" w:rsidTr="00530C2E">
        <w:tc>
          <w:tcPr>
            <w:tcW w:w="2988" w:type="dxa"/>
          </w:tcPr>
          <w:p w:rsidR="00330CF1" w:rsidRDefault="00330CF1" w:rsidP="00530C2E">
            <w:pPr>
              <w:pStyle w:val="NoSpacing"/>
              <w:rPr>
                <w:rFonts w:ascii="Arial" w:hAnsi="Arial" w:cs="Arial"/>
              </w:rPr>
            </w:pPr>
            <w:r>
              <w:rPr>
                <w:rFonts w:ascii="Arial" w:hAnsi="Arial" w:cs="Arial"/>
              </w:rPr>
              <w:t xml:space="preserve">   Fecal output g/day</w:t>
            </w:r>
          </w:p>
        </w:tc>
        <w:tc>
          <w:tcPr>
            <w:tcW w:w="1980" w:type="dxa"/>
          </w:tcPr>
          <w:p w:rsidR="00330CF1" w:rsidRPr="00A31498" w:rsidRDefault="00330CF1" w:rsidP="00530C2E">
            <w:pPr>
              <w:pStyle w:val="NoSpacing"/>
              <w:jc w:val="center"/>
              <w:rPr>
                <w:rFonts w:ascii="Calibri" w:hAnsi="Calibri" w:cs="Arial"/>
              </w:rPr>
            </w:pPr>
            <w:r>
              <w:rPr>
                <w:rFonts w:ascii="Arial" w:hAnsi="Arial" w:cs="Arial"/>
              </w:rPr>
              <w:t>8.64 ± 0.77</w:t>
            </w:r>
            <w:r>
              <w:rPr>
                <w:rFonts w:ascii="Arial" w:hAnsi="Arial" w:cs="Arial"/>
                <w:vertAlign w:val="superscript"/>
              </w:rPr>
              <w:t>a</w:t>
            </w:r>
          </w:p>
        </w:tc>
        <w:tc>
          <w:tcPr>
            <w:tcW w:w="2070" w:type="dxa"/>
          </w:tcPr>
          <w:p w:rsidR="00330CF1" w:rsidRPr="00A31498" w:rsidRDefault="00330CF1" w:rsidP="00530C2E">
            <w:pPr>
              <w:pStyle w:val="NoSpacing"/>
              <w:jc w:val="center"/>
              <w:rPr>
                <w:rFonts w:ascii="Calibri" w:hAnsi="Calibri" w:cs="Arial"/>
              </w:rPr>
            </w:pPr>
            <w:r>
              <w:rPr>
                <w:rFonts w:ascii="Arial" w:hAnsi="Arial" w:cs="Arial"/>
              </w:rPr>
              <w:t>5.22 ± 0.77</w:t>
            </w:r>
            <w:r>
              <w:rPr>
                <w:rFonts w:ascii="Arial" w:hAnsi="Arial" w:cs="Arial"/>
                <w:vertAlign w:val="superscript"/>
              </w:rPr>
              <w:t>b</w:t>
            </w:r>
          </w:p>
        </w:tc>
        <w:tc>
          <w:tcPr>
            <w:tcW w:w="2070" w:type="dxa"/>
          </w:tcPr>
          <w:p w:rsidR="00330CF1" w:rsidRPr="00A31498" w:rsidRDefault="00330CF1" w:rsidP="00530C2E">
            <w:pPr>
              <w:pStyle w:val="NoSpacing"/>
              <w:jc w:val="center"/>
              <w:rPr>
                <w:rFonts w:ascii="Calibri" w:hAnsi="Calibri" w:cs="Arial"/>
              </w:rPr>
            </w:pPr>
            <w:r>
              <w:rPr>
                <w:rFonts w:ascii="Arial" w:hAnsi="Arial" w:cs="Arial"/>
              </w:rPr>
              <w:t>4.43 ± 0.77</w:t>
            </w:r>
            <w:r>
              <w:rPr>
                <w:rFonts w:ascii="Arial" w:hAnsi="Arial" w:cs="Arial"/>
                <w:vertAlign w:val="superscript"/>
              </w:rPr>
              <w:t>b</w:t>
            </w:r>
          </w:p>
        </w:tc>
      </w:tr>
      <w:tr w:rsidR="00330CF1" w:rsidTr="00530C2E">
        <w:tc>
          <w:tcPr>
            <w:tcW w:w="2988" w:type="dxa"/>
          </w:tcPr>
          <w:p w:rsidR="00330CF1" w:rsidRDefault="00330CF1" w:rsidP="00530C2E">
            <w:pPr>
              <w:pStyle w:val="NoSpacing"/>
              <w:rPr>
                <w:rFonts w:ascii="Arial" w:hAnsi="Arial" w:cs="Arial"/>
              </w:rPr>
            </w:pPr>
            <w:r>
              <w:rPr>
                <w:rFonts w:ascii="Arial" w:hAnsi="Arial" w:cs="Arial"/>
              </w:rPr>
              <w:t xml:space="preserve">   Kcal/day</w:t>
            </w:r>
          </w:p>
        </w:tc>
        <w:tc>
          <w:tcPr>
            <w:tcW w:w="1980" w:type="dxa"/>
          </w:tcPr>
          <w:p w:rsidR="00330CF1" w:rsidRPr="00A31498" w:rsidRDefault="00330CF1" w:rsidP="00530C2E">
            <w:pPr>
              <w:pStyle w:val="NoSpacing"/>
              <w:jc w:val="center"/>
              <w:rPr>
                <w:rFonts w:ascii="Calibri" w:hAnsi="Calibri" w:cs="Arial"/>
              </w:rPr>
            </w:pPr>
            <w:r>
              <w:rPr>
                <w:rFonts w:ascii="Arial" w:hAnsi="Arial" w:cs="Arial"/>
              </w:rPr>
              <w:t>333.33 ± 24.56</w:t>
            </w:r>
            <w:r>
              <w:rPr>
                <w:rFonts w:ascii="Arial" w:hAnsi="Arial" w:cs="Arial"/>
                <w:vertAlign w:val="superscript"/>
              </w:rPr>
              <w:t>a</w:t>
            </w:r>
          </w:p>
        </w:tc>
        <w:tc>
          <w:tcPr>
            <w:tcW w:w="2070" w:type="dxa"/>
          </w:tcPr>
          <w:p w:rsidR="00330CF1" w:rsidRPr="00A31498" w:rsidRDefault="00330CF1" w:rsidP="00530C2E">
            <w:pPr>
              <w:pStyle w:val="NoSpacing"/>
              <w:jc w:val="center"/>
              <w:rPr>
                <w:rFonts w:ascii="Calibri" w:hAnsi="Calibri" w:cs="Arial"/>
              </w:rPr>
            </w:pPr>
            <w:r>
              <w:rPr>
                <w:rFonts w:ascii="Arial" w:hAnsi="Arial" w:cs="Arial"/>
              </w:rPr>
              <w:t>319.83 ± 24.56</w:t>
            </w:r>
            <w:r>
              <w:rPr>
                <w:rFonts w:ascii="Arial" w:hAnsi="Arial" w:cs="Arial"/>
                <w:vertAlign w:val="superscript"/>
              </w:rPr>
              <w:t>a</w:t>
            </w:r>
          </w:p>
        </w:tc>
        <w:tc>
          <w:tcPr>
            <w:tcW w:w="2070" w:type="dxa"/>
          </w:tcPr>
          <w:p w:rsidR="00330CF1" w:rsidRPr="00A31498" w:rsidRDefault="00330CF1" w:rsidP="00530C2E">
            <w:pPr>
              <w:pStyle w:val="NoSpacing"/>
              <w:jc w:val="center"/>
              <w:rPr>
                <w:rFonts w:ascii="Arial" w:hAnsi="Arial" w:cs="Arial"/>
                <w:vertAlign w:val="superscript"/>
              </w:rPr>
            </w:pPr>
            <w:r>
              <w:rPr>
                <w:rFonts w:ascii="Arial" w:hAnsi="Arial" w:cs="Arial"/>
              </w:rPr>
              <w:t>330.33 ± 24.56</w:t>
            </w:r>
            <w:r>
              <w:rPr>
                <w:rFonts w:ascii="Arial" w:hAnsi="Arial" w:cs="Arial"/>
                <w:vertAlign w:val="superscript"/>
              </w:rPr>
              <w:t>a</w:t>
            </w:r>
          </w:p>
        </w:tc>
      </w:tr>
      <w:tr w:rsidR="00330CF1" w:rsidTr="00530C2E">
        <w:tc>
          <w:tcPr>
            <w:tcW w:w="2988" w:type="dxa"/>
          </w:tcPr>
          <w:p w:rsidR="00330CF1" w:rsidRDefault="00330CF1" w:rsidP="00530C2E">
            <w:pPr>
              <w:pStyle w:val="NoSpacing"/>
              <w:rPr>
                <w:rFonts w:ascii="Arial" w:hAnsi="Arial" w:cs="Arial"/>
              </w:rPr>
            </w:pPr>
          </w:p>
        </w:tc>
        <w:tc>
          <w:tcPr>
            <w:tcW w:w="198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r>
      <w:tr w:rsidR="00330CF1" w:rsidTr="00530C2E">
        <w:tc>
          <w:tcPr>
            <w:tcW w:w="2988" w:type="dxa"/>
          </w:tcPr>
          <w:p w:rsidR="00330CF1" w:rsidRDefault="00330CF1" w:rsidP="00530C2E">
            <w:pPr>
              <w:pStyle w:val="NoSpacing"/>
              <w:rPr>
                <w:rFonts w:ascii="Arial" w:hAnsi="Arial" w:cs="Arial"/>
              </w:rPr>
            </w:pPr>
            <w:r>
              <w:rPr>
                <w:rFonts w:ascii="Arial" w:hAnsi="Arial" w:cs="Arial"/>
              </w:rPr>
              <w:t xml:space="preserve">Body Weight corrected </w:t>
            </w:r>
          </w:p>
        </w:tc>
        <w:tc>
          <w:tcPr>
            <w:tcW w:w="198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r>
      <w:tr w:rsidR="00330CF1" w:rsidTr="00530C2E">
        <w:tc>
          <w:tcPr>
            <w:tcW w:w="2988" w:type="dxa"/>
          </w:tcPr>
          <w:p w:rsidR="00330CF1" w:rsidRDefault="00330CF1" w:rsidP="00530C2E">
            <w:pPr>
              <w:pStyle w:val="NoSpacing"/>
              <w:rPr>
                <w:rFonts w:ascii="Arial" w:hAnsi="Arial" w:cs="Arial"/>
              </w:rPr>
            </w:pPr>
            <w:r>
              <w:rPr>
                <w:rFonts w:ascii="Arial" w:hAnsi="Arial" w:cs="Arial"/>
              </w:rPr>
              <w:t xml:space="preserve">   Total intake g/kg/day </w:t>
            </w:r>
          </w:p>
        </w:tc>
        <w:tc>
          <w:tcPr>
            <w:tcW w:w="1980" w:type="dxa"/>
          </w:tcPr>
          <w:p w:rsidR="00330CF1" w:rsidRPr="00A31498" w:rsidRDefault="00330CF1" w:rsidP="00530C2E">
            <w:pPr>
              <w:pStyle w:val="NoSpacing"/>
              <w:jc w:val="center"/>
              <w:rPr>
                <w:rFonts w:ascii="Calibri" w:hAnsi="Calibri" w:cs="Arial"/>
              </w:rPr>
            </w:pPr>
            <w:r>
              <w:rPr>
                <w:rFonts w:ascii="Arial" w:hAnsi="Arial" w:cs="Arial"/>
              </w:rPr>
              <w:t>19.76 ± 1.20</w:t>
            </w:r>
            <w:r>
              <w:rPr>
                <w:rFonts w:ascii="Arial" w:hAnsi="Arial" w:cs="Arial"/>
                <w:vertAlign w:val="superscript"/>
              </w:rPr>
              <w:t>a</w:t>
            </w:r>
          </w:p>
        </w:tc>
        <w:tc>
          <w:tcPr>
            <w:tcW w:w="2070" w:type="dxa"/>
          </w:tcPr>
          <w:p w:rsidR="00330CF1" w:rsidRPr="00A31498" w:rsidRDefault="00330CF1" w:rsidP="00530C2E">
            <w:pPr>
              <w:pStyle w:val="NoSpacing"/>
              <w:jc w:val="center"/>
              <w:rPr>
                <w:rFonts w:ascii="Calibri" w:hAnsi="Calibri" w:cs="Arial"/>
              </w:rPr>
            </w:pPr>
            <w:r>
              <w:rPr>
                <w:rFonts w:ascii="Arial" w:hAnsi="Arial" w:cs="Arial"/>
              </w:rPr>
              <w:t>17.21 ± 1.20</w:t>
            </w:r>
            <w:r>
              <w:rPr>
                <w:rFonts w:ascii="Arial" w:hAnsi="Arial" w:cs="Arial"/>
                <w:vertAlign w:val="superscript"/>
              </w:rPr>
              <w:t>a</w:t>
            </w:r>
          </w:p>
        </w:tc>
        <w:tc>
          <w:tcPr>
            <w:tcW w:w="2070" w:type="dxa"/>
          </w:tcPr>
          <w:p w:rsidR="00330CF1" w:rsidRPr="00A31498" w:rsidRDefault="00330CF1" w:rsidP="00530C2E">
            <w:pPr>
              <w:pStyle w:val="NoSpacing"/>
              <w:jc w:val="center"/>
              <w:rPr>
                <w:rFonts w:ascii="Arial" w:hAnsi="Arial" w:cs="Arial"/>
                <w:vertAlign w:val="superscript"/>
              </w:rPr>
            </w:pPr>
            <w:r>
              <w:rPr>
                <w:rFonts w:ascii="Arial" w:hAnsi="Arial" w:cs="Arial"/>
              </w:rPr>
              <w:t>20.58 ± 1.20</w:t>
            </w:r>
            <w:r>
              <w:rPr>
                <w:rFonts w:ascii="Arial" w:hAnsi="Arial" w:cs="Arial"/>
                <w:vertAlign w:val="superscript"/>
              </w:rPr>
              <w:t>a</w:t>
            </w:r>
          </w:p>
        </w:tc>
      </w:tr>
      <w:tr w:rsidR="00330CF1" w:rsidTr="00530C2E">
        <w:tc>
          <w:tcPr>
            <w:tcW w:w="2988" w:type="dxa"/>
          </w:tcPr>
          <w:p w:rsidR="00330CF1" w:rsidRDefault="00330CF1" w:rsidP="00530C2E">
            <w:pPr>
              <w:pStyle w:val="NoSpacing"/>
              <w:rPr>
                <w:rFonts w:ascii="Arial" w:hAnsi="Arial" w:cs="Arial"/>
              </w:rPr>
            </w:pPr>
            <w:r>
              <w:rPr>
                <w:rFonts w:ascii="Arial" w:hAnsi="Arial" w:cs="Arial"/>
              </w:rPr>
              <w:t xml:space="preserve">   Fecal output g/kg/day</w:t>
            </w:r>
          </w:p>
        </w:tc>
        <w:tc>
          <w:tcPr>
            <w:tcW w:w="1980" w:type="dxa"/>
          </w:tcPr>
          <w:p w:rsidR="00330CF1" w:rsidRPr="005D2A37" w:rsidRDefault="00330CF1" w:rsidP="00530C2E">
            <w:pPr>
              <w:pStyle w:val="NoSpacing"/>
              <w:jc w:val="center"/>
              <w:rPr>
                <w:rFonts w:ascii="Calibri" w:hAnsi="Calibri" w:cs="Arial"/>
              </w:rPr>
            </w:pPr>
            <w:r>
              <w:rPr>
                <w:rFonts w:ascii="Arial" w:hAnsi="Arial" w:cs="Arial"/>
              </w:rPr>
              <w:t>3.11 ± 0.21</w:t>
            </w:r>
            <w:r>
              <w:rPr>
                <w:rFonts w:ascii="Arial" w:hAnsi="Arial" w:cs="Arial"/>
                <w:vertAlign w:val="superscript"/>
              </w:rPr>
              <w:t>a</w:t>
            </w:r>
          </w:p>
        </w:tc>
        <w:tc>
          <w:tcPr>
            <w:tcW w:w="2070" w:type="dxa"/>
          </w:tcPr>
          <w:p w:rsidR="00330CF1" w:rsidRPr="005D2A37" w:rsidRDefault="00330CF1" w:rsidP="00530C2E">
            <w:pPr>
              <w:pStyle w:val="NoSpacing"/>
              <w:jc w:val="center"/>
              <w:rPr>
                <w:rFonts w:ascii="Calibri" w:hAnsi="Calibri" w:cs="Arial"/>
              </w:rPr>
            </w:pPr>
            <w:r>
              <w:rPr>
                <w:rFonts w:ascii="Arial" w:hAnsi="Arial" w:cs="Arial"/>
              </w:rPr>
              <w:t>1.71 ± 0.21</w:t>
            </w:r>
            <w:r>
              <w:rPr>
                <w:rFonts w:ascii="Arial" w:hAnsi="Arial" w:cs="Arial"/>
                <w:vertAlign w:val="superscript"/>
              </w:rPr>
              <w:t>b</w:t>
            </w:r>
          </w:p>
        </w:tc>
        <w:tc>
          <w:tcPr>
            <w:tcW w:w="2070" w:type="dxa"/>
          </w:tcPr>
          <w:p w:rsidR="00330CF1" w:rsidRPr="005D2A37" w:rsidRDefault="00330CF1" w:rsidP="00530C2E">
            <w:pPr>
              <w:pStyle w:val="NoSpacing"/>
              <w:jc w:val="center"/>
              <w:rPr>
                <w:rFonts w:ascii="Calibri" w:hAnsi="Calibri" w:cs="Arial"/>
              </w:rPr>
            </w:pPr>
            <w:r>
              <w:rPr>
                <w:rFonts w:ascii="Arial" w:hAnsi="Arial" w:cs="Arial"/>
              </w:rPr>
              <w:t>1.52 ± 0.21</w:t>
            </w:r>
            <w:r>
              <w:rPr>
                <w:rFonts w:ascii="Arial" w:hAnsi="Arial" w:cs="Arial"/>
                <w:vertAlign w:val="superscript"/>
              </w:rPr>
              <w:t>b</w:t>
            </w:r>
          </w:p>
        </w:tc>
      </w:tr>
      <w:tr w:rsidR="00330CF1" w:rsidTr="00530C2E">
        <w:tc>
          <w:tcPr>
            <w:tcW w:w="2988" w:type="dxa"/>
          </w:tcPr>
          <w:p w:rsidR="00330CF1" w:rsidRDefault="00330CF1" w:rsidP="00530C2E">
            <w:pPr>
              <w:pStyle w:val="NoSpacing"/>
              <w:rPr>
                <w:rFonts w:ascii="Arial" w:hAnsi="Arial" w:cs="Arial"/>
              </w:rPr>
            </w:pPr>
            <w:r>
              <w:rPr>
                <w:rFonts w:ascii="Arial" w:hAnsi="Arial" w:cs="Arial"/>
              </w:rPr>
              <w:t xml:space="preserve">   Kcal/day </w:t>
            </w:r>
          </w:p>
        </w:tc>
        <w:tc>
          <w:tcPr>
            <w:tcW w:w="1980" w:type="dxa"/>
          </w:tcPr>
          <w:p w:rsidR="00330CF1" w:rsidRPr="005D2A37" w:rsidRDefault="00330CF1" w:rsidP="00530C2E">
            <w:pPr>
              <w:pStyle w:val="NoSpacing"/>
              <w:jc w:val="center"/>
              <w:rPr>
                <w:rFonts w:ascii="Calibri" w:hAnsi="Calibri" w:cs="Arial"/>
              </w:rPr>
            </w:pPr>
            <w:r>
              <w:rPr>
                <w:rFonts w:ascii="Arial" w:hAnsi="Arial" w:cs="Arial"/>
              </w:rPr>
              <w:t>120.40 ± 7.22</w:t>
            </w:r>
            <w:r>
              <w:rPr>
                <w:rFonts w:ascii="Arial" w:hAnsi="Arial" w:cs="Arial"/>
                <w:vertAlign w:val="superscript"/>
              </w:rPr>
              <w:t>a</w:t>
            </w:r>
          </w:p>
        </w:tc>
        <w:tc>
          <w:tcPr>
            <w:tcW w:w="2070" w:type="dxa"/>
          </w:tcPr>
          <w:p w:rsidR="00330CF1" w:rsidRPr="005D2A37" w:rsidRDefault="00330CF1" w:rsidP="00530C2E">
            <w:pPr>
              <w:pStyle w:val="NoSpacing"/>
              <w:jc w:val="center"/>
              <w:rPr>
                <w:rFonts w:ascii="Calibri" w:hAnsi="Calibri" w:cs="Arial"/>
              </w:rPr>
            </w:pPr>
            <w:r>
              <w:rPr>
                <w:rFonts w:ascii="Arial" w:hAnsi="Arial" w:cs="Arial"/>
              </w:rPr>
              <w:t>108.61 ± 7.22</w:t>
            </w:r>
            <w:r>
              <w:rPr>
                <w:rFonts w:ascii="Arial" w:hAnsi="Arial" w:cs="Arial"/>
                <w:vertAlign w:val="superscript"/>
              </w:rPr>
              <w:t>a</w:t>
            </w:r>
          </w:p>
        </w:tc>
        <w:tc>
          <w:tcPr>
            <w:tcW w:w="2070" w:type="dxa"/>
          </w:tcPr>
          <w:p w:rsidR="00330CF1" w:rsidRPr="005D2A37" w:rsidRDefault="00330CF1" w:rsidP="00530C2E">
            <w:pPr>
              <w:pStyle w:val="NoSpacing"/>
              <w:jc w:val="center"/>
              <w:rPr>
                <w:rFonts w:ascii="Calibri" w:hAnsi="Calibri" w:cs="Arial"/>
              </w:rPr>
            </w:pPr>
            <w:r>
              <w:rPr>
                <w:rFonts w:ascii="Arial" w:hAnsi="Arial" w:cs="Arial"/>
              </w:rPr>
              <w:t>112.32 ± 7.22</w:t>
            </w:r>
            <w:r>
              <w:rPr>
                <w:rFonts w:ascii="Arial" w:hAnsi="Arial" w:cs="Arial"/>
                <w:vertAlign w:val="superscript"/>
              </w:rPr>
              <w:t>a</w:t>
            </w:r>
          </w:p>
        </w:tc>
      </w:tr>
      <w:tr w:rsidR="00330CF1" w:rsidTr="00530C2E">
        <w:tc>
          <w:tcPr>
            <w:tcW w:w="2988" w:type="dxa"/>
          </w:tcPr>
          <w:p w:rsidR="00330CF1" w:rsidRDefault="00330CF1" w:rsidP="00530C2E">
            <w:pPr>
              <w:pStyle w:val="NoSpacing"/>
              <w:rPr>
                <w:rFonts w:ascii="Arial" w:hAnsi="Arial" w:cs="Arial"/>
              </w:rPr>
            </w:pPr>
          </w:p>
        </w:tc>
        <w:tc>
          <w:tcPr>
            <w:tcW w:w="198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r>
      <w:tr w:rsidR="00330CF1" w:rsidTr="00530C2E">
        <w:tc>
          <w:tcPr>
            <w:tcW w:w="2988" w:type="dxa"/>
          </w:tcPr>
          <w:p w:rsidR="00330CF1" w:rsidRDefault="00330CF1" w:rsidP="00530C2E">
            <w:pPr>
              <w:pStyle w:val="NoSpacing"/>
              <w:rPr>
                <w:rFonts w:ascii="Arial" w:hAnsi="Arial" w:cs="Arial"/>
              </w:rPr>
            </w:pPr>
            <w:r>
              <w:rPr>
                <w:rFonts w:ascii="Arial" w:hAnsi="Arial" w:cs="Arial"/>
              </w:rPr>
              <w:t>Ratio Intake:Output</w:t>
            </w:r>
          </w:p>
        </w:tc>
        <w:tc>
          <w:tcPr>
            <w:tcW w:w="1980" w:type="dxa"/>
          </w:tcPr>
          <w:p w:rsidR="00330CF1" w:rsidRPr="001859B3" w:rsidRDefault="00330CF1" w:rsidP="00530C2E">
            <w:pPr>
              <w:pStyle w:val="NoSpacing"/>
              <w:jc w:val="center"/>
              <w:rPr>
                <w:rFonts w:ascii="Arial" w:hAnsi="Arial" w:cs="Arial"/>
              </w:rPr>
            </w:pPr>
            <w:r>
              <w:rPr>
                <w:rFonts w:ascii="Arial" w:hAnsi="Arial" w:cs="Arial"/>
              </w:rPr>
              <w:t>6.48 ± 0.93</w:t>
            </w:r>
            <w:r>
              <w:rPr>
                <w:rFonts w:ascii="Arial" w:hAnsi="Arial" w:cs="Arial"/>
                <w:vertAlign w:val="superscript"/>
              </w:rPr>
              <w:t xml:space="preserve">c </w:t>
            </w:r>
          </w:p>
        </w:tc>
        <w:tc>
          <w:tcPr>
            <w:tcW w:w="2070" w:type="dxa"/>
          </w:tcPr>
          <w:p w:rsidR="00330CF1" w:rsidRPr="005D2A37" w:rsidRDefault="00330CF1" w:rsidP="00530C2E">
            <w:pPr>
              <w:pStyle w:val="NoSpacing"/>
              <w:jc w:val="center"/>
              <w:rPr>
                <w:rFonts w:ascii="Calibri" w:hAnsi="Calibri" w:cs="Arial"/>
              </w:rPr>
            </w:pPr>
            <w:r>
              <w:rPr>
                <w:rFonts w:ascii="Arial" w:hAnsi="Arial" w:cs="Arial"/>
              </w:rPr>
              <w:t>10.35 ± 0.93</w:t>
            </w:r>
            <w:r>
              <w:rPr>
                <w:rFonts w:ascii="Arial" w:hAnsi="Arial" w:cs="Arial"/>
                <w:vertAlign w:val="superscript"/>
              </w:rPr>
              <w:t>b</w:t>
            </w:r>
          </w:p>
        </w:tc>
        <w:tc>
          <w:tcPr>
            <w:tcW w:w="2070" w:type="dxa"/>
          </w:tcPr>
          <w:p w:rsidR="00330CF1" w:rsidRPr="005D2A37" w:rsidRDefault="00330CF1" w:rsidP="00530C2E">
            <w:pPr>
              <w:pStyle w:val="NoSpacing"/>
              <w:jc w:val="center"/>
              <w:rPr>
                <w:rFonts w:ascii="Calibri" w:hAnsi="Calibri" w:cs="Arial"/>
              </w:rPr>
            </w:pPr>
            <w:r>
              <w:rPr>
                <w:rFonts w:ascii="Arial" w:hAnsi="Arial" w:cs="Arial"/>
              </w:rPr>
              <w:t>14.03 ± 0.92</w:t>
            </w:r>
            <w:r>
              <w:rPr>
                <w:rFonts w:ascii="Arial" w:hAnsi="Arial" w:cs="Arial"/>
                <w:vertAlign w:val="superscript"/>
              </w:rPr>
              <w:t>a</w:t>
            </w:r>
          </w:p>
        </w:tc>
      </w:tr>
      <w:tr w:rsidR="00330CF1" w:rsidTr="00530C2E">
        <w:tc>
          <w:tcPr>
            <w:tcW w:w="2988" w:type="dxa"/>
          </w:tcPr>
          <w:p w:rsidR="00330CF1" w:rsidRDefault="00330CF1" w:rsidP="00530C2E">
            <w:pPr>
              <w:pStyle w:val="NoSpacing"/>
              <w:rPr>
                <w:rFonts w:ascii="Arial" w:hAnsi="Arial" w:cs="Arial"/>
              </w:rPr>
            </w:pPr>
            <w:r>
              <w:rPr>
                <w:rFonts w:ascii="Arial" w:hAnsi="Arial" w:cs="Arial"/>
              </w:rPr>
              <w:t>Fecal Score</w:t>
            </w:r>
          </w:p>
        </w:tc>
        <w:tc>
          <w:tcPr>
            <w:tcW w:w="1980" w:type="dxa"/>
          </w:tcPr>
          <w:p w:rsidR="00330CF1" w:rsidRPr="005D2A37" w:rsidRDefault="00330CF1" w:rsidP="00530C2E">
            <w:pPr>
              <w:pStyle w:val="NoSpacing"/>
              <w:jc w:val="center"/>
              <w:rPr>
                <w:rFonts w:ascii="Calibri" w:hAnsi="Calibri" w:cs="Arial"/>
              </w:rPr>
            </w:pPr>
            <w:r>
              <w:rPr>
                <w:rFonts w:ascii="Arial" w:hAnsi="Arial" w:cs="Arial"/>
              </w:rPr>
              <w:t>3.81 ± 0.08</w:t>
            </w:r>
            <w:r>
              <w:rPr>
                <w:rFonts w:ascii="Arial" w:hAnsi="Arial" w:cs="Arial"/>
                <w:vertAlign w:val="superscript"/>
              </w:rPr>
              <w:t>a</w:t>
            </w:r>
          </w:p>
        </w:tc>
        <w:tc>
          <w:tcPr>
            <w:tcW w:w="2070" w:type="dxa"/>
          </w:tcPr>
          <w:p w:rsidR="00330CF1" w:rsidRPr="005D2A37" w:rsidRDefault="00330CF1" w:rsidP="00530C2E">
            <w:pPr>
              <w:pStyle w:val="NoSpacing"/>
              <w:jc w:val="center"/>
              <w:rPr>
                <w:rFonts w:ascii="Calibri" w:hAnsi="Calibri" w:cs="Arial"/>
              </w:rPr>
            </w:pPr>
            <w:r>
              <w:rPr>
                <w:rFonts w:ascii="Arial" w:hAnsi="Arial" w:cs="Arial"/>
              </w:rPr>
              <w:t>4.00 ± 0.08</w:t>
            </w:r>
            <w:r>
              <w:rPr>
                <w:rFonts w:ascii="Arial" w:hAnsi="Arial" w:cs="Arial"/>
                <w:vertAlign w:val="superscript"/>
              </w:rPr>
              <w:t>a</w:t>
            </w:r>
          </w:p>
        </w:tc>
        <w:tc>
          <w:tcPr>
            <w:tcW w:w="2070" w:type="dxa"/>
          </w:tcPr>
          <w:p w:rsidR="00330CF1" w:rsidRPr="005D2A37" w:rsidRDefault="00330CF1" w:rsidP="00530C2E">
            <w:pPr>
              <w:pStyle w:val="NoSpacing"/>
              <w:jc w:val="center"/>
              <w:rPr>
                <w:rFonts w:ascii="Calibri" w:hAnsi="Calibri" w:cs="Arial"/>
              </w:rPr>
            </w:pPr>
            <w:r>
              <w:rPr>
                <w:rFonts w:ascii="Arial" w:hAnsi="Arial" w:cs="Arial"/>
              </w:rPr>
              <w:t>3.94 ± 0.08</w:t>
            </w:r>
            <w:r>
              <w:rPr>
                <w:rFonts w:ascii="Arial" w:hAnsi="Arial" w:cs="Arial"/>
                <w:vertAlign w:val="superscript"/>
              </w:rPr>
              <w:t>a</w:t>
            </w:r>
          </w:p>
        </w:tc>
      </w:tr>
    </w:tbl>
    <w:p w:rsidR="00330CF1" w:rsidRDefault="00330CF1" w:rsidP="00636ECE">
      <w:pPr>
        <w:rPr>
          <w:rFonts w:ascii="Arial" w:hAnsi="Arial" w:cs="Arial"/>
        </w:rPr>
      </w:pPr>
      <w:r w:rsidRPr="00625B3B">
        <w:rPr>
          <w:rFonts w:ascii="Arial" w:hAnsi="Arial" w:cs="Arial"/>
          <w:b/>
        </w:rPr>
        <w:t>NOTE</w:t>
      </w:r>
      <w:r>
        <w:rPr>
          <w:rFonts w:ascii="Arial" w:hAnsi="Arial" w:cs="Arial"/>
        </w:rPr>
        <w:t>: Different letter superscripts in both rows and columns indicate p values ≤ 0.05</w:t>
      </w:r>
    </w:p>
    <w:p w:rsidR="00330CF1" w:rsidRDefault="00330CF1" w:rsidP="007C694C">
      <w:pPr>
        <w:pStyle w:val="NoSpacing"/>
        <w:rPr>
          <w:rFonts w:ascii="Arial" w:hAnsi="Arial" w:cs="Arial"/>
        </w:rPr>
      </w:pPr>
    </w:p>
    <w:p w:rsidR="00330CF1" w:rsidRDefault="00330CF1" w:rsidP="007C694C">
      <w:pPr>
        <w:pStyle w:val="NoSpacing"/>
        <w:rPr>
          <w:rFonts w:ascii="Arial" w:hAnsi="Arial" w:cs="Arial"/>
        </w:rPr>
      </w:pPr>
    </w:p>
    <w:p w:rsidR="00330CF1" w:rsidRDefault="00330CF1" w:rsidP="007C694C">
      <w:pPr>
        <w:pStyle w:val="NoSpacing"/>
        <w:rPr>
          <w:rFonts w:ascii="Arial" w:hAnsi="Arial" w:cs="Arial"/>
        </w:rPr>
      </w:pPr>
    </w:p>
    <w:p w:rsidR="00330CF1" w:rsidRDefault="00330CF1" w:rsidP="007C694C">
      <w:pPr>
        <w:pStyle w:val="NoSpacing"/>
        <w:rPr>
          <w:rFonts w:ascii="Arial" w:hAnsi="Arial" w:cs="Arial"/>
        </w:rPr>
      </w:pPr>
    </w:p>
    <w:p w:rsidR="00330CF1" w:rsidRPr="003E1E9B" w:rsidRDefault="00330CF1" w:rsidP="0086645A">
      <w:pPr>
        <w:pStyle w:val="NoSpacing"/>
        <w:jc w:val="center"/>
        <w:rPr>
          <w:rFonts w:ascii="Arial" w:hAnsi="Arial" w:cs="Arial"/>
        </w:rPr>
      </w:pPr>
      <w:r w:rsidRPr="003E1E9B">
        <w:rPr>
          <w:rFonts w:ascii="Arial" w:hAnsi="Arial" w:cs="Arial"/>
          <w:b/>
        </w:rPr>
        <w:t>Table 5.6</w:t>
      </w:r>
      <w:r w:rsidRPr="003E1E9B">
        <w:rPr>
          <w:rFonts w:ascii="Arial" w:hAnsi="Arial" w:cs="Arial"/>
        </w:rPr>
        <w:t xml:space="preserve"> Adult dry matter and caloric intake, </w:t>
      </w:r>
    </w:p>
    <w:p w:rsidR="00330CF1" w:rsidRPr="003E1E9B" w:rsidRDefault="00330CF1" w:rsidP="0086645A">
      <w:pPr>
        <w:pStyle w:val="NoSpacing"/>
        <w:jc w:val="center"/>
        <w:rPr>
          <w:rFonts w:ascii="Arial" w:hAnsi="Arial" w:cs="Arial"/>
        </w:rPr>
      </w:pPr>
      <w:r w:rsidRPr="003E1E9B">
        <w:rPr>
          <w:rFonts w:ascii="Arial" w:hAnsi="Arial" w:cs="Arial"/>
        </w:rPr>
        <w:t>and dry matter fecal output (Mean ± SEM)</w:t>
      </w:r>
    </w:p>
    <w:p w:rsidR="00330CF1" w:rsidRPr="003E1E9B" w:rsidRDefault="00330CF1" w:rsidP="007C694C">
      <w:pPr>
        <w:pStyle w:val="NoSpacing"/>
        <w:rPr>
          <w:rFonts w:ascii="Arial" w:hAnsi="Arial" w:cs="Arial"/>
        </w:rPr>
      </w:pPr>
    </w:p>
    <w:tbl>
      <w:tblPr>
        <w:tblStyle w:val="TableGrid"/>
        <w:tblW w:w="9288" w:type="dxa"/>
        <w:tblLook w:val="04A0" w:firstRow="1" w:lastRow="0" w:firstColumn="1" w:lastColumn="0" w:noHBand="0" w:noVBand="1"/>
      </w:tblPr>
      <w:tblGrid>
        <w:gridCol w:w="3168"/>
        <w:gridCol w:w="1980"/>
        <w:gridCol w:w="2070"/>
        <w:gridCol w:w="2070"/>
      </w:tblGrid>
      <w:tr w:rsidR="00330CF1" w:rsidTr="00530C2E">
        <w:tc>
          <w:tcPr>
            <w:tcW w:w="3168" w:type="dxa"/>
          </w:tcPr>
          <w:p w:rsidR="00330CF1" w:rsidRDefault="00330CF1" w:rsidP="00530C2E">
            <w:pPr>
              <w:pStyle w:val="NoSpacing"/>
              <w:rPr>
                <w:rFonts w:ascii="Arial" w:hAnsi="Arial" w:cs="Arial"/>
              </w:rPr>
            </w:pPr>
            <w:r>
              <w:rPr>
                <w:rFonts w:ascii="Arial" w:hAnsi="Arial" w:cs="Arial"/>
              </w:rPr>
              <w:t>Total</w:t>
            </w:r>
          </w:p>
        </w:tc>
        <w:tc>
          <w:tcPr>
            <w:tcW w:w="1980" w:type="dxa"/>
          </w:tcPr>
          <w:p w:rsidR="00330CF1" w:rsidRDefault="00330CF1" w:rsidP="00530C2E">
            <w:pPr>
              <w:pStyle w:val="NoSpacing"/>
              <w:jc w:val="center"/>
              <w:rPr>
                <w:rFonts w:ascii="Arial" w:hAnsi="Arial" w:cs="Arial"/>
              </w:rPr>
            </w:pPr>
            <w:r>
              <w:rPr>
                <w:rFonts w:ascii="Arial" w:hAnsi="Arial" w:cs="Arial"/>
              </w:rPr>
              <w:t>Control</w:t>
            </w:r>
          </w:p>
        </w:tc>
        <w:tc>
          <w:tcPr>
            <w:tcW w:w="2070" w:type="dxa"/>
          </w:tcPr>
          <w:p w:rsidR="00330CF1" w:rsidRDefault="00330CF1" w:rsidP="00530C2E">
            <w:pPr>
              <w:pStyle w:val="NoSpacing"/>
              <w:jc w:val="center"/>
              <w:rPr>
                <w:rFonts w:ascii="Arial" w:hAnsi="Arial" w:cs="Arial"/>
              </w:rPr>
            </w:pPr>
            <w:r>
              <w:rPr>
                <w:rFonts w:ascii="Arial" w:hAnsi="Arial" w:cs="Arial"/>
              </w:rPr>
              <w:t>Commercial Raw</w:t>
            </w:r>
          </w:p>
        </w:tc>
        <w:tc>
          <w:tcPr>
            <w:tcW w:w="2070" w:type="dxa"/>
          </w:tcPr>
          <w:p w:rsidR="00330CF1" w:rsidRDefault="00330CF1" w:rsidP="00530C2E">
            <w:pPr>
              <w:pStyle w:val="NoSpacing"/>
              <w:jc w:val="center"/>
              <w:rPr>
                <w:rFonts w:ascii="Arial" w:hAnsi="Arial" w:cs="Arial"/>
              </w:rPr>
            </w:pPr>
            <w:r>
              <w:rPr>
                <w:rFonts w:ascii="Arial" w:hAnsi="Arial" w:cs="Arial"/>
              </w:rPr>
              <w:t>Homemade Raw</w:t>
            </w:r>
          </w:p>
        </w:tc>
      </w:tr>
      <w:tr w:rsidR="00330CF1" w:rsidTr="00530C2E">
        <w:tc>
          <w:tcPr>
            <w:tcW w:w="3168" w:type="dxa"/>
          </w:tcPr>
          <w:p w:rsidR="00330CF1" w:rsidRDefault="00330CF1" w:rsidP="00530C2E">
            <w:pPr>
              <w:pStyle w:val="NoSpacing"/>
              <w:rPr>
                <w:rFonts w:ascii="Arial" w:hAnsi="Arial" w:cs="Arial"/>
              </w:rPr>
            </w:pPr>
            <w:r>
              <w:rPr>
                <w:rFonts w:ascii="Arial" w:hAnsi="Arial" w:cs="Arial"/>
              </w:rPr>
              <w:t xml:space="preserve">   DM food intake g/day</w:t>
            </w:r>
          </w:p>
        </w:tc>
        <w:tc>
          <w:tcPr>
            <w:tcW w:w="1980" w:type="dxa"/>
          </w:tcPr>
          <w:p w:rsidR="00330CF1" w:rsidRPr="00802842" w:rsidRDefault="00330CF1" w:rsidP="00530C2E">
            <w:pPr>
              <w:pStyle w:val="NoSpacing"/>
              <w:jc w:val="center"/>
              <w:rPr>
                <w:rFonts w:ascii="Calibri" w:hAnsi="Calibri" w:cs="Arial"/>
              </w:rPr>
            </w:pPr>
            <w:r>
              <w:rPr>
                <w:rFonts w:ascii="Arial" w:hAnsi="Arial" w:cs="Arial"/>
              </w:rPr>
              <w:t>36.68 ± 3.67</w:t>
            </w:r>
            <w:r>
              <w:rPr>
                <w:rFonts w:ascii="Arial" w:hAnsi="Arial" w:cs="Arial"/>
                <w:vertAlign w:val="superscript"/>
              </w:rPr>
              <w:t>a</w:t>
            </w:r>
          </w:p>
        </w:tc>
        <w:tc>
          <w:tcPr>
            <w:tcW w:w="2070" w:type="dxa"/>
          </w:tcPr>
          <w:p w:rsidR="00330CF1" w:rsidRPr="00802842" w:rsidRDefault="00330CF1" w:rsidP="00530C2E">
            <w:pPr>
              <w:pStyle w:val="NoSpacing"/>
              <w:jc w:val="center"/>
              <w:rPr>
                <w:rFonts w:ascii="Calibri" w:hAnsi="Calibri" w:cs="Arial"/>
              </w:rPr>
            </w:pPr>
            <w:r>
              <w:rPr>
                <w:rFonts w:ascii="Arial" w:hAnsi="Arial" w:cs="Arial"/>
              </w:rPr>
              <w:t>44.22 ± 3.67</w:t>
            </w:r>
            <w:r>
              <w:rPr>
                <w:rFonts w:ascii="Arial" w:hAnsi="Arial" w:cs="Arial"/>
                <w:vertAlign w:val="superscript"/>
              </w:rPr>
              <w:t>a</w:t>
            </w:r>
          </w:p>
        </w:tc>
        <w:tc>
          <w:tcPr>
            <w:tcW w:w="2070" w:type="dxa"/>
          </w:tcPr>
          <w:p w:rsidR="00330CF1" w:rsidRPr="004859AE" w:rsidRDefault="00330CF1" w:rsidP="00530C2E">
            <w:pPr>
              <w:pStyle w:val="NoSpacing"/>
              <w:jc w:val="center"/>
              <w:rPr>
                <w:rFonts w:ascii="Arial" w:hAnsi="Arial" w:cs="Arial"/>
                <w:vertAlign w:val="superscript"/>
              </w:rPr>
            </w:pPr>
            <w:r>
              <w:rPr>
                <w:rFonts w:ascii="Arial" w:hAnsi="Arial" w:cs="Arial"/>
              </w:rPr>
              <w:t>47. ± 3.67</w:t>
            </w:r>
            <w:r>
              <w:rPr>
                <w:rFonts w:ascii="Arial" w:hAnsi="Arial" w:cs="Arial"/>
                <w:vertAlign w:val="superscript"/>
              </w:rPr>
              <w:t>a</w:t>
            </w:r>
          </w:p>
        </w:tc>
      </w:tr>
      <w:tr w:rsidR="00330CF1" w:rsidTr="00530C2E">
        <w:tc>
          <w:tcPr>
            <w:tcW w:w="3168" w:type="dxa"/>
          </w:tcPr>
          <w:p w:rsidR="00330CF1" w:rsidRDefault="00330CF1" w:rsidP="00530C2E">
            <w:pPr>
              <w:pStyle w:val="NoSpacing"/>
              <w:rPr>
                <w:rFonts w:ascii="Arial" w:hAnsi="Arial" w:cs="Arial"/>
              </w:rPr>
            </w:pPr>
            <w:r>
              <w:rPr>
                <w:rFonts w:ascii="Arial" w:hAnsi="Arial" w:cs="Arial"/>
              </w:rPr>
              <w:t xml:space="preserve">   DM fecal output g/day</w:t>
            </w:r>
          </w:p>
        </w:tc>
        <w:tc>
          <w:tcPr>
            <w:tcW w:w="1980" w:type="dxa"/>
          </w:tcPr>
          <w:p w:rsidR="00330CF1" w:rsidRPr="00802842" w:rsidRDefault="00330CF1" w:rsidP="00530C2E">
            <w:pPr>
              <w:pStyle w:val="NoSpacing"/>
              <w:jc w:val="center"/>
              <w:rPr>
                <w:rFonts w:ascii="Calibri" w:hAnsi="Calibri" w:cs="Arial"/>
              </w:rPr>
            </w:pPr>
            <w:r>
              <w:rPr>
                <w:rFonts w:ascii="Arial" w:hAnsi="Arial" w:cs="Arial"/>
              </w:rPr>
              <w:t>6.59 ± 0.38</w:t>
            </w:r>
            <w:r>
              <w:rPr>
                <w:rFonts w:ascii="Arial" w:hAnsi="Arial" w:cs="Arial"/>
                <w:vertAlign w:val="superscript"/>
              </w:rPr>
              <w:t>b</w:t>
            </w:r>
          </w:p>
        </w:tc>
        <w:tc>
          <w:tcPr>
            <w:tcW w:w="2070" w:type="dxa"/>
          </w:tcPr>
          <w:p w:rsidR="00330CF1" w:rsidRPr="00802842" w:rsidRDefault="00330CF1" w:rsidP="00530C2E">
            <w:pPr>
              <w:pStyle w:val="NoSpacing"/>
              <w:jc w:val="center"/>
              <w:rPr>
                <w:rFonts w:ascii="Calibri" w:hAnsi="Calibri" w:cs="Arial"/>
              </w:rPr>
            </w:pPr>
            <w:r>
              <w:rPr>
                <w:rFonts w:ascii="Arial" w:hAnsi="Arial" w:cs="Arial"/>
              </w:rPr>
              <w:t>5.32 ± 0.38</w:t>
            </w:r>
            <w:r>
              <w:rPr>
                <w:rFonts w:ascii="Arial" w:hAnsi="Arial" w:cs="Arial"/>
                <w:vertAlign w:val="superscript"/>
              </w:rPr>
              <w:t>ab</w:t>
            </w:r>
          </w:p>
        </w:tc>
        <w:tc>
          <w:tcPr>
            <w:tcW w:w="2070" w:type="dxa"/>
          </w:tcPr>
          <w:p w:rsidR="00330CF1" w:rsidRPr="00802842" w:rsidRDefault="00330CF1" w:rsidP="00530C2E">
            <w:pPr>
              <w:pStyle w:val="NoSpacing"/>
              <w:jc w:val="center"/>
              <w:rPr>
                <w:rFonts w:ascii="Calibri" w:hAnsi="Calibri" w:cs="Arial"/>
              </w:rPr>
            </w:pPr>
            <w:r>
              <w:rPr>
                <w:rFonts w:ascii="Arial" w:hAnsi="Arial" w:cs="Arial"/>
              </w:rPr>
              <w:t>4.15 ± 0.38</w:t>
            </w:r>
            <w:r>
              <w:rPr>
                <w:rFonts w:ascii="Arial" w:hAnsi="Arial" w:cs="Arial"/>
                <w:vertAlign w:val="superscript"/>
              </w:rPr>
              <w:t>a</w:t>
            </w:r>
          </w:p>
        </w:tc>
      </w:tr>
      <w:tr w:rsidR="00330CF1" w:rsidTr="00530C2E">
        <w:tc>
          <w:tcPr>
            <w:tcW w:w="3168" w:type="dxa"/>
          </w:tcPr>
          <w:p w:rsidR="00330CF1" w:rsidRDefault="00330CF1" w:rsidP="00530C2E">
            <w:pPr>
              <w:pStyle w:val="NoSpacing"/>
              <w:rPr>
                <w:rFonts w:ascii="Arial" w:hAnsi="Arial" w:cs="Arial"/>
              </w:rPr>
            </w:pPr>
            <w:r>
              <w:rPr>
                <w:rFonts w:ascii="Arial" w:hAnsi="Arial" w:cs="Arial"/>
              </w:rPr>
              <w:t xml:space="preserve">   Kcal/day</w:t>
            </w:r>
          </w:p>
        </w:tc>
        <w:tc>
          <w:tcPr>
            <w:tcW w:w="1980" w:type="dxa"/>
          </w:tcPr>
          <w:p w:rsidR="00330CF1" w:rsidRPr="00802842" w:rsidRDefault="00330CF1" w:rsidP="00530C2E">
            <w:pPr>
              <w:pStyle w:val="NoSpacing"/>
              <w:jc w:val="center"/>
              <w:rPr>
                <w:rFonts w:ascii="Calibri" w:hAnsi="Calibri" w:cs="Arial"/>
              </w:rPr>
            </w:pPr>
            <w:r>
              <w:rPr>
                <w:rFonts w:ascii="Arial" w:hAnsi="Arial" w:cs="Arial"/>
              </w:rPr>
              <w:t>208..25 ± 26.24</w:t>
            </w:r>
            <w:r>
              <w:rPr>
                <w:rFonts w:ascii="Arial" w:hAnsi="Arial" w:cs="Arial"/>
                <w:vertAlign w:val="superscript"/>
              </w:rPr>
              <w:t>a</w:t>
            </w:r>
          </w:p>
        </w:tc>
        <w:tc>
          <w:tcPr>
            <w:tcW w:w="2070" w:type="dxa"/>
          </w:tcPr>
          <w:p w:rsidR="00330CF1" w:rsidRPr="00802842" w:rsidRDefault="00330CF1" w:rsidP="00530C2E">
            <w:pPr>
              <w:pStyle w:val="NoSpacing"/>
              <w:jc w:val="center"/>
              <w:rPr>
                <w:rFonts w:ascii="Calibri" w:hAnsi="Calibri" w:cs="Arial"/>
              </w:rPr>
            </w:pPr>
            <w:r>
              <w:rPr>
                <w:rFonts w:ascii="Arial" w:hAnsi="Arial" w:cs="Arial"/>
              </w:rPr>
              <w:t>279.50 ± 26.24</w:t>
            </w:r>
            <w:r>
              <w:rPr>
                <w:rFonts w:ascii="Arial" w:hAnsi="Arial" w:cs="Arial"/>
                <w:vertAlign w:val="superscript"/>
              </w:rPr>
              <w:t>a</w:t>
            </w:r>
          </w:p>
        </w:tc>
        <w:tc>
          <w:tcPr>
            <w:tcW w:w="2070" w:type="dxa"/>
          </w:tcPr>
          <w:p w:rsidR="00330CF1" w:rsidRPr="00802842" w:rsidRDefault="00330CF1" w:rsidP="00530C2E">
            <w:pPr>
              <w:pStyle w:val="NoSpacing"/>
              <w:jc w:val="center"/>
              <w:rPr>
                <w:rFonts w:ascii="Calibri" w:hAnsi="Calibri" w:cs="Arial"/>
              </w:rPr>
            </w:pPr>
            <w:r>
              <w:rPr>
                <w:rFonts w:ascii="Arial" w:hAnsi="Arial" w:cs="Arial"/>
              </w:rPr>
              <w:t>257.70 ± 26.24</w:t>
            </w:r>
            <w:r>
              <w:rPr>
                <w:rFonts w:ascii="Arial" w:hAnsi="Arial" w:cs="Arial"/>
                <w:vertAlign w:val="superscript"/>
              </w:rPr>
              <w:t>a</w:t>
            </w:r>
          </w:p>
        </w:tc>
      </w:tr>
      <w:tr w:rsidR="00330CF1" w:rsidTr="00530C2E">
        <w:tc>
          <w:tcPr>
            <w:tcW w:w="3168" w:type="dxa"/>
          </w:tcPr>
          <w:p w:rsidR="00330CF1" w:rsidRDefault="00330CF1" w:rsidP="00530C2E">
            <w:pPr>
              <w:pStyle w:val="NoSpacing"/>
              <w:rPr>
                <w:rFonts w:ascii="Arial" w:hAnsi="Arial" w:cs="Arial"/>
              </w:rPr>
            </w:pPr>
          </w:p>
        </w:tc>
        <w:tc>
          <w:tcPr>
            <w:tcW w:w="198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r>
      <w:tr w:rsidR="00330CF1" w:rsidTr="00530C2E">
        <w:tc>
          <w:tcPr>
            <w:tcW w:w="3168" w:type="dxa"/>
          </w:tcPr>
          <w:p w:rsidR="00330CF1" w:rsidRDefault="00330CF1" w:rsidP="00530C2E">
            <w:pPr>
              <w:pStyle w:val="NoSpacing"/>
              <w:rPr>
                <w:rFonts w:ascii="Arial" w:hAnsi="Arial" w:cs="Arial"/>
              </w:rPr>
            </w:pPr>
            <w:r>
              <w:rPr>
                <w:rFonts w:ascii="Arial" w:hAnsi="Arial" w:cs="Arial"/>
              </w:rPr>
              <w:t>Body Weight corrected</w:t>
            </w:r>
          </w:p>
        </w:tc>
        <w:tc>
          <w:tcPr>
            <w:tcW w:w="198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r>
      <w:tr w:rsidR="00330CF1" w:rsidTr="00530C2E">
        <w:tc>
          <w:tcPr>
            <w:tcW w:w="3168" w:type="dxa"/>
          </w:tcPr>
          <w:p w:rsidR="00330CF1" w:rsidRDefault="00330CF1" w:rsidP="00530C2E">
            <w:pPr>
              <w:pStyle w:val="NoSpacing"/>
              <w:rPr>
                <w:rFonts w:ascii="Arial" w:hAnsi="Arial" w:cs="Arial"/>
              </w:rPr>
            </w:pPr>
            <w:r>
              <w:rPr>
                <w:rFonts w:ascii="Arial" w:hAnsi="Arial" w:cs="Arial"/>
              </w:rPr>
              <w:t xml:space="preserve">   Food intake g/kg/day</w:t>
            </w:r>
          </w:p>
        </w:tc>
        <w:tc>
          <w:tcPr>
            <w:tcW w:w="1980" w:type="dxa"/>
          </w:tcPr>
          <w:p w:rsidR="00330CF1" w:rsidRPr="00802842" w:rsidRDefault="00330CF1" w:rsidP="00530C2E">
            <w:pPr>
              <w:pStyle w:val="NoSpacing"/>
              <w:jc w:val="center"/>
              <w:rPr>
                <w:rFonts w:ascii="Calibri" w:hAnsi="Calibri" w:cs="Arial"/>
              </w:rPr>
            </w:pPr>
            <w:r>
              <w:rPr>
                <w:rFonts w:ascii="Arial" w:hAnsi="Arial" w:cs="Arial"/>
              </w:rPr>
              <w:t>8.63 ± 1.48</w:t>
            </w:r>
            <w:r>
              <w:rPr>
                <w:rFonts w:ascii="Arial" w:hAnsi="Arial" w:cs="Arial"/>
                <w:vertAlign w:val="superscript"/>
              </w:rPr>
              <w:t>a</w:t>
            </w:r>
          </w:p>
        </w:tc>
        <w:tc>
          <w:tcPr>
            <w:tcW w:w="2070" w:type="dxa"/>
          </w:tcPr>
          <w:p w:rsidR="00330CF1" w:rsidRPr="00802842" w:rsidRDefault="00330CF1" w:rsidP="00530C2E">
            <w:pPr>
              <w:pStyle w:val="NoSpacing"/>
              <w:jc w:val="center"/>
              <w:rPr>
                <w:rFonts w:ascii="Calibri" w:hAnsi="Calibri" w:cs="Arial"/>
              </w:rPr>
            </w:pPr>
            <w:r>
              <w:rPr>
                <w:rFonts w:ascii="Arial" w:hAnsi="Arial" w:cs="Arial"/>
              </w:rPr>
              <w:t>9.27 ± 1.48</w:t>
            </w:r>
            <w:r>
              <w:rPr>
                <w:rFonts w:ascii="Arial" w:hAnsi="Arial" w:cs="Arial"/>
                <w:vertAlign w:val="superscript"/>
              </w:rPr>
              <w:t>a</w:t>
            </w:r>
          </w:p>
        </w:tc>
        <w:tc>
          <w:tcPr>
            <w:tcW w:w="2070" w:type="dxa"/>
          </w:tcPr>
          <w:p w:rsidR="00330CF1" w:rsidRPr="004859AE" w:rsidRDefault="00330CF1" w:rsidP="00530C2E">
            <w:pPr>
              <w:pStyle w:val="NoSpacing"/>
              <w:jc w:val="center"/>
              <w:rPr>
                <w:rFonts w:ascii="Calibri" w:hAnsi="Calibri" w:cs="Arial"/>
                <w:vertAlign w:val="superscript"/>
              </w:rPr>
            </w:pPr>
            <w:r>
              <w:rPr>
                <w:rFonts w:ascii="Arial" w:hAnsi="Arial" w:cs="Arial"/>
              </w:rPr>
              <w:t>9.92 ± 1.48</w:t>
            </w:r>
          </w:p>
        </w:tc>
      </w:tr>
      <w:tr w:rsidR="00330CF1" w:rsidTr="00530C2E">
        <w:tc>
          <w:tcPr>
            <w:tcW w:w="3168" w:type="dxa"/>
          </w:tcPr>
          <w:p w:rsidR="00330CF1" w:rsidRDefault="00330CF1" w:rsidP="00530C2E">
            <w:pPr>
              <w:pStyle w:val="NoSpacing"/>
              <w:rPr>
                <w:rFonts w:ascii="Arial" w:hAnsi="Arial" w:cs="Arial"/>
              </w:rPr>
            </w:pPr>
            <w:r>
              <w:rPr>
                <w:rFonts w:ascii="Arial" w:hAnsi="Arial" w:cs="Arial"/>
              </w:rPr>
              <w:t xml:space="preserve">   Fecal output g/kg/day</w:t>
            </w:r>
          </w:p>
        </w:tc>
        <w:tc>
          <w:tcPr>
            <w:tcW w:w="1980" w:type="dxa"/>
          </w:tcPr>
          <w:p w:rsidR="00330CF1" w:rsidRPr="00802842" w:rsidRDefault="00330CF1" w:rsidP="00530C2E">
            <w:pPr>
              <w:pStyle w:val="NoSpacing"/>
              <w:jc w:val="center"/>
              <w:rPr>
                <w:rFonts w:ascii="Calibri" w:hAnsi="Calibri" w:cs="Arial"/>
              </w:rPr>
            </w:pPr>
            <w:r>
              <w:rPr>
                <w:rFonts w:ascii="Arial" w:hAnsi="Arial" w:cs="Arial"/>
              </w:rPr>
              <w:t>1.53 ± 0.22</w:t>
            </w:r>
            <w:r>
              <w:rPr>
                <w:rFonts w:ascii="Arial" w:hAnsi="Arial" w:cs="Arial"/>
                <w:vertAlign w:val="superscript"/>
              </w:rPr>
              <w:t>a</w:t>
            </w:r>
          </w:p>
        </w:tc>
        <w:tc>
          <w:tcPr>
            <w:tcW w:w="2070" w:type="dxa"/>
          </w:tcPr>
          <w:p w:rsidR="00330CF1" w:rsidRPr="00802842" w:rsidRDefault="00330CF1" w:rsidP="00530C2E">
            <w:pPr>
              <w:pStyle w:val="NoSpacing"/>
              <w:jc w:val="center"/>
              <w:rPr>
                <w:rFonts w:ascii="Calibri" w:hAnsi="Calibri" w:cs="Arial"/>
              </w:rPr>
            </w:pPr>
            <w:r>
              <w:rPr>
                <w:rFonts w:ascii="Arial" w:hAnsi="Arial" w:cs="Arial"/>
              </w:rPr>
              <w:t>1.14 ± 0.22</w:t>
            </w:r>
            <w:r>
              <w:rPr>
                <w:rFonts w:ascii="Arial" w:hAnsi="Arial" w:cs="Arial"/>
                <w:vertAlign w:val="superscript"/>
              </w:rPr>
              <w:t>a</w:t>
            </w:r>
          </w:p>
        </w:tc>
        <w:tc>
          <w:tcPr>
            <w:tcW w:w="2070" w:type="dxa"/>
          </w:tcPr>
          <w:p w:rsidR="00330CF1" w:rsidRPr="008F6950" w:rsidRDefault="00330CF1" w:rsidP="00530C2E">
            <w:pPr>
              <w:pStyle w:val="NoSpacing"/>
              <w:jc w:val="center"/>
              <w:rPr>
                <w:rFonts w:ascii="Calibri" w:hAnsi="Calibri" w:cs="Arial"/>
              </w:rPr>
            </w:pPr>
            <w:r>
              <w:rPr>
                <w:rFonts w:ascii="Arial" w:hAnsi="Arial" w:cs="Arial"/>
              </w:rPr>
              <w:t>0.88 ± 0.22</w:t>
            </w:r>
            <w:r>
              <w:rPr>
                <w:rFonts w:ascii="Arial" w:hAnsi="Arial" w:cs="Arial"/>
                <w:vertAlign w:val="superscript"/>
              </w:rPr>
              <w:t>a</w:t>
            </w:r>
          </w:p>
        </w:tc>
      </w:tr>
      <w:tr w:rsidR="00330CF1" w:rsidTr="00530C2E">
        <w:tc>
          <w:tcPr>
            <w:tcW w:w="3168" w:type="dxa"/>
          </w:tcPr>
          <w:p w:rsidR="00330CF1" w:rsidRDefault="00330CF1" w:rsidP="00530C2E">
            <w:pPr>
              <w:pStyle w:val="NoSpacing"/>
              <w:rPr>
                <w:rFonts w:ascii="Arial" w:hAnsi="Arial" w:cs="Arial"/>
              </w:rPr>
            </w:pPr>
            <w:r>
              <w:rPr>
                <w:rFonts w:ascii="Arial" w:hAnsi="Arial" w:cs="Arial"/>
              </w:rPr>
              <w:t xml:space="preserve">   Kcal/day</w:t>
            </w:r>
          </w:p>
        </w:tc>
        <w:tc>
          <w:tcPr>
            <w:tcW w:w="1980" w:type="dxa"/>
          </w:tcPr>
          <w:p w:rsidR="00330CF1" w:rsidRPr="008F6950" w:rsidRDefault="00330CF1" w:rsidP="00530C2E">
            <w:pPr>
              <w:pStyle w:val="NoSpacing"/>
              <w:jc w:val="center"/>
              <w:rPr>
                <w:rFonts w:ascii="Calibri" w:hAnsi="Calibri" w:cs="Arial"/>
              </w:rPr>
            </w:pPr>
            <w:r>
              <w:rPr>
                <w:rFonts w:ascii="Arial" w:hAnsi="Arial" w:cs="Arial"/>
              </w:rPr>
              <w:t>49.78 ± 9.53</w:t>
            </w:r>
            <w:r>
              <w:rPr>
                <w:rFonts w:ascii="Arial" w:hAnsi="Arial" w:cs="Arial"/>
                <w:vertAlign w:val="superscript"/>
              </w:rPr>
              <w:t>a</w:t>
            </w:r>
          </w:p>
        </w:tc>
        <w:tc>
          <w:tcPr>
            <w:tcW w:w="2070" w:type="dxa"/>
          </w:tcPr>
          <w:p w:rsidR="00330CF1" w:rsidRPr="008F6950" w:rsidRDefault="00330CF1" w:rsidP="00530C2E">
            <w:pPr>
              <w:pStyle w:val="NoSpacing"/>
              <w:jc w:val="center"/>
              <w:rPr>
                <w:rFonts w:ascii="Arial" w:hAnsi="Arial" w:cs="Arial"/>
                <w:vertAlign w:val="superscript"/>
              </w:rPr>
            </w:pPr>
            <w:r>
              <w:rPr>
                <w:rFonts w:ascii="Arial" w:hAnsi="Arial" w:cs="Arial"/>
              </w:rPr>
              <w:t>58.58 ± 9.53</w:t>
            </w:r>
            <w:r>
              <w:rPr>
                <w:rFonts w:ascii="Arial" w:hAnsi="Arial" w:cs="Arial"/>
                <w:vertAlign w:val="superscript"/>
              </w:rPr>
              <w:t>a</w:t>
            </w:r>
          </w:p>
        </w:tc>
        <w:tc>
          <w:tcPr>
            <w:tcW w:w="2070" w:type="dxa"/>
          </w:tcPr>
          <w:p w:rsidR="00330CF1" w:rsidRPr="008F6950" w:rsidRDefault="00330CF1" w:rsidP="00530C2E">
            <w:pPr>
              <w:pStyle w:val="NoSpacing"/>
              <w:jc w:val="center"/>
              <w:rPr>
                <w:rFonts w:ascii="Calibri" w:hAnsi="Calibri" w:cs="Arial"/>
              </w:rPr>
            </w:pPr>
            <w:r>
              <w:rPr>
                <w:rFonts w:ascii="Arial" w:hAnsi="Arial" w:cs="Arial"/>
              </w:rPr>
              <w:t>54.18 ± 9.53</w:t>
            </w:r>
            <w:r>
              <w:rPr>
                <w:rFonts w:ascii="Arial" w:hAnsi="Arial" w:cs="Arial"/>
                <w:vertAlign w:val="superscript"/>
              </w:rPr>
              <w:t>a</w:t>
            </w:r>
          </w:p>
        </w:tc>
      </w:tr>
      <w:tr w:rsidR="00330CF1" w:rsidTr="00530C2E">
        <w:tc>
          <w:tcPr>
            <w:tcW w:w="3168" w:type="dxa"/>
          </w:tcPr>
          <w:p w:rsidR="00330CF1" w:rsidRDefault="00330CF1" w:rsidP="00530C2E">
            <w:pPr>
              <w:pStyle w:val="NoSpacing"/>
              <w:rPr>
                <w:rFonts w:ascii="Arial" w:hAnsi="Arial" w:cs="Arial"/>
              </w:rPr>
            </w:pPr>
          </w:p>
        </w:tc>
        <w:tc>
          <w:tcPr>
            <w:tcW w:w="198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c>
          <w:tcPr>
            <w:tcW w:w="2070" w:type="dxa"/>
          </w:tcPr>
          <w:p w:rsidR="00330CF1" w:rsidRDefault="00330CF1" w:rsidP="00530C2E">
            <w:pPr>
              <w:pStyle w:val="NoSpacing"/>
              <w:jc w:val="center"/>
              <w:rPr>
                <w:rFonts w:ascii="Arial" w:hAnsi="Arial" w:cs="Arial"/>
              </w:rPr>
            </w:pPr>
          </w:p>
        </w:tc>
      </w:tr>
      <w:tr w:rsidR="00330CF1" w:rsidTr="00530C2E">
        <w:tc>
          <w:tcPr>
            <w:tcW w:w="3168" w:type="dxa"/>
          </w:tcPr>
          <w:p w:rsidR="00330CF1" w:rsidRDefault="00330CF1" w:rsidP="00530C2E">
            <w:pPr>
              <w:pStyle w:val="NoSpacing"/>
              <w:rPr>
                <w:rFonts w:ascii="Arial" w:hAnsi="Arial" w:cs="Arial"/>
              </w:rPr>
            </w:pPr>
            <w:r>
              <w:rPr>
                <w:rFonts w:ascii="Arial" w:hAnsi="Arial" w:cs="Arial"/>
              </w:rPr>
              <w:t>Ratio DM Intake:DM Output</w:t>
            </w:r>
          </w:p>
        </w:tc>
        <w:tc>
          <w:tcPr>
            <w:tcW w:w="1980" w:type="dxa"/>
          </w:tcPr>
          <w:p w:rsidR="00330CF1" w:rsidRPr="008F6950" w:rsidRDefault="00330CF1" w:rsidP="00530C2E">
            <w:pPr>
              <w:pStyle w:val="NoSpacing"/>
              <w:jc w:val="center"/>
              <w:rPr>
                <w:rFonts w:ascii="Calibri" w:hAnsi="Calibri" w:cs="Arial"/>
              </w:rPr>
            </w:pPr>
            <w:r>
              <w:rPr>
                <w:rFonts w:ascii="Arial" w:hAnsi="Arial" w:cs="Arial"/>
              </w:rPr>
              <w:t>5.52 ± 1.01</w:t>
            </w:r>
            <w:r>
              <w:rPr>
                <w:rFonts w:ascii="Arial" w:hAnsi="Arial" w:cs="Arial"/>
                <w:vertAlign w:val="superscript"/>
              </w:rPr>
              <w:t>b</w:t>
            </w:r>
          </w:p>
        </w:tc>
        <w:tc>
          <w:tcPr>
            <w:tcW w:w="2070" w:type="dxa"/>
          </w:tcPr>
          <w:p w:rsidR="00330CF1" w:rsidRPr="008F6950" w:rsidRDefault="00330CF1" w:rsidP="00530C2E">
            <w:pPr>
              <w:pStyle w:val="NoSpacing"/>
              <w:jc w:val="center"/>
              <w:rPr>
                <w:rFonts w:ascii="Calibri" w:hAnsi="Calibri" w:cs="Arial"/>
              </w:rPr>
            </w:pPr>
            <w:r>
              <w:rPr>
                <w:rFonts w:ascii="Arial" w:hAnsi="Arial" w:cs="Arial"/>
              </w:rPr>
              <w:t>8.24 ± 1.01</w:t>
            </w:r>
            <w:r>
              <w:rPr>
                <w:rFonts w:ascii="Arial" w:hAnsi="Arial" w:cs="Arial"/>
                <w:vertAlign w:val="superscript"/>
              </w:rPr>
              <w:t>b</w:t>
            </w:r>
          </w:p>
        </w:tc>
        <w:tc>
          <w:tcPr>
            <w:tcW w:w="2070" w:type="dxa"/>
          </w:tcPr>
          <w:p w:rsidR="00330CF1" w:rsidRPr="008F6950" w:rsidRDefault="00330CF1" w:rsidP="00530C2E">
            <w:pPr>
              <w:pStyle w:val="NoSpacing"/>
              <w:jc w:val="center"/>
              <w:rPr>
                <w:rFonts w:ascii="Arial" w:hAnsi="Arial" w:cs="Arial"/>
                <w:vertAlign w:val="superscript"/>
              </w:rPr>
            </w:pPr>
            <w:r>
              <w:rPr>
                <w:rFonts w:ascii="Arial" w:hAnsi="Arial" w:cs="Arial"/>
              </w:rPr>
              <w:t>12.01 ± 1.01</w:t>
            </w:r>
            <w:r>
              <w:rPr>
                <w:rFonts w:ascii="Arial" w:hAnsi="Arial" w:cs="Arial"/>
                <w:vertAlign w:val="superscript"/>
              </w:rPr>
              <w:t>a</w:t>
            </w:r>
          </w:p>
        </w:tc>
      </w:tr>
      <w:tr w:rsidR="00330CF1" w:rsidTr="00530C2E">
        <w:tc>
          <w:tcPr>
            <w:tcW w:w="3168" w:type="dxa"/>
          </w:tcPr>
          <w:p w:rsidR="00330CF1" w:rsidRDefault="00330CF1" w:rsidP="00530C2E">
            <w:pPr>
              <w:pStyle w:val="NoSpacing"/>
              <w:rPr>
                <w:rFonts w:ascii="Arial" w:hAnsi="Arial" w:cs="Arial"/>
              </w:rPr>
            </w:pPr>
            <w:r>
              <w:rPr>
                <w:rFonts w:ascii="Arial" w:hAnsi="Arial" w:cs="Arial"/>
              </w:rPr>
              <w:t>Fecal Score</w:t>
            </w:r>
          </w:p>
        </w:tc>
        <w:tc>
          <w:tcPr>
            <w:tcW w:w="1980" w:type="dxa"/>
          </w:tcPr>
          <w:p w:rsidR="00330CF1" w:rsidRPr="005D2A37" w:rsidRDefault="00330CF1" w:rsidP="00530C2E">
            <w:pPr>
              <w:pStyle w:val="NoSpacing"/>
              <w:jc w:val="center"/>
              <w:rPr>
                <w:rFonts w:ascii="Calibri" w:hAnsi="Calibri" w:cs="Arial"/>
              </w:rPr>
            </w:pPr>
            <w:r>
              <w:rPr>
                <w:rFonts w:ascii="Arial" w:hAnsi="Arial" w:cs="Arial"/>
              </w:rPr>
              <w:t>4</w:t>
            </w:r>
            <w:r>
              <w:rPr>
                <w:rFonts w:ascii="Arial" w:hAnsi="Arial" w:cs="Arial"/>
                <w:vertAlign w:val="superscript"/>
              </w:rPr>
              <w:t>a</w:t>
            </w:r>
          </w:p>
        </w:tc>
        <w:tc>
          <w:tcPr>
            <w:tcW w:w="2070" w:type="dxa"/>
          </w:tcPr>
          <w:p w:rsidR="00330CF1" w:rsidRPr="005D2A37" w:rsidRDefault="00330CF1" w:rsidP="00530C2E">
            <w:pPr>
              <w:pStyle w:val="NoSpacing"/>
              <w:jc w:val="center"/>
              <w:rPr>
                <w:rFonts w:ascii="Calibri" w:hAnsi="Calibri" w:cs="Arial"/>
              </w:rPr>
            </w:pPr>
            <w:r>
              <w:rPr>
                <w:rFonts w:ascii="Arial" w:hAnsi="Arial" w:cs="Arial"/>
              </w:rPr>
              <w:t>4</w:t>
            </w:r>
            <w:r>
              <w:rPr>
                <w:rFonts w:ascii="Arial" w:hAnsi="Arial" w:cs="Arial"/>
                <w:vertAlign w:val="superscript"/>
              </w:rPr>
              <w:t>a</w:t>
            </w:r>
          </w:p>
        </w:tc>
        <w:tc>
          <w:tcPr>
            <w:tcW w:w="2070" w:type="dxa"/>
          </w:tcPr>
          <w:p w:rsidR="00330CF1" w:rsidRPr="005D2A37" w:rsidRDefault="00330CF1" w:rsidP="00530C2E">
            <w:pPr>
              <w:pStyle w:val="NoSpacing"/>
              <w:jc w:val="center"/>
              <w:rPr>
                <w:rFonts w:ascii="Calibri" w:hAnsi="Calibri" w:cs="Arial"/>
              </w:rPr>
            </w:pPr>
            <w:r>
              <w:rPr>
                <w:rFonts w:ascii="Arial" w:hAnsi="Arial" w:cs="Arial"/>
              </w:rPr>
              <w:t>4</w:t>
            </w:r>
            <w:r>
              <w:rPr>
                <w:rFonts w:ascii="Arial" w:hAnsi="Arial" w:cs="Arial"/>
                <w:vertAlign w:val="superscript"/>
              </w:rPr>
              <w:t>a</w:t>
            </w:r>
          </w:p>
        </w:tc>
      </w:tr>
    </w:tbl>
    <w:p w:rsidR="00330CF1" w:rsidRPr="0013003D" w:rsidRDefault="00330CF1" w:rsidP="007C694C">
      <w:pPr>
        <w:rPr>
          <w:rFonts w:ascii="Arial" w:hAnsi="Arial" w:cs="Arial"/>
        </w:rPr>
      </w:pPr>
      <w:r w:rsidRPr="00D53195">
        <w:rPr>
          <w:rFonts w:ascii="Arial" w:hAnsi="Arial" w:cs="Arial"/>
          <w:b/>
        </w:rPr>
        <w:t>NOTE</w:t>
      </w:r>
      <w:r>
        <w:rPr>
          <w:rFonts w:ascii="Arial" w:hAnsi="Arial" w:cs="Arial"/>
        </w:rPr>
        <w:t>: Different letter superscripts in both rows and columns indicate p values ≤ 0.0</w:t>
      </w:r>
    </w:p>
    <w:p w:rsidR="00330CF1" w:rsidRDefault="00330CF1" w:rsidP="00245BF0"/>
    <w:p w:rsidR="00330CF1" w:rsidRPr="00245BF0" w:rsidRDefault="00330CF1" w:rsidP="00245BF0"/>
    <w:p w:rsidR="00330CF1" w:rsidRDefault="00330CF1" w:rsidP="009F7C9F">
      <w:pPr>
        <w:pStyle w:val="Heading1"/>
        <w:jc w:val="center"/>
      </w:pPr>
      <w:r w:rsidRPr="00730D33">
        <w:t>Di</w:t>
      </w:r>
      <w:r>
        <w:t>scussion</w:t>
      </w:r>
    </w:p>
    <w:p w:rsidR="00330CF1" w:rsidRPr="009F7C9F" w:rsidRDefault="00330CF1" w:rsidP="009F7C9F"/>
    <w:bookmarkEnd w:id="51"/>
    <w:p w:rsidR="00330CF1" w:rsidRPr="00E955DE" w:rsidRDefault="00330CF1" w:rsidP="00630EB1">
      <w:pPr>
        <w:pStyle w:val="Heading1"/>
        <w:rPr>
          <w:rFonts w:cs="Arial"/>
          <w:b w:val="0"/>
          <w:sz w:val="24"/>
        </w:rPr>
      </w:pPr>
      <w:r>
        <w:rPr>
          <w:rFonts w:cs="Arial"/>
          <w:b w:val="0"/>
          <w:sz w:val="24"/>
        </w:rPr>
        <w:t xml:space="preserve">     Nutrient digestibility</w:t>
      </w:r>
      <w:r w:rsidRPr="00630EB1">
        <w:rPr>
          <w:rFonts w:cs="Arial"/>
          <w:b w:val="0"/>
          <w:sz w:val="24"/>
        </w:rPr>
        <w:t xml:space="preserve"> can be influenced by</w:t>
      </w:r>
      <w:r>
        <w:rPr>
          <w:rFonts w:cs="Arial"/>
          <w:b w:val="0"/>
          <w:sz w:val="24"/>
        </w:rPr>
        <w:t xml:space="preserve"> many factors including</w:t>
      </w:r>
      <w:r w:rsidRPr="00630EB1">
        <w:rPr>
          <w:rFonts w:cs="Arial"/>
          <w:b w:val="0"/>
          <w:sz w:val="24"/>
        </w:rPr>
        <w:t xml:space="preserve"> </w:t>
      </w:r>
      <w:r>
        <w:rPr>
          <w:rFonts w:cs="Arial"/>
          <w:b w:val="0"/>
          <w:sz w:val="24"/>
        </w:rPr>
        <w:t>nutrient</w:t>
      </w:r>
      <w:r w:rsidRPr="00630EB1">
        <w:rPr>
          <w:rFonts w:cs="Arial"/>
          <w:b w:val="0"/>
          <w:sz w:val="24"/>
        </w:rPr>
        <w:t xml:space="preserve"> quality, presence of dietary fiber or phytate, particle size, </w:t>
      </w:r>
      <w:r>
        <w:rPr>
          <w:rFonts w:cs="Arial"/>
          <w:b w:val="0"/>
          <w:sz w:val="24"/>
        </w:rPr>
        <w:t xml:space="preserve">absolute nutrient amounts, age, associated changes in gut flora, </w:t>
      </w:r>
      <w:r w:rsidRPr="00630EB1">
        <w:rPr>
          <w:rFonts w:cs="Arial"/>
          <w:b w:val="0"/>
          <w:sz w:val="24"/>
        </w:rPr>
        <w:t>a</w:t>
      </w:r>
      <w:r>
        <w:rPr>
          <w:rFonts w:cs="Arial"/>
          <w:b w:val="0"/>
          <w:sz w:val="24"/>
        </w:rPr>
        <w:t>nd</w:t>
      </w:r>
      <w:r w:rsidRPr="00630EB1">
        <w:rPr>
          <w:rFonts w:cs="Arial"/>
          <w:b w:val="0"/>
          <w:sz w:val="24"/>
        </w:rPr>
        <w:t xml:space="preserve"> processing</w:t>
      </w:r>
      <w:r>
        <w:rPr>
          <w:rFonts w:cs="Arial"/>
          <w:b w:val="0"/>
          <w:sz w:val="24"/>
        </w:rPr>
        <w:t xml:space="preserve"> techniques</w:t>
      </w:r>
      <w:r w:rsidRPr="00630EB1">
        <w:rPr>
          <w:rFonts w:cs="Arial"/>
          <w:b w:val="0"/>
          <w:sz w:val="24"/>
        </w:rPr>
        <w:t>.  Digestibility in this study was not influen</w:t>
      </w:r>
      <w:r>
        <w:rPr>
          <w:rFonts w:cs="Arial"/>
          <w:b w:val="0"/>
          <w:sz w:val="24"/>
        </w:rPr>
        <w:t xml:space="preserve">ced by fiber </w:t>
      </w:r>
      <w:r w:rsidRPr="00630EB1">
        <w:rPr>
          <w:rFonts w:cs="Arial"/>
          <w:b w:val="0"/>
          <w:sz w:val="24"/>
        </w:rPr>
        <w:t>due to the very low levels of dietary fiber in all three diets.</w:t>
      </w:r>
      <w:r>
        <w:rPr>
          <w:rFonts w:cs="Arial"/>
        </w:rPr>
        <w:t xml:space="preserve"> </w:t>
      </w:r>
      <w:r>
        <w:rPr>
          <w:rFonts w:cs="Arial"/>
          <w:b w:val="0"/>
          <w:sz w:val="24"/>
        </w:rPr>
        <w:lastRenderedPageBreak/>
        <w:t>Apparent d</w:t>
      </w:r>
      <w:r w:rsidRPr="00C80B3E">
        <w:rPr>
          <w:rFonts w:cs="Arial"/>
          <w:b w:val="0"/>
          <w:sz w:val="24"/>
        </w:rPr>
        <w:t xml:space="preserve">igestibility differences </w:t>
      </w:r>
      <w:r>
        <w:rPr>
          <w:rFonts w:cs="Arial"/>
          <w:b w:val="0"/>
          <w:sz w:val="24"/>
        </w:rPr>
        <w:t xml:space="preserve">between the three diets </w:t>
      </w:r>
      <w:r w:rsidRPr="00C80B3E">
        <w:rPr>
          <w:rFonts w:cs="Arial"/>
          <w:b w:val="0"/>
          <w:sz w:val="24"/>
        </w:rPr>
        <w:t>were most evident in prote</w:t>
      </w:r>
      <w:r>
        <w:rPr>
          <w:rFonts w:cs="Arial"/>
          <w:b w:val="0"/>
          <w:sz w:val="24"/>
        </w:rPr>
        <w:t xml:space="preserve">in, dry matter, </w:t>
      </w:r>
      <w:r w:rsidRPr="00C80B3E">
        <w:rPr>
          <w:rFonts w:cs="Arial"/>
          <w:b w:val="0"/>
          <w:sz w:val="24"/>
        </w:rPr>
        <w:t>organic matter</w:t>
      </w:r>
      <w:r>
        <w:rPr>
          <w:rFonts w:cs="Arial"/>
          <w:b w:val="0"/>
          <w:sz w:val="24"/>
        </w:rPr>
        <w:t>, and energy</w:t>
      </w:r>
      <w:r w:rsidRPr="00C80B3E">
        <w:rPr>
          <w:rFonts w:cs="Arial"/>
          <w:b w:val="0"/>
          <w:sz w:val="24"/>
        </w:rPr>
        <w:t xml:space="preserve"> with both raw diets </w:t>
      </w:r>
      <w:r>
        <w:rPr>
          <w:rFonts w:cs="Arial"/>
          <w:b w:val="0"/>
          <w:sz w:val="24"/>
        </w:rPr>
        <w:t xml:space="preserve">having </w:t>
      </w:r>
      <w:r w:rsidRPr="00C80B3E">
        <w:rPr>
          <w:rFonts w:cs="Arial"/>
          <w:b w:val="0"/>
          <w:sz w:val="24"/>
        </w:rPr>
        <w:t>significantly higher</w:t>
      </w:r>
      <w:r>
        <w:rPr>
          <w:rFonts w:cs="Arial"/>
          <w:b w:val="0"/>
          <w:sz w:val="24"/>
        </w:rPr>
        <w:t xml:space="preserve"> </w:t>
      </w:r>
      <w:r w:rsidRPr="00320D16">
        <w:rPr>
          <w:rFonts w:cs="Arial"/>
          <w:b w:val="0"/>
          <w:sz w:val="24"/>
        </w:rPr>
        <w:t>digestibility</w:t>
      </w:r>
      <w:r w:rsidRPr="00C80B3E">
        <w:rPr>
          <w:rFonts w:cs="Arial"/>
          <w:b w:val="0"/>
          <w:sz w:val="24"/>
        </w:rPr>
        <w:t xml:space="preserve"> than the control heat processed diet</w:t>
      </w:r>
      <w:r>
        <w:t xml:space="preserve">.  </w:t>
      </w:r>
      <w:r>
        <w:rPr>
          <w:b w:val="0"/>
          <w:sz w:val="24"/>
        </w:rPr>
        <w:t xml:space="preserve">In kittens, the homemade raw diet was also significantly higher in DM, OM, protein, and energy digestibility than the commercial raw diet. </w:t>
      </w:r>
    </w:p>
    <w:p w:rsidR="00330CF1" w:rsidRDefault="00330CF1" w:rsidP="00630EB1">
      <w:pPr>
        <w:pStyle w:val="Heading1"/>
        <w:rPr>
          <w:rFonts w:cs="Arial"/>
          <w:b w:val="0"/>
          <w:sz w:val="24"/>
        </w:rPr>
      </w:pPr>
      <w:r>
        <w:t xml:space="preserve"> </w:t>
      </w:r>
      <w:r>
        <w:rPr>
          <w:rFonts w:cs="Arial"/>
          <w:b w:val="0"/>
          <w:sz w:val="24"/>
        </w:rPr>
        <w:t xml:space="preserve">    </w:t>
      </w:r>
      <w:r w:rsidRPr="00630EB1">
        <w:rPr>
          <w:rFonts w:cs="Arial"/>
          <w:b w:val="0"/>
          <w:sz w:val="24"/>
        </w:rPr>
        <w:t>Protein quality depends on the concentration and distribution o</w:t>
      </w:r>
      <w:r>
        <w:rPr>
          <w:rFonts w:cs="Arial"/>
          <w:b w:val="0"/>
          <w:sz w:val="24"/>
        </w:rPr>
        <w:t xml:space="preserve">f amino acids in the protein. </w:t>
      </w:r>
      <w:r w:rsidRPr="00630EB1">
        <w:rPr>
          <w:rFonts w:cs="Arial"/>
          <w:b w:val="0"/>
          <w:sz w:val="24"/>
        </w:rPr>
        <w:t xml:space="preserve"> Proteins that are deficient in one or mo</w:t>
      </w:r>
      <w:r>
        <w:rPr>
          <w:rFonts w:cs="Arial"/>
          <w:b w:val="0"/>
          <w:sz w:val="24"/>
        </w:rPr>
        <w:t>re indispensable amino acids</w:t>
      </w:r>
      <w:r w:rsidRPr="00630EB1">
        <w:rPr>
          <w:rFonts w:cs="Arial"/>
          <w:b w:val="0"/>
          <w:sz w:val="24"/>
        </w:rPr>
        <w:t xml:space="preserve"> </w:t>
      </w:r>
      <w:r>
        <w:rPr>
          <w:rFonts w:cs="Arial"/>
          <w:b w:val="0"/>
          <w:sz w:val="24"/>
        </w:rPr>
        <w:t xml:space="preserve">result in </w:t>
      </w:r>
      <w:r w:rsidRPr="00630EB1">
        <w:rPr>
          <w:rFonts w:cs="Arial"/>
          <w:b w:val="0"/>
          <w:sz w:val="24"/>
        </w:rPr>
        <w:t>poor</w:t>
      </w:r>
      <w:r>
        <w:rPr>
          <w:rFonts w:cs="Arial"/>
          <w:b w:val="0"/>
          <w:sz w:val="24"/>
        </w:rPr>
        <w:t>er</w:t>
      </w:r>
      <w:r w:rsidRPr="00630EB1">
        <w:rPr>
          <w:rFonts w:cs="Arial"/>
          <w:b w:val="0"/>
          <w:sz w:val="24"/>
        </w:rPr>
        <w:t xml:space="preserve"> quality.  All three diets used the same or similar protein sources i.e. chicken or turkey.   The homemade diet used exclusive</w:t>
      </w:r>
      <w:r>
        <w:rPr>
          <w:rFonts w:cs="Arial"/>
          <w:b w:val="0"/>
          <w:sz w:val="24"/>
        </w:rPr>
        <w:t>ly human grade skinless</w:t>
      </w:r>
      <w:r w:rsidRPr="00630EB1">
        <w:rPr>
          <w:rFonts w:cs="Arial"/>
          <w:b w:val="0"/>
          <w:sz w:val="24"/>
        </w:rPr>
        <w:t xml:space="preserve"> </w:t>
      </w:r>
      <w:r>
        <w:rPr>
          <w:rFonts w:cs="Arial"/>
          <w:b w:val="0"/>
          <w:sz w:val="24"/>
        </w:rPr>
        <w:t xml:space="preserve">boneless </w:t>
      </w:r>
      <w:r w:rsidRPr="00630EB1">
        <w:rPr>
          <w:rFonts w:cs="Arial"/>
          <w:b w:val="0"/>
          <w:sz w:val="24"/>
        </w:rPr>
        <w:t xml:space="preserve">chicken breasts, </w:t>
      </w:r>
      <w:r>
        <w:rPr>
          <w:rFonts w:cs="Arial"/>
          <w:b w:val="0"/>
          <w:sz w:val="24"/>
        </w:rPr>
        <w:t xml:space="preserve">while </w:t>
      </w:r>
      <w:r w:rsidRPr="00630EB1">
        <w:rPr>
          <w:rFonts w:cs="Arial"/>
          <w:b w:val="0"/>
          <w:sz w:val="24"/>
        </w:rPr>
        <w:t xml:space="preserve">the other two diets did not specify which </w:t>
      </w:r>
      <w:r>
        <w:rPr>
          <w:rFonts w:cs="Arial"/>
          <w:b w:val="0"/>
          <w:sz w:val="24"/>
        </w:rPr>
        <w:t>muscle components</w:t>
      </w:r>
      <w:r w:rsidRPr="00630EB1">
        <w:rPr>
          <w:rFonts w:cs="Arial"/>
          <w:b w:val="0"/>
          <w:sz w:val="24"/>
        </w:rPr>
        <w:t xml:space="preserve"> of the chicken were </w:t>
      </w:r>
      <w:r>
        <w:rPr>
          <w:rFonts w:cs="Arial"/>
          <w:b w:val="0"/>
          <w:sz w:val="24"/>
        </w:rPr>
        <w:t>used which may have affected its</w:t>
      </w:r>
      <w:r w:rsidRPr="00630EB1">
        <w:rPr>
          <w:rFonts w:cs="Arial"/>
          <w:b w:val="0"/>
          <w:sz w:val="24"/>
        </w:rPr>
        <w:t xml:space="preserve"> qua</w:t>
      </w:r>
      <w:r>
        <w:rPr>
          <w:rFonts w:cs="Arial"/>
          <w:b w:val="0"/>
          <w:sz w:val="24"/>
        </w:rPr>
        <w:t>lity due to differing quantities of connective tissue.</w:t>
      </w:r>
      <w:r w:rsidRPr="00630EB1">
        <w:rPr>
          <w:rFonts w:cs="Arial"/>
          <w:b w:val="0"/>
          <w:sz w:val="24"/>
        </w:rPr>
        <w:t xml:space="preserve">  Both raw diets were significantly more digestible in</w:t>
      </w:r>
      <w:r w:rsidRPr="00630EB1">
        <w:rPr>
          <w:rFonts w:cs="Arial"/>
          <w:sz w:val="24"/>
        </w:rPr>
        <w:t xml:space="preserve"> </w:t>
      </w:r>
      <w:r w:rsidRPr="00630EB1">
        <w:rPr>
          <w:rFonts w:cs="Arial"/>
          <w:b w:val="0"/>
          <w:sz w:val="24"/>
        </w:rPr>
        <w:t>protein than the heat</w:t>
      </w:r>
      <w:r>
        <w:rPr>
          <w:rFonts w:cs="Arial"/>
          <w:b w:val="0"/>
          <w:sz w:val="24"/>
        </w:rPr>
        <w:t>-</w:t>
      </w:r>
      <w:r w:rsidRPr="00630EB1">
        <w:rPr>
          <w:rFonts w:cs="Arial"/>
          <w:b w:val="0"/>
          <w:sz w:val="24"/>
        </w:rPr>
        <w:t>processed control diet.  Interestingly, the homemade raw diet protein content was significantly more digestible than the commercial raw.  This may have be</w:t>
      </w:r>
      <w:r>
        <w:rPr>
          <w:rFonts w:cs="Arial"/>
          <w:b w:val="0"/>
          <w:sz w:val="24"/>
        </w:rPr>
        <w:t>en due to differences in protein</w:t>
      </w:r>
      <w:r w:rsidRPr="00630EB1">
        <w:rPr>
          <w:rFonts w:cs="Arial"/>
          <w:b w:val="0"/>
          <w:sz w:val="24"/>
        </w:rPr>
        <w:t xml:space="preserve"> quality, </w:t>
      </w:r>
      <w:r>
        <w:rPr>
          <w:rFonts w:cs="Arial"/>
          <w:b w:val="0"/>
          <w:sz w:val="24"/>
        </w:rPr>
        <w:t>and/</w:t>
      </w:r>
      <w:r w:rsidRPr="00630EB1">
        <w:rPr>
          <w:rFonts w:cs="Arial"/>
          <w:b w:val="0"/>
          <w:sz w:val="24"/>
        </w:rPr>
        <w:t>or food par</w:t>
      </w:r>
      <w:r>
        <w:rPr>
          <w:rFonts w:cs="Arial"/>
          <w:b w:val="0"/>
          <w:sz w:val="24"/>
        </w:rPr>
        <w:t>ticle size.  C</w:t>
      </w:r>
      <w:r w:rsidRPr="00630EB1">
        <w:rPr>
          <w:rFonts w:cs="Arial"/>
          <w:b w:val="0"/>
          <w:sz w:val="24"/>
        </w:rPr>
        <w:t xml:space="preserve">hicken </w:t>
      </w:r>
      <w:r>
        <w:rPr>
          <w:rFonts w:cs="Arial"/>
          <w:b w:val="0"/>
          <w:sz w:val="24"/>
        </w:rPr>
        <w:t xml:space="preserve">in the homemade diet </w:t>
      </w:r>
      <w:r w:rsidRPr="00630EB1">
        <w:rPr>
          <w:rFonts w:cs="Arial"/>
          <w:b w:val="0"/>
          <w:sz w:val="24"/>
        </w:rPr>
        <w:t xml:space="preserve">was ground </w:t>
      </w:r>
      <w:r>
        <w:rPr>
          <w:rFonts w:cs="Arial"/>
          <w:b w:val="0"/>
          <w:sz w:val="24"/>
        </w:rPr>
        <w:t>to a finer particle size</w:t>
      </w:r>
      <w:r w:rsidRPr="00630EB1">
        <w:rPr>
          <w:rFonts w:cs="Arial"/>
          <w:b w:val="0"/>
          <w:sz w:val="24"/>
        </w:rPr>
        <w:t xml:space="preserve"> (i.e. consistency of oatmeal) compared to the commercial raw (consistency of hamburger). </w:t>
      </w:r>
      <w:r>
        <w:rPr>
          <w:rFonts w:cs="Arial"/>
          <w:b w:val="0"/>
          <w:sz w:val="24"/>
        </w:rPr>
        <w:t xml:space="preserve"> </w:t>
      </w:r>
      <w:r w:rsidRPr="00630EB1">
        <w:rPr>
          <w:rFonts w:cs="Arial"/>
          <w:b w:val="0"/>
          <w:sz w:val="24"/>
        </w:rPr>
        <w:t>Finer particle size increases the surface area for exposure to digestive enzymes</w:t>
      </w:r>
      <w:r>
        <w:rPr>
          <w:rFonts w:cs="Arial"/>
          <w:b w:val="0"/>
          <w:sz w:val="24"/>
        </w:rPr>
        <w:t xml:space="preserve"> thus increasing digestibility.</w:t>
      </w:r>
      <w:r>
        <w:rPr>
          <w:rFonts w:cs="Arial"/>
          <w:b w:val="0"/>
          <w:noProof/>
          <w:sz w:val="24"/>
        </w:rPr>
        <w:t>[376]</w:t>
      </w:r>
      <w:r>
        <w:rPr>
          <w:rFonts w:cs="Arial"/>
          <w:b w:val="0"/>
          <w:sz w:val="24"/>
        </w:rPr>
        <w:t xml:space="preserve">  The differences in digestibility between raw and cooked in our study compared to previous study by Kerr </w:t>
      </w:r>
      <w:r>
        <w:rPr>
          <w:rFonts w:cs="Arial"/>
          <w:b w:val="0"/>
          <w:noProof/>
          <w:sz w:val="24"/>
        </w:rPr>
        <w:t>[375]</w:t>
      </w:r>
      <w:r>
        <w:rPr>
          <w:rFonts w:cs="Arial"/>
          <w:b w:val="0"/>
          <w:sz w:val="24"/>
        </w:rPr>
        <w:t xml:space="preserve"> may have been related to the quality of protein sources.  Their raw diets contained meat by-products, fish meal, and soybean meal as the 2-4</w:t>
      </w:r>
      <w:r w:rsidRPr="00CD10B0">
        <w:rPr>
          <w:rFonts w:cs="Arial"/>
          <w:b w:val="0"/>
          <w:sz w:val="24"/>
          <w:vertAlign w:val="superscript"/>
        </w:rPr>
        <w:t>th</w:t>
      </w:r>
      <w:r>
        <w:rPr>
          <w:rFonts w:cs="Arial"/>
          <w:b w:val="0"/>
          <w:sz w:val="24"/>
        </w:rPr>
        <w:t xml:space="preserve"> ingredients. Our raw diets had no by-products or meals.  In Kerr’s study, differences may also have been a result of microwaving compared to conventional heat processing.  A known difference between the two raw diets and the control diet was the control diet went through commercial processing with application of heat.  Previous studies have shown differences in protein digestibility between raw and processed proteins due to alterations in amino acids structure as previously described.  Maillard reaction products reduce digestibility of protein by amino acid destruction but also through inhibition of digestive proteases.</w:t>
      </w:r>
      <w:r>
        <w:rPr>
          <w:rFonts w:cs="Arial"/>
          <w:b w:val="0"/>
          <w:noProof/>
          <w:sz w:val="24"/>
        </w:rPr>
        <w:t>[377]</w:t>
      </w:r>
    </w:p>
    <w:p w:rsidR="00330CF1" w:rsidRDefault="00330CF1" w:rsidP="00630EB1">
      <w:pPr>
        <w:pStyle w:val="Heading1"/>
        <w:rPr>
          <w:rFonts w:cs="Arial"/>
          <w:b w:val="0"/>
          <w:sz w:val="24"/>
        </w:rPr>
      </w:pPr>
      <w:r>
        <w:rPr>
          <w:rFonts w:cs="Arial"/>
          <w:b w:val="0"/>
          <w:sz w:val="24"/>
        </w:rPr>
        <w:t xml:space="preserve">     Digestibility is also influenced by gastrointestinal flora composition.  The higher protein and lower fat in the homemade diet may have resulted in gastrointestinal flora differences between the two raw diets resulting in differences in digestibility. Differences in gut flora have been shown to occur with different dietary treatments and macronutrient proportions.</w:t>
      </w:r>
      <w:r>
        <w:rPr>
          <w:rFonts w:cs="Arial"/>
          <w:b w:val="0"/>
          <w:noProof/>
          <w:sz w:val="24"/>
        </w:rPr>
        <w:t>[124, 125]</w:t>
      </w:r>
      <w:r w:rsidRPr="008F56C7">
        <w:rPr>
          <w:rFonts w:cs="Arial"/>
        </w:rPr>
        <w:t xml:space="preserve"> </w:t>
      </w:r>
      <w:r>
        <w:rPr>
          <w:rFonts w:cs="Arial"/>
        </w:rPr>
        <w:t xml:space="preserve"> </w:t>
      </w:r>
      <w:r>
        <w:rPr>
          <w:rFonts w:cs="Arial"/>
          <w:b w:val="0"/>
          <w:sz w:val="24"/>
        </w:rPr>
        <w:t>Backus found</w:t>
      </w:r>
      <w:r w:rsidRPr="008F56C7">
        <w:rPr>
          <w:rFonts w:cs="Arial"/>
          <w:b w:val="0"/>
          <w:sz w:val="24"/>
        </w:rPr>
        <w:t xml:space="preserve"> differing levels of hydrogen gas production in cats fed raw, canned and extruded diets indicating differences in microflora</w:t>
      </w:r>
      <w:r>
        <w:rPr>
          <w:rFonts w:cs="Arial"/>
          <w:b w:val="0"/>
          <w:sz w:val="24"/>
        </w:rPr>
        <w:t>.</w:t>
      </w:r>
      <w:r>
        <w:rPr>
          <w:rFonts w:cs="Arial"/>
          <w:b w:val="0"/>
          <w:noProof/>
          <w:sz w:val="24"/>
        </w:rPr>
        <w:t>[124]</w:t>
      </w:r>
      <w:r>
        <w:rPr>
          <w:rFonts w:cs="Arial"/>
          <w:b w:val="0"/>
          <w:sz w:val="24"/>
        </w:rPr>
        <w:t xml:space="preserve">  Maillard compounds are known to affect gastrointestinal microflora.   Maillard compounds promote an enteric flora associated with increased taurine deconjugation and loss which is reversed with oral antibiotics.</w:t>
      </w:r>
      <w:r>
        <w:rPr>
          <w:rFonts w:cs="Arial"/>
          <w:b w:val="0"/>
          <w:noProof/>
          <w:sz w:val="24"/>
        </w:rPr>
        <w:t>[10]</w:t>
      </w:r>
      <w:r>
        <w:rPr>
          <w:rFonts w:cs="Arial"/>
          <w:b w:val="0"/>
          <w:sz w:val="24"/>
        </w:rPr>
        <w:t xml:space="preserve">  Thus, the requirement for taurine in felines is based not only on food content but also processing effects and intrinsic gastrointestinal flora.  The higher protein and lower fat content in the homemade diet resulted in probable gastrointestinal flora differences between the two raw diets.  The kittens and cats on the raw diets were known to have exposure to higher microbial levels in their foods (Table 6.3).  It is difficult to speculate about differences in digestibility due to microbiota without knowing the specific microbial species and their metabolic activity.  Previous studies have shown a reduced microbial </w:t>
      </w:r>
      <w:r>
        <w:rPr>
          <w:rFonts w:cs="Arial"/>
          <w:b w:val="0"/>
          <w:sz w:val="24"/>
        </w:rPr>
        <w:lastRenderedPageBreak/>
        <w:t>diversity in outdoor predatory cats compared to strictly indoor cats on commercial diets.</w:t>
      </w:r>
      <w:r>
        <w:rPr>
          <w:rFonts w:cs="Arial"/>
          <w:b w:val="0"/>
          <w:noProof/>
          <w:sz w:val="24"/>
        </w:rPr>
        <w:t>[116]</w:t>
      </w:r>
      <w:r>
        <w:rPr>
          <w:rFonts w:cs="Arial"/>
          <w:b w:val="0"/>
          <w:sz w:val="24"/>
        </w:rPr>
        <w:t xml:space="preserve">  Indoor cats on most commercial diets have higher exposure to carbohydrates than predatory cats thus altering their microflora.</w:t>
      </w:r>
    </w:p>
    <w:p w:rsidR="00330CF1" w:rsidRDefault="00330CF1" w:rsidP="00514C54">
      <w:pPr>
        <w:autoSpaceDE w:val="0"/>
        <w:autoSpaceDN w:val="0"/>
        <w:adjustRightInd w:val="0"/>
        <w:rPr>
          <w:rFonts w:ascii="Arial" w:hAnsi="Arial" w:cs="Arial"/>
        </w:rPr>
      </w:pPr>
      <w:r>
        <w:rPr>
          <w:rFonts w:cs="Arial"/>
          <w:b/>
        </w:rPr>
        <w:t xml:space="preserve">     </w:t>
      </w:r>
      <w:r>
        <w:rPr>
          <w:rFonts w:ascii="Arial" w:hAnsi="Arial" w:cs="Arial"/>
        </w:rPr>
        <w:t>Age has been shown to affect digestibility in felines</w:t>
      </w:r>
      <w:r w:rsidRPr="00AD57EA">
        <w:rPr>
          <w:rFonts w:ascii="Arial" w:hAnsi="Arial" w:cs="Arial"/>
        </w:rPr>
        <w:t>.  Mean apparent digestibility’s in kittens of DM, OM, pro</w:t>
      </w:r>
      <w:r>
        <w:rPr>
          <w:rFonts w:ascii="Arial" w:hAnsi="Arial" w:cs="Arial"/>
        </w:rPr>
        <w:t>tein and NFE increase up to 19 weeks of age when they reach adult levels.</w:t>
      </w:r>
      <w:r>
        <w:rPr>
          <w:rFonts w:ascii="Arial" w:hAnsi="Arial" w:cs="Arial"/>
          <w:noProof/>
        </w:rPr>
        <w:t>[65]</w:t>
      </w:r>
      <w:r>
        <w:rPr>
          <w:rFonts w:cs="Arial"/>
          <w:b/>
        </w:rPr>
        <w:t xml:space="preserve">  </w:t>
      </w:r>
      <w:r w:rsidRPr="00AD57EA">
        <w:rPr>
          <w:rFonts w:ascii="Arial" w:hAnsi="Arial" w:cs="Arial"/>
        </w:rPr>
        <w:t>These increases in digestibility are related to increases in enzyme activity rather than further maturation of the gastro-intestinal tract.</w:t>
      </w:r>
      <w:r>
        <w:rPr>
          <w:rFonts w:ascii="Arial" w:hAnsi="Arial" w:cs="Arial"/>
          <w:noProof/>
        </w:rPr>
        <w:t>[65]</w:t>
      </w:r>
      <w:r w:rsidRPr="00AD57EA">
        <w:rPr>
          <w:rFonts w:ascii="Arial" w:hAnsi="Arial" w:cs="Arial"/>
        </w:rPr>
        <w:t xml:space="preserve">.  </w:t>
      </w:r>
      <w:r>
        <w:rPr>
          <w:rFonts w:ascii="Arial" w:hAnsi="Arial" w:cs="Arial"/>
        </w:rPr>
        <w:t>Adult levels of apparent fat digestibility do not occur until kittens are 24 weeks of age.</w:t>
      </w:r>
      <w:r>
        <w:rPr>
          <w:rFonts w:ascii="Arial" w:hAnsi="Arial" w:cs="Arial"/>
          <w:noProof/>
        </w:rPr>
        <w:t>[65]</w:t>
      </w:r>
      <w:r>
        <w:rPr>
          <w:rFonts w:ascii="Arial" w:hAnsi="Arial" w:cs="Arial"/>
        </w:rPr>
        <w:t xml:space="preserve">  The development of lipase activity in the kitten is delayed due to the presence of bile-activated lipase in queen’s milk and early reliance on mother’s lipase for fat digestion.</w:t>
      </w:r>
      <w:r>
        <w:rPr>
          <w:rFonts w:ascii="Arial" w:hAnsi="Arial" w:cs="Arial"/>
          <w:noProof/>
        </w:rPr>
        <w:t>[66]</w:t>
      </w:r>
      <w:r>
        <w:rPr>
          <w:rFonts w:ascii="Arial" w:hAnsi="Arial" w:cs="Arial"/>
        </w:rPr>
        <w:t xml:space="preserve">  At the same time enzyme systems are developing, gut colonization is developing.  It is unknown at what age microbial stabilization occurs in domestic animals but in humans this occurs at around 2 years of age.</w:t>
      </w:r>
      <w:r>
        <w:rPr>
          <w:rFonts w:ascii="Arial" w:hAnsi="Arial" w:cs="Arial"/>
          <w:noProof/>
        </w:rPr>
        <w:t>[108]</w:t>
      </w:r>
      <w:r>
        <w:rPr>
          <w:rFonts w:ascii="Arial" w:hAnsi="Arial" w:cs="Arial"/>
        </w:rPr>
        <w:t xml:space="preserve">  Differences in digestibility between the adults and kittens were mainly seen in the raw diet groups. </w:t>
      </w:r>
      <w:r w:rsidRPr="00AD57EA">
        <w:rPr>
          <w:rFonts w:ascii="Arial" w:hAnsi="Arial" w:cs="Arial"/>
        </w:rPr>
        <w:t>All of the kittens in the study were between 20 and 28 weeks of age during the trial such that levels of protein, DM, OM, and energy should have been similar to the adult.  In both the raw diets</w:t>
      </w:r>
      <w:r>
        <w:rPr>
          <w:rFonts w:ascii="Arial" w:hAnsi="Arial" w:cs="Arial"/>
        </w:rPr>
        <w:t>, DM (p=0.0110)</w:t>
      </w:r>
      <w:r w:rsidRPr="00AD57EA">
        <w:rPr>
          <w:rFonts w:ascii="Arial" w:hAnsi="Arial" w:cs="Arial"/>
        </w:rPr>
        <w:t xml:space="preserve"> and energy (p&lt;0.0001) where significantly higher in the kittens compared to</w:t>
      </w:r>
      <w:r>
        <w:rPr>
          <w:rFonts w:ascii="Arial" w:hAnsi="Arial" w:cs="Arial"/>
        </w:rPr>
        <w:t xml:space="preserve"> the adults.  F</w:t>
      </w:r>
      <w:r w:rsidRPr="00AD57EA">
        <w:rPr>
          <w:rFonts w:ascii="Arial" w:hAnsi="Arial" w:cs="Arial"/>
        </w:rPr>
        <w:t>at digestibility</w:t>
      </w:r>
      <w:r>
        <w:rPr>
          <w:rFonts w:ascii="Arial" w:hAnsi="Arial" w:cs="Arial"/>
        </w:rPr>
        <w:t xml:space="preserve"> was also higher</w:t>
      </w:r>
      <w:r w:rsidRPr="00AD57EA">
        <w:rPr>
          <w:rFonts w:ascii="Arial" w:hAnsi="Arial" w:cs="Arial"/>
        </w:rPr>
        <w:t xml:space="preserve"> in the kittens</w:t>
      </w:r>
      <w:r>
        <w:rPr>
          <w:rFonts w:ascii="Arial" w:hAnsi="Arial" w:cs="Arial"/>
        </w:rPr>
        <w:t xml:space="preserve"> (p=0.0144)</w:t>
      </w:r>
      <w:r w:rsidRPr="00AD57EA">
        <w:rPr>
          <w:rFonts w:ascii="Arial" w:hAnsi="Arial" w:cs="Arial"/>
        </w:rPr>
        <w:t xml:space="preserve"> compared to the</w:t>
      </w:r>
      <w:r>
        <w:rPr>
          <w:rFonts w:ascii="Arial" w:hAnsi="Arial" w:cs="Arial"/>
        </w:rPr>
        <w:t xml:space="preserve"> adults contrary to previous studies showing delayed lipase activity in this age group.  These differences may be secondary to greater gut microbial mass in adults or differences in microbial diversity between adults and kittens.  </w:t>
      </w:r>
      <w:r>
        <w:rPr>
          <w:rFonts w:ascii="Arial" w:hAnsi="Arial" w:cs="Arial"/>
          <w:i/>
        </w:rPr>
        <w:t xml:space="preserve">Clostridium perfringens </w:t>
      </w:r>
      <w:r>
        <w:rPr>
          <w:rFonts w:ascii="Arial" w:hAnsi="Arial" w:cs="Arial"/>
        </w:rPr>
        <w:t>counts have been found to be lower in young cats compared to adult cats.</w:t>
      </w:r>
      <w:r>
        <w:rPr>
          <w:rFonts w:ascii="Arial" w:hAnsi="Arial" w:cs="Arial"/>
          <w:noProof/>
        </w:rPr>
        <w:t>[378]</w:t>
      </w:r>
      <w:r>
        <w:rPr>
          <w:rFonts w:ascii="Arial" w:hAnsi="Arial" w:cs="Arial"/>
        </w:rPr>
        <w:t xml:space="preserve">  Lower levels of this proteolytic bacterium may result in reduced protein nutrient competition seen in young vs. adult cats.  Use of antibiotics has been shown to improve both protein and energy digestibility’s in pigs secondary to reduced microbial competition for nutrients with the host.</w:t>
      </w:r>
      <w:r>
        <w:rPr>
          <w:rFonts w:ascii="Arial" w:hAnsi="Arial" w:cs="Arial"/>
          <w:noProof/>
        </w:rPr>
        <w:t>[379]</w:t>
      </w:r>
      <w:r>
        <w:rPr>
          <w:rFonts w:ascii="Arial" w:hAnsi="Arial" w:cs="Arial"/>
        </w:rPr>
        <w:t xml:space="preserve">  In the cat, high bacterial numbers have been found in the small intestine </w:t>
      </w:r>
      <w:r>
        <w:rPr>
          <w:rFonts w:ascii="Arial" w:hAnsi="Arial" w:cs="Arial"/>
          <w:noProof/>
        </w:rPr>
        <w:t>[114]</w:t>
      </w:r>
      <w:r>
        <w:rPr>
          <w:rFonts w:ascii="Arial" w:hAnsi="Arial" w:cs="Arial"/>
        </w:rPr>
        <w:t xml:space="preserve"> with the potential for increased competition for nutrients.  A greater microbial biomass in the adults would also result in increased utilization of NFE by colonic microbes resulting in greater apparent NFE digestibility values.  In our study, NFE values were higher in the adults compared to the kittens.   Changes in microflora associated with Maillard compounds may have been a factor resulting in similar digestibility between kittens and adults on the heat processed diet.</w:t>
      </w:r>
    </w:p>
    <w:p w:rsidR="00330CF1" w:rsidRDefault="00330CF1" w:rsidP="00514C54">
      <w:pPr>
        <w:autoSpaceDE w:val="0"/>
        <w:autoSpaceDN w:val="0"/>
        <w:adjustRightInd w:val="0"/>
        <w:rPr>
          <w:rFonts w:ascii="Arial" w:hAnsi="Arial" w:cs="Arial"/>
        </w:rPr>
      </w:pPr>
      <w:r>
        <w:rPr>
          <w:rFonts w:ascii="Arial" w:hAnsi="Arial" w:cs="Arial"/>
        </w:rPr>
        <w:t xml:space="preserve">     Improved digestibility should result in decreased fecal output.  Decreased fec</w:t>
      </w:r>
      <w:r w:rsidRPr="00E926A9">
        <w:rPr>
          <w:rFonts w:ascii="Arial" w:hAnsi="Arial" w:cs="Arial"/>
        </w:rPr>
        <w:t>es</w:t>
      </w:r>
      <w:r w:rsidRPr="0068085E">
        <w:rPr>
          <w:rFonts w:ascii="Arial" w:hAnsi="Arial" w:cs="Arial"/>
          <w:color w:val="FF0000"/>
        </w:rPr>
        <w:t xml:space="preserve"> </w:t>
      </w:r>
      <w:r>
        <w:rPr>
          <w:rFonts w:ascii="Arial" w:hAnsi="Arial" w:cs="Arial"/>
        </w:rPr>
        <w:t xml:space="preserve">removal from the litter box would be a significant benefit to many cat owners.  While there were no differences in fecal score, dry matter intake or kcal ingested, the kittens and adult cats on the raw diets had significantly less fecal output per DM intake compared to the heat processed diet.   </w:t>
      </w:r>
    </w:p>
    <w:p w:rsidR="00330CF1" w:rsidRPr="00AD57EA" w:rsidRDefault="00330CF1" w:rsidP="00AD57EA">
      <w:pPr>
        <w:autoSpaceDE w:val="0"/>
        <w:autoSpaceDN w:val="0"/>
        <w:adjustRightInd w:val="0"/>
        <w:rPr>
          <w:rFonts w:ascii="Arial" w:hAnsi="Arial" w:cs="Arial"/>
        </w:rPr>
      </w:pPr>
      <w:r>
        <w:rPr>
          <w:rFonts w:ascii="Arial" w:hAnsi="Arial" w:cs="Arial"/>
        </w:rPr>
        <w:t xml:space="preserve">     </w:t>
      </w:r>
      <w:r w:rsidRPr="00AD57EA">
        <w:rPr>
          <w:rFonts w:ascii="Arial" w:hAnsi="Arial" w:cs="Arial"/>
        </w:rPr>
        <w:t xml:space="preserve">  </w:t>
      </w:r>
    </w:p>
    <w:p w:rsidR="00330CF1" w:rsidRPr="00AD57EA" w:rsidRDefault="00330CF1" w:rsidP="004A05E1">
      <w:pPr>
        <w:rPr>
          <w:rFonts w:ascii="Arial" w:hAnsi="Arial" w:cs="Arial"/>
        </w:rPr>
      </w:pPr>
    </w:p>
    <w:p w:rsidR="00330CF1" w:rsidRDefault="00330CF1" w:rsidP="009F7C9F">
      <w:pPr>
        <w:pStyle w:val="Heading1"/>
        <w:jc w:val="center"/>
      </w:pPr>
      <w:bookmarkStart w:id="52" w:name="_Toc305485886"/>
      <w:r>
        <w:t>Conclusions</w:t>
      </w:r>
      <w:bookmarkEnd w:id="52"/>
    </w:p>
    <w:p w:rsidR="00330CF1" w:rsidRDefault="00330CF1" w:rsidP="005400D1"/>
    <w:p w:rsidR="00330CF1" w:rsidRDefault="00330CF1" w:rsidP="005400D1">
      <w:pPr>
        <w:rPr>
          <w:rFonts w:ascii="Arial" w:hAnsi="Arial" w:cs="Arial"/>
        </w:rPr>
      </w:pPr>
      <w:r>
        <w:t xml:space="preserve">     </w:t>
      </w:r>
      <w:r>
        <w:rPr>
          <w:rFonts w:ascii="Arial" w:hAnsi="Arial" w:cs="Arial"/>
        </w:rPr>
        <w:t xml:space="preserve">Significantly higher digestibility of dry matter, organic matter, protein and energy were seen in raw vs. heat-processed diets in both kittens and adult cats.  This difference resulted in significantly less fecal matter despite similar levels of dry matter intake and kcal ingested.  These differences may be due to changes in protein structure secondary </w:t>
      </w:r>
      <w:r>
        <w:rPr>
          <w:rFonts w:ascii="Arial" w:hAnsi="Arial" w:cs="Arial"/>
        </w:rPr>
        <w:lastRenderedPageBreak/>
        <w:t xml:space="preserve">to heat or commercial processing, alterations in gastrointestinal flora and protein quality itself. </w:t>
      </w:r>
    </w:p>
    <w:p w:rsidR="00330CF1" w:rsidRDefault="00330CF1" w:rsidP="005400D1">
      <w:pPr>
        <w:rPr>
          <w:rFonts w:ascii="Arial" w:hAnsi="Arial" w:cs="Arial"/>
        </w:rPr>
      </w:pPr>
      <w:r>
        <w:rPr>
          <w:rFonts w:ascii="Arial" w:hAnsi="Arial" w:cs="Arial"/>
        </w:rPr>
        <w:t xml:space="preserve">     To the author’s knowledge, no previous published studies have compared digestibility in both kitten and adult cats fed the same diets.  In our study, the kittens showed higher digestibility in dry matter, fat and energy compared to the adults.  These differences may be attributable to a greater gastrointestinal flora biomass in the adults compared to juveniles and differences in microbial diversity resulting in alterations in nutrient competition.   </w:t>
      </w:r>
    </w:p>
    <w:p w:rsidR="00330CF1" w:rsidRPr="00B9722A" w:rsidRDefault="00330CF1" w:rsidP="005400D1">
      <w:pPr>
        <w:rPr>
          <w:rFonts w:ascii="Arial" w:hAnsi="Arial" w:cs="Arial"/>
        </w:rPr>
      </w:pPr>
      <w:r>
        <w:rPr>
          <w:rFonts w:ascii="Arial" w:hAnsi="Arial" w:cs="Arial"/>
        </w:rPr>
        <w:t xml:space="preserve">    </w:t>
      </w:r>
    </w:p>
    <w:p w:rsidR="00330CF1" w:rsidRDefault="00330CF1" w:rsidP="00B56A59">
      <w:pPr>
        <w:rPr>
          <w:sz w:val="20"/>
          <w:szCs w:val="20"/>
        </w:rPr>
      </w:pPr>
    </w:p>
    <w:p w:rsidR="00330CF1" w:rsidRDefault="00330CF1" w:rsidP="005400D1">
      <w:pPr>
        <w:pStyle w:val="Heading1"/>
        <w:jc w:val="center"/>
        <w:rPr>
          <w:sz w:val="32"/>
          <w:szCs w:val="32"/>
        </w:rPr>
      </w:pPr>
      <w:bookmarkStart w:id="53" w:name="_Toc305485887"/>
    </w:p>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Default="00330CF1" w:rsidP="007C694C"/>
    <w:p w:rsidR="00330CF1" w:rsidRPr="007C694C" w:rsidRDefault="00330CF1" w:rsidP="007C694C"/>
    <w:p w:rsidR="00330CF1" w:rsidRDefault="00330CF1" w:rsidP="003E1E9B">
      <w:pPr>
        <w:pStyle w:val="Heading1"/>
        <w:rPr>
          <w:sz w:val="32"/>
          <w:szCs w:val="32"/>
        </w:rPr>
      </w:pPr>
    </w:p>
    <w:p w:rsidR="00330CF1" w:rsidRDefault="00330CF1" w:rsidP="00F25B08"/>
    <w:p w:rsidR="00330CF1" w:rsidRDefault="00330CF1" w:rsidP="00F25B08"/>
    <w:p w:rsidR="00330CF1" w:rsidRDefault="00330CF1" w:rsidP="00F25B08"/>
    <w:p w:rsidR="00330CF1" w:rsidRDefault="00330CF1" w:rsidP="00F25B08"/>
    <w:p w:rsidR="00330CF1" w:rsidRDefault="00330CF1" w:rsidP="00F25B08"/>
    <w:p w:rsidR="00330CF1" w:rsidRDefault="00330CF1" w:rsidP="00F25B08"/>
    <w:p w:rsidR="00330CF1" w:rsidRDefault="00330CF1" w:rsidP="00F25B08"/>
    <w:p w:rsidR="00330CF1" w:rsidRDefault="00330CF1" w:rsidP="00F25B08"/>
    <w:p w:rsidR="00330CF1" w:rsidRDefault="00330CF1" w:rsidP="00F25B08"/>
    <w:p w:rsidR="00330CF1" w:rsidRPr="00F25B08" w:rsidRDefault="00330CF1" w:rsidP="00F25B08"/>
    <w:p w:rsidR="00330CF1" w:rsidRDefault="00330CF1" w:rsidP="005400D1">
      <w:pPr>
        <w:pStyle w:val="Heading1"/>
        <w:jc w:val="center"/>
        <w:rPr>
          <w:sz w:val="32"/>
          <w:szCs w:val="32"/>
        </w:rPr>
      </w:pPr>
      <w:r>
        <w:rPr>
          <w:sz w:val="32"/>
          <w:szCs w:val="32"/>
        </w:rPr>
        <w:lastRenderedPageBreak/>
        <w:t>Chapter VI</w:t>
      </w:r>
      <w:bookmarkEnd w:id="53"/>
    </w:p>
    <w:p w:rsidR="00330CF1" w:rsidRDefault="00330CF1" w:rsidP="005400D1">
      <w:pPr>
        <w:pStyle w:val="Heading1"/>
        <w:jc w:val="center"/>
        <w:rPr>
          <w:sz w:val="32"/>
          <w:szCs w:val="32"/>
        </w:rPr>
      </w:pPr>
      <w:bookmarkStart w:id="54" w:name="_Toc305485888"/>
      <w:r>
        <w:rPr>
          <w:sz w:val="32"/>
          <w:szCs w:val="32"/>
        </w:rPr>
        <w:t xml:space="preserve">FECAL QUALITY IN KITTENS FED RAW VS. HEAT-PROCESSED  DIETS </w:t>
      </w:r>
      <w:bookmarkEnd w:id="54"/>
    </w:p>
    <w:p w:rsidR="00330CF1" w:rsidRDefault="00330CF1" w:rsidP="005400D1"/>
    <w:p w:rsidR="00330CF1" w:rsidRDefault="00330CF1" w:rsidP="009F7C9F">
      <w:pPr>
        <w:pStyle w:val="Heading1"/>
        <w:jc w:val="center"/>
      </w:pPr>
      <w:bookmarkStart w:id="55" w:name="_Toc305485889"/>
      <w:r>
        <w:t>Introduction</w:t>
      </w:r>
      <w:bookmarkEnd w:id="55"/>
    </w:p>
    <w:p w:rsidR="00330CF1" w:rsidRPr="009F7C9F" w:rsidRDefault="00330CF1" w:rsidP="009F7C9F"/>
    <w:p w:rsidR="00330CF1" w:rsidRDefault="00330CF1" w:rsidP="00B65ECD">
      <w:pPr>
        <w:rPr>
          <w:rFonts w:ascii="Arial" w:hAnsi="Arial" w:cs="Arial"/>
        </w:rPr>
      </w:pPr>
      <w:r>
        <w:t xml:space="preserve">     </w:t>
      </w:r>
      <w:r>
        <w:rPr>
          <w:rFonts w:ascii="Arial" w:hAnsi="Arial" w:cs="Arial"/>
        </w:rPr>
        <w:t xml:space="preserve">The safety of feeding raw meat diets to dogs and cats has been cited as a significant risk factor to both the pets and their owners.  Raw meat harbors microbial growth which is destroyed with application of adequate heat.  The USDA’s Food Safety Inspection Service is responsible for ensuring that the human domestic food supply is safe and that contamination of meat products with pathogens is minimal.  Unlike food intended for human use, there are no regulatory agencies with binding laws to ensure and monitor bacterial contamination in raw foods that can be used for pets.  The Food and Drug Administration Center for Veterinary Medicine has guidelines for the manufacture and labeling of raw meat foods for companion and captive noncompanion carnivores and omnivores </w:t>
      </w:r>
      <w:r>
        <w:rPr>
          <w:rFonts w:ascii="Arial" w:hAnsi="Arial" w:cs="Arial"/>
          <w:noProof/>
        </w:rPr>
        <w:t>[157]</w:t>
      </w:r>
      <w:r>
        <w:rPr>
          <w:rFonts w:ascii="Arial" w:hAnsi="Arial" w:cs="Arial"/>
        </w:rPr>
        <w:t xml:space="preserve"> but these guidelines are not binding and producers can choose to follow or reject them.   </w:t>
      </w:r>
    </w:p>
    <w:p w:rsidR="00330CF1" w:rsidRDefault="00330CF1" w:rsidP="0096670D">
      <w:pPr>
        <w:rPr>
          <w:rFonts w:ascii="Arial" w:hAnsi="Arial" w:cs="Arial"/>
        </w:rPr>
      </w:pPr>
      <w:r>
        <w:rPr>
          <w:rFonts w:ascii="Arial" w:hAnsi="Arial" w:cs="Arial"/>
        </w:rPr>
        <w:t xml:space="preserve">     While most interactions between mammals and microorganisms do not result in disease, certain pathogenic strains can cause significant morbidity and mortality.  The pathogens of primary concern in raw meat products include </w:t>
      </w:r>
      <w:r w:rsidRPr="005F7206">
        <w:rPr>
          <w:rFonts w:ascii="Arial" w:hAnsi="Arial" w:cs="Arial"/>
          <w:i/>
        </w:rPr>
        <w:t>Salmonella</w:t>
      </w:r>
      <w:r>
        <w:rPr>
          <w:rFonts w:ascii="Arial" w:hAnsi="Arial" w:cs="Arial"/>
        </w:rPr>
        <w:t xml:space="preserve"> spp., pathogenic </w:t>
      </w:r>
      <w:r w:rsidRPr="005F7206">
        <w:rPr>
          <w:rFonts w:ascii="Arial" w:hAnsi="Arial" w:cs="Arial"/>
          <w:i/>
        </w:rPr>
        <w:t>E.coli</w:t>
      </w:r>
      <w:r>
        <w:rPr>
          <w:rFonts w:ascii="Arial" w:hAnsi="Arial" w:cs="Arial"/>
        </w:rPr>
        <w:t xml:space="preserve">, </w:t>
      </w:r>
      <w:r w:rsidRPr="005F7206">
        <w:rPr>
          <w:rFonts w:ascii="Arial" w:hAnsi="Arial" w:cs="Arial"/>
          <w:i/>
        </w:rPr>
        <w:t xml:space="preserve">Clostridium </w:t>
      </w:r>
      <w:r>
        <w:rPr>
          <w:rFonts w:ascii="Arial" w:hAnsi="Arial" w:cs="Arial"/>
        </w:rPr>
        <w:t xml:space="preserve">spp., </w:t>
      </w:r>
      <w:r w:rsidRPr="005F7206">
        <w:rPr>
          <w:rFonts w:ascii="Arial" w:hAnsi="Arial" w:cs="Arial"/>
          <w:i/>
        </w:rPr>
        <w:t>Campylobacter</w:t>
      </w:r>
      <w:r>
        <w:rPr>
          <w:rFonts w:ascii="Arial" w:hAnsi="Arial" w:cs="Arial"/>
        </w:rPr>
        <w:t xml:space="preserve"> spp., </w:t>
      </w:r>
      <w:r w:rsidRPr="005F7206">
        <w:rPr>
          <w:rFonts w:ascii="Arial" w:hAnsi="Arial" w:cs="Arial"/>
          <w:i/>
        </w:rPr>
        <w:t>Toxoplasma</w:t>
      </w:r>
      <w:r>
        <w:rPr>
          <w:rFonts w:ascii="Arial" w:hAnsi="Arial" w:cs="Arial"/>
          <w:i/>
        </w:rPr>
        <w:t xml:space="preserve"> gondii</w:t>
      </w:r>
      <w:r w:rsidRPr="005F7206">
        <w:rPr>
          <w:rFonts w:ascii="Arial" w:hAnsi="Arial" w:cs="Arial"/>
          <w:i/>
        </w:rPr>
        <w:t>,</w:t>
      </w:r>
      <w:r>
        <w:rPr>
          <w:rFonts w:ascii="Arial" w:hAnsi="Arial" w:cs="Arial"/>
        </w:rPr>
        <w:t xml:space="preserve"> and </w:t>
      </w:r>
      <w:r w:rsidRPr="005F7206">
        <w:rPr>
          <w:rFonts w:ascii="Arial" w:hAnsi="Arial" w:cs="Arial"/>
          <w:i/>
        </w:rPr>
        <w:t>Trichinella</w:t>
      </w:r>
      <w:r>
        <w:rPr>
          <w:rFonts w:ascii="Arial" w:hAnsi="Arial" w:cs="Arial"/>
          <w:i/>
        </w:rPr>
        <w:t xml:space="preserve"> spiralis</w:t>
      </w:r>
      <w:r>
        <w:rPr>
          <w:rFonts w:ascii="Arial" w:hAnsi="Arial" w:cs="Arial"/>
        </w:rPr>
        <w:t>.  Studies have found significant levels of pathogenic organisms in raw meat fed to pets.</w:t>
      </w:r>
      <w:r>
        <w:rPr>
          <w:rFonts w:ascii="Arial" w:hAnsi="Arial" w:cs="Arial"/>
          <w:noProof/>
        </w:rPr>
        <w:t>[5-7, 164]</w:t>
      </w:r>
      <w:r>
        <w:rPr>
          <w:rFonts w:ascii="Arial" w:hAnsi="Arial" w:cs="Arial"/>
        </w:rPr>
        <w:t xml:space="preserve">  These same pathogens pose significant risk factors to humans handling the diets, feeding utensils, food bowls and during fecal collection.  Pathogen contamination is not unique to unprocessed pet foods.  Commercial heat-processed pet foods have been subject to numerous recalls for </w:t>
      </w:r>
      <w:r>
        <w:rPr>
          <w:rFonts w:ascii="Arial" w:hAnsi="Arial" w:cs="Arial"/>
          <w:i/>
        </w:rPr>
        <w:t xml:space="preserve">Salmonella </w:t>
      </w:r>
      <w:r>
        <w:rPr>
          <w:rFonts w:ascii="Arial" w:hAnsi="Arial" w:cs="Arial"/>
        </w:rPr>
        <w:t>spp.</w:t>
      </w:r>
      <w:r>
        <w:rPr>
          <w:rFonts w:ascii="Arial" w:hAnsi="Arial" w:cs="Arial"/>
          <w:noProof/>
        </w:rPr>
        <w:t>[168]</w:t>
      </w:r>
      <w:r>
        <w:rPr>
          <w:rFonts w:ascii="Arial" w:hAnsi="Arial" w:cs="Arial"/>
        </w:rPr>
        <w:t xml:space="preserve">  A recent multi-state outbreak of Human </w:t>
      </w:r>
      <w:r w:rsidRPr="00A321C8">
        <w:rPr>
          <w:rFonts w:ascii="Arial" w:hAnsi="Arial" w:cs="Arial"/>
          <w:i/>
        </w:rPr>
        <w:t>Salmonella</w:t>
      </w:r>
      <w:r>
        <w:rPr>
          <w:rFonts w:ascii="Arial" w:hAnsi="Arial" w:cs="Arial"/>
        </w:rPr>
        <w:t xml:space="preserve"> Infantis infection has been traced to multiple brands of a dry commercial dog food, leading to illness in 9 individuals.</w:t>
      </w:r>
      <w:r>
        <w:rPr>
          <w:rFonts w:ascii="Arial" w:hAnsi="Arial" w:cs="Arial"/>
          <w:noProof/>
        </w:rPr>
        <w:t>[169]</w:t>
      </w:r>
      <w:r>
        <w:rPr>
          <w:rFonts w:ascii="Arial" w:hAnsi="Arial" w:cs="Arial"/>
        </w:rPr>
        <w:t xml:space="preserve">  Populations at greatest risk for contracting illness are the very young (infants and children), the elderly, pregnant women and the immunocompromised.  </w:t>
      </w:r>
    </w:p>
    <w:p w:rsidR="00330CF1" w:rsidRDefault="00330CF1" w:rsidP="00B72149">
      <w:pPr>
        <w:autoSpaceDE w:val="0"/>
        <w:autoSpaceDN w:val="0"/>
        <w:adjustRightInd w:val="0"/>
        <w:rPr>
          <w:rFonts w:ascii="Arial" w:hAnsi="Arial" w:cs="Arial"/>
        </w:rPr>
      </w:pPr>
      <w:r>
        <w:rPr>
          <w:rFonts w:ascii="Arial" w:hAnsi="Arial" w:cs="Arial"/>
        </w:rPr>
        <w:t xml:space="preserve">     Exotic cats on raw meat diets have a high prevalence of fecal salmonella.  </w:t>
      </w:r>
      <w:r w:rsidRPr="00B967B6">
        <w:rPr>
          <w:rFonts w:ascii="Arial" w:hAnsi="Arial" w:cs="Arial"/>
          <w:i/>
        </w:rPr>
        <w:t xml:space="preserve">Salmonella </w:t>
      </w:r>
      <w:r>
        <w:rPr>
          <w:rFonts w:ascii="Arial" w:hAnsi="Arial" w:cs="Arial"/>
        </w:rPr>
        <w:t>spp. was isolated in 94% of fecal samples from a zoo and private big cat collection.</w:t>
      </w:r>
      <w:r>
        <w:rPr>
          <w:rFonts w:ascii="Arial" w:hAnsi="Arial" w:cs="Arial"/>
          <w:noProof/>
        </w:rPr>
        <w:t>[182]</w:t>
      </w:r>
      <w:r>
        <w:rPr>
          <w:rFonts w:ascii="Arial" w:hAnsi="Arial" w:cs="Arial"/>
        </w:rPr>
        <w:t xml:space="preserve">  All the cats were clinically healthy and were being fed a raw horsemeat and chicken diet.  Susceptibility and severity of infection depends on multiple factors including virulence of the pathogen strain, infectious dose, and host resistance.</w:t>
      </w:r>
      <w:r>
        <w:rPr>
          <w:rFonts w:ascii="Arial" w:hAnsi="Arial" w:cs="Arial"/>
          <w:noProof/>
        </w:rPr>
        <w:t>[183]</w:t>
      </w:r>
      <w:r>
        <w:rPr>
          <w:rFonts w:ascii="Arial" w:hAnsi="Arial" w:cs="Arial"/>
        </w:rPr>
        <w:t xml:space="preserve">  Host resistance factors include age, immunocompetence, stress, administration of glucocorticoids, and presence of chronic disease.  Salmonellosis is most commonly reported in young, aged or immunocompromised cats.</w:t>
      </w:r>
      <w:r>
        <w:rPr>
          <w:rFonts w:ascii="Arial" w:hAnsi="Arial" w:cs="Arial"/>
          <w:noProof/>
        </w:rPr>
        <w:t>[183, 185]</w:t>
      </w:r>
      <w:r>
        <w:rPr>
          <w:rFonts w:ascii="Arial" w:hAnsi="Arial" w:cs="Arial"/>
        </w:rPr>
        <w:t xml:space="preserve">  Reports of fatal salmonellosis have been documented in a cattery-raised Exotic shorthair kitten fed raw meat </w:t>
      </w:r>
      <w:r>
        <w:rPr>
          <w:rFonts w:ascii="Arial" w:hAnsi="Arial" w:cs="Arial"/>
          <w:noProof/>
        </w:rPr>
        <w:t>[183]</w:t>
      </w:r>
      <w:r>
        <w:rPr>
          <w:rFonts w:ascii="Arial" w:hAnsi="Arial" w:cs="Arial"/>
        </w:rPr>
        <w:t xml:space="preserve">, a group of cattery-raised Persian kittens immunized with a modified live panleukopenia vaccine living in a household with an adult being fed raw chicken </w:t>
      </w:r>
      <w:r>
        <w:rPr>
          <w:rFonts w:ascii="Arial" w:hAnsi="Arial" w:cs="Arial"/>
          <w:noProof/>
        </w:rPr>
        <w:t>[186]</w:t>
      </w:r>
      <w:r>
        <w:rPr>
          <w:rFonts w:ascii="Arial" w:hAnsi="Arial" w:cs="Arial"/>
        </w:rPr>
        <w:t xml:space="preserve">, and stillbirths in a Persian queen being fed a raw meat diet positive for Salmonella </w:t>
      </w:r>
      <w:r>
        <w:rPr>
          <w:rFonts w:ascii="Arial" w:hAnsi="Arial" w:cs="Arial"/>
          <w:noProof/>
        </w:rPr>
        <w:t>[187]</w:t>
      </w:r>
      <w:r>
        <w:rPr>
          <w:rFonts w:ascii="Arial" w:hAnsi="Arial" w:cs="Arial"/>
        </w:rPr>
        <w:t xml:space="preserve">.  A fatal case of salmonellosis was reported in an adult pure-bred cat being fed </w:t>
      </w:r>
      <w:r>
        <w:rPr>
          <w:rFonts w:ascii="Arial" w:hAnsi="Arial" w:cs="Arial"/>
        </w:rPr>
        <w:lastRenderedPageBreak/>
        <w:t>raw meat with identical Salmonella spp. found in both the animal’s tissues and its raw diet.</w:t>
      </w:r>
      <w:r>
        <w:rPr>
          <w:rFonts w:ascii="Arial" w:hAnsi="Arial" w:cs="Arial"/>
          <w:noProof/>
        </w:rPr>
        <w:t>[183]</w:t>
      </w:r>
      <w:r>
        <w:rPr>
          <w:rFonts w:ascii="Arial" w:hAnsi="Arial" w:cs="Arial"/>
        </w:rPr>
        <w:t xml:space="preserve"> </w:t>
      </w:r>
    </w:p>
    <w:p w:rsidR="00330CF1" w:rsidRPr="00C964DD" w:rsidRDefault="00330CF1" w:rsidP="00B72149">
      <w:pPr>
        <w:autoSpaceDE w:val="0"/>
        <w:autoSpaceDN w:val="0"/>
        <w:adjustRightInd w:val="0"/>
        <w:rPr>
          <w:rFonts w:ascii="Arial" w:hAnsi="Arial" w:cs="Arial"/>
        </w:rPr>
      </w:pPr>
      <w:r>
        <w:rPr>
          <w:rFonts w:ascii="Arial" w:hAnsi="Arial" w:cs="Arial"/>
        </w:rPr>
        <w:t xml:space="preserve">     Proponents of raw food diets state these pathogens are less of a risk in domestic dogs and cats and claim improved stool consistency.</w:t>
      </w:r>
      <w:r>
        <w:rPr>
          <w:rFonts w:ascii="Arial" w:hAnsi="Arial" w:cs="Arial"/>
          <w:noProof/>
        </w:rPr>
        <w:t>[380]</w:t>
      </w:r>
      <w:r>
        <w:rPr>
          <w:rFonts w:ascii="Arial" w:hAnsi="Arial" w:cs="Arial"/>
        </w:rPr>
        <w:t xml:space="preserve">  The objective of this study was to document stool quality in kittens fed commercial raw and homemade raw meat diets compared to a premium heat-processed canned diet.  Feces were periodically monitored for the presence of </w:t>
      </w:r>
      <w:r>
        <w:rPr>
          <w:rFonts w:ascii="Arial" w:hAnsi="Arial" w:cs="Arial"/>
          <w:i/>
        </w:rPr>
        <w:t>Salmonella</w:t>
      </w:r>
      <w:r>
        <w:rPr>
          <w:rFonts w:ascii="Arial" w:hAnsi="Arial" w:cs="Arial"/>
        </w:rPr>
        <w:t xml:space="preserve"> spp., </w:t>
      </w:r>
      <w:r>
        <w:rPr>
          <w:rFonts w:ascii="Arial" w:hAnsi="Arial" w:cs="Arial"/>
          <w:i/>
        </w:rPr>
        <w:t>Clostridium</w:t>
      </w:r>
      <w:r>
        <w:rPr>
          <w:rFonts w:ascii="Arial" w:hAnsi="Arial" w:cs="Arial"/>
        </w:rPr>
        <w:t xml:space="preserve"> spp. and </w:t>
      </w:r>
      <w:r>
        <w:rPr>
          <w:rFonts w:ascii="Arial" w:hAnsi="Arial" w:cs="Arial"/>
          <w:i/>
        </w:rPr>
        <w:t xml:space="preserve">Campylobacter </w:t>
      </w:r>
      <w:r>
        <w:rPr>
          <w:rFonts w:ascii="Arial" w:hAnsi="Arial" w:cs="Arial"/>
        </w:rPr>
        <w:t xml:space="preserve">spp.. Total aerobic plate counts were also performed on the diets at the end of the study.  The hypothesis was that raw food feeders would have improved fecal quality due to potentially higher digestibility while fecal shedding of </w:t>
      </w:r>
      <w:r w:rsidRPr="00D601BD">
        <w:rPr>
          <w:rFonts w:ascii="Arial" w:hAnsi="Arial" w:cs="Arial"/>
          <w:i/>
        </w:rPr>
        <w:t>Salmonella</w:t>
      </w:r>
      <w:r>
        <w:rPr>
          <w:rFonts w:ascii="Arial" w:hAnsi="Arial" w:cs="Arial"/>
        </w:rPr>
        <w:t xml:space="preserve"> spp. or </w:t>
      </w:r>
      <w:r w:rsidRPr="00D601BD">
        <w:rPr>
          <w:rFonts w:ascii="Arial" w:hAnsi="Arial" w:cs="Arial"/>
          <w:i/>
        </w:rPr>
        <w:t>Campylobacter</w:t>
      </w:r>
      <w:r>
        <w:rPr>
          <w:rFonts w:ascii="Arial" w:hAnsi="Arial" w:cs="Arial"/>
        </w:rPr>
        <w:t xml:space="preserve"> spp. was also likely in the raw group feeders. </w:t>
      </w:r>
    </w:p>
    <w:p w:rsidR="00330CF1" w:rsidRDefault="00330CF1" w:rsidP="005400D1"/>
    <w:p w:rsidR="00330CF1" w:rsidRDefault="00330CF1" w:rsidP="006E73D6">
      <w:pPr>
        <w:pStyle w:val="Heading1"/>
        <w:jc w:val="center"/>
      </w:pPr>
      <w:bookmarkStart w:id="56" w:name="_Toc305485890"/>
      <w:r>
        <w:t>Materials and Methods</w:t>
      </w:r>
      <w:bookmarkEnd w:id="56"/>
    </w:p>
    <w:p w:rsidR="00330CF1" w:rsidRPr="0013003D" w:rsidRDefault="00330CF1" w:rsidP="0013003D"/>
    <w:p w:rsidR="00330CF1" w:rsidRDefault="00330CF1" w:rsidP="00531173">
      <w:pPr>
        <w:rPr>
          <w:rFonts w:ascii="Arial" w:hAnsi="Arial" w:cs="Arial"/>
        </w:rPr>
      </w:pPr>
      <w:r>
        <w:rPr>
          <w:rFonts w:ascii="Arial" w:hAnsi="Arial" w:cs="Arial"/>
        </w:rPr>
        <w:t xml:space="preserve">All kittens were born and raised at The University of Tennessee Medical Center and Research facility and their care was in compliance with the Guide for the Use and Care of Laboratory Animals.  The experimental protocol was approved by the Institutional Animal Care and Use Committee.  </w:t>
      </w:r>
    </w:p>
    <w:p w:rsidR="00330CF1" w:rsidRDefault="00330CF1" w:rsidP="00531173">
      <w:pPr>
        <w:pStyle w:val="Heading3"/>
        <w:rPr>
          <w:b w:val="0"/>
          <w:i w:val="0"/>
        </w:rPr>
      </w:pPr>
      <w:r>
        <w:rPr>
          <w:i w:val="0"/>
        </w:rPr>
        <w:t xml:space="preserve">Animals: </w:t>
      </w:r>
      <w:r>
        <w:rPr>
          <w:b w:val="0"/>
          <w:i w:val="0"/>
        </w:rPr>
        <w:t>Twenty-four</w:t>
      </w:r>
      <w:r w:rsidRPr="00F34930">
        <w:rPr>
          <w:b w:val="0"/>
          <w:i w:val="0"/>
        </w:rPr>
        <w:t xml:space="preserve"> 9- to 19-week old domestic short-hair kittens born over a 3 year period </w:t>
      </w:r>
      <w:r>
        <w:rPr>
          <w:b w:val="0"/>
          <w:i w:val="0"/>
        </w:rPr>
        <w:t xml:space="preserve">(five litters) </w:t>
      </w:r>
      <w:r w:rsidRPr="00F34930">
        <w:rPr>
          <w:b w:val="0"/>
          <w:i w:val="0"/>
        </w:rPr>
        <w:t>were used</w:t>
      </w:r>
      <w:r>
        <w:rPr>
          <w:b w:val="0"/>
          <w:i w:val="0"/>
        </w:rPr>
        <w:t xml:space="preserve"> for an Association of American Feed Control Officials (AAFCO)</w:t>
      </w:r>
      <w:r w:rsidRPr="00F34930">
        <w:rPr>
          <w:b w:val="0"/>
          <w:i w:val="0"/>
        </w:rPr>
        <w:t xml:space="preserve"> growth feeding trial. The kittens were given physical examinations and tested for intestinal parasites one to three days prio</w:t>
      </w:r>
      <w:r>
        <w:rPr>
          <w:b w:val="0"/>
          <w:i w:val="0"/>
        </w:rPr>
        <w:t>r to starting the feeding trial and were healthy.</w:t>
      </w:r>
      <w:r w:rsidRPr="00F34930">
        <w:rPr>
          <w:b w:val="0"/>
          <w:i w:val="0"/>
        </w:rPr>
        <w:t xml:space="preserve">  All kittens were born from the same queen and tom.   Kittens were weaned at 6-7 weeks of age and eating solid food prior to beginning of the feeding trial at 9 weeks of age.  All kittens were weaned on a </w:t>
      </w:r>
      <w:r>
        <w:rPr>
          <w:b w:val="0"/>
          <w:i w:val="0"/>
        </w:rPr>
        <w:t xml:space="preserve">canned and </w:t>
      </w:r>
      <w:r w:rsidRPr="00F34930">
        <w:rPr>
          <w:b w:val="0"/>
          <w:i w:val="0"/>
        </w:rPr>
        <w:t>dry extruded growth diet</w:t>
      </w:r>
      <w:r>
        <w:rPr>
          <w:b w:val="0"/>
          <w:i w:val="0"/>
          <w:vertAlign w:val="superscript"/>
        </w:rPr>
        <w:t>1,2</w:t>
      </w:r>
      <w:r w:rsidRPr="00F34930">
        <w:rPr>
          <w:b w:val="0"/>
          <w:i w:val="0"/>
        </w:rPr>
        <w:t xml:space="preserve">. The kittens were housed in individual metabolism cages during the feeding trial and allowed daily group play.   At the end of the study, the kittens were transferred to a permanent feline colony that is used for dietary and other non-invasive research or adopted to private homes. </w:t>
      </w:r>
    </w:p>
    <w:p w:rsidR="00330CF1" w:rsidRPr="006E73D6" w:rsidRDefault="00330CF1" w:rsidP="006E73D6"/>
    <w:p w:rsidR="00330CF1" w:rsidRDefault="00330CF1" w:rsidP="00531173">
      <w:pPr>
        <w:rPr>
          <w:rFonts w:ascii="Arial" w:hAnsi="Arial" w:cs="Arial"/>
        </w:rPr>
      </w:pPr>
      <w:r w:rsidRPr="00F34930">
        <w:rPr>
          <w:rFonts w:ascii="Arial" w:hAnsi="Arial" w:cs="Arial"/>
          <w:b/>
        </w:rPr>
        <w:t>Diet:</w:t>
      </w:r>
      <w:r w:rsidRPr="00F34930">
        <w:rPr>
          <w:rFonts w:ascii="Arial" w:hAnsi="Arial" w:cs="Arial"/>
        </w:rPr>
        <w:t xml:space="preserve"> </w:t>
      </w:r>
      <w:r>
        <w:rPr>
          <w:rFonts w:ascii="Arial" w:hAnsi="Arial" w:cs="Arial"/>
        </w:rPr>
        <w:t xml:space="preserve">The kittens were randomized to 3 different dietary groups via a random numbers table for an AAFCO growth feeding protocol.  Each diet group consisted of 8 kittens.  </w:t>
      </w:r>
      <w:r w:rsidRPr="00F64A2D">
        <w:rPr>
          <w:rFonts w:ascii="Arial" w:hAnsi="Arial" w:cs="Arial"/>
        </w:rPr>
        <w:t>Diet</w:t>
      </w:r>
      <w:r>
        <w:rPr>
          <w:rFonts w:ascii="Arial" w:hAnsi="Arial" w:cs="Arial"/>
        </w:rPr>
        <w:t xml:space="preserve"> Group A </w:t>
      </w:r>
      <w:r w:rsidRPr="004E644B">
        <w:rPr>
          <w:rFonts w:ascii="Arial" w:hAnsi="Arial" w:cs="Arial"/>
        </w:rPr>
        <w:t>was</w:t>
      </w:r>
      <w:r w:rsidRPr="00C86353">
        <w:rPr>
          <w:rFonts w:ascii="Arial" w:hAnsi="Arial" w:cs="Arial"/>
          <w:color w:val="FF0000"/>
        </w:rPr>
        <w:t xml:space="preserve"> </w:t>
      </w:r>
      <w:r w:rsidRPr="00F64A2D">
        <w:rPr>
          <w:rFonts w:ascii="Arial" w:hAnsi="Arial" w:cs="Arial"/>
        </w:rPr>
        <w:t>fed a commercial heat-processed food that is nutritionally adequate for all life stages as determined by AAF</w:t>
      </w:r>
      <w:r>
        <w:rPr>
          <w:rFonts w:ascii="Arial" w:hAnsi="Arial" w:cs="Arial"/>
        </w:rPr>
        <w:t>CO guidelines.  This diet was</w:t>
      </w:r>
      <w:r w:rsidRPr="00F64A2D">
        <w:rPr>
          <w:rFonts w:ascii="Arial" w:hAnsi="Arial" w:cs="Arial"/>
        </w:rPr>
        <w:t xml:space="preserve"> a canned food</w:t>
      </w:r>
      <w:r>
        <w:rPr>
          <w:rFonts w:ascii="Arial" w:hAnsi="Arial" w:cs="Arial"/>
          <w:vertAlign w:val="superscript"/>
        </w:rPr>
        <w:t>3</w:t>
      </w:r>
      <w:r w:rsidRPr="00F64A2D">
        <w:rPr>
          <w:rFonts w:ascii="Arial" w:hAnsi="Arial" w:cs="Arial"/>
        </w:rPr>
        <w:t xml:space="preserve"> a</w:t>
      </w:r>
      <w:r>
        <w:rPr>
          <w:rFonts w:ascii="Arial" w:hAnsi="Arial" w:cs="Arial"/>
        </w:rPr>
        <w:t>nd was chosen to closely match the</w:t>
      </w:r>
      <w:r w:rsidRPr="00F64A2D">
        <w:rPr>
          <w:rFonts w:ascii="Arial" w:hAnsi="Arial" w:cs="Arial"/>
        </w:rPr>
        <w:t xml:space="preserve"> raw diet</w:t>
      </w:r>
      <w:r>
        <w:rPr>
          <w:rFonts w:ascii="Arial" w:hAnsi="Arial" w:cs="Arial"/>
        </w:rPr>
        <w:t>s</w:t>
      </w:r>
      <w:r w:rsidRPr="00F64A2D">
        <w:rPr>
          <w:rFonts w:ascii="Arial" w:hAnsi="Arial" w:cs="Arial"/>
        </w:rPr>
        <w:t xml:space="preserve"> moisture </w:t>
      </w:r>
      <w:r>
        <w:rPr>
          <w:rFonts w:ascii="Arial" w:hAnsi="Arial" w:cs="Arial"/>
        </w:rPr>
        <w:t>and nutrient content.  This was</w:t>
      </w:r>
      <w:r w:rsidRPr="00F64A2D">
        <w:rPr>
          <w:rFonts w:ascii="Arial" w:hAnsi="Arial" w:cs="Arial"/>
        </w:rPr>
        <w:t xml:space="preserve"> the contr</w:t>
      </w:r>
      <w:r>
        <w:rPr>
          <w:rFonts w:ascii="Arial" w:hAnsi="Arial" w:cs="Arial"/>
        </w:rPr>
        <w:t>ol diet.  Treatment Group B was</w:t>
      </w:r>
      <w:r w:rsidRPr="00F64A2D">
        <w:rPr>
          <w:rFonts w:ascii="Arial" w:hAnsi="Arial" w:cs="Arial"/>
        </w:rPr>
        <w:t xml:space="preserve"> fed a commercial frozen raw d</w:t>
      </w:r>
      <w:r>
        <w:rPr>
          <w:rFonts w:ascii="Arial" w:hAnsi="Arial" w:cs="Arial"/>
        </w:rPr>
        <w:t>iet</w:t>
      </w:r>
      <w:r>
        <w:rPr>
          <w:rFonts w:ascii="Arial" w:hAnsi="Arial" w:cs="Arial"/>
          <w:vertAlign w:val="superscript"/>
        </w:rPr>
        <w:t>4</w:t>
      </w:r>
      <w:r>
        <w:rPr>
          <w:rFonts w:ascii="Arial" w:hAnsi="Arial" w:cs="Arial"/>
        </w:rPr>
        <w:t xml:space="preserve">.  Treatment </w:t>
      </w:r>
    </w:p>
    <w:p w:rsidR="00330CF1" w:rsidRPr="00F64A2D" w:rsidRDefault="00330CF1" w:rsidP="00531173">
      <w:pPr>
        <w:rPr>
          <w:rFonts w:ascii="Arial" w:hAnsi="Arial" w:cs="Arial"/>
        </w:rPr>
      </w:pPr>
      <w:r>
        <w:rPr>
          <w:rFonts w:ascii="Arial" w:hAnsi="Arial" w:cs="Arial"/>
        </w:rPr>
        <w:t>______________________________________________________________________</w:t>
      </w:r>
    </w:p>
    <w:p w:rsidR="00330CF1" w:rsidRPr="00C343ED" w:rsidRDefault="00330CF1" w:rsidP="00543034">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C343ED">
        <w:rPr>
          <w:rFonts w:ascii="Arial" w:hAnsi="Arial" w:cs="Arial"/>
          <w:sz w:val="20"/>
          <w:szCs w:val="20"/>
        </w:rPr>
        <w:t>Science Diet®- Kitten Healthy Development Liver and Chicken Entrée minced. Hill’s Pet Nutrition Inc.®, Topeka, KS</w:t>
      </w:r>
    </w:p>
    <w:p w:rsidR="00330CF1" w:rsidRPr="00C343ED" w:rsidRDefault="00330CF1" w:rsidP="00543034">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  </w:t>
      </w:r>
      <w:r w:rsidRPr="00C343ED">
        <w:rPr>
          <w:rFonts w:ascii="Arial" w:hAnsi="Arial" w:cs="Arial"/>
          <w:sz w:val="20"/>
          <w:szCs w:val="20"/>
        </w:rPr>
        <w:t>Science Diet®- Kitten Healthy Development Original dry cat food. Hill’s Pet Nutrition, Inc.®, Topeka, KS</w:t>
      </w:r>
    </w:p>
    <w:p w:rsidR="00330CF1" w:rsidRPr="000238DF" w:rsidRDefault="00330CF1" w:rsidP="00543034">
      <w:pPr>
        <w:rPr>
          <w:rFonts w:ascii="Arial" w:hAnsi="Arial" w:cs="Arial"/>
          <w:sz w:val="20"/>
          <w:szCs w:val="20"/>
        </w:rPr>
      </w:pPr>
      <w:r>
        <w:rPr>
          <w:rFonts w:ascii="Arial" w:hAnsi="Arial" w:cs="Arial"/>
          <w:sz w:val="20"/>
          <w:szCs w:val="20"/>
          <w:vertAlign w:val="superscript"/>
        </w:rPr>
        <w:t>3</w:t>
      </w:r>
      <w:r>
        <w:rPr>
          <w:rFonts w:ascii="Arial" w:hAnsi="Arial" w:cs="Arial"/>
          <w:sz w:val="20"/>
          <w:szCs w:val="20"/>
        </w:rPr>
        <w:t xml:space="preserve">  </w:t>
      </w:r>
      <w:r w:rsidRPr="000238DF">
        <w:rPr>
          <w:rFonts w:ascii="Arial" w:hAnsi="Arial" w:cs="Arial"/>
          <w:sz w:val="20"/>
          <w:szCs w:val="20"/>
        </w:rPr>
        <w:t>Evo – Turkey and Chicken Canned Cat and Kitten Cat Food. Natura Pet Foods, Santa Clara, CA</w:t>
      </w:r>
    </w:p>
    <w:p w:rsidR="00330CF1" w:rsidRPr="000238DF" w:rsidRDefault="00330CF1" w:rsidP="00543034">
      <w:pPr>
        <w:rPr>
          <w:rFonts w:ascii="Arial" w:hAnsi="Arial" w:cs="Arial"/>
          <w:sz w:val="20"/>
          <w:szCs w:val="20"/>
        </w:rPr>
      </w:pPr>
      <w:r>
        <w:rPr>
          <w:rFonts w:ascii="Arial" w:hAnsi="Arial" w:cs="Arial"/>
          <w:sz w:val="20"/>
          <w:szCs w:val="20"/>
          <w:vertAlign w:val="superscript"/>
        </w:rPr>
        <w:t>4</w:t>
      </w:r>
      <w:r>
        <w:rPr>
          <w:rFonts w:ascii="Arial" w:hAnsi="Arial" w:cs="Arial"/>
          <w:sz w:val="20"/>
          <w:szCs w:val="20"/>
        </w:rPr>
        <w:t xml:space="preserve">  </w:t>
      </w:r>
      <w:r w:rsidRPr="000238DF">
        <w:rPr>
          <w:rFonts w:ascii="Arial" w:hAnsi="Arial" w:cs="Arial"/>
          <w:sz w:val="20"/>
          <w:szCs w:val="20"/>
        </w:rPr>
        <w:t xml:space="preserve">Wild Kitty Raw All Natural Cat Food – Chicken and Clam frozen raw diet.  Wild Kitty Cat Food, </w:t>
      </w:r>
      <w:r>
        <w:rPr>
          <w:rFonts w:ascii="Arial" w:hAnsi="Arial" w:cs="Arial"/>
          <w:sz w:val="20"/>
          <w:szCs w:val="20"/>
        </w:rPr>
        <w:t xml:space="preserve">     </w:t>
      </w:r>
      <w:r w:rsidRPr="000238DF">
        <w:rPr>
          <w:rFonts w:ascii="Arial" w:hAnsi="Arial" w:cs="Arial"/>
          <w:sz w:val="20"/>
          <w:szCs w:val="20"/>
        </w:rPr>
        <w:t xml:space="preserve">Kennebunkport, ME. </w:t>
      </w:r>
    </w:p>
    <w:p w:rsidR="00330CF1" w:rsidRPr="000238DF" w:rsidRDefault="00330CF1" w:rsidP="00543034">
      <w:pPr>
        <w:rPr>
          <w:rFonts w:ascii="Arial" w:hAnsi="Arial" w:cs="Arial"/>
          <w:sz w:val="20"/>
          <w:szCs w:val="20"/>
        </w:rPr>
      </w:pPr>
    </w:p>
    <w:p w:rsidR="00330CF1" w:rsidRPr="0013003D" w:rsidRDefault="00330CF1" w:rsidP="0013003D">
      <w:pPr>
        <w:rPr>
          <w:rFonts w:ascii="Arial" w:hAnsi="Arial" w:cs="Arial"/>
        </w:rPr>
      </w:pPr>
      <w:r>
        <w:rPr>
          <w:rFonts w:ascii="Arial" w:hAnsi="Arial" w:cs="Arial"/>
        </w:rPr>
        <w:lastRenderedPageBreak/>
        <w:t>Group C was</w:t>
      </w:r>
      <w:r w:rsidRPr="00F64A2D">
        <w:rPr>
          <w:rFonts w:ascii="Arial" w:hAnsi="Arial" w:cs="Arial"/>
        </w:rPr>
        <w:t xml:space="preserve"> fed a home-prepared r</w:t>
      </w:r>
      <w:r>
        <w:rPr>
          <w:rFonts w:ascii="Arial" w:hAnsi="Arial" w:cs="Arial"/>
        </w:rPr>
        <w:t>aw food diet</w:t>
      </w:r>
      <w:r>
        <w:rPr>
          <w:rFonts w:ascii="Arial" w:hAnsi="Arial" w:cs="Arial"/>
          <w:vertAlign w:val="superscript"/>
        </w:rPr>
        <w:t>1,2</w:t>
      </w:r>
      <w:r>
        <w:rPr>
          <w:rFonts w:ascii="Arial" w:hAnsi="Arial" w:cs="Arial"/>
        </w:rPr>
        <w:t>.  The diet was</w:t>
      </w:r>
      <w:r w:rsidRPr="00F64A2D">
        <w:rPr>
          <w:rFonts w:ascii="Arial" w:hAnsi="Arial" w:cs="Arial"/>
        </w:rPr>
        <w:t xml:space="preserve"> made with raw chicken</w:t>
      </w:r>
      <w:r>
        <w:rPr>
          <w:rFonts w:ascii="Arial" w:hAnsi="Arial" w:cs="Arial"/>
          <w:vertAlign w:val="superscript"/>
        </w:rPr>
        <w:t>2</w:t>
      </w:r>
      <w:r w:rsidRPr="00F64A2D">
        <w:rPr>
          <w:rFonts w:ascii="Arial" w:hAnsi="Arial" w:cs="Arial"/>
        </w:rPr>
        <w:t xml:space="preserve"> obtained from a local grocery store and mixed, according to manufacturer’s</w:t>
      </w:r>
      <w:r>
        <w:rPr>
          <w:rFonts w:ascii="Arial" w:hAnsi="Arial" w:cs="Arial"/>
        </w:rPr>
        <w:t>.</w:t>
      </w:r>
      <w:r w:rsidRPr="0013003D">
        <w:rPr>
          <w:rFonts w:ascii="Arial" w:hAnsi="Arial" w:cs="Arial"/>
        </w:rPr>
        <w:t>instructions, with a popular commercial food supplement</w:t>
      </w:r>
      <w:r w:rsidRPr="0013003D">
        <w:rPr>
          <w:rFonts w:ascii="Arial" w:hAnsi="Arial" w:cs="Arial"/>
          <w:vertAlign w:val="superscript"/>
        </w:rPr>
        <w:t>5</w:t>
      </w:r>
      <w:r w:rsidRPr="0013003D">
        <w:rPr>
          <w:rFonts w:ascii="Arial" w:hAnsi="Arial" w:cs="Arial"/>
        </w:rPr>
        <w:t xml:space="preserve"> designed to balance a raw meat diet.  The homemade diet was prepared every 2 weeks and immediately frozen.</w:t>
      </w:r>
    </w:p>
    <w:p w:rsidR="00330CF1" w:rsidRPr="0013003D" w:rsidRDefault="00330CF1" w:rsidP="0013003D">
      <w:pPr>
        <w:rPr>
          <w:rFonts w:ascii="Arial" w:hAnsi="Arial" w:cs="Arial"/>
        </w:rPr>
      </w:pPr>
      <w:r w:rsidRPr="0013003D">
        <w:rPr>
          <w:rFonts w:ascii="Arial" w:hAnsi="Arial" w:cs="Arial"/>
        </w:rPr>
        <w:t xml:space="preserve">All raw foods were kept frozen until 1 day before feeding, when they were transferred to a refrigerator in preparation for feeding the next day.  Each group was fed three times daily a quantity of food in excess of daily needs to ensure adequate food intake.  The length of the feeding trial was 10 weeks.  Water was available at all times.  </w:t>
      </w:r>
    </w:p>
    <w:p w:rsidR="00330CF1" w:rsidRDefault="00330CF1" w:rsidP="00531173">
      <w:pPr>
        <w:pStyle w:val="Heading3"/>
        <w:rPr>
          <w:b w:val="0"/>
          <w:i w:val="0"/>
        </w:rPr>
      </w:pPr>
      <w:r w:rsidRPr="00F664D6">
        <w:rPr>
          <w:i w:val="0"/>
        </w:rPr>
        <w:t>Fecal collection and scoring</w:t>
      </w:r>
      <w:r w:rsidRPr="00531173">
        <w:rPr>
          <w:i w:val="0"/>
        </w:rPr>
        <w:t>:</w:t>
      </w:r>
      <w:r>
        <w:rPr>
          <w:i w:val="0"/>
        </w:rPr>
        <w:t xml:space="preserve"> </w:t>
      </w:r>
      <w:r>
        <w:rPr>
          <w:b w:val="0"/>
          <w:i w:val="0"/>
        </w:rPr>
        <w:t xml:space="preserve">Feces were scored and recorded daily by the same individual (BAH) during the 10-week feeding trial.  Scoring was done using a 5 point scale as follows: 1 = watery, liquid that can be poured, 2 = soft, unformed stool, 3 = soft, moist, formed stool, 4 = dry, well formed stool, 5 = hard, dry pellets.  Diarrhea was defined as two or more days of fecal scores ≤ 2. </w:t>
      </w:r>
    </w:p>
    <w:p w:rsidR="00330CF1" w:rsidRPr="00B36AF1" w:rsidRDefault="00330CF1" w:rsidP="00B36AF1">
      <w:pPr>
        <w:pStyle w:val="Heading3"/>
        <w:rPr>
          <w:b w:val="0"/>
          <w:i w:val="0"/>
        </w:rPr>
      </w:pPr>
      <w:r w:rsidRPr="00F664D6">
        <w:rPr>
          <w:i w:val="0"/>
        </w:rPr>
        <w:t>Food cultures</w:t>
      </w:r>
      <w:r>
        <w:rPr>
          <w:i w:val="0"/>
        </w:rPr>
        <w:t xml:space="preserve">: </w:t>
      </w:r>
      <w:r>
        <w:rPr>
          <w:b w:val="0"/>
          <w:i w:val="0"/>
        </w:rPr>
        <w:t xml:space="preserve">Samples of all three diets were cultured for </w:t>
      </w:r>
      <w:r>
        <w:rPr>
          <w:b w:val="0"/>
        </w:rPr>
        <w:t>Salmonella</w:t>
      </w:r>
      <w:r>
        <w:rPr>
          <w:b w:val="0"/>
          <w:i w:val="0"/>
        </w:rPr>
        <w:t xml:space="preserve">, </w:t>
      </w:r>
      <w:r>
        <w:rPr>
          <w:b w:val="0"/>
        </w:rPr>
        <w:t>Campylobacter</w:t>
      </w:r>
      <w:r>
        <w:rPr>
          <w:b w:val="0"/>
          <w:i w:val="0"/>
        </w:rPr>
        <w:t xml:space="preserve">, </w:t>
      </w:r>
      <w:r>
        <w:rPr>
          <w:b w:val="0"/>
        </w:rPr>
        <w:t>Clostridium perfringens</w:t>
      </w:r>
      <w:r>
        <w:rPr>
          <w:b w:val="0"/>
          <w:i w:val="0"/>
        </w:rPr>
        <w:t xml:space="preserve">, and </w:t>
      </w:r>
      <w:r>
        <w:rPr>
          <w:b w:val="0"/>
        </w:rPr>
        <w:t xml:space="preserve">Clostridium difficile </w:t>
      </w:r>
      <w:r>
        <w:rPr>
          <w:b w:val="0"/>
          <w:i w:val="0"/>
        </w:rPr>
        <w:t>prior to the beginning of the initial feeding trial group by the University of Tennessee Veterinary Medical Center Diagnostic Laboratory.  At the end of the study, total aerobic plate counts were done on all the diets.  The raw diets were submitted for plate counts immediately from the refrigerator, while the control diet was submitted directly from the can.  Total aerobic plate counts were performed by Silliker Laboratory</w:t>
      </w:r>
      <w:r>
        <w:rPr>
          <w:b w:val="0"/>
          <w:i w:val="0"/>
          <w:vertAlign w:val="superscript"/>
        </w:rPr>
        <w:t>3</w:t>
      </w:r>
      <w:r>
        <w:rPr>
          <w:b w:val="0"/>
          <w:i w:val="0"/>
        </w:rPr>
        <w:t xml:space="preserve">.  </w:t>
      </w:r>
    </w:p>
    <w:p w:rsidR="00330CF1" w:rsidRDefault="00330CF1" w:rsidP="00086F79">
      <w:pPr>
        <w:pStyle w:val="Heading3"/>
        <w:rPr>
          <w:b w:val="0"/>
          <w:i w:val="0"/>
        </w:rPr>
      </w:pPr>
      <w:r w:rsidRPr="00F664D6">
        <w:rPr>
          <w:i w:val="0"/>
        </w:rPr>
        <w:t>Fecal cultures</w:t>
      </w:r>
      <w:r w:rsidRPr="009F7131">
        <w:rPr>
          <w:i w:val="0"/>
        </w:rPr>
        <w:t>:</w:t>
      </w:r>
      <w:r>
        <w:rPr>
          <w:i w:val="0"/>
        </w:rPr>
        <w:t xml:space="preserve"> </w:t>
      </w:r>
      <w:r>
        <w:rPr>
          <w:b w:val="0"/>
          <w:i w:val="0"/>
        </w:rPr>
        <w:t xml:space="preserve">Composite feces for each five feeding trial groups were cultured for </w:t>
      </w:r>
      <w:r>
        <w:rPr>
          <w:b w:val="0"/>
        </w:rPr>
        <w:t>Salmonella</w:t>
      </w:r>
      <w:r>
        <w:rPr>
          <w:b w:val="0"/>
          <w:i w:val="0"/>
        </w:rPr>
        <w:t xml:space="preserve"> spp.</w:t>
      </w:r>
      <w:r>
        <w:rPr>
          <w:b w:val="0"/>
        </w:rPr>
        <w:t>, Clostridium</w:t>
      </w:r>
      <w:r>
        <w:rPr>
          <w:b w:val="0"/>
          <w:i w:val="0"/>
        </w:rPr>
        <w:t xml:space="preserve"> spp.</w:t>
      </w:r>
      <w:r>
        <w:rPr>
          <w:b w:val="0"/>
        </w:rPr>
        <w:t>, Campylobacter</w:t>
      </w:r>
      <w:r>
        <w:rPr>
          <w:b w:val="0"/>
          <w:i w:val="0"/>
        </w:rPr>
        <w:t xml:space="preserve"> spp. at week 0, 5 and 10 of the feeding trial, with the exception of the first feeding trial group when only week 0 and week 10 composite feces were cultured.  If a composite culture was positive for </w:t>
      </w:r>
      <w:r>
        <w:rPr>
          <w:b w:val="0"/>
        </w:rPr>
        <w:t xml:space="preserve">Salmonella </w:t>
      </w:r>
      <w:r>
        <w:rPr>
          <w:b w:val="0"/>
          <w:i w:val="0"/>
        </w:rPr>
        <w:t>spp.</w:t>
      </w:r>
      <w:r>
        <w:rPr>
          <w:b w:val="0"/>
        </w:rPr>
        <w:t xml:space="preserve">, </w:t>
      </w:r>
      <w:r>
        <w:rPr>
          <w:b w:val="0"/>
          <w:i w:val="0"/>
        </w:rPr>
        <w:t xml:space="preserve">or </w:t>
      </w:r>
      <w:r>
        <w:rPr>
          <w:b w:val="0"/>
        </w:rPr>
        <w:t xml:space="preserve">Campylobacter </w:t>
      </w:r>
      <w:r>
        <w:rPr>
          <w:b w:val="0"/>
          <w:i w:val="0"/>
        </w:rPr>
        <w:t xml:space="preserve">spp., all kittens in that group would have individual fecal cultures submitted to determine the source of the infection.  Feces were also cultured from individual kittens that developed diarrhea during the feeding trial with the exception of the first feeding trial group.  In the last group, week 5 composite cultures were separated by control vs raw feeders and submitted for analysis.  </w:t>
      </w:r>
    </w:p>
    <w:p w:rsidR="00330CF1" w:rsidRPr="00086F79" w:rsidRDefault="00330CF1" w:rsidP="00086F79"/>
    <w:p w:rsidR="00330CF1" w:rsidRDefault="00330CF1" w:rsidP="009F7C9F">
      <w:pPr>
        <w:pStyle w:val="Heading1"/>
        <w:jc w:val="center"/>
      </w:pPr>
      <w:bookmarkStart w:id="57" w:name="_Toc305485891"/>
      <w:r>
        <w:t>Results</w:t>
      </w:r>
      <w:bookmarkEnd w:id="57"/>
    </w:p>
    <w:p w:rsidR="00330CF1" w:rsidRPr="009F7C9F" w:rsidRDefault="00330CF1" w:rsidP="009F7C9F"/>
    <w:p w:rsidR="00330CF1" w:rsidRDefault="00330CF1" w:rsidP="00525815">
      <w:pPr>
        <w:rPr>
          <w:rFonts w:ascii="Arial" w:hAnsi="Arial" w:cs="Arial"/>
        </w:rPr>
      </w:pPr>
      <w:r>
        <w:t xml:space="preserve">     </w:t>
      </w:r>
      <w:r>
        <w:rPr>
          <w:rFonts w:ascii="Arial" w:hAnsi="Arial" w:cs="Arial"/>
        </w:rPr>
        <w:t xml:space="preserve">Five groups of kittens were put through the feeding trial over a 3-year period.  Table 5.1 lists the results of composite cultures submitted for each group of kittens by week.  All of the groups had increases in </w:t>
      </w:r>
      <w:r>
        <w:rPr>
          <w:rFonts w:ascii="Arial" w:hAnsi="Arial" w:cs="Arial"/>
          <w:i/>
        </w:rPr>
        <w:t xml:space="preserve">Clostridium </w:t>
      </w:r>
      <w:r w:rsidRPr="0067755C">
        <w:rPr>
          <w:rFonts w:ascii="Arial" w:hAnsi="Arial" w:cs="Arial"/>
          <w:i/>
        </w:rPr>
        <w:t>perfringens</w:t>
      </w:r>
      <w:r>
        <w:rPr>
          <w:rFonts w:ascii="Arial" w:hAnsi="Arial" w:cs="Arial"/>
        </w:rPr>
        <w:t xml:space="preserve"> over the 10 week feeding trial.  In the last group when the cultures were separated by control vs raw diet, no increases in </w:t>
      </w:r>
      <w:r>
        <w:rPr>
          <w:rFonts w:ascii="Arial" w:hAnsi="Arial" w:cs="Arial"/>
          <w:i/>
        </w:rPr>
        <w:t xml:space="preserve">C. perfringens </w:t>
      </w:r>
      <w:r>
        <w:rPr>
          <w:rFonts w:ascii="Arial" w:hAnsi="Arial" w:cs="Arial"/>
        </w:rPr>
        <w:t xml:space="preserve">were noted in the control group while the raw feeders had increased </w:t>
      </w:r>
      <w:r>
        <w:rPr>
          <w:rFonts w:ascii="Arial" w:hAnsi="Arial" w:cs="Arial"/>
          <w:i/>
        </w:rPr>
        <w:t>C. perfringens</w:t>
      </w:r>
      <w:r>
        <w:rPr>
          <w:rFonts w:ascii="Arial" w:hAnsi="Arial" w:cs="Arial"/>
        </w:rPr>
        <w:t xml:space="preserve"> numbers.  </w:t>
      </w:r>
    </w:p>
    <w:p w:rsidR="00330CF1" w:rsidRDefault="00330CF1" w:rsidP="00543034">
      <w:pPr>
        <w:rPr>
          <w:rFonts w:ascii="Arial" w:hAnsi="Arial" w:cs="Arial"/>
          <w:sz w:val="20"/>
          <w:szCs w:val="20"/>
        </w:rPr>
      </w:pPr>
      <w:r>
        <w:rPr>
          <w:rFonts w:ascii="Arial" w:hAnsi="Arial" w:cs="Arial"/>
          <w:sz w:val="20"/>
          <w:szCs w:val="20"/>
        </w:rPr>
        <w:t>_______________________________________________________</w:t>
      </w:r>
    </w:p>
    <w:p w:rsidR="00330CF1" w:rsidRPr="000238DF" w:rsidRDefault="00330CF1" w:rsidP="00B64609">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0238DF">
        <w:rPr>
          <w:rFonts w:ascii="Arial" w:hAnsi="Arial" w:cs="Arial"/>
          <w:sz w:val="20"/>
          <w:szCs w:val="20"/>
        </w:rPr>
        <w:t>TCFeline Plus Cat Food Premix with beef liver.  TCFeline®, Salt Spring Island, BC, Canada</w:t>
      </w:r>
    </w:p>
    <w:p w:rsidR="00330CF1" w:rsidRDefault="00330CF1" w:rsidP="00B64609">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  </w:t>
      </w:r>
      <w:r w:rsidRPr="000238DF">
        <w:rPr>
          <w:rFonts w:ascii="Arial" w:hAnsi="Arial" w:cs="Arial"/>
          <w:sz w:val="20"/>
          <w:szCs w:val="20"/>
        </w:rPr>
        <w:t>Tyson boneless, skinless chicken breast. Tyson Foods Inc., Springdale, AR</w:t>
      </w:r>
    </w:p>
    <w:p w:rsidR="00330CF1" w:rsidRPr="00EA33C6" w:rsidRDefault="00330CF1" w:rsidP="00E422BA">
      <w:pPr>
        <w:rPr>
          <w:rFonts w:ascii="Arial" w:hAnsi="Arial" w:cs="Arial"/>
          <w:sz w:val="20"/>
          <w:szCs w:val="20"/>
        </w:rPr>
      </w:pPr>
      <w:r>
        <w:rPr>
          <w:rFonts w:ascii="Arial" w:hAnsi="Arial" w:cs="Arial"/>
          <w:sz w:val="20"/>
          <w:szCs w:val="20"/>
          <w:vertAlign w:val="superscript"/>
        </w:rPr>
        <w:t>3</w:t>
      </w:r>
      <w:r>
        <w:rPr>
          <w:rFonts w:ascii="Arial" w:hAnsi="Arial" w:cs="Arial"/>
          <w:sz w:val="20"/>
          <w:szCs w:val="20"/>
        </w:rPr>
        <w:t xml:space="preserve">  </w:t>
      </w:r>
      <w:r w:rsidRPr="00543034">
        <w:rPr>
          <w:rFonts w:ascii="Arial" w:hAnsi="Arial" w:cs="Arial"/>
          <w:sz w:val="20"/>
          <w:szCs w:val="20"/>
        </w:rPr>
        <w:t xml:space="preserve">Silliker. Merieux Nutrisciences Corporation,  Chicago, IL </w:t>
      </w:r>
      <w:bookmarkStart w:id="58" w:name="_Toc305485892"/>
    </w:p>
    <w:p w:rsidR="00330CF1" w:rsidRDefault="00330CF1" w:rsidP="00E422BA">
      <w:pPr>
        <w:jc w:val="center"/>
        <w:rPr>
          <w:rFonts w:ascii="Arial" w:hAnsi="Arial" w:cs="Arial"/>
          <w:color w:val="C00000"/>
        </w:rPr>
      </w:pPr>
    </w:p>
    <w:p w:rsidR="00330CF1" w:rsidRDefault="00330CF1" w:rsidP="00E745D8">
      <w:pPr>
        <w:rPr>
          <w:rFonts w:ascii="Arial" w:hAnsi="Arial" w:cs="Arial"/>
          <w:color w:val="C00000"/>
        </w:rPr>
      </w:pPr>
    </w:p>
    <w:p w:rsidR="00330CF1" w:rsidRDefault="00330CF1" w:rsidP="00E422BA">
      <w:pPr>
        <w:jc w:val="center"/>
        <w:rPr>
          <w:rFonts w:ascii="Arial" w:hAnsi="Arial" w:cs="Arial"/>
          <w:color w:val="C00000"/>
        </w:rPr>
      </w:pPr>
    </w:p>
    <w:p w:rsidR="00330CF1" w:rsidRPr="00EA33C6" w:rsidRDefault="00330CF1" w:rsidP="00E422BA">
      <w:pPr>
        <w:jc w:val="center"/>
        <w:rPr>
          <w:rFonts w:ascii="Arial" w:hAnsi="Arial" w:cs="Arial"/>
          <w:color w:val="C00000"/>
        </w:rPr>
      </w:pPr>
      <w:r w:rsidRPr="003E1E9B">
        <w:rPr>
          <w:rFonts w:ascii="Arial" w:hAnsi="Arial" w:cs="Arial"/>
          <w:b/>
        </w:rPr>
        <w:t>Table 6.1</w:t>
      </w:r>
      <w:r w:rsidRPr="003E1E9B">
        <w:rPr>
          <w:rFonts w:ascii="Arial" w:hAnsi="Arial" w:cs="Arial"/>
        </w:rPr>
        <w:t xml:space="preserve"> Composite fecal cultures (colonies)</w:t>
      </w:r>
    </w:p>
    <w:p w:rsidR="00330CF1" w:rsidRPr="009709B7" w:rsidRDefault="00330CF1" w:rsidP="007C694C">
      <w:pPr>
        <w:jc w:val="center"/>
        <w:rPr>
          <w:rFonts w:ascii="Arial" w:hAnsi="Arial" w:cs="Arial"/>
        </w:rPr>
      </w:pPr>
    </w:p>
    <w:tbl>
      <w:tblPr>
        <w:tblStyle w:val="TableGrid"/>
        <w:tblW w:w="0" w:type="auto"/>
        <w:tblLook w:val="04A0" w:firstRow="1" w:lastRow="0" w:firstColumn="1" w:lastColumn="0" w:noHBand="0" w:noVBand="1"/>
      </w:tblPr>
      <w:tblGrid>
        <w:gridCol w:w="1948"/>
        <w:gridCol w:w="7160"/>
      </w:tblGrid>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Group / Week</w:t>
            </w:r>
          </w:p>
        </w:tc>
        <w:tc>
          <w:tcPr>
            <w:tcW w:w="7160" w:type="dxa"/>
          </w:tcPr>
          <w:p w:rsidR="00330CF1" w:rsidRPr="009709B7" w:rsidRDefault="00330CF1" w:rsidP="00EA404A">
            <w:pPr>
              <w:jc w:val="center"/>
              <w:rPr>
                <w:rFonts w:ascii="Arial" w:hAnsi="Arial" w:cs="Arial"/>
              </w:rPr>
            </w:pPr>
            <w:r>
              <w:rPr>
                <w:rFonts w:ascii="Arial" w:hAnsi="Arial" w:cs="Arial"/>
              </w:rPr>
              <w:t>Fecal cultures</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Group 1</w:t>
            </w:r>
          </w:p>
        </w:tc>
        <w:tc>
          <w:tcPr>
            <w:tcW w:w="7160" w:type="dxa"/>
          </w:tcPr>
          <w:p w:rsidR="00330CF1" w:rsidRPr="009709B7" w:rsidRDefault="00330CF1" w:rsidP="002D52C1">
            <w:pPr>
              <w:rPr>
                <w:rFonts w:ascii="Arial" w:hAnsi="Arial" w:cs="Arial"/>
              </w:rPr>
            </w:pP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0</w:t>
            </w:r>
          </w:p>
        </w:tc>
        <w:tc>
          <w:tcPr>
            <w:tcW w:w="7160" w:type="dxa"/>
          </w:tcPr>
          <w:p w:rsidR="00330CF1" w:rsidRDefault="00330CF1" w:rsidP="009709B7">
            <w:pPr>
              <w:pStyle w:val="ListParagraph"/>
              <w:numPr>
                <w:ilvl w:val="0"/>
                <w:numId w:val="8"/>
              </w:numPr>
              <w:rPr>
                <w:rFonts w:ascii="Arial" w:hAnsi="Arial" w:cs="Arial"/>
              </w:rPr>
            </w:pPr>
            <w:r w:rsidRPr="009709B7">
              <w:rPr>
                <w:rFonts w:ascii="Arial" w:hAnsi="Arial" w:cs="Arial"/>
              </w:rPr>
              <w:t xml:space="preserve">500 </w:t>
            </w:r>
            <w:r w:rsidRPr="009709B7">
              <w:rPr>
                <w:rFonts w:ascii="Arial" w:hAnsi="Arial" w:cs="Arial"/>
                <w:i/>
              </w:rPr>
              <w:t>E. coli</w:t>
            </w:r>
            <w:r w:rsidRPr="009709B7">
              <w:rPr>
                <w:rFonts w:ascii="Arial" w:hAnsi="Arial" w:cs="Arial"/>
              </w:rPr>
              <w:t xml:space="preserve"> </w:t>
            </w:r>
          </w:p>
          <w:p w:rsidR="00330CF1" w:rsidRPr="00342A19" w:rsidRDefault="00330CF1" w:rsidP="00342A19">
            <w:pPr>
              <w:pStyle w:val="ListParagraph"/>
              <w:numPr>
                <w:ilvl w:val="0"/>
                <w:numId w:val="8"/>
              </w:numPr>
              <w:rPr>
                <w:rFonts w:ascii="Arial" w:hAnsi="Arial" w:cs="Arial"/>
              </w:rPr>
            </w:pPr>
            <w:r w:rsidRPr="009709B7">
              <w:rPr>
                <w:rFonts w:ascii="Arial" w:hAnsi="Arial" w:cs="Arial"/>
              </w:rPr>
              <w:t xml:space="preserve">No </w:t>
            </w:r>
            <w:r w:rsidRPr="009709B7">
              <w:rPr>
                <w:rFonts w:ascii="Arial" w:hAnsi="Arial" w:cs="Arial"/>
                <w:i/>
              </w:rPr>
              <w:t>Salmonella</w:t>
            </w:r>
            <w:r>
              <w:rPr>
                <w:rFonts w:ascii="Arial" w:hAnsi="Arial" w:cs="Arial"/>
              </w:rPr>
              <w:t xml:space="preserve"> spp.</w:t>
            </w:r>
            <w:r w:rsidRPr="009709B7">
              <w:rPr>
                <w:rFonts w:ascii="Arial" w:hAnsi="Arial" w:cs="Arial"/>
                <w:i/>
              </w:rPr>
              <w:t>,</w:t>
            </w:r>
            <w:r w:rsidRPr="009709B7">
              <w:rPr>
                <w:rFonts w:ascii="Arial" w:hAnsi="Arial" w:cs="Arial"/>
              </w:rPr>
              <w:t xml:space="preserve"> </w:t>
            </w:r>
            <w:r w:rsidRPr="009709B7">
              <w:rPr>
                <w:rFonts w:ascii="Arial" w:hAnsi="Arial" w:cs="Arial"/>
                <w:i/>
              </w:rPr>
              <w:t>Campylobacter</w:t>
            </w:r>
            <w:r>
              <w:rPr>
                <w:rFonts w:ascii="Arial" w:hAnsi="Arial" w:cs="Arial"/>
                <w:i/>
              </w:rPr>
              <w:t xml:space="preserve"> </w:t>
            </w:r>
            <w:r>
              <w:rPr>
                <w:rFonts w:ascii="Arial" w:hAnsi="Arial" w:cs="Arial"/>
              </w:rPr>
              <w:t>spp.</w:t>
            </w:r>
            <w:r>
              <w:rPr>
                <w:rFonts w:ascii="Arial" w:hAnsi="Arial" w:cs="Arial"/>
                <w:i/>
              </w:rPr>
              <w:t xml:space="preserve">, Clostridium </w:t>
            </w:r>
            <w:r w:rsidRPr="009709B7">
              <w:rPr>
                <w:rFonts w:ascii="Arial" w:hAnsi="Arial" w:cs="Arial"/>
                <w:i/>
              </w:rPr>
              <w:t>perf</w:t>
            </w:r>
            <w:r>
              <w:rPr>
                <w:rFonts w:ascii="Arial" w:hAnsi="Arial" w:cs="Arial"/>
                <w:i/>
              </w:rPr>
              <w:t xml:space="preserve">ringens, </w:t>
            </w:r>
            <w:r w:rsidRPr="00342A19">
              <w:rPr>
                <w:rFonts w:ascii="Arial" w:hAnsi="Arial" w:cs="Arial"/>
                <w:i/>
              </w:rPr>
              <w:t>C</w:t>
            </w:r>
            <w:r>
              <w:rPr>
                <w:rFonts w:ascii="Arial" w:hAnsi="Arial" w:cs="Arial"/>
                <w:i/>
              </w:rPr>
              <w:t>lostridium</w:t>
            </w:r>
            <w:r w:rsidRPr="00342A19">
              <w:rPr>
                <w:rFonts w:ascii="Arial" w:hAnsi="Arial" w:cs="Arial"/>
                <w:i/>
              </w:rPr>
              <w:t xml:space="preserve"> difficile</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10</w:t>
            </w:r>
          </w:p>
        </w:tc>
        <w:tc>
          <w:tcPr>
            <w:tcW w:w="7160" w:type="dxa"/>
          </w:tcPr>
          <w:p w:rsidR="00330CF1" w:rsidRPr="008906FD" w:rsidRDefault="00330CF1" w:rsidP="009709B7">
            <w:pPr>
              <w:pStyle w:val="ListParagraph"/>
              <w:numPr>
                <w:ilvl w:val="0"/>
                <w:numId w:val="8"/>
              </w:numPr>
              <w:rPr>
                <w:rFonts w:ascii="Arial" w:hAnsi="Arial" w:cs="Arial"/>
              </w:rPr>
            </w:pPr>
            <w:r>
              <w:rPr>
                <w:rFonts w:ascii="Arial" w:hAnsi="Arial" w:cs="Arial"/>
              </w:rPr>
              <w:t xml:space="preserve">500 </w:t>
            </w:r>
            <w:r w:rsidRPr="009709B7">
              <w:rPr>
                <w:rFonts w:ascii="Arial" w:hAnsi="Arial" w:cs="Arial"/>
                <w:i/>
              </w:rPr>
              <w:t>C</w:t>
            </w:r>
            <w:r>
              <w:rPr>
                <w:rFonts w:ascii="Arial" w:hAnsi="Arial" w:cs="Arial"/>
                <w:i/>
              </w:rPr>
              <w:t>lostridium.</w:t>
            </w:r>
            <w:r w:rsidRPr="009709B7">
              <w:rPr>
                <w:rFonts w:ascii="Arial" w:hAnsi="Arial" w:cs="Arial"/>
                <w:i/>
              </w:rPr>
              <w:t xml:space="preserve"> perf</w:t>
            </w:r>
            <w:r>
              <w:rPr>
                <w:rFonts w:ascii="Arial" w:hAnsi="Arial" w:cs="Arial"/>
                <w:i/>
              </w:rPr>
              <w:t>ringens</w:t>
            </w:r>
          </w:p>
          <w:p w:rsidR="00330CF1" w:rsidRPr="009709B7" w:rsidRDefault="00330CF1" w:rsidP="009709B7">
            <w:pPr>
              <w:pStyle w:val="ListParagraph"/>
              <w:numPr>
                <w:ilvl w:val="0"/>
                <w:numId w:val="8"/>
              </w:numPr>
              <w:rPr>
                <w:rFonts w:ascii="Arial" w:hAnsi="Arial" w:cs="Arial"/>
              </w:rPr>
            </w:pPr>
            <w:r w:rsidRPr="009709B7">
              <w:rPr>
                <w:rFonts w:ascii="Arial" w:hAnsi="Arial" w:cs="Arial"/>
              </w:rPr>
              <w:t xml:space="preserve">No </w:t>
            </w:r>
            <w:r w:rsidRPr="009709B7">
              <w:rPr>
                <w:rFonts w:ascii="Arial" w:hAnsi="Arial" w:cs="Arial"/>
                <w:i/>
              </w:rPr>
              <w:t>Salmonella</w:t>
            </w:r>
            <w:r>
              <w:rPr>
                <w:rFonts w:ascii="Arial" w:hAnsi="Arial" w:cs="Arial"/>
              </w:rPr>
              <w:t xml:space="preserve"> spp</w:t>
            </w:r>
            <w:r w:rsidRPr="009709B7">
              <w:rPr>
                <w:rFonts w:ascii="Arial" w:hAnsi="Arial" w:cs="Arial"/>
                <w:i/>
              </w:rPr>
              <w:t>,</w:t>
            </w:r>
            <w:r w:rsidRPr="009709B7">
              <w:rPr>
                <w:rFonts w:ascii="Arial" w:hAnsi="Arial" w:cs="Arial"/>
              </w:rPr>
              <w:t xml:space="preserve"> </w:t>
            </w:r>
            <w:r w:rsidRPr="009709B7">
              <w:rPr>
                <w:rFonts w:ascii="Arial" w:hAnsi="Arial" w:cs="Arial"/>
                <w:i/>
              </w:rPr>
              <w:t>Campylobacter</w:t>
            </w:r>
            <w:r>
              <w:rPr>
                <w:rFonts w:ascii="Arial" w:hAnsi="Arial" w:cs="Arial"/>
                <w:i/>
              </w:rPr>
              <w:t xml:space="preserve"> </w:t>
            </w:r>
            <w:r>
              <w:rPr>
                <w:rFonts w:ascii="Arial" w:hAnsi="Arial" w:cs="Arial"/>
              </w:rPr>
              <w:t>spp</w:t>
            </w:r>
            <w:r>
              <w:rPr>
                <w:rFonts w:ascii="Arial" w:hAnsi="Arial" w:cs="Arial"/>
                <w:i/>
              </w:rPr>
              <w:t>, Clostridium difficile</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Group 2</w:t>
            </w:r>
          </w:p>
        </w:tc>
        <w:tc>
          <w:tcPr>
            <w:tcW w:w="7160" w:type="dxa"/>
          </w:tcPr>
          <w:p w:rsidR="00330CF1" w:rsidRPr="009709B7" w:rsidRDefault="00330CF1" w:rsidP="002D52C1">
            <w:pPr>
              <w:rPr>
                <w:rFonts w:ascii="Arial" w:hAnsi="Arial" w:cs="Arial"/>
              </w:rPr>
            </w:pP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0</w:t>
            </w:r>
          </w:p>
        </w:tc>
        <w:tc>
          <w:tcPr>
            <w:tcW w:w="7160" w:type="dxa"/>
          </w:tcPr>
          <w:p w:rsidR="00330CF1" w:rsidRDefault="00330CF1" w:rsidP="009709B7">
            <w:pPr>
              <w:pStyle w:val="ListParagraph"/>
              <w:numPr>
                <w:ilvl w:val="0"/>
                <w:numId w:val="8"/>
              </w:numPr>
              <w:rPr>
                <w:rFonts w:ascii="Arial" w:hAnsi="Arial" w:cs="Arial"/>
              </w:rPr>
            </w:pPr>
            <w:r>
              <w:rPr>
                <w:rFonts w:ascii="Arial" w:hAnsi="Arial" w:cs="Arial"/>
              </w:rPr>
              <w:t xml:space="preserve">100 </w:t>
            </w:r>
            <w:r w:rsidRPr="009709B7">
              <w:rPr>
                <w:rFonts w:ascii="Arial" w:hAnsi="Arial" w:cs="Arial"/>
                <w:i/>
              </w:rPr>
              <w:t>C</w:t>
            </w:r>
            <w:r>
              <w:rPr>
                <w:rFonts w:ascii="Arial" w:hAnsi="Arial" w:cs="Arial"/>
                <w:i/>
              </w:rPr>
              <w:t>lostridium</w:t>
            </w:r>
            <w:r w:rsidRPr="009709B7">
              <w:rPr>
                <w:rFonts w:ascii="Arial" w:hAnsi="Arial" w:cs="Arial"/>
                <w:i/>
              </w:rPr>
              <w:t xml:space="preserve"> perf</w:t>
            </w:r>
            <w:r>
              <w:rPr>
                <w:rFonts w:ascii="Arial" w:hAnsi="Arial" w:cs="Arial"/>
                <w:i/>
              </w:rPr>
              <w:t>ringens</w:t>
            </w:r>
            <w:r w:rsidRPr="009709B7">
              <w:rPr>
                <w:rFonts w:ascii="Arial" w:hAnsi="Arial" w:cs="Arial"/>
                <w:i/>
              </w:rPr>
              <w:t>,</w:t>
            </w:r>
            <w:r w:rsidRPr="009709B7">
              <w:rPr>
                <w:rFonts w:ascii="Arial" w:hAnsi="Arial" w:cs="Arial"/>
              </w:rPr>
              <w:t xml:space="preserve">  </w:t>
            </w:r>
          </w:p>
          <w:p w:rsidR="00330CF1" w:rsidRPr="009709B7" w:rsidRDefault="00330CF1" w:rsidP="009709B7">
            <w:pPr>
              <w:pStyle w:val="ListParagraph"/>
              <w:numPr>
                <w:ilvl w:val="0"/>
                <w:numId w:val="8"/>
              </w:numPr>
              <w:rPr>
                <w:rFonts w:ascii="Arial" w:hAnsi="Arial" w:cs="Arial"/>
              </w:rPr>
            </w:pPr>
            <w:r w:rsidRPr="009709B7">
              <w:rPr>
                <w:rFonts w:ascii="Arial" w:hAnsi="Arial" w:cs="Arial"/>
              </w:rPr>
              <w:t xml:space="preserve">No </w:t>
            </w:r>
            <w:r w:rsidRPr="009709B7">
              <w:rPr>
                <w:rFonts w:ascii="Arial" w:hAnsi="Arial" w:cs="Arial"/>
                <w:i/>
              </w:rPr>
              <w:t>Salmonella</w:t>
            </w:r>
            <w:r>
              <w:rPr>
                <w:rFonts w:ascii="Arial" w:hAnsi="Arial" w:cs="Arial"/>
              </w:rPr>
              <w:t xml:space="preserve"> spp.</w:t>
            </w:r>
            <w:r w:rsidRPr="009709B7">
              <w:rPr>
                <w:rFonts w:ascii="Arial" w:hAnsi="Arial" w:cs="Arial"/>
                <w:i/>
              </w:rPr>
              <w:t>,</w:t>
            </w:r>
            <w:r w:rsidRPr="009709B7">
              <w:rPr>
                <w:rFonts w:ascii="Arial" w:hAnsi="Arial" w:cs="Arial"/>
              </w:rPr>
              <w:t xml:space="preserve"> </w:t>
            </w:r>
            <w:r w:rsidRPr="009709B7">
              <w:rPr>
                <w:rFonts w:ascii="Arial" w:hAnsi="Arial" w:cs="Arial"/>
                <w:i/>
              </w:rPr>
              <w:t>Campylobacter</w:t>
            </w:r>
            <w:r>
              <w:rPr>
                <w:rFonts w:ascii="Arial" w:hAnsi="Arial" w:cs="Arial"/>
                <w:i/>
              </w:rPr>
              <w:t xml:space="preserve"> </w:t>
            </w:r>
            <w:r>
              <w:rPr>
                <w:rFonts w:ascii="Arial" w:hAnsi="Arial" w:cs="Arial"/>
              </w:rPr>
              <w:t>spp.</w:t>
            </w:r>
            <w:r>
              <w:rPr>
                <w:rFonts w:ascii="Arial" w:hAnsi="Arial" w:cs="Arial"/>
                <w:i/>
              </w:rPr>
              <w:t>, Clostridium difficile</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10</w:t>
            </w:r>
          </w:p>
        </w:tc>
        <w:tc>
          <w:tcPr>
            <w:tcW w:w="7160" w:type="dxa"/>
          </w:tcPr>
          <w:p w:rsidR="00330CF1" w:rsidRDefault="00330CF1" w:rsidP="009709B7">
            <w:pPr>
              <w:pStyle w:val="ListParagraph"/>
              <w:numPr>
                <w:ilvl w:val="0"/>
                <w:numId w:val="8"/>
              </w:numPr>
              <w:rPr>
                <w:rFonts w:ascii="Arial" w:hAnsi="Arial" w:cs="Arial"/>
              </w:rPr>
            </w:pPr>
            <w:r>
              <w:rPr>
                <w:rFonts w:ascii="Arial" w:hAnsi="Arial" w:cs="Arial"/>
              </w:rPr>
              <w:t xml:space="preserve">1000 </w:t>
            </w:r>
            <w:r w:rsidRPr="009709B7">
              <w:rPr>
                <w:rFonts w:ascii="Arial" w:hAnsi="Arial" w:cs="Arial"/>
                <w:i/>
              </w:rPr>
              <w:t>C</w:t>
            </w:r>
            <w:r>
              <w:rPr>
                <w:rFonts w:ascii="Arial" w:hAnsi="Arial" w:cs="Arial"/>
                <w:i/>
              </w:rPr>
              <w:t>lostridium</w:t>
            </w:r>
            <w:r w:rsidRPr="009709B7">
              <w:rPr>
                <w:rFonts w:ascii="Arial" w:hAnsi="Arial" w:cs="Arial"/>
                <w:i/>
              </w:rPr>
              <w:t>. perf</w:t>
            </w:r>
            <w:r>
              <w:rPr>
                <w:rFonts w:ascii="Arial" w:hAnsi="Arial" w:cs="Arial"/>
                <w:i/>
              </w:rPr>
              <w:t>ringens</w:t>
            </w:r>
            <w:r w:rsidRPr="009709B7">
              <w:rPr>
                <w:rFonts w:ascii="Arial" w:hAnsi="Arial" w:cs="Arial"/>
              </w:rPr>
              <w:t xml:space="preserve">,   </w:t>
            </w:r>
            <w:r w:rsidRPr="00DC4DC9">
              <w:rPr>
                <w:rFonts w:ascii="Arial" w:hAnsi="Arial" w:cs="Arial"/>
                <w:color w:val="FF0000"/>
              </w:rPr>
              <w:t xml:space="preserve">positive </w:t>
            </w:r>
            <w:r w:rsidRPr="009709B7">
              <w:rPr>
                <w:rFonts w:ascii="Arial" w:hAnsi="Arial" w:cs="Arial"/>
                <w:color w:val="FF0000"/>
              </w:rPr>
              <w:t>**</w:t>
            </w:r>
            <w:r>
              <w:rPr>
                <w:rFonts w:ascii="Arial" w:hAnsi="Arial" w:cs="Arial"/>
                <w:i/>
                <w:color w:val="FF0000"/>
              </w:rPr>
              <w:t xml:space="preserve">Salmonella </w:t>
            </w:r>
            <w:r>
              <w:rPr>
                <w:rFonts w:ascii="Arial" w:hAnsi="Arial" w:cs="Arial"/>
                <w:color w:val="FF0000"/>
              </w:rPr>
              <w:t>serotype</w:t>
            </w:r>
            <w:r>
              <w:rPr>
                <w:rFonts w:ascii="Arial" w:hAnsi="Arial" w:cs="Arial"/>
                <w:i/>
                <w:color w:val="FF0000"/>
              </w:rPr>
              <w:t xml:space="preserve"> </w:t>
            </w:r>
            <w:r w:rsidRPr="00E31BB1">
              <w:rPr>
                <w:rFonts w:ascii="Arial" w:hAnsi="Arial" w:cs="Arial"/>
                <w:color w:val="FF0000"/>
              </w:rPr>
              <w:t>Enteritidis</w:t>
            </w:r>
            <w:r>
              <w:rPr>
                <w:rFonts w:ascii="Arial" w:hAnsi="Arial" w:cs="Arial"/>
                <w:i/>
                <w:color w:val="FF0000"/>
              </w:rPr>
              <w:t xml:space="preserve">- </w:t>
            </w:r>
            <w:r>
              <w:rPr>
                <w:rFonts w:ascii="Arial" w:hAnsi="Arial" w:cs="Arial"/>
                <w:color w:val="000000" w:themeColor="text1"/>
              </w:rPr>
              <w:t xml:space="preserve">all </w:t>
            </w:r>
            <w:r w:rsidRPr="00475006">
              <w:rPr>
                <w:rFonts w:ascii="Arial" w:hAnsi="Arial" w:cs="Arial"/>
              </w:rPr>
              <w:t>subsequent cultures negative</w:t>
            </w:r>
          </w:p>
          <w:p w:rsidR="00330CF1" w:rsidRPr="009709B7" w:rsidRDefault="00330CF1" w:rsidP="009709B7">
            <w:pPr>
              <w:pStyle w:val="ListParagraph"/>
              <w:numPr>
                <w:ilvl w:val="0"/>
                <w:numId w:val="8"/>
              </w:numPr>
              <w:rPr>
                <w:rFonts w:ascii="Arial" w:hAnsi="Arial" w:cs="Arial"/>
              </w:rPr>
            </w:pPr>
            <w:r w:rsidRPr="009709B7">
              <w:rPr>
                <w:rFonts w:ascii="Arial" w:hAnsi="Arial" w:cs="Arial"/>
              </w:rPr>
              <w:t xml:space="preserve">No </w:t>
            </w:r>
            <w:r w:rsidRPr="009709B7">
              <w:rPr>
                <w:rFonts w:ascii="Arial" w:hAnsi="Arial" w:cs="Arial"/>
                <w:i/>
              </w:rPr>
              <w:t>Campylobacter</w:t>
            </w:r>
            <w:r>
              <w:rPr>
                <w:rFonts w:ascii="Arial" w:hAnsi="Arial" w:cs="Arial"/>
                <w:i/>
              </w:rPr>
              <w:t xml:space="preserve"> </w:t>
            </w:r>
            <w:r>
              <w:rPr>
                <w:rFonts w:ascii="Arial" w:hAnsi="Arial" w:cs="Arial"/>
              </w:rPr>
              <w:t xml:space="preserve">spp. or </w:t>
            </w:r>
            <w:r w:rsidRPr="009709B7">
              <w:rPr>
                <w:rFonts w:ascii="Arial" w:hAnsi="Arial" w:cs="Arial"/>
                <w:i/>
              </w:rPr>
              <w:t>C</w:t>
            </w:r>
            <w:r>
              <w:rPr>
                <w:rFonts w:ascii="Arial" w:hAnsi="Arial" w:cs="Arial"/>
                <w:i/>
              </w:rPr>
              <w:t>lostridium diffici</w:t>
            </w:r>
            <w:r w:rsidRPr="009709B7">
              <w:rPr>
                <w:rFonts w:ascii="Arial" w:hAnsi="Arial" w:cs="Arial"/>
                <w:i/>
              </w:rPr>
              <w:t>le</w:t>
            </w:r>
            <w:r w:rsidRPr="009709B7">
              <w:rPr>
                <w:rFonts w:ascii="Arial" w:hAnsi="Arial" w:cs="Arial"/>
              </w:rPr>
              <w:t xml:space="preserve"> </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Group 3</w:t>
            </w:r>
          </w:p>
        </w:tc>
        <w:tc>
          <w:tcPr>
            <w:tcW w:w="7160" w:type="dxa"/>
          </w:tcPr>
          <w:p w:rsidR="00330CF1" w:rsidRPr="009709B7" w:rsidRDefault="00330CF1" w:rsidP="002D52C1">
            <w:pPr>
              <w:rPr>
                <w:rFonts w:ascii="Arial" w:hAnsi="Arial" w:cs="Arial"/>
              </w:rPr>
            </w:pP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0</w:t>
            </w:r>
          </w:p>
        </w:tc>
        <w:tc>
          <w:tcPr>
            <w:tcW w:w="7160" w:type="dxa"/>
          </w:tcPr>
          <w:p w:rsidR="00330CF1" w:rsidRDefault="00330CF1" w:rsidP="009709B7">
            <w:pPr>
              <w:pStyle w:val="ListParagraph"/>
              <w:numPr>
                <w:ilvl w:val="0"/>
                <w:numId w:val="8"/>
              </w:numPr>
              <w:rPr>
                <w:rFonts w:ascii="Arial" w:hAnsi="Arial" w:cs="Arial"/>
              </w:rPr>
            </w:pPr>
            <w:r>
              <w:rPr>
                <w:rFonts w:ascii="Arial" w:hAnsi="Arial" w:cs="Arial"/>
              </w:rPr>
              <w:t xml:space="preserve">500 </w:t>
            </w:r>
            <w:r>
              <w:rPr>
                <w:rFonts w:ascii="Arial" w:hAnsi="Arial" w:cs="Arial"/>
                <w:i/>
              </w:rPr>
              <w:t>Clostridium</w:t>
            </w:r>
            <w:r w:rsidRPr="009709B7">
              <w:rPr>
                <w:rFonts w:ascii="Arial" w:hAnsi="Arial" w:cs="Arial"/>
                <w:i/>
              </w:rPr>
              <w:t xml:space="preserve"> perf</w:t>
            </w:r>
            <w:r>
              <w:rPr>
                <w:rFonts w:ascii="Arial" w:hAnsi="Arial" w:cs="Arial"/>
                <w:i/>
              </w:rPr>
              <w:t>ringens</w:t>
            </w:r>
            <w:r w:rsidRPr="009709B7">
              <w:rPr>
                <w:rFonts w:ascii="Arial" w:hAnsi="Arial" w:cs="Arial"/>
              </w:rPr>
              <w:t xml:space="preserve"> </w:t>
            </w:r>
          </w:p>
          <w:p w:rsidR="00330CF1" w:rsidRPr="009709B7" w:rsidRDefault="00330CF1" w:rsidP="009709B7">
            <w:pPr>
              <w:pStyle w:val="ListParagraph"/>
              <w:numPr>
                <w:ilvl w:val="0"/>
                <w:numId w:val="8"/>
              </w:numPr>
              <w:rPr>
                <w:rFonts w:ascii="Arial" w:hAnsi="Arial" w:cs="Arial"/>
              </w:rPr>
            </w:pPr>
            <w:r w:rsidRPr="009709B7">
              <w:rPr>
                <w:rFonts w:ascii="Arial" w:hAnsi="Arial" w:cs="Arial"/>
              </w:rPr>
              <w:t xml:space="preserve">No </w:t>
            </w:r>
            <w:r w:rsidRPr="009709B7">
              <w:rPr>
                <w:rFonts w:ascii="Arial" w:hAnsi="Arial" w:cs="Arial"/>
                <w:i/>
              </w:rPr>
              <w:t>Salmonella</w:t>
            </w:r>
            <w:r>
              <w:rPr>
                <w:rFonts w:ascii="Arial" w:hAnsi="Arial" w:cs="Arial"/>
              </w:rPr>
              <w:t xml:space="preserve"> spp.</w:t>
            </w:r>
            <w:r w:rsidRPr="009709B7">
              <w:rPr>
                <w:rFonts w:ascii="Arial" w:hAnsi="Arial" w:cs="Arial"/>
                <w:i/>
              </w:rPr>
              <w:t>,</w:t>
            </w:r>
            <w:r w:rsidRPr="009709B7">
              <w:rPr>
                <w:rFonts w:ascii="Arial" w:hAnsi="Arial" w:cs="Arial"/>
              </w:rPr>
              <w:t xml:space="preserve"> </w:t>
            </w:r>
            <w:r w:rsidRPr="009709B7">
              <w:rPr>
                <w:rFonts w:ascii="Arial" w:hAnsi="Arial" w:cs="Arial"/>
                <w:i/>
              </w:rPr>
              <w:t>Campylobacter</w:t>
            </w:r>
            <w:r>
              <w:rPr>
                <w:rFonts w:ascii="Arial" w:hAnsi="Arial" w:cs="Arial"/>
                <w:i/>
              </w:rPr>
              <w:t xml:space="preserve"> </w:t>
            </w:r>
            <w:r>
              <w:rPr>
                <w:rFonts w:ascii="Arial" w:hAnsi="Arial" w:cs="Arial"/>
              </w:rPr>
              <w:t>spp.</w:t>
            </w:r>
            <w:r>
              <w:rPr>
                <w:rFonts w:ascii="Arial" w:hAnsi="Arial" w:cs="Arial"/>
                <w:i/>
              </w:rPr>
              <w:t>, Clostridium difficile</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5</w:t>
            </w:r>
          </w:p>
        </w:tc>
        <w:tc>
          <w:tcPr>
            <w:tcW w:w="7160" w:type="dxa"/>
          </w:tcPr>
          <w:p w:rsidR="00330CF1" w:rsidRPr="00500419" w:rsidRDefault="00330CF1" w:rsidP="00500419">
            <w:pPr>
              <w:pStyle w:val="ListParagraph"/>
              <w:numPr>
                <w:ilvl w:val="0"/>
                <w:numId w:val="8"/>
              </w:numPr>
              <w:rPr>
                <w:rFonts w:ascii="Arial" w:hAnsi="Arial" w:cs="Arial"/>
                <w:color w:val="FF0000"/>
              </w:rPr>
            </w:pPr>
            <w:r w:rsidRPr="00500419">
              <w:rPr>
                <w:rFonts w:ascii="Arial" w:hAnsi="Arial" w:cs="Arial"/>
                <w:color w:val="FF0000"/>
              </w:rPr>
              <w:t>positive **</w:t>
            </w:r>
            <w:r w:rsidRPr="00500419">
              <w:rPr>
                <w:rFonts w:ascii="Arial" w:hAnsi="Arial" w:cs="Arial"/>
                <w:i/>
                <w:color w:val="FF0000"/>
              </w:rPr>
              <w:t xml:space="preserve">Salmonella </w:t>
            </w:r>
            <w:r>
              <w:rPr>
                <w:rFonts w:ascii="Arial" w:hAnsi="Arial" w:cs="Arial"/>
                <w:color w:val="FF0000"/>
              </w:rPr>
              <w:t>serovar</w:t>
            </w:r>
            <w:r w:rsidRPr="00E31BB1">
              <w:rPr>
                <w:rFonts w:ascii="Arial" w:hAnsi="Arial" w:cs="Arial"/>
                <w:color w:val="FF0000"/>
              </w:rPr>
              <w:t xml:space="preserve"> Heidelberg</w:t>
            </w:r>
            <w:r w:rsidRPr="00500419">
              <w:rPr>
                <w:rFonts w:ascii="Arial" w:hAnsi="Arial" w:cs="Arial"/>
                <w:color w:val="FF0000"/>
              </w:rPr>
              <w:t xml:space="preserve"> –Homemade raw </w:t>
            </w:r>
            <w:r>
              <w:rPr>
                <w:rFonts w:ascii="Arial" w:hAnsi="Arial" w:cs="Arial"/>
                <w:color w:val="FF0000"/>
              </w:rPr>
              <w:t xml:space="preserve">fed </w:t>
            </w:r>
            <w:r w:rsidRPr="00500419">
              <w:rPr>
                <w:rFonts w:ascii="Arial" w:hAnsi="Arial" w:cs="Arial"/>
                <w:color w:val="FF0000"/>
              </w:rPr>
              <w:t>kitten</w:t>
            </w:r>
          </w:p>
          <w:p w:rsidR="00330CF1" w:rsidRPr="00500419" w:rsidRDefault="00330CF1" w:rsidP="00500419">
            <w:pPr>
              <w:pStyle w:val="ListParagraph"/>
              <w:numPr>
                <w:ilvl w:val="0"/>
                <w:numId w:val="8"/>
              </w:numPr>
              <w:rPr>
                <w:rFonts w:ascii="Arial" w:hAnsi="Arial" w:cs="Arial"/>
              </w:rPr>
            </w:pPr>
            <w:r w:rsidRPr="00500419">
              <w:rPr>
                <w:rFonts w:ascii="Arial" w:hAnsi="Arial" w:cs="Arial"/>
              </w:rPr>
              <w:t xml:space="preserve">No </w:t>
            </w:r>
            <w:r w:rsidRPr="00500419">
              <w:rPr>
                <w:rFonts w:ascii="Arial" w:hAnsi="Arial" w:cs="Arial"/>
                <w:i/>
              </w:rPr>
              <w:t>Cl</w:t>
            </w:r>
            <w:r>
              <w:rPr>
                <w:rFonts w:ascii="Arial" w:hAnsi="Arial" w:cs="Arial"/>
                <w:i/>
              </w:rPr>
              <w:t>ostridium perfringens or diffici</w:t>
            </w:r>
            <w:r w:rsidRPr="00500419">
              <w:rPr>
                <w:rFonts w:ascii="Arial" w:hAnsi="Arial" w:cs="Arial"/>
                <w:i/>
              </w:rPr>
              <w:t xml:space="preserve">le, Campylobacter </w:t>
            </w:r>
            <w:r w:rsidRPr="00500419">
              <w:rPr>
                <w:rFonts w:ascii="Arial" w:hAnsi="Arial" w:cs="Arial"/>
              </w:rPr>
              <w:t>spp</w:t>
            </w:r>
            <w:r>
              <w:rPr>
                <w:rFonts w:ascii="Arial" w:hAnsi="Arial" w:cs="Arial"/>
              </w:rPr>
              <w:t>.</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10</w:t>
            </w:r>
          </w:p>
        </w:tc>
        <w:tc>
          <w:tcPr>
            <w:tcW w:w="7160" w:type="dxa"/>
          </w:tcPr>
          <w:p w:rsidR="00330CF1" w:rsidRDefault="00330CF1" w:rsidP="002438B2">
            <w:pPr>
              <w:pStyle w:val="ListParagraph"/>
              <w:numPr>
                <w:ilvl w:val="0"/>
                <w:numId w:val="8"/>
              </w:numPr>
              <w:rPr>
                <w:rFonts w:ascii="Arial" w:hAnsi="Arial" w:cs="Arial"/>
              </w:rPr>
            </w:pPr>
            <w:r>
              <w:rPr>
                <w:rFonts w:ascii="Arial" w:hAnsi="Arial" w:cs="Arial"/>
              </w:rPr>
              <w:t xml:space="preserve">1000 </w:t>
            </w:r>
            <w:r>
              <w:rPr>
                <w:rFonts w:ascii="Arial" w:hAnsi="Arial" w:cs="Arial"/>
                <w:i/>
              </w:rPr>
              <w:t>Clostridium</w:t>
            </w:r>
            <w:r w:rsidRPr="002438B2">
              <w:rPr>
                <w:rFonts w:ascii="Arial" w:hAnsi="Arial" w:cs="Arial"/>
                <w:i/>
              </w:rPr>
              <w:t xml:space="preserve"> perf</w:t>
            </w:r>
            <w:r>
              <w:rPr>
                <w:rFonts w:ascii="Arial" w:hAnsi="Arial" w:cs="Arial"/>
                <w:i/>
              </w:rPr>
              <w:t>ringens</w:t>
            </w:r>
            <w:r w:rsidRPr="009709B7">
              <w:rPr>
                <w:rFonts w:ascii="Arial" w:hAnsi="Arial" w:cs="Arial"/>
              </w:rPr>
              <w:t xml:space="preserve">  </w:t>
            </w:r>
          </w:p>
          <w:p w:rsidR="00330CF1" w:rsidRPr="009709B7" w:rsidRDefault="00330CF1" w:rsidP="002438B2">
            <w:pPr>
              <w:pStyle w:val="ListParagraph"/>
              <w:numPr>
                <w:ilvl w:val="0"/>
                <w:numId w:val="8"/>
              </w:numPr>
              <w:rPr>
                <w:rFonts w:ascii="Arial" w:hAnsi="Arial" w:cs="Arial"/>
              </w:rPr>
            </w:pPr>
            <w:r w:rsidRPr="009709B7">
              <w:rPr>
                <w:rFonts w:ascii="Arial" w:hAnsi="Arial" w:cs="Arial"/>
              </w:rPr>
              <w:t xml:space="preserve">No </w:t>
            </w:r>
            <w:r w:rsidRPr="009709B7">
              <w:rPr>
                <w:rFonts w:ascii="Arial" w:hAnsi="Arial" w:cs="Arial"/>
                <w:i/>
              </w:rPr>
              <w:t>Salmonella</w:t>
            </w:r>
            <w:r>
              <w:rPr>
                <w:rFonts w:ascii="Arial" w:hAnsi="Arial" w:cs="Arial"/>
              </w:rPr>
              <w:t xml:space="preserve"> spp.</w:t>
            </w:r>
            <w:r w:rsidRPr="009709B7">
              <w:rPr>
                <w:rFonts w:ascii="Arial" w:hAnsi="Arial" w:cs="Arial"/>
                <w:i/>
              </w:rPr>
              <w:t>,</w:t>
            </w:r>
            <w:r w:rsidRPr="009709B7">
              <w:rPr>
                <w:rFonts w:ascii="Arial" w:hAnsi="Arial" w:cs="Arial"/>
              </w:rPr>
              <w:t xml:space="preserve"> </w:t>
            </w:r>
            <w:r w:rsidRPr="009709B7">
              <w:rPr>
                <w:rFonts w:ascii="Arial" w:hAnsi="Arial" w:cs="Arial"/>
                <w:i/>
              </w:rPr>
              <w:t>Campylobacter</w:t>
            </w:r>
            <w:r>
              <w:rPr>
                <w:rFonts w:ascii="Arial" w:hAnsi="Arial" w:cs="Arial"/>
                <w:i/>
              </w:rPr>
              <w:t xml:space="preserve"> </w:t>
            </w:r>
            <w:r>
              <w:rPr>
                <w:rFonts w:ascii="Arial" w:hAnsi="Arial" w:cs="Arial"/>
              </w:rPr>
              <w:t>spp.</w:t>
            </w:r>
            <w:r>
              <w:rPr>
                <w:rFonts w:ascii="Arial" w:hAnsi="Arial" w:cs="Arial"/>
                <w:i/>
              </w:rPr>
              <w:t>, Clostridium difficile</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Group 4</w:t>
            </w:r>
          </w:p>
        </w:tc>
        <w:tc>
          <w:tcPr>
            <w:tcW w:w="7160" w:type="dxa"/>
          </w:tcPr>
          <w:p w:rsidR="00330CF1" w:rsidRPr="009709B7" w:rsidRDefault="00330CF1" w:rsidP="002D52C1">
            <w:pPr>
              <w:rPr>
                <w:rFonts w:ascii="Arial" w:hAnsi="Arial" w:cs="Arial"/>
              </w:rPr>
            </w:pP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0</w:t>
            </w:r>
          </w:p>
        </w:tc>
        <w:tc>
          <w:tcPr>
            <w:tcW w:w="7160" w:type="dxa"/>
          </w:tcPr>
          <w:p w:rsidR="00330CF1" w:rsidRDefault="00330CF1" w:rsidP="002438B2">
            <w:pPr>
              <w:pStyle w:val="ListParagraph"/>
              <w:numPr>
                <w:ilvl w:val="0"/>
                <w:numId w:val="8"/>
              </w:numPr>
              <w:rPr>
                <w:rFonts w:ascii="Arial" w:hAnsi="Arial" w:cs="Arial"/>
              </w:rPr>
            </w:pPr>
            <w:r>
              <w:rPr>
                <w:rFonts w:ascii="Arial" w:hAnsi="Arial" w:cs="Arial"/>
              </w:rPr>
              <w:t xml:space="preserve">500 </w:t>
            </w:r>
            <w:r w:rsidRPr="002438B2">
              <w:rPr>
                <w:rFonts w:ascii="Arial" w:hAnsi="Arial" w:cs="Arial"/>
                <w:i/>
              </w:rPr>
              <w:t>C</w:t>
            </w:r>
            <w:r>
              <w:rPr>
                <w:rFonts w:ascii="Arial" w:hAnsi="Arial" w:cs="Arial"/>
                <w:i/>
              </w:rPr>
              <w:t>lostridium</w:t>
            </w:r>
            <w:r w:rsidRPr="002438B2">
              <w:rPr>
                <w:rFonts w:ascii="Arial" w:hAnsi="Arial" w:cs="Arial"/>
                <w:i/>
              </w:rPr>
              <w:t xml:space="preserve"> perf</w:t>
            </w:r>
            <w:r>
              <w:rPr>
                <w:rFonts w:ascii="Arial" w:hAnsi="Arial" w:cs="Arial"/>
                <w:i/>
              </w:rPr>
              <w:t>ringens</w:t>
            </w:r>
            <w:r w:rsidRPr="009709B7">
              <w:rPr>
                <w:rFonts w:ascii="Arial" w:hAnsi="Arial" w:cs="Arial"/>
              </w:rPr>
              <w:t xml:space="preserve">  </w:t>
            </w:r>
          </w:p>
          <w:p w:rsidR="00330CF1" w:rsidRPr="009709B7" w:rsidRDefault="00330CF1" w:rsidP="002438B2">
            <w:pPr>
              <w:pStyle w:val="ListParagraph"/>
              <w:numPr>
                <w:ilvl w:val="0"/>
                <w:numId w:val="8"/>
              </w:numPr>
              <w:rPr>
                <w:rFonts w:ascii="Arial" w:hAnsi="Arial" w:cs="Arial"/>
              </w:rPr>
            </w:pPr>
            <w:r w:rsidRPr="009709B7">
              <w:rPr>
                <w:rFonts w:ascii="Arial" w:hAnsi="Arial" w:cs="Arial"/>
              </w:rPr>
              <w:t xml:space="preserve">No </w:t>
            </w:r>
            <w:r w:rsidRPr="009709B7">
              <w:rPr>
                <w:rFonts w:ascii="Arial" w:hAnsi="Arial" w:cs="Arial"/>
                <w:i/>
              </w:rPr>
              <w:t>Salmonella</w:t>
            </w:r>
            <w:r>
              <w:rPr>
                <w:rFonts w:ascii="Arial" w:hAnsi="Arial" w:cs="Arial"/>
                <w:i/>
              </w:rPr>
              <w:t xml:space="preserve"> </w:t>
            </w:r>
            <w:r>
              <w:rPr>
                <w:rFonts w:ascii="Arial" w:hAnsi="Arial" w:cs="Arial"/>
              </w:rPr>
              <w:t>spp.</w:t>
            </w:r>
            <w:r w:rsidRPr="009709B7">
              <w:rPr>
                <w:rFonts w:ascii="Arial" w:hAnsi="Arial" w:cs="Arial"/>
              </w:rPr>
              <w:t xml:space="preserve">, </w:t>
            </w:r>
            <w:r>
              <w:rPr>
                <w:rFonts w:ascii="Arial" w:hAnsi="Arial" w:cs="Arial"/>
                <w:i/>
              </w:rPr>
              <w:t>Campylobacter</w:t>
            </w:r>
            <w:r>
              <w:rPr>
                <w:rFonts w:ascii="Arial" w:hAnsi="Arial" w:cs="Arial"/>
              </w:rPr>
              <w:t xml:space="preserve"> spp.</w:t>
            </w:r>
            <w:r>
              <w:rPr>
                <w:rFonts w:ascii="Arial" w:hAnsi="Arial" w:cs="Arial"/>
                <w:i/>
              </w:rPr>
              <w:t>, Clostridium diffici</w:t>
            </w:r>
            <w:r w:rsidRPr="009709B7">
              <w:rPr>
                <w:rFonts w:ascii="Arial" w:hAnsi="Arial" w:cs="Arial"/>
                <w:i/>
              </w:rPr>
              <w:t>le</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5</w:t>
            </w:r>
          </w:p>
        </w:tc>
        <w:tc>
          <w:tcPr>
            <w:tcW w:w="7160" w:type="dxa"/>
          </w:tcPr>
          <w:p w:rsidR="00330CF1" w:rsidRDefault="00330CF1" w:rsidP="002438B2">
            <w:pPr>
              <w:pStyle w:val="ListParagraph"/>
              <w:numPr>
                <w:ilvl w:val="0"/>
                <w:numId w:val="8"/>
              </w:numPr>
              <w:rPr>
                <w:rFonts w:ascii="Arial" w:hAnsi="Arial" w:cs="Arial"/>
              </w:rPr>
            </w:pPr>
            <w:r>
              <w:rPr>
                <w:rFonts w:ascii="Arial" w:hAnsi="Arial" w:cs="Arial"/>
              </w:rPr>
              <w:t xml:space="preserve">1000 </w:t>
            </w:r>
            <w:r w:rsidRPr="002438B2">
              <w:rPr>
                <w:rFonts w:ascii="Arial" w:hAnsi="Arial" w:cs="Arial"/>
                <w:i/>
              </w:rPr>
              <w:t>C</w:t>
            </w:r>
            <w:r>
              <w:rPr>
                <w:rFonts w:ascii="Arial" w:hAnsi="Arial" w:cs="Arial"/>
                <w:i/>
              </w:rPr>
              <w:t>lostridium</w:t>
            </w:r>
            <w:r w:rsidRPr="002438B2">
              <w:rPr>
                <w:rFonts w:ascii="Arial" w:hAnsi="Arial" w:cs="Arial"/>
                <w:i/>
              </w:rPr>
              <w:t xml:space="preserve"> perf</w:t>
            </w:r>
            <w:r>
              <w:rPr>
                <w:rFonts w:ascii="Arial" w:hAnsi="Arial" w:cs="Arial"/>
                <w:i/>
              </w:rPr>
              <w:t>ringens</w:t>
            </w:r>
            <w:r w:rsidRPr="009709B7">
              <w:rPr>
                <w:rFonts w:ascii="Arial" w:hAnsi="Arial" w:cs="Arial"/>
              </w:rPr>
              <w:t xml:space="preserve"> </w:t>
            </w:r>
          </w:p>
          <w:p w:rsidR="00330CF1" w:rsidRPr="009709B7" w:rsidRDefault="00330CF1" w:rsidP="002438B2">
            <w:pPr>
              <w:pStyle w:val="ListParagraph"/>
              <w:numPr>
                <w:ilvl w:val="0"/>
                <w:numId w:val="8"/>
              </w:numPr>
              <w:rPr>
                <w:rFonts w:ascii="Arial" w:hAnsi="Arial" w:cs="Arial"/>
              </w:rPr>
            </w:pPr>
            <w:r w:rsidRPr="009709B7">
              <w:rPr>
                <w:rFonts w:ascii="Arial" w:hAnsi="Arial" w:cs="Arial"/>
              </w:rPr>
              <w:t xml:space="preserve">No </w:t>
            </w:r>
            <w:r w:rsidRPr="009709B7">
              <w:rPr>
                <w:rFonts w:ascii="Arial" w:hAnsi="Arial" w:cs="Arial"/>
                <w:i/>
              </w:rPr>
              <w:t>Salmonella</w:t>
            </w:r>
            <w:r>
              <w:rPr>
                <w:rFonts w:ascii="Arial" w:hAnsi="Arial" w:cs="Arial"/>
                <w:i/>
              </w:rPr>
              <w:t xml:space="preserve"> </w:t>
            </w:r>
            <w:r>
              <w:rPr>
                <w:rFonts w:ascii="Arial" w:hAnsi="Arial" w:cs="Arial"/>
              </w:rPr>
              <w:t>spp.</w:t>
            </w:r>
            <w:r w:rsidRPr="009709B7">
              <w:rPr>
                <w:rFonts w:ascii="Arial" w:hAnsi="Arial" w:cs="Arial"/>
              </w:rPr>
              <w:t xml:space="preserve">, </w:t>
            </w:r>
            <w:r>
              <w:rPr>
                <w:rFonts w:ascii="Arial" w:hAnsi="Arial" w:cs="Arial"/>
                <w:i/>
              </w:rPr>
              <w:t xml:space="preserve">Campylobacter </w:t>
            </w:r>
            <w:r>
              <w:rPr>
                <w:rFonts w:ascii="Arial" w:hAnsi="Arial" w:cs="Arial"/>
              </w:rPr>
              <w:t xml:space="preserve">spp., </w:t>
            </w:r>
            <w:r>
              <w:rPr>
                <w:rFonts w:ascii="Arial" w:hAnsi="Arial" w:cs="Arial"/>
                <w:i/>
              </w:rPr>
              <w:t>Clostridium diffici</w:t>
            </w:r>
            <w:r w:rsidRPr="009709B7">
              <w:rPr>
                <w:rFonts w:ascii="Arial" w:hAnsi="Arial" w:cs="Arial"/>
                <w:i/>
              </w:rPr>
              <w:t>le</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10</w:t>
            </w:r>
          </w:p>
        </w:tc>
        <w:tc>
          <w:tcPr>
            <w:tcW w:w="7160" w:type="dxa"/>
          </w:tcPr>
          <w:p w:rsidR="00330CF1" w:rsidRDefault="00330CF1" w:rsidP="002438B2">
            <w:pPr>
              <w:pStyle w:val="ListParagraph"/>
              <w:numPr>
                <w:ilvl w:val="0"/>
                <w:numId w:val="8"/>
              </w:numPr>
              <w:rPr>
                <w:rFonts w:ascii="Arial" w:hAnsi="Arial" w:cs="Arial"/>
              </w:rPr>
            </w:pPr>
            <w:r>
              <w:rPr>
                <w:rFonts w:ascii="Arial" w:hAnsi="Arial" w:cs="Arial"/>
              </w:rPr>
              <w:t xml:space="preserve">1000 </w:t>
            </w:r>
            <w:r>
              <w:rPr>
                <w:rFonts w:ascii="Arial" w:hAnsi="Arial" w:cs="Arial"/>
                <w:i/>
              </w:rPr>
              <w:t xml:space="preserve">Clostridium </w:t>
            </w:r>
            <w:r w:rsidRPr="002438B2">
              <w:rPr>
                <w:rFonts w:ascii="Arial" w:hAnsi="Arial" w:cs="Arial"/>
                <w:i/>
              </w:rPr>
              <w:t xml:space="preserve"> perf</w:t>
            </w:r>
            <w:r>
              <w:rPr>
                <w:rFonts w:ascii="Arial" w:hAnsi="Arial" w:cs="Arial"/>
                <w:i/>
              </w:rPr>
              <w:t>ringens</w:t>
            </w:r>
            <w:r w:rsidRPr="009709B7">
              <w:rPr>
                <w:rFonts w:ascii="Arial" w:hAnsi="Arial" w:cs="Arial"/>
              </w:rPr>
              <w:t xml:space="preserve">  </w:t>
            </w:r>
          </w:p>
          <w:p w:rsidR="00330CF1" w:rsidRPr="009709B7" w:rsidRDefault="00330CF1" w:rsidP="002438B2">
            <w:pPr>
              <w:pStyle w:val="ListParagraph"/>
              <w:numPr>
                <w:ilvl w:val="0"/>
                <w:numId w:val="8"/>
              </w:numPr>
              <w:rPr>
                <w:rFonts w:ascii="Arial" w:hAnsi="Arial" w:cs="Arial"/>
              </w:rPr>
            </w:pPr>
            <w:r w:rsidRPr="009709B7">
              <w:rPr>
                <w:rFonts w:ascii="Arial" w:hAnsi="Arial" w:cs="Arial"/>
              </w:rPr>
              <w:t xml:space="preserve">No </w:t>
            </w:r>
            <w:r w:rsidRPr="009709B7">
              <w:rPr>
                <w:rFonts w:ascii="Arial" w:hAnsi="Arial" w:cs="Arial"/>
                <w:i/>
              </w:rPr>
              <w:t>Salmonella</w:t>
            </w:r>
            <w:r>
              <w:rPr>
                <w:rFonts w:ascii="Arial" w:hAnsi="Arial" w:cs="Arial"/>
                <w:i/>
              </w:rPr>
              <w:t xml:space="preserve"> </w:t>
            </w:r>
            <w:r>
              <w:rPr>
                <w:rFonts w:ascii="Arial" w:hAnsi="Arial" w:cs="Arial"/>
              </w:rPr>
              <w:t>spp.</w:t>
            </w:r>
            <w:r w:rsidRPr="009709B7">
              <w:rPr>
                <w:rFonts w:ascii="Arial" w:hAnsi="Arial" w:cs="Arial"/>
              </w:rPr>
              <w:t xml:space="preserve">, </w:t>
            </w:r>
            <w:r>
              <w:rPr>
                <w:rFonts w:ascii="Arial" w:hAnsi="Arial" w:cs="Arial"/>
                <w:i/>
              </w:rPr>
              <w:t>Campylobacter</w:t>
            </w:r>
            <w:r>
              <w:rPr>
                <w:rFonts w:ascii="Arial" w:hAnsi="Arial" w:cs="Arial"/>
              </w:rPr>
              <w:t xml:space="preserve"> spp.</w:t>
            </w:r>
            <w:r>
              <w:rPr>
                <w:rFonts w:ascii="Arial" w:hAnsi="Arial" w:cs="Arial"/>
                <w:i/>
              </w:rPr>
              <w:t>, Clostridium diffici</w:t>
            </w:r>
            <w:r w:rsidRPr="009709B7">
              <w:rPr>
                <w:rFonts w:ascii="Arial" w:hAnsi="Arial" w:cs="Arial"/>
                <w:i/>
              </w:rPr>
              <w:t>le</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Group 5</w:t>
            </w:r>
          </w:p>
        </w:tc>
        <w:tc>
          <w:tcPr>
            <w:tcW w:w="7160" w:type="dxa"/>
          </w:tcPr>
          <w:p w:rsidR="00330CF1" w:rsidRPr="009709B7" w:rsidRDefault="00330CF1" w:rsidP="002D52C1">
            <w:pPr>
              <w:rPr>
                <w:rFonts w:ascii="Arial" w:hAnsi="Arial" w:cs="Arial"/>
              </w:rPr>
            </w:pP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0</w:t>
            </w:r>
          </w:p>
        </w:tc>
        <w:tc>
          <w:tcPr>
            <w:tcW w:w="7160" w:type="dxa"/>
          </w:tcPr>
          <w:p w:rsidR="00330CF1" w:rsidRDefault="00330CF1" w:rsidP="009709B7">
            <w:pPr>
              <w:pStyle w:val="ListParagraph"/>
              <w:numPr>
                <w:ilvl w:val="0"/>
                <w:numId w:val="8"/>
              </w:numPr>
              <w:rPr>
                <w:rFonts w:ascii="Arial" w:hAnsi="Arial" w:cs="Arial"/>
              </w:rPr>
            </w:pPr>
            <w:r>
              <w:rPr>
                <w:rFonts w:ascii="Arial" w:hAnsi="Arial" w:cs="Arial"/>
              </w:rPr>
              <w:t xml:space="preserve">100 </w:t>
            </w:r>
            <w:r w:rsidRPr="002438B2">
              <w:rPr>
                <w:rFonts w:ascii="Arial" w:hAnsi="Arial" w:cs="Arial"/>
                <w:i/>
              </w:rPr>
              <w:t>C</w:t>
            </w:r>
            <w:r>
              <w:rPr>
                <w:rFonts w:ascii="Arial" w:hAnsi="Arial" w:cs="Arial"/>
                <w:i/>
              </w:rPr>
              <w:t>lostridium</w:t>
            </w:r>
            <w:r w:rsidRPr="002438B2">
              <w:rPr>
                <w:rFonts w:ascii="Arial" w:hAnsi="Arial" w:cs="Arial"/>
                <w:i/>
              </w:rPr>
              <w:t xml:space="preserve"> perf</w:t>
            </w:r>
            <w:r>
              <w:rPr>
                <w:rFonts w:ascii="Arial" w:hAnsi="Arial" w:cs="Arial"/>
                <w:i/>
              </w:rPr>
              <w:t>ringens</w:t>
            </w:r>
            <w:r w:rsidRPr="009709B7">
              <w:rPr>
                <w:rFonts w:ascii="Arial" w:hAnsi="Arial" w:cs="Arial"/>
              </w:rPr>
              <w:t xml:space="preserve"> </w:t>
            </w:r>
          </w:p>
          <w:p w:rsidR="00330CF1" w:rsidRPr="009709B7" w:rsidRDefault="00330CF1" w:rsidP="009709B7">
            <w:pPr>
              <w:pStyle w:val="ListParagraph"/>
              <w:numPr>
                <w:ilvl w:val="0"/>
                <w:numId w:val="8"/>
              </w:numPr>
              <w:rPr>
                <w:rFonts w:ascii="Arial" w:hAnsi="Arial" w:cs="Arial"/>
              </w:rPr>
            </w:pPr>
            <w:r w:rsidRPr="009709B7">
              <w:rPr>
                <w:rFonts w:ascii="Arial" w:hAnsi="Arial" w:cs="Arial"/>
              </w:rPr>
              <w:t xml:space="preserve">No </w:t>
            </w:r>
            <w:r>
              <w:rPr>
                <w:rFonts w:ascii="Arial" w:hAnsi="Arial" w:cs="Arial"/>
                <w:i/>
              </w:rPr>
              <w:t xml:space="preserve">Salmonella </w:t>
            </w:r>
            <w:r>
              <w:rPr>
                <w:rFonts w:ascii="Arial" w:hAnsi="Arial" w:cs="Arial"/>
              </w:rPr>
              <w:t>spp.</w:t>
            </w:r>
            <w:r>
              <w:rPr>
                <w:rFonts w:ascii="Arial" w:hAnsi="Arial" w:cs="Arial"/>
                <w:i/>
              </w:rPr>
              <w:t xml:space="preserve">, Campylobacter </w:t>
            </w:r>
            <w:r>
              <w:rPr>
                <w:rFonts w:ascii="Arial" w:hAnsi="Arial" w:cs="Arial"/>
              </w:rPr>
              <w:t>spp.</w:t>
            </w:r>
            <w:r>
              <w:rPr>
                <w:rFonts w:ascii="Arial" w:hAnsi="Arial" w:cs="Arial"/>
                <w:i/>
              </w:rPr>
              <w:t>, Clostridium difficile</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5-control</w:t>
            </w:r>
          </w:p>
        </w:tc>
        <w:tc>
          <w:tcPr>
            <w:tcW w:w="7160" w:type="dxa"/>
          </w:tcPr>
          <w:p w:rsidR="00330CF1" w:rsidRPr="009709B7" w:rsidRDefault="00330CF1" w:rsidP="009709B7">
            <w:pPr>
              <w:pStyle w:val="ListParagraph"/>
              <w:numPr>
                <w:ilvl w:val="0"/>
                <w:numId w:val="8"/>
              </w:numPr>
              <w:rPr>
                <w:rFonts w:ascii="Arial" w:hAnsi="Arial" w:cs="Arial"/>
              </w:rPr>
            </w:pPr>
            <w:r w:rsidRPr="009709B7">
              <w:rPr>
                <w:rFonts w:ascii="Arial" w:hAnsi="Arial" w:cs="Arial"/>
              </w:rPr>
              <w:t xml:space="preserve">No </w:t>
            </w:r>
            <w:r>
              <w:rPr>
                <w:rFonts w:ascii="Arial" w:hAnsi="Arial" w:cs="Arial"/>
                <w:i/>
              </w:rPr>
              <w:t xml:space="preserve">Salmonella </w:t>
            </w:r>
            <w:r>
              <w:rPr>
                <w:rFonts w:ascii="Arial" w:hAnsi="Arial" w:cs="Arial"/>
              </w:rPr>
              <w:t>spp.</w:t>
            </w:r>
            <w:r>
              <w:rPr>
                <w:rFonts w:ascii="Arial" w:hAnsi="Arial" w:cs="Arial"/>
                <w:i/>
              </w:rPr>
              <w:t xml:space="preserve">, Campylobacter </w:t>
            </w:r>
            <w:r>
              <w:rPr>
                <w:rFonts w:ascii="Arial" w:hAnsi="Arial" w:cs="Arial"/>
              </w:rPr>
              <w:t>spp.</w:t>
            </w:r>
            <w:r>
              <w:rPr>
                <w:rFonts w:ascii="Arial" w:hAnsi="Arial" w:cs="Arial"/>
                <w:i/>
              </w:rPr>
              <w:t>, Clostridium perfringens or difficile</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5-raw</w:t>
            </w:r>
          </w:p>
        </w:tc>
        <w:tc>
          <w:tcPr>
            <w:tcW w:w="7160" w:type="dxa"/>
          </w:tcPr>
          <w:p w:rsidR="00330CF1" w:rsidRDefault="00330CF1" w:rsidP="009709B7">
            <w:pPr>
              <w:pStyle w:val="ListParagraph"/>
              <w:numPr>
                <w:ilvl w:val="0"/>
                <w:numId w:val="8"/>
              </w:numPr>
              <w:rPr>
                <w:rFonts w:ascii="Arial" w:hAnsi="Arial" w:cs="Arial"/>
              </w:rPr>
            </w:pPr>
            <w:r>
              <w:rPr>
                <w:rFonts w:ascii="Arial" w:hAnsi="Arial" w:cs="Arial"/>
              </w:rPr>
              <w:t xml:space="preserve">1000 </w:t>
            </w:r>
            <w:r>
              <w:rPr>
                <w:rFonts w:ascii="Arial" w:hAnsi="Arial" w:cs="Arial"/>
                <w:i/>
              </w:rPr>
              <w:t>Clostridium</w:t>
            </w:r>
            <w:r w:rsidRPr="002438B2">
              <w:rPr>
                <w:rFonts w:ascii="Arial" w:hAnsi="Arial" w:cs="Arial"/>
                <w:i/>
              </w:rPr>
              <w:t xml:space="preserve"> perf</w:t>
            </w:r>
            <w:r>
              <w:rPr>
                <w:rFonts w:ascii="Arial" w:hAnsi="Arial" w:cs="Arial"/>
                <w:i/>
              </w:rPr>
              <w:t>ringens</w:t>
            </w:r>
            <w:r>
              <w:rPr>
                <w:rFonts w:ascii="Arial" w:hAnsi="Arial" w:cs="Arial"/>
              </w:rPr>
              <w:t xml:space="preserve">  </w:t>
            </w:r>
          </w:p>
          <w:p w:rsidR="00330CF1" w:rsidRPr="009709B7" w:rsidRDefault="00330CF1" w:rsidP="009709B7">
            <w:pPr>
              <w:pStyle w:val="ListParagraph"/>
              <w:numPr>
                <w:ilvl w:val="0"/>
                <w:numId w:val="8"/>
              </w:numPr>
              <w:rPr>
                <w:rFonts w:ascii="Arial" w:hAnsi="Arial" w:cs="Arial"/>
              </w:rPr>
            </w:pPr>
            <w:r>
              <w:rPr>
                <w:rFonts w:ascii="Arial" w:hAnsi="Arial" w:cs="Arial"/>
              </w:rPr>
              <w:t xml:space="preserve">No </w:t>
            </w:r>
            <w:r>
              <w:rPr>
                <w:rFonts w:ascii="Arial" w:hAnsi="Arial" w:cs="Arial"/>
                <w:i/>
              </w:rPr>
              <w:t>Salmonella</w:t>
            </w:r>
            <w:r>
              <w:rPr>
                <w:rFonts w:ascii="Arial" w:hAnsi="Arial" w:cs="Arial"/>
              </w:rPr>
              <w:t xml:space="preserve"> spp., </w:t>
            </w:r>
            <w:r>
              <w:rPr>
                <w:rFonts w:ascii="Arial" w:hAnsi="Arial" w:cs="Arial"/>
                <w:i/>
              </w:rPr>
              <w:t xml:space="preserve">Campylobacter </w:t>
            </w:r>
            <w:r>
              <w:rPr>
                <w:rFonts w:ascii="Arial" w:hAnsi="Arial" w:cs="Arial"/>
              </w:rPr>
              <w:t xml:space="preserve">spp., </w:t>
            </w:r>
            <w:r>
              <w:rPr>
                <w:rFonts w:ascii="Arial" w:hAnsi="Arial" w:cs="Arial"/>
                <w:i/>
              </w:rPr>
              <w:t>Clostridium diffici</w:t>
            </w:r>
            <w:r w:rsidRPr="008906FD">
              <w:rPr>
                <w:rFonts w:ascii="Arial" w:hAnsi="Arial" w:cs="Arial"/>
                <w:i/>
              </w:rPr>
              <w:t>le</w:t>
            </w:r>
          </w:p>
        </w:tc>
      </w:tr>
      <w:tr w:rsidR="00330CF1" w:rsidRPr="009709B7" w:rsidTr="00342A19">
        <w:tc>
          <w:tcPr>
            <w:tcW w:w="1948" w:type="dxa"/>
          </w:tcPr>
          <w:p w:rsidR="00330CF1" w:rsidRPr="009709B7" w:rsidRDefault="00330CF1" w:rsidP="002D52C1">
            <w:pPr>
              <w:rPr>
                <w:rFonts w:ascii="Arial" w:hAnsi="Arial" w:cs="Arial"/>
              </w:rPr>
            </w:pPr>
            <w:r w:rsidRPr="009709B7">
              <w:rPr>
                <w:rFonts w:ascii="Arial" w:hAnsi="Arial" w:cs="Arial"/>
              </w:rPr>
              <w:t xml:space="preserve">    Week 10</w:t>
            </w:r>
          </w:p>
        </w:tc>
        <w:tc>
          <w:tcPr>
            <w:tcW w:w="7160" w:type="dxa"/>
          </w:tcPr>
          <w:p w:rsidR="00330CF1" w:rsidRDefault="00330CF1" w:rsidP="009709B7">
            <w:pPr>
              <w:pStyle w:val="ListParagraph"/>
              <w:numPr>
                <w:ilvl w:val="0"/>
                <w:numId w:val="8"/>
              </w:numPr>
              <w:rPr>
                <w:rFonts w:ascii="Arial" w:hAnsi="Arial" w:cs="Arial"/>
              </w:rPr>
            </w:pPr>
            <w:r>
              <w:rPr>
                <w:rFonts w:ascii="Arial" w:hAnsi="Arial" w:cs="Arial"/>
              </w:rPr>
              <w:t xml:space="preserve">1000 </w:t>
            </w:r>
            <w:r w:rsidRPr="002438B2">
              <w:rPr>
                <w:rFonts w:ascii="Arial" w:hAnsi="Arial" w:cs="Arial"/>
                <w:i/>
              </w:rPr>
              <w:t>C</w:t>
            </w:r>
            <w:r>
              <w:rPr>
                <w:rFonts w:ascii="Arial" w:hAnsi="Arial" w:cs="Arial"/>
                <w:i/>
              </w:rPr>
              <w:t xml:space="preserve">lostridium </w:t>
            </w:r>
            <w:r w:rsidRPr="002438B2">
              <w:rPr>
                <w:rFonts w:ascii="Arial" w:hAnsi="Arial" w:cs="Arial"/>
                <w:i/>
              </w:rPr>
              <w:t>perf</w:t>
            </w:r>
            <w:r>
              <w:rPr>
                <w:rFonts w:ascii="Arial" w:hAnsi="Arial" w:cs="Arial"/>
                <w:i/>
              </w:rPr>
              <w:t>ringens</w:t>
            </w:r>
            <w:r>
              <w:rPr>
                <w:rFonts w:ascii="Arial" w:hAnsi="Arial" w:cs="Arial"/>
              </w:rPr>
              <w:t xml:space="preserve"> </w:t>
            </w:r>
          </w:p>
          <w:p w:rsidR="00330CF1" w:rsidRPr="009709B7" w:rsidRDefault="00330CF1" w:rsidP="009709B7">
            <w:pPr>
              <w:pStyle w:val="ListParagraph"/>
              <w:numPr>
                <w:ilvl w:val="0"/>
                <w:numId w:val="8"/>
              </w:numPr>
              <w:rPr>
                <w:rFonts w:ascii="Arial" w:hAnsi="Arial" w:cs="Arial"/>
              </w:rPr>
            </w:pPr>
            <w:r>
              <w:rPr>
                <w:rFonts w:ascii="Arial" w:hAnsi="Arial" w:cs="Arial"/>
              </w:rPr>
              <w:t xml:space="preserve">No </w:t>
            </w:r>
            <w:r>
              <w:rPr>
                <w:rFonts w:ascii="Arial" w:hAnsi="Arial" w:cs="Arial"/>
                <w:i/>
              </w:rPr>
              <w:t xml:space="preserve">Salmonella </w:t>
            </w:r>
            <w:r>
              <w:rPr>
                <w:rFonts w:ascii="Arial" w:hAnsi="Arial" w:cs="Arial"/>
              </w:rPr>
              <w:t>spp.</w:t>
            </w:r>
            <w:r>
              <w:rPr>
                <w:rFonts w:ascii="Arial" w:hAnsi="Arial" w:cs="Arial"/>
                <w:i/>
              </w:rPr>
              <w:t xml:space="preserve">, Campylobacter </w:t>
            </w:r>
            <w:r>
              <w:rPr>
                <w:rFonts w:ascii="Arial" w:hAnsi="Arial" w:cs="Arial"/>
              </w:rPr>
              <w:t>spp.</w:t>
            </w:r>
            <w:r>
              <w:rPr>
                <w:rFonts w:ascii="Arial" w:hAnsi="Arial" w:cs="Arial"/>
                <w:i/>
              </w:rPr>
              <w:t>, Clostridium difficile</w:t>
            </w:r>
          </w:p>
        </w:tc>
      </w:tr>
    </w:tbl>
    <w:p w:rsidR="00330CF1" w:rsidRDefault="00330CF1" w:rsidP="007C694C"/>
    <w:p w:rsidR="00330CF1" w:rsidRDefault="00330CF1" w:rsidP="007C694C"/>
    <w:p w:rsidR="00330CF1" w:rsidRDefault="00330CF1" w:rsidP="00EA404A">
      <w:pPr>
        <w:rPr>
          <w:rFonts w:ascii="Arial" w:hAnsi="Arial" w:cs="Arial"/>
        </w:rPr>
      </w:pPr>
      <w:r>
        <w:rPr>
          <w:rFonts w:ascii="Arial" w:hAnsi="Arial" w:cs="Arial"/>
        </w:rPr>
        <w:lastRenderedPageBreak/>
        <w:t xml:space="preserve">     Two composite samples were positive for </w:t>
      </w:r>
      <w:r>
        <w:rPr>
          <w:rFonts w:ascii="Arial" w:hAnsi="Arial" w:cs="Arial"/>
          <w:i/>
        </w:rPr>
        <w:t>Salmonella enterica</w:t>
      </w:r>
      <w:r>
        <w:rPr>
          <w:rFonts w:ascii="Arial" w:hAnsi="Arial" w:cs="Arial"/>
        </w:rPr>
        <w:t xml:space="preserve"> subspecies; at week10 in group 2 and week 5 in group 3.  In the second group, </w:t>
      </w:r>
      <w:r>
        <w:rPr>
          <w:rFonts w:ascii="Arial" w:hAnsi="Arial" w:cs="Arial"/>
          <w:i/>
        </w:rPr>
        <w:t xml:space="preserve">S. </w:t>
      </w:r>
      <w:r>
        <w:rPr>
          <w:rFonts w:ascii="Arial" w:hAnsi="Arial" w:cs="Arial"/>
        </w:rPr>
        <w:t>E</w:t>
      </w:r>
      <w:r w:rsidRPr="00E31BB1">
        <w:rPr>
          <w:rFonts w:ascii="Arial" w:hAnsi="Arial" w:cs="Arial"/>
        </w:rPr>
        <w:t xml:space="preserve">nteritidis </w:t>
      </w:r>
      <w:r>
        <w:rPr>
          <w:rFonts w:ascii="Arial" w:hAnsi="Arial" w:cs="Arial"/>
        </w:rPr>
        <w:t xml:space="preserve">was found at week 5 but all subsequent individual cultures were negative so we were unable to trace back to a specific kitten or diet.  In the third group, </w:t>
      </w:r>
      <w:r>
        <w:rPr>
          <w:rFonts w:ascii="Arial" w:hAnsi="Arial" w:cs="Arial"/>
          <w:i/>
        </w:rPr>
        <w:t xml:space="preserve">S. </w:t>
      </w:r>
      <w:r w:rsidRPr="00E31BB1">
        <w:rPr>
          <w:rFonts w:ascii="Arial" w:hAnsi="Arial" w:cs="Arial"/>
        </w:rPr>
        <w:t>Heidelburg</w:t>
      </w:r>
      <w:r>
        <w:rPr>
          <w:rFonts w:ascii="Arial" w:hAnsi="Arial" w:cs="Arial"/>
          <w:i/>
        </w:rPr>
        <w:t xml:space="preserve"> </w:t>
      </w:r>
      <w:r>
        <w:rPr>
          <w:rFonts w:ascii="Arial" w:hAnsi="Arial" w:cs="Arial"/>
        </w:rPr>
        <w:t xml:space="preserve">was cultured and found to be from a kitten on the homemade raw diet.  This kitten had no clinical signs and fecal scores of 4 during the feeding trial.  </w:t>
      </w:r>
    </w:p>
    <w:p w:rsidR="00330CF1" w:rsidRPr="0079379B" w:rsidRDefault="00330CF1" w:rsidP="00ED2AA0">
      <w:pPr>
        <w:rPr>
          <w:rFonts w:ascii="Arial" w:hAnsi="Arial" w:cs="Arial"/>
        </w:rPr>
      </w:pPr>
      <w:r>
        <w:t xml:space="preserve">     </w:t>
      </w:r>
      <w:r w:rsidRPr="00475006">
        <w:rPr>
          <w:rFonts w:ascii="Arial" w:hAnsi="Arial" w:cs="Arial"/>
        </w:rPr>
        <w:t>Table</w:t>
      </w:r>
      <w:r>
        <w:rPr>
          <w:rFonts w:ascii="Arial" w:hAnsi="Arial" w:cs="Arial"/>
        </w:rPr>
        <w:t xml:space="preserve"> 6.2 lists the individual kittens with diarrhea by diet group with number of days of diarrhea, and culture or treatments given.  All of the kittens in the first group (8001-8004) had diarrhea.  In this group, diarrhea in the control group resolved within 14 days, compared to 6 days in the commercial raw and 15-24 days in the homemade raw feeders.  Culture from diarrhea in the control fed Group 2 (8012) and 3 (9126, 9127) kittens found </w:t>
      </w:r>
      <w:r>
        <w:rPr>
          <w:rFonts w:ascii="Arial" w:hAnsi="Arial" w:cs="Arial"/>
          <w:i/>
        </w:rPr>
        <w:t xml:space="preserve">C. perfringens </w:t>
      </w:r>
      <w:r>
        <w:rPr>
          <w:rFonts w:ascii="Arial" w:hAnsi="Arial" w:cs="Arial"/>
        </w:rPr>
        <w:t>overgrowth and resolved within 1-2 days of treatment with Metrondiazole</w:t>
      </w:r>
      <w:r>
        <w:rPr>
          <w:rFonts w:ascii="Arial" w:hAnsi="Arial" w:cs="Arial"/>
          <w:vertAlign w:val="superscript"/>
        </w:rPr>
        <w:t>1</w:t>
      </w:r>
      <w:r>
        <w:rPr>
          <w:rFonts w:ascii="Arial" w:hAnsi="Arial" w:cs="Arial"/>
        </w:rPr>
        <w:t>.  Control diet kittens in the 5</w:t>
      </w:r>
      <w:r w:rsidRPr="0079379B">
        <w:rPr>
          <w:rFonts w:ascii="Arial" w:hAnsi="Arial" w:cs="Arial"/>
          <w:vertAlign w:val="superscript"/>
        </w:rPr>
        <w:t>th</w:t>
      </w:r>
      <w:r>
        <w:rPr>
          <w:rFonts w:ascii="Arial" w:hAnsi="Arial" w:cs="Arial"/>
        </w:rPr>
        <w:t xml:space="preserve"> group had persistent diarrhea that was not responsive to Metronidazole but finally resolved with parental subcutaneous injections of Cefovecin</w:t>
      </w:r>
      <w:r>
        <w:rPr>
          <w:rFonts w:ascii="Arial" w:hAnsi="Arial" w:cs="Arial"/>
          <w:vertAlign w:val="superscript"/>
        </w:rPr>
        <w:t>2</w:t>
      </w:r>
      <w:r>
        <w:rPr>
          <w:rFonts w:ascii="Arial" w:hAnsi="Arial" w:cs="Arial"/>
        </w:rPr>
        <w:t xml:space="preserve">.  </w:t>
      </w:r>
      <w:r>
        <w:rPr>
          <w:rFonts w:ascii="Arial" w:hAnsi="Arial" w:cs="Arial"/>
          <w:i/>
        </w:rPr>
        <w:t xml:space="preserve">Clostridium perfringens </w:t>
      </w:r>
      <w:r>
        <w:rPr>
          <w:rFonts w:ascii="Arial" w:hAnsi="Arial" w:cs="Arial"/>
        </w:rPr>
        <w:t xml:space="preserve">overgrowth was also noted with diarrhea in the homemade raw diet feeders.  One of the kittens on the homemade raw diet was also positive for </w:t>
      </w:r>
      <w:r>
        <w:rPr>
          <w:rFonts w:ascii="Arial" w:hAnsi="Arial" w:cs="Arial"/>
          <w:i/>
        </w:rPr>
        <w:t xml:space="preserve">Clostridium difficile </w:t>
      </w:r>
      <w:r>
        <w:rPr>
          <w:rFonts w:ascii="Arial" w:hAnsi="Arial" w:cs="Arial"/>
        </w:rPr>
        <w:t xml:space="preserve">toxin.  Both </w:t>
      </w:r>
      <w:r>
        <w:rPr>
          <w:rFonts w:ascii="Arial" w:hAnsi="Arial" w:cs="Arial"/>
          <w:i/>
        </w:rPr>
        <w:t xml:space="preserve">C. perfringes </w:t>
      </w:r>
      <w:r>
        <w:rPr>
          <w:rFonts w:ascii="Arial" w:hAnsi="Arial" w:cs="Arial"/>
        </w:rPr>
        <w:t xml:space="preserve">and </w:t>
      </w:r>
      <w:r>
        <w:rPr>
          <w:rFonts w:ascii="Arial" w:hAnsi="Arial" w:cs="Arial"/>
          <w:i/>
        </w:rPr>
        <w:t xml:space="preserve">C.difficule </w:t>
      </w:r>
      <w:r>
        <w:rPr>
          <w:rFonts w:ascii="Arial" w:hAnsi="Arial" w:cs="Arial"/>
        </w:rPr>
        <w:t xml:space="preserve">diarrhea resolved within one or two days of treatment with Metronidazole.  With the exception of one kitten in the first group, none of the kittens on the commercial raw had any episodes of diarrhea.  </w:t>
      </w: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p>
    <w:p w:rsidR="00330CF1" w:rsidRDefault="00330CF1" w:rsidP="007C694C">
      <w:pPr>
        <w:rPr>
          <w:rFonts w:ascii="Arial" w:hAnsi="Arial" w:cs="Arial"/>
        </w:rPr>
      </w:pPr>
      <w:r>
        <w:rPr>
          <w:rFonts w:ascii="Arial" w:hAnsi="Arial" w:cs="Arial"/>
        </w:rPr>
        <w:t>_____________________________________________________________________</w:t>
      </w:r>
    </w:p>
    <w:p w:rsidR="00330CF1" w:rsidRPr="001A125B" w:rsidRDefault="00330CF1" w:rsidP="001A125B">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  </w:t>
      </w:r>
      <w:r w:rsidRPr="001A125B">
        <w:rPr>
          <w:rFonts w:ascii="Arial" w:hAnsi="Arial" w:cs="Arial"/>
          <w:sz w:val="20"/>
          <w:szCs w:val="20"/>
        </w:rPr>
        <w:t>Metronidazole 100 mg/mL suspension, compounded at University of Tennessee Veterinary Teaching Hospital Pharmacy.  Knoxville, TN</w:t>
      </w:r>
    </w:p>
    <w:p w:rsidR="00330CF1" w:rsidRPr="00245BF0" w:rsidRDefault="00330CF1" w:rsidP="00245BF0">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  </w:t>
      </w:r>
      <w:r w:rsidRPr="001A125B">
        <w:rPr>
          <w:rFonts w:ascii="Arial" w:hAnsi="Arial" w:cs="Arial"/>
          <w:sz w:val="20"/>
          <w:szCs w:val="20"/>
        </w:rPr>
        <w:t>Covenia® (cefovecin sodium), Pfizer Animal Health.  Pfizer, Inc., New York, NY</w:t>
      </w:r>
    </w:p>
    <w:p w:rsidR="00330CF1" w:rsidRDefault="00330CF1" w:rsidP="007C694C">
      <w:pPr>
        <w:pStyle w:val="NoSpacing"/>
        <w:jc w:val="center"/>
        <w:rPr>
          <w:rFonts w:ascii="Arial" w:hAnsi="Arial" w:cs="Arial"/>
          <w:b/>
        </w:rPr>
      </w:pPr>
    </w:p>
    <w:p w:rsidR="00330CF1" w:rsidRPr="00EA33C6" w:rsidRDefault="00330CF1" w:rsidP="007C694C">
      <w:pPr>
        <w:pStyle w:val="NoSpacing"/>
        <w:jc w:val="center"/>
        <w:rPr>
          <w:rFonts w:ascii="Arial" w:hAnsi="Arial" w:cs="Arial"/>
          <w:color w:val="C00000"/>
        </w:rPr>
      </w:pPr>
      <w:r w:rsidRPr="003E1E9B">
        <w:rPr>
          <w:rFonts w:ascii="Arial" w:hAnsi="Arial" w:cs="Arial"/>
          <w:b/>
        </w:rPr>
        <w:lastRenderedPageBreak/>
        <w:t>Table 6.2</w:t>
      </w:r>
      <w:r w:rsidRPr="003E1E9B">
        <w:rPr>
          <w:rFonts w:ascii="Arial" w:hAnsi="Arial" w:cs="Arial"/>
        </w:rPr>
        <w:t xml:space="preserve"> Individual </w:t>
      </w:r>
      <w:r>
        <w:rPr>
          <w:rFonts w:ascii="Arial" w:hAnsi="Arial" w:cs="Arial"/>
        </w:rPr>
        <w:t>f</w:t>
      </w:r>
      <w:r w:rsidRPr="003E1E9B">
        <w:rPr>
          <w:rFonts w:ascii="Arial" w:hAnsi="Arial" w:cs="Arial"/>
        </w:rPr>
        <w:t xml:space="preserve">ecal </w:t>
      </w:r>
      <w:r>
        <w:rPr>
          <w:rFonts w:ascii="Arial" w:hAnsi="Arial" w:cs="Arial"/>
        </w:rPr>
        <w:t>c</w:t>
      </w:r>
      <w:r w:rsidRPr="003E1E9B">
        <w:rPr>
          <w:rFonts w:ascii="Arial" w:hAnsi="Arial" w:cs="Arial"/>
        </w:rPr>
        <w:t>ultures/</w:t>
      </w:r>
      <w:r>
        <w:rPr>
          <w:rFonts w:ascii="Arial" w:hAnsi="Arial" w:cs="Arial"/>
        </w:rPr>
        <w:t>t</w:t>
      </w:r>
      <w:r w:rsidRPr="003E1E9B">
        <w:rPr>
          <w:rFonts w:ascii="Arial" w:hAnsi="Arial" w:cs="Arial"/>
        </w:rPr>
        <w:t>reatment from</w:t>
      </w:r>
      <w:r>
        <w:rPr>
          <w:rFonts w:ascii="Arial" w:hAnsi="Arial" w:cs="Arial"/>
        </w:rPr>
        <w:t xml:space="preserve"> k</w:t>
      </w:r>
      <w:r w:rsidRPr="003E1E9B">
        <w:rPr>
          <w:rFonts w:ascii="Arial" w:hAnsi="Arial" w:cs="Arial"/>
        </w:rPr>
        <w:t>ittens with diarrhea</w:t>
      </w:r>
    </w:p>
    <w:p w:rsidR="00330CF1" w:rsidRPr="0079379B" w:rsidRDefault="00330CF1" w:rsidP="007C694C">
      <w:pPr>
        <w:pStyle w:val="NoSpacing"/>
        <w:jc w:val="center"/>
        <w:rPr>
          <w:rFonts w:ascii="Arial" w:hAnsi="Arial" w:cs="Arial"/>
        </w:rPr>
      </w:pPr>
    </w:p>
    <w:tbl>
      <w:tblPr>
        <w:tblStyle w:val="TableGrid"/>
        <w:tblW w:w="9378" w:type="dxa"/>
        <w:tblLook w:val="04A0" w:firstRow="1" w:lastRow="0" w:firstColumn="1" w:lastColumn="0" w:noHBand="0" w:noVBand="1"/>
      </w:tblPr>
      <w:tblGrid>
        <w:gridCol w:w="1771"/>
        <w:gridCol w:w="1577"/>
        <w:gridCol w:w="2880"/>
        <w:gridCol w:w="3150"/>
      </w:tblGrid>
      <w:tr w:rsidR="00330CF1" w:rsidTr="00530C2E">
        <w:tc>
          <w:tcPr>
            <w:tcW w:w="1771" w:type="dxa"/>
          </w:tcPr>
          <w:p w:rsidR="00330CF1" w:rsidRPr="00DA4C9D" w:rsidRDefault="00330CF1" w:rsidP="00530C2E">
            <w:pPr>
              <w:pStyle w:val="NoSpacing"/>
              <w:jc w:val="center"/>
              <w:rPr>
                <w:rFonts w:ascii="Arial" w:hAnsi="Arial" w:cs="Arial"/>
                <w:b/>
              </w:rPr>
            </w:pPr>
            <w:r w:rsidRPr="00DA4C9D">
              <w:rPr>
                <w:rFonts w:ascii="Arial" w:hAnsi="Arial" w:cs="Arial"/>
                <w:b/>
              </w:rPr>
              <w:t>Control diet kittens</w:t>
            </w:r>
          </w:p>
        </w:tc>
        <w:tc>
          <w:tcPr>
            <w:tcW w:w="1577" w:type="dxa"/>
          </w:tcPr>
          <w:p w:rsidR="00330CF1" w:rsidRDefault="00330CF1" w:rsidP="00530C2E">
            <w:pPr>
              <w:pStyle w:val="NoSpacing"/>
              <w:jc w:val="center"/>
              <w:rPr>
                <w:rFonts w:ascii="Arial" w:hAnsi="Arial" w:cs="Arial"/>
              </w:rPr>
            </w:pPr>
            <w:r>
              <w:rPr>
                <w:rFonts w:ascii="Arial" w:hAnsi="Arial" w:cs="Arial"/>
              </w:rPr>
              <w:t>Diarrhea days</w:t>
            </w:r>
          </w:p>
        </w:tc>
        <w:tc>
          <w:tcPr>
            <w:tcW w:w="2880" w:type="dxa"/>
          </w:tcPr>
          <w:p w:rsidR="00330CF1" w:rsidRDefault="00330CF1" w:rsidP="00530C2E">
            <w:pPr>
              <w:pStyle w:val="NoSpacing"/>
              <w:rPr>
                <w:rFonts w:ascii="Arial" w:hAnsi="Arial" w:cs="Arial"/>
              </w:rPr>
            </w:pPr>
            <w:r>
              <w:rPr>
                <w:rFonts w:ascii="Arial" w:hAnsi="Arial" w:cs="Arial"/>
              </w:rPr>
              <w:t xml:space="preserve">Culture </w:t>
            </w:r>
          </w:p>
        </w:tc>
        <w:tc>
          <w:tcPr>
            <w:tcW w:w="3150" w:type="dxa"/>
          </w:tcPr>
          <w:p w:rsidR="00330CF1" w:rsidRDefault="00330CF1" w:rsidP="00530C2E">
            <w:pPr>
              <w:pStyle w:val="NoSpacing"/>
              <w:rPr>
                <w:rFonts w:ascii="Arial" w:hAnsi="Arial" w:cs="Arial"/>
              </w:rPr>
            </w:pPr>
            <w:r>
              <w:rPr>
                <w:rFonts w:ascii="Arial" w:hAnsi="Arial" w:cs="Arial"/>
              </w:rPr>
              <w:t>Treatment</w:t>
            </w:r>
          </w:p>
        </w:tc>
      </w:tr>
      <w:tr w:rsidR="00330CF1" w:rsidTr="00530C2E">
        <w:tc>
          <w:tcPr>
            <w:tcW w:w="1771" w:type="dxa"/>
          </w:tcPr>
          <w:p w:rsidR="00330CF1" w:rsidRPr="00DA4C9D" w:rsidRDefault="00330CF1" w:rsidP="00530C2E">
            <w:pPr>
              <w:pStyle w:val="NoSpacing"/>
              <w:rPr>
                <w:rFonts w:ascii="Arial" w:hAnsi="Arial" w:cs="Arial"/>
              </w:rPr>
            </w:pPr>
            <w:r>
              <w:rPr>
                <w:rFonts w:ascii="Arial" w:hAnsi="Arial" w:cs="Arial"/>
              </w:rPr>
              <w:t>#8001</w:t>
            </w:r>
          </w:p>
        </w:tc>
        <w:tc>
          <w:tcPr>
            <w:tcW w:w="1577" w:type="dxa"/>
          </w:tcPr>
          <w:p w:rsidR="00330CF1" w:rsidRDefault="00330CF1" w:rsidP="00530C2E">
            <w:pPr>
              <w:pStyle w:val="NoSpacing"/>
              <w:jc w:val="center"/>
              <w:rPr>
                <w:rFonts w:ascii="Arial" w:hAnsi="Arial" w:cs="Arial"/>
              </w:rPr>
            </w:pPr>
            <w:r>
              <w:rPr>
                <w:rFonts w:ascii="Arial" w:hAnsi="Arial" w:cs="Arial"/>
              </w:rPr>
              <w:t>14</w:t>
            </w:r>
          </w:p>
        </w:tc>
        <w:tc>
          <w:tcPr>
            <w:tcW w:w="2880" w:type="dxa"/>
          </w:tcPr>
          <w:p w:rsidR="00330CF1" w:rsidRDefault="00330CF1" w:rsidP="00530C2E">
            <w:pPr>
              <w:pStyle w:val="NoSpacing"/>
              <w:rPr>
                <w:rFonts w:ascii="Arial" w:hAnsi="Arial" w:cs="Arial"/>
              </w:rPr>
            </w:pPr>
            <w:r>
              <w:rPr>
                <w:rFonts w:ascii="Arial" w:hAnsi="Arial" w:cs="Arial"/>
              </w:rPr>
              <w:t>No Culture done</w:t>
            </w:r>
          </w:p>
        </w:tc>
        <w:tc>
          <w:tcPr>
            <w:tcW w:w="3150" w:type="dxa"/>
          </w:tcPr>
          <w:p w:rsidR="00330CF1" w:rsidRDefault="00330CF1" w:rsidP="00530C2E">
            <w:pPr>
              <w:pStyle w:val="NoSpacing"/>
              <w:rPr>
                <w:rFonts w:ascii="Arial" w:hAnsi="Arial" w:cs="Arial"/>
              </w:rPr>
            </w:pPr>
            <w:r>
              <w:rPr>
                <w:rFonts w:ascii="Arial" w:hAnsi="Arial" w:cs="Arial"/>
              </w:rPr>
              <w:t>No Treatment given</w:t>
            </w:r>
          </w:p>
        </w:tc>
      </w:tr>
      <w:tr w:rsidR="00330CF1" w:rsidTr="00530C2E">
        <w:tc>
          <w:tcPr>
            <w:tcW w:w="1771" w:type="dxa"/>
          </w:tcPr>
          <w:p w:rsidR="00330CF1" w:rsidRDefault="00330CF1" w:rsidP="00530C2E">
            <w:pPr>
              <w:pStyle w:val="NoSpacing"/>
              <w:rPr>
                <w:rFonts w:ascii="Arial" w:hAnsi="Arial" w:cs="Arial"/>
              </w:rPr>
            </w:pPr>
            <w:r>
              <w:rPr>
                <w:rFonts w:ascii="Arial" w:hAnsi="Arial" w:cs="Arial"/>
              </w:rPr>
              <w:t>#8012</w:t>
            </w:r>
          </w:p>
        </w:tc>
        <w:tc>
          <w:tcPr>
            <w:tcW w:w="1577" w:type="dxa"/>
          </w:tcPr>
          <w:p w:rsidR="00330CF1" w:rsidRDefault="00330CF1" w:rsidP="00530C2E">
            <w:pPr>
              <w:pStyle w:val="NoSpacing"/>
              <w:jc w:val="center"/>
              <w:rPr>
                <w:rFonts w:ascii="Arial" w:hAnsi="Arial" w:cs="Arial"/>
              </w:rPr>
            </w:pPr>
            <w:r>
              <w:rPr>
                <w:rFonts w:ascii="Arial" w:hAnsi="Arial" w:cs="Arial"/>
              </w:rPr>
              <w:t>7</w:t>
            </w:r>
          </w:p>
        </w:tc>
        <w:tc>
          <w:tcPr>
            <w:tcW w:w="2880" w:type="dxa"/>
          </w:tcPr>
          <w:p w:rsidR="00330CF1" w:rsidRDefault="00330CF1" w:rsidP="00530C2E">
            <w:pPr>
              <w:pStyle w:val="NoSpacing"/>
              <w:numPr>
                <w:ilvl w:val="0"/>
                <w:numId w:val="8"/>
              </w:numPr>
              <w:rPr>
                <w:rFonts w:ascii="Arial" w:hAnsi="Arial" w:cs="Arial"/>
              </w:rPr>
            </w:pPr>
            <w:r>
              <w:rPr>
                <w:rFonts w:ascii="Arial" w:hAnsi="Arial" w:cs="Arial"/>
              </w:rPr>
              <w:t xml:space="preserve">1000 </w:t>
            </w:r>
            <w:r>
              <w:rPr>
                <w:rFonts w:ascii="Arial" w:hAnsi="Arial" w:cs="Arial"/>
                <w:i/>
              </w:rPr>
              <w:t>C. perfringens</w:t>
            </w:r>
          </w:p>
        </w:tc>
        <w:tc>
          <w:tcPr>
            <w:tcW w:w="3150" w:type="dxa"/>
          </w:tcPr>
          <w:p w:rsidR="00330CF1" w:rsidRDefault="00330CF1" w:rsidP="00530C2E">
            <w:pPr>
              <w:pStyle w:val="NoSpacing"/>
              <w:rPr>
                <w:rFonts w:ascii="Arial" w:hAnsi="Arial" w:cs="Arial"/>
              </w:rPr>
            </w:pPr>
            <w:r>
              <w:rPr>
                <w:rFonts w:ascii="Arial" w:hAnsi="Arial" w:cs="Arial"/>
              </w:rPr>
              <w:t xml:space="preserve">Metronidazole 7 days </w:t>
            </w:r>
          </w:p>
        </w:tc>
      </w:tr>
      <w:tr w:rsidR="00330CF1" w:rsidTr="00530C2E">
        <w:tc>
          <w:tcPr>
            <w:tcW w:w="1771" w:type="dxa"/>
          </w:tcPr>
          <w:p w:rsidR="00330CF1" w:rsidRDefault="00330CF1" w:rsidP="00530C2E">
            <w:pPr>
              <w:pStyle w:val="NoSpacing"/>
              <w:rPr>
                <w:rFonts w:ascii="Arial" w:hAnsi="Arial" w:cs="Arial"/>
              </w:rPr>
            </w:pPr>
            <w:r>
              <w:rPr>
                <w:rFonts w:ascii="Arial" w:hAnsi="Arial" w:cs="Arial"/>
              </w:rPr>
              <w:t>#9126</w:t>
            </w:r>
          </w:p>
        </w:tc>
        <w:tc>
          <w:tcPr>
            <w:tcW w:w="1577" w:type="dxa"/>
          </w:tcPr>
          <w:p w:rsidR="00330CF1" w:rsidRDefault="00330CF1" w:rsidP="00530C2E">
            <w:pPr>
              <w:pStyle w:val="NoSpacing"/>
              <w:jc w:val="center"/>
              <w:rPr>
                <w:rFonts w:ascii="Arial" w:hAnsi="Arial" w:cs="Arial"/>
              </w:rPr>
            </w:pPr>
            <w:r>
              <w:rPr>
                <w:rFonts w:ascii="Arial" w:hAnsi="Arial" w:cs="Arial"/>
              </w:rPr>
              <w:t>12</w:t>
            </w:r>
          </w:p>
        </w:tc>
        <w:tc>
          <w:tcPr>
            <w:tcW w:w="2880" w:type="dxa"/>
          </w:tcPr>
          <w:p w:rsidR="00330CF1" w:rsidRDefault="00330CF1" w:rsidP="00530C2E">
            <w:pPr>
              <w:pStyle w:val="NoSpacing"/>
              <w:numPr>
                <w:ilvl w:val="0"/>
                <w:numId w:val="8"/>
              </w:numPr>
              <w:rPr>
                <w:rFonts w:ascii="Arial" w:hAnsi="Arial" w:cs="Arial"/>
              </w:rPr>
            </w:pPr>
            <w:r>
              <w:rPr>
                <w:rFonts w:ascii="Arial" w:hAnsi="Arial" w:cs="Arial"/>
              </w:rPr>
              <w:t xml:space="preserve">1000 </w:t>
            </w:r>
            <w:r>
              <w:rPr>
                <w:rFonts w:ascii="Arial" w:hAnsi="Arial" w:cs="Arial"/>
                <w:i/>
              </w:rPr>
              <w:t>C. perfringens</w:t>
            </w:r>
          </w:p>
        </w:tc>
        <w:tc>
          <w:tcPr>
            <w:tcW w:w="3150" w:type="dxa"/>
          </w:tcPr>
          <w:p w:rsidR="00330CF1" w:rsidRDefault="00330CF1" w:rsidP="00530C2E">
            <w:pPr>
              <w:pStyle w:val="NoSpacing"/>
              <w:rPr>
                <w:rFonts w:ascii="Arial" w:hAnsi="Arial" w:cs="Arial"/>
              </w:rPr>
            </w:pPr>
            <w:r>
              <w:rPr>
                <w:rFonts w:ascii="Arial" w:hAnsi="Arial" w:cs="Arial"/>
              </w:rPr>
              <w:t>Resolved without treatment</w:t>
            </w:r>
          </w:p>
        </w:tc>
      </w:tr>
      <w:tr w:rsidR="00330CF1" w:rsidTr="00530C2E">
        <w:tc>
          <w:tcPr>
            <w:tcW w:w="1771" w:type="dxa"/>
          </w:tcPr>
          <w:p w:rsidR="00330CF1" w:rsidRDefault="00330CF1" w:rsidP="00530C2E">
            <w:pPr>
              <w:pStyle w:val="NoSpacing"/>
              <w:rPr>
                <w:rFonts w:ascii="Arial" w:hAnsi="Arial" w:cs="Arial"/>
              </w:rPr>
            </w:pPr>
            <w:r>
              <w:rPr>
                <w:rFonts w:ascii="Arial" w:hAnsi="Arial" w:cs="Arial"/>
              </w:rPr>
              <w:t>#9127</w:t>
            </w:r>
          </w:p>
        </w:tc>
        <w:tc>
          <w:tcPr>
            <w:tcW w:w="1577" w:type="dxa"/>
          </w:tcPr>
          <w:p w:rsidR="00330CF1" w:rsidRDefault="00330CF1" w:rsidP="00530C2E">
            <w:pPr>
              <w:pStyle w:val="NoSpacing"/>
              <w:jc w:val="center"/>
              <w:rPr>
                <w:rFonts w:ascii="Arial" w:hAnsi="Arial" w:cs="Arial"/>
              </w:rPr>
            </w:pPr>
            <w:r>
              <w:rPr>
                <w:rFonts w:ascii="Arial" w:hAnsi="Arial" w:cs="Arial"/>
              </w:rPr>
              <w:t>11</w:t>
            </w:r>
          </w:p>
        </w:tc>
        <w:tc>
          <w:tcPr>
            <w:tcW w:w="2880" w:type="dxa"/>
          </w:tcPr>
          <w:p w:rsidR="00330CF1" w:rsidRDefault="00330CF1" w:rsidP="00530C2E">
            <w:pPr>
              <w:pStyle w:val="NoSpacing"/>
              <w:numPr>
                <w:ilvl w:val="0"/>
                <w:numId w:val="8"/>
              </w:numPr>
              <w:rPr>
                <w:rFonts w:ascii="Arial" w:hAnsi="Arial" w:cs="Arial"/>
              </w:rPr>
            </w:pPr>
            <w:r>
              <w:rPr>
                <w:rFonts w:ascii="Arial" w:hAnsi="Arial" w:cs="Arial"/>
              </w:rPr>
              <w:t xml:space="preserve">1000 </w:t>
            </w:r>
            <w:r>
              <w:rPr>
                <w:rFonts w:ascii="Arial" w:hAnsi="Arial" w:cs="Arial"/>
                <w:i/>
              </w:rPr>
              <w:t>C. perfringens</w:t>
            </w:r>
          </w:p>
        </w:tc>
        <w:tc>
          <w:tcPr>
            <w:tcW w:w="3150" w:type="dxa"/>
          </w:tcPr>
          <w:p w:rsidR="00330CF1" w:rsidRDefault="00330CF1" w:rsidP="00530C2E">
            <w:pPr>
              <w:pStyle w:val="NoSpacing"/>
              <w:rPr>
                <w:rFonts w:ascii="Arial" w:hAnsi="Arial" w:cs="Arial"/>
              </w:rPr>
            </w:pPr>
            <w:r>
              <w:rPr>
                <w:rFonts w:ascii="Arial" w:hAnsi="Arial" w:cs="Arial"/>
              </w:rPr>
              <w:t>Resolved without treatment</w:t>
            </w:r>
          </w:p>
        </w:tc>
      </w:tr>
      <w:tr w:rsidR="00330CF1" w:rsidTr="00530C2E">
        <w:tc>
          <w:tcPr>
            <w:tcW w:w="1771" w:type="dxa"/>
          </w:tcPr>
          <w:p w:rsidR="00330CF1" w:rsidRDefault="00330CF1" w:rsidP="00530C2E">
            <w:pPr>
              <w:pStyle w:val="NoSpacing"/>
              <w:rPr>
                <w:rFonts w:ascii="Arial" w:hAnsi="Arial" w:cs="Arial"/>
              </w:rPr>
            </w:pPr>
            <w:r>
              <w:rPr>
                <w:rFonts w:ascii="Arial" w:hAnsi="Arial" w:cs="Arial"/>
              </w:rPr>
              <w:t>#10005</w:t>
            </w:r>
          </w:p>
        </w:tc>
        <w:tc>
          <w:tcPr>
            <w:tcW w:w="1577" w:type="dxa"/>
          </w:tcPr>
          <w:p w:rsidR="00330CF1" w:rsidRDefault="00330CF1" w:rsidP="00530C2E">
            <w:pPr>
              <w:pStyle w:val="NoSpacing"/>
              <w:jc w:val="center"/>
              <w:rPr>
                <w:rFonts w:ascii="Arial" w:hAnsi="Arial" w:cs="Arial"/>
              </w:rPr>
            </w:pPr>
            <w:r>
              <w:rPr>
                <w:rFonts w:ascii="Arial" w:hAnsi="Arial" w:cs="Arial"/>
              </w:rPr>
              <w:t>25</w:t>
            </w:r>
          </w:p>
        </w:tc>
        <w:tc>
          <w:tcPr>
            <w:tcW w:w="2880" w:type="dxa"/>
          </w:tcPr>
          <w:p w:rsidR="00330CF1" w:rsidRDefault="00330CF1" w:rsidP="00530C2E">
            <w:pPr>
              <w:pStyle w:val="NoSpacing"/>
              <w:numPr>
                <w:ilvl w:val="0"/>
                <w:numId w:val="8"/>
              </w:numPr>
              <w:rPr>
                <w:rFonts w:ascii="Arial" w:hAnsi="Arial" w:cs="Arial"/>
              </w:rPr>
            </w:pPr>
            <w:r>
              <w:rPr>
                <w:rFonts w:ascii="Arial" w:hAnsi="Arial" w:cs="Arial"/>
              </w:rPr>
              <w:t xml:space="preserve">No </w:t>
            </w:r>
            <w:r>
              <w:rPr>
                <w:rFonts w:ascii="Arial" w:hAnsi="Arial" w:cs="Arial"/>
                <w:i/>
              </w:rPr>
              <w:t xml:space="preserve">Salmonella </w:t>
            </w:r>
            <w:r>
              <w:rPr>
                <w:rFonts w:ascii="Arial" w:hAnsi="Arial" w:cs="Arial"/>
              </w:rPr>
              <w:t xml:space="preserve">spp., </w:t>
            </w:r>
            <w:r>
              <w:rPr>
                <w:rFonts w:ascii="Arial" w:hAnsi="Arial" w:cs="Arial"/>
                <w:i/>
              </w:rPr>
              <w:t xml:space="preserve">Campylobacter </w:t>
            </w:r>
            <w:r>
              <w:rPr>
                <w:rFonts w:ascii="Arial" w:hAnsi="Arial" w:cs="Arial"/>
              </w:rPr>
              <w:t>spp.,</w:t>
            </w:r>
          </w:p>
          <w:p w:rsidR="00330CF1" w:rsidRPr="00ED2AA0" w:rsidRDefault="00330CF1" w:rsidP="00530C2E">
            <w:pPr>
              <w:pStyle w:val="NoSpacing"/>
              <w:ind w:left="408"/>
              <w:rPr>
                <w:rFonts w:ascii="Arial" w:hAnsi="Arial" w:cs="Arial"/>
              </w:rPr>
            </w:pPr>
            <w:r>
              <w:rPr>
                <w:rFonts w:ascii="Arial" w:hAnsi="Arial" w:cs="Arial"/>
                <w:i/>
              </w:rPr>
              <w:t xml:space="preserve">Clostridium </w:t>
            </w:r>
            <w:r>
              <w:rPr>
                <w:rFonts w:ascii="Arial" w:hAnsi="Arial" w:cs="Arial"/>
              </w:rPr>
              <w:t>spp.</w:t>
            </w:r>
          </w:p>
        </w:tc>
        <w:tc>
          <w:tcPr>
            <w:tcW w:w="3150" w:type="dxa"/>
          </w:tcPr>
          <w:p w:rsidR="00330CF1" w:rsidRDefault="00330CF1" w:rsidP="00530C2E">
            <w:pPr>
              <w:pStyle w:val="NoSpacing"/>
              <w:rPr>
                <w:rFonts w:ascii="Arial" w:hAnsi="Arial" w:cs="Arial"/>
              </w:rPr>
            </w:pPr>
            <w:r>
              <w:rPr>
                <w:rFonts w:ascii="Arial" w:hAnsi="Arial" w:cs="Arial"/>
              </w:rPr>
              <w:t>Metronidazole, followed by Cefovecin</w:t>
            </w:r>
          </w:p>
        </w:tc>
      </w:tr>
      <w:tr w:rsidR="00330CF1" w:rsidTr="00530C2E">
        <w:tc>
          <w:tcPr>
            <w:tcW w:w="1771" w:type="dxa"/>
          </w:tcPr>
          <w:p w:rsidR="00330CF1" w:rsidRDefault="00330CF1" w:rsidP="00530C2E">
            <w:pPr>
              <w:pStyle w:val="NoSpacing"/>
              <w:rPr>
                <w:rFonts w:ascii="Arial" w:hAnsi="Arial" w:cs="Arial"/>
              </w:rPr>
            </w:pPr>
            <w:r>
              <w:rPr>
                <w:rFonts w:ascii="Arial" w:hAnsi="Arial" w:cs="Arial"/>
              </w:rPr>
              <w:t>#10008</w:t>
            </w:r>
          </w:p>
        </w:tc>
        <w:tc>
          <w:tcPr>
            <w:tcW w:w="1577" w:type="dxa"/>
          </w:tcPr>
          <w:p w:rsidR="00330CF1" w:rsidRDefault="00330CF1" w:rsidP="00530C2E">
            <w:pPr>
              <w:pStyle w:val="NoSpacing"/>
              <w:jc w:val="center"/>
              <w:rPr>
                <w:rFonts w:ascii="Arial" w:hAnsi="Arial" w:cs="Arial"/>
              </w:rPr>
            </w:pPr>
            <w:r>
              <w:rPr>
                <w:rFonts w:ascii="Arial" w:hAnsi="Arial" w:cs="Arial"/>
              </w:rPr>
              <w:t>3</w:t>
            </w:r>
          </w:p>
        </w:tc>
        <w:tc>
          <w:tcPr>
            <w:tcW w:w="2880" w:type="dxa"/>
          </w:tcPr>
          <w:p w:rsidR="00330CF1" w:rsidRDefault="00330CF1" w:rsidP="00530C2E">
            <w:pPr>
              <w:pStyle w:val="NoSpacing"/>
              <w:numPr>
                <w:ilvl w:val="0"/>
                <w:numId w:val="8"/>
              </w:numPr>
              <w:rPr>
                <w:rFonts w:ascii="Arial" w:hAnsi="Arial" w:cs="Arial"/>
              </w:rPr>
            </w:pPr>
            <w:r>
              <w:rPr>
                <w:rFonts w:ascii="Arial" w:hAnsi="Arial" w:cs="Arial"/>
              </w:rPr>
              <w:t xml:space="preserve">No </w:t>
            </w:r>
            <w:r>
              <w:rPr>
                <w:rFonts w:ascii="Arial" w:hAnsi="Arial" w:cs="Arial"/>
                <w:i/>
              </w:rPr>
              <w:t xml:space="preserve">Salmonella </w:t>
            </w:r>
            <w:r>
              <w:rPr>
                <w:rFonts w:ascii="Arial" w:hAnsi="Arial" w:cs="Arial"/>
              </w:rPr>
              <w:t xml:space="preserve">spp., </w:t>
            </w:r>
            <w:r>
              <w:rPr>
                <w:rFonts w:ascii="Arial" w:hAnsi="Arial" w:cs="Arial"/>
                <w:i/>
              </w:rPr>
              <w:t xml:space="preserve">Campylobacter </w:t>
            </w:r>
            <w:r>
              <w:rPr>
                <w:rFonts w:ascii="Arial" w:hAnsi="Arial" w:cs="Arial"/>
              </w:rPr>
              <w:t>spp.,</w:t>
            </w:r>
          </w:p>
          <w:p w:rsidR="00330CF1" w:rsidRDefault="00330CF1" w:rsidP="00530C2E">
            <w:pPr>
              <w:pStyle w:val="NoSpacing"/>
              <w:rPr>
                <w:rFonts w:ascii="Arial" w:hAnsi="Arial" w:cs="Arial"/>
              </w:rPr>
            </w:pPr>
            <w:r>
              <w:rPr>
                <w:rFonts w:ascii="Arial" w:hAnsi="Arial" w:cs="Arial"/>
                <w:i/>
              </w:rPr>
              <w:t xml:space="preserve">      Clostridium </w:t>
            </w:r>
            <w:r>
              <w:rPr>
                <w:rFonts w:ascii="Arial" w:hAnsi="Arial" w:cs="Arial"/>
              </w:rPr>
              <w:t>spp.</w:t>
            </w:r>
          </w:p>
        </w:tc>
        <w:tc>
          <w:tcPr>
            <w:tcW w:w="3150" w:type="dxa"/>
          </w:tcPr>
          <w:p w:rsidR="00330CF1" w:rsidRDefault="00330CF1" w:rsidP="00530C2E">
            <w:pPr>
              <w:pStyle w:val="NoSpacing"/>
              <w:rPr>
                <w:rFonts w:ascii="Arial" w:hAnsi="Arial" w:cs="Arial"/>
              </w:rPr>
            </w:pPr>
            <w:r>
              <w:rPr>
                <w:rFonts w:ascii="Arial" w:hAnsi="Arial" w:cs="Arial"/>
              </w:rPr>
              <w:t>Resolved without treatment</w:t>
            </w:r>
          </w:p>
        </w:tc>
      </w:tr>
      <w:tr w:rsidR="00330CF1" w:rsidTr="00530C2E">
        <w:tc>
          <w:tcPr>
            <w:tcW w:w="1771" w:type="dxa"/>
          </w:tcPr>
          <w:p w:rsidR="00330CF1" w:rsidRDefault="00330CF1" w:rsidP="00530C2E">
            <w:pPr>
              <w:pStyle w:val="NoSpacing"/>
              <w:rPr>
                <w:rFonts w:ascii="Arial" w:hAnsi="Arial" w:cs="Arial"/>
              </w:rPr>
            </w:pPr>
            <w:r>
              <w:rPr>
                <w:rFonts w:ascii="Arial" w:hAnsi="Arial" w:cs="Arial"/>
              </w:rPr>
              <w:t>#10009</w:t>
            </w:r>
          </w:p>
        </w:tc>
        <w:tc>
          <w:tcPr>
            <w:tcW w:w="1577" w:type="dxa"/>
          </w:tcPr>
          <w:p w:rsidR="00330CF1" w:rsidRDefault="00330CF1" w:rsidP="00530C2E">
            <w:pPr>
              <w:pStyle w:val="NoSpacing"/>
              <w:jc w:val="center"/>
              <w:rPr>
                <w:rFonts w:ascii="Arial" w:hAnsi="Arial" w:cs="Arial"/>
              </w:rPr>
            </w:pPr>
            <w:r>
              <w:rPr>
                <w:rFonts w:ascii="Arial" w:hAnsi="Arial" w:cs="Arial"/>
              </w:rPr>
              <w:t>19</w:t>
            </w:r>
          </w:p>
        </w:tc>
        <w:tc>
          <w:tcPr>
            <w:tcW w:w="2880" w:type="dxa"/>
          </w:tcPr>
          <w:p w:rsidR="00330CF1" w:rsidRDefault="00330CF1" w:rsidP="00530C2E">
            <w:pPr>
              <w:pStyle w:val="NoSpacing"/>
              <w:numPr>
                <w:ilvl w:val="0"/>
                <w:numId w:val="8"/>
              </w:numPr>
              <w:rPr>
                <w:rFonts w:ascii="Arial" w:hAnsi="Arial" w:cs="Arial"/>
              </w:rPr>
            </w:pPr>
            <w:r>
              <w:rPr>
                <w:rFonts w:ascii="Arial" w:hAnsi="Arial" w:cs="Arial"/>
              </w:rPr>
              <w:t xml:space="preserve">No </w:t>
            </w:r>
            <w:r>
              <w:rPr>
                <w:rFonts w:ascii="Arial" w:hAnsi="Arial" w:cs="Arial"/>
                <w:i/>
              </w:rPr>
              <w:t xml:space="preserve">Salmonella </w:t>
            </w:r>
            <w:r>
              <w:rPr>
                <w:rFonts w:ascii="Arial" w:hAnsi="Arial" w:cs="Arial"/>
              </w:rPr>
              <w:t xml:space="preserve">spp., </w:t>
            </w:r>
            <w:r>
              <w:rPr>
                <w:rFonts w:ascii="Arial" w:hAnsi="Arial" w:cs="Arial"/>
                <w:i/>
              </w:rPr>
              <w:t xml:space="preserve">Campylobacter </w:t>
            </w:r>
            <w:r>
              <w:rPr>
                <w:rFonts w:ascii="Arial" w:hAnsi="Arial" w:cs="Arial"/>
              </w:rPr>
              <w:t>spp.,</w:t>
            </w:r>
          </w:p>
          <w:p w:rsidR="00330CF1" w:rsidRDefault="00330CF1" w:rsidP="00530C2E">
            <w:pPr>
              <w:pStyle w:val="NoSpacing"/>
              <w:rPr>
                <w:rFonts w:ascii="Arial" w:hAnsi="Arial" w:cs="Arial"/>
              </w:rPr>
            </w:pPr>
            <w:r>
              <w:rPr>
                <w:rFonts w:ascii="Arial" w:hAnsi="Arial" w:cs="Arial"/>
                <w:i/>
              </w:rPr>
              <w:t xml:space="preserve">      Clostridium </w:t>
            </w:r>
            <w:r>
              <w:rPr>
                <w:rFonts w:ascii="Arial" w:hAnsi="Arial" w:cs="Arial"/>
              </w:rPr>
              <w:t>spp.</w:t>
            </w:r>
          </w:p>
        </w:tc>
        <w:tc>
          <w:tcPr>
            <w:tcW w:w="3150" w:type="dxa"/>
          </w:tcPr>
          <w:p w:rsidR="00330CF1" w:rsidRDefault="00330CF1" w:rsidP="00530C2E">
            <w:pPr>
              <w:pStyle w:val="NoSpacing"/>
              <w:rPr>
                <w:rFonts w:ascii="Arial" w:hAnsi="Arial" w:cs="Arial"/>
              </w:rPr>
            </w:pPr>
            <w:r>
              <w:rPr>
                <w:rFonts w:ascii="Arial" w:hAnsi="Arial" w:cs="Arial"/>
              </w:rPr>
              <w:t>Metronidazole, followed by Cefovecin</w:t>
            </w:r>
          </w:p>
        </w:tc>
      </w:tr>
      <w:tr w:rsidR="00330CF1" w:rsidTr="00530C2E">
        <w:tc>
          <w:tcPr>
            <w:tcW w:w="1771" w:type="dxa"/>
          </w:tcPr>
          <w:p w:rsidR="00330CF1" w:rsidRDefault="00330CF1" w:rsidP="00530C2E">
            <w:pPr>
              <w:pStyle w:val="NoSpacing"/>
              <w:rPr>
                <w:rFonts w:ascii="Arial" w:hAnsi="Arial" w:cs="Arial"/>
              </w:rPr>
            </w:pPr>
          </w:p>
        </w:tc>
        <w:tc>
          <w:tcPr>
            <w:tcW w:w="1577" w:type="dxa"/>
          </w:tcPr>
          <w:p w:rsidR="00330CF1" w:rsidRDefault="00330CF1" w:rsidP="00530C2E">
            <w:pPr>
              <w:pStyle w:val="NoSpacing"/>
              <w:jc w:val="center"/>
              <w:rPr>
                <w:rFonts w:ascii="Arial" w:hAnsi="Arial" w:cs="Arial"/>
              </w:rPr>
            </w:pPr>
          </w:p>
        </w:tc>
        <w:tc>
          <w:tcPr>
            <w:tcW w:w="2880" w:type="dxa"/>
          </w:tcPr>
          <w:p w:rsidR="00330CF1" w:rsidRDefault="00330CF1" w:rsidP="00530C2E">
            <w:pPr>
              <w:pStyle w:val="NoSpacing"/>
              <w:rPr>
                <w:rFonts w:ascii="Arial" w:hAnsi="Arial" w:cs="Arial"/>
              </w:rPr>
            </w:pPr>
          </w:p>
        </w:tc>
        <w:tc>
          <w:tcPr>
            <w:tcW w:w="3150" w:type="dxa"/>
          </w:tcPr>
          <w:p w:rsidR="00330CF1" w:rsidRDefault="00330CF1" w:rsidP="00530C2E">
            <w:pPr>
              <w:pStyle w:val="NoSpacing"/>
              <w:rPr>
                <w:rFonts w:ascii="Arial" w:hAnsi="Arial" w:cs="Arial"/>
              </w:rPr>
            </w:pPr>
          </w:p>
        </w:tc>
      </w:tr>
      <w:tr w:rsidR="00330CF1" w:rsidTr="00530C2E">
        <w:tc>
          <w:tcPr>
            <w:tcW w:w="1771" w:type="dxa"/>
          </w:tcPr>
          <w:p w:rsidR="00330CF1" w:rsidRPr="00DA4C9D" w:rsidRDefault="00330CF1" w:rsidP="00530C2E">
            <w:pPr>
              <w:pStyle w:val="NoSpacing"/>
              <w:rPr>
                <w:rFonts w:ascii="Arial" w:hAnsi="Arial" w:cs="Arial"/>
                <w:b/>
              </w:rPr>
            </w:pPr>
            <w:r>
              <w:rPr>
                <w:rFonts w:ascii="Arial" w:hAnsi="Arial" w:cs="Arial"/>
                <w:b/>
              </w:rPr>
              <w:t>Commercial Raw kittens</w:t>
            </w:r>
          </w:p>
        </w:tc>
        <w:tc>
          <w:tcPr>
            <w:tcW w:w="1577" w:type="dxa"/>
          </w:tcPr>
          <w:p w:rsidR="00330CF1" w:rsidRDefault="00330CF1" w:rsidP="00530C2E">
            <w:pPr>
              <w:pStyle w:val="NoSpacing"/>
              <w:jc w:val="center"/>
              <w:rPr>
                <w:rFonts w:ascii="Arial" w:hAnsi="Arial" w:cs="Arial"/>
              </w:rPr>
            </w:pPr>
          </w:p>
        </w:tc>
        <w:tc>
          <w:tcPr>
            <w:tcW w:w="2880" w:type="dxa"/>
          </w:tcPr>
          <w:p w:rsidR="00330CF1" w:rsidRDefault="00330CF1" w:rsidP="00530C2E">
            <w:pPr>
              <w:pStyle w:val="NoSpacing"/>
              <w:rPr>
                <w:rFonts w:ascii="Arial" w:hAnsi="Arial" w:cs="Arial"/>
              </w:rPr>
            </w:pPr>
          </w:p>
        </w:tc>
        <w:tc>
          <w:tcPr>
            <w:tcW w:w="3150" w:type="dxa"/>
          </w:tcPr>
          <w:p w:rsidR="00330CF1" w:rsidRDefault="00330CF1" w:rsidP="00530C2E">
            <w:pPr>
              <w:pStyle w:val="NoSpacing"/>
              <w:rPr>
                <w:rFonts w:ascii="Arial" w:hAnsi="Arial" w:cs="Arial"/>
              </w:rPr>
            </w:pPr>
          </w:p>
        </w:tc>
      </w:tr>
      <w:tr w:rsidR="00330CF1" w:rsidTr="00530C2E">
        <w:tc>
          <w:tcPr>
            <w:tcW w:w="1771" w:type="dxa"/>
          </w:tcPr>
          <w:p w:rsidR="00330CF1" w:rsidRDefault="00330CF1" w:rsidP="00530C2E">
            <w:pPr>
              <w:pStyle w:val="NoSpacing"/>
              <w:rPr>
                <w:rFonts w:ascii="Arial" w:hAnsi="Arial" w:cs="Arial"/>
              </w:rPr>
            </w:pPr>
            <w:r>
              <w:rPr>
                <w:rFonts w:ascii="Arial" w:hAnsi="Arial" w:cs="Arial"/>
              </w:rPr>
              <w:t>#8004</w:t>
            </w:r>
          </w:p>
        </w:tc>
        <w:tc>
          <w:tcPr>
            <w:tcW w:w="1577" w:type="dxa"/>
          </w:tcPr>
          <w:p w:rsidR="00330CF1" w:rsidRDefault="00330CF1" w:rsidP="00530C2E">
            <w:pPr>
              <w:pStyle w:val="NoSpacing"/>
              <w:jc w:val="center"/>
              <w:rPr>
                <w:rFonts w:ascii="Arial" w:hAnsi="Arial" w:cs="Arial"/>
              </w:rPr>
            </w:pPr>
            <w:r>
              <w:rPr>
                <w:rFonts w:ascii="Arial" w:hAnsi="Arial" w:cs="Arial"/>
              </w:rPr>
              <w:t>6</w:t>
            </w:r>
          </w:p>
        </w:tc>
        <w:tc>
          <w:tcPr>
            <w:tcW w:w="2880" w:type="dxa"/>
          </w:tcPr>
          <w:p w:rsidR="00330CF1" w:rsidRDefault="00330CF1" w:rsidP="00530C2E">
            <w:pPr>
              <w:pStyle w:val="NoSpacing"/>
              <w:rPr>
                <w:rFonts w:ascii="Arial" w:hAnsi="Arial" w:cs="Arial"/>
              </w:rPr>
            </w:pPr>
            <w:r>
              <w:rPr>
                <w:rFonts w:ascii="Arial" w:hAnsi="Arial" w:cs="Arial"/>
              </w:rPr>
              <w:t>No Culture done</w:t>
            </w:r>
          </w:p>
        </w:tc>
        <w:tc>
          <w:tcPr>
            <w:tcW w:w="3150" w:type="dxa"/>
          </w:tcPr>
          <w:p w:rsidR="00330CF1" w:rsidRDefault="00330CF1" w:rsidP="00530C2E">
            <w:pPr>
              <w:pStyle w:val="NoSpacing"/>
              <w:rPr>
                <w:rFonts w:ascii="Arial" w:hAnsi="Arial" w:cs="Arial"/>
              </w:rPr>
            </w:pPr>
            <w:r>
              <w:rPr>
                <w:rFonts w:ascii="Arial" w:hAnsi="Arial" w:cs="Arial"/>
              </w:rPr>
              <w:t>No Treatment given</w:t>
            </w:r>
          </w:p>
        </w:tc>
      </w:tr>
      <w:tr w:rsidR="00330CF1" w:rsidTr="00530C2E">
        <w:tc>
          <w:tcPr>
            <w:tcW w:w="1771" w:type="dxa"/>
          </w:tcPr>
          <w:p w:rsidR="00330CF1" w:rsidRDefault="00330CF1" w:rsidP="00530C2E">
            <w:pPr>
              <w:pStyle w:val="NoSpacing"/>
              <w:rPr>
                <w:rFonts w:ascii="Arial" w:hAnsi="Arial" w:cs="Arial"/>
              </w:rPr>
            </w:pPr>
          </w:p>
        </w:tc>
        <w:tc>
          <w:tcPr>
            <w:tcW w:w="1577" w:type="dxa"/>
          </w:tcPr>
          <w:p w:rsidR="00330CF1" w:rsidRDefault="00330CF1" w:rsidP="00530C2E">
            <w:pPr>
              <w:pStyle w:val="NoSpacing"/>
              <w:jc w:val="center"/>
              <w:rPr>
                <w:rFonts w:ascii="Arial" w:hAnsi="Arial" w:cs="Arial"/>
              </w:rPr>
            </w:pPr>
          </w:p>
        </w:tc>
        <w:tc>
          <w:tcPr>
            <w:tcW w:w="2880" w:type="dxa"/>
          </w:tcPr>
          <w:p w:rsidR="00330CF1" w:rsidRDefault="00330CF1" w:rsidP="00530C2E">
            <w:pPr>
              <w:pStyle w:val="NoSpacing"/>
              <w:rPr>
                <w:rFonts w:ascii="Arial" w:hAnsi="Arial" w:cs="Arial"/>
              </w:rPr>
            </w:pPr>
          </w:p>
        </w:tc>
        <w:tc>
          <w:tcPr>
            <w:tcW w:w="3150" w:type="dxa"/>
          </w:tcPr>
          <w:p w:rsidR="00330CF1" w:rsidRDefault="00330CF1" w:rsidP="00530C2E">
            <w:pPr>
              <w:pStyle w:val="NoSpacing"/>
              <w:rPr>
                <w:rFonts w:ascii="Arial" w:hAnsi="Arial" w:cs="Arial"/>
              </w:rPr>
            </w:pPr>
          </w:p>
        </w:tc>
      </w:tr>
      <w:tr w:rsidR="00330CF1" w:rsidTr="00530C2E">
        <w:tc>
          <w:tcPr>
            <w:tcW w:w="1771" w:type="dxa"/>
          </w:tcPr>
          <w:p w:rsidR="00330CF1" w:rsidRPr="00DA4C9D" w:rsidRDefault="00330CF1" w:rsidP="00530C2E">
            <w:pPr>
              <w:pStyle w:val="NoSpacing"/>
              <w:rPr>
                <w:rFonts w:ascii="Arial" w:hAnsi="Arial" w:cs="Arial"/>
                <w:b/>
              </w:rPr>
            </w:pPr>
            <w:r>
              <w:rPr>
                <w:rFonts w:ascii="Arial" w:hAnsi="Arial" w:cs="Arial"/>
                <w:b/>
              </w:rPr>
              <w:t>Homemade Raw kittens</w:t>
            </w:r>
          </w:p>
        </w:tc>
        <w:tc>
          <w:tcPr>
            <w:tcW w:w="1577" w:type="dxa"/>
          </w:tcPr>
          <w:p w:rsidR="00330CF1" w:rsidRDefault="00330CF1" w:rsidP="00530C2E">
            <w:pPr>
              <w:pStyle w:val="NoSpacing"/>
              <w:jc w:val="center"/>
              <w:rPr>
                <w:rFonts w:ascii="Arial" w:hAnsi="Arial" w:cs="Arial"/>
              </w:rPr>
            </w:pPr>
          </w:p>
        </w:tc>
        <w:tc>
          <w:tcPr>
            <w:tcW w:w="2880" w:type="dxa"/>
          </w:tcPr>
          <w:p w:rsidR="00330CF1" w:rsidRDefault="00330CF1" w:rsidP="00530C2E">
            <w:pPr>
              <w:pStyle w:val="NoSpacing"/>
              <w:rPr>
                <w:rFonts w:ascii="Arial" w:hAnsi="Arial" w:cs="Arial"/>
              </w:rPr>
            </w:pPr>
          </w:p>
        </w:tc>
        <w:tc>
          <w:tcPr>
            <w:tcW w:w="3150" w:type="dxa"/>
          </w:tcPr>
          <w:p w:rsidR="00330CF1" w:rsidRDefault="00330CF1" w:rsidP="00530C2E">
            <w:pPr>
              <w:pStyle w:val="NoSpacing"/>
              <w:rPr>
                <w:rFonts w:ascii="Arial" w:hAnsi="Arial" w:cs="Arial"/>
              </w:rPr>
            </w:pPr>
          </w:p>
        </w:tc>
      </w:tr>
      <w:tr w:rsidR="00330CF1" w:rsidTr="00530C2E">
        <w:tc>
          <w:tcPr>
            <w:tcW w:w="1771" w:type="dxa"/>
          </w:tcPr>
          <w:p w:rsidR="00330CF1" w:rsidRDefault="00330CF1" w:rsidP="00530C2E">
            <w:pPr>
              <w:pStyle w:val="NoSpacing"/>
              <w:rPr>
                <w:rFonts w:ascii="Arial" w:hAnsi="Arial" w:cs="Arial"/>
              </w:rPr>
            </w:pPr>
            <w:r>
              <w:rPr>
                <w:rFonts w:ascii="Arial" w:hAnsi="Arial" w:cs="Arial"/>
              </w:rPr>
              <w:t>#8002</w:t>
            </w:r>
          </w:p>
        </w:tc>
        <w:tc>
          <w:tcPr>
            <w:tcW w:w="1577" w:type="dxa"/>
          </w:tcPr>
          <w:p w:rsidR="00330CF1" w:rsidRDefault="00330CF1" w:rsidP="00530C2E">
            <w:pPr>
              <w:pStyle w:val="NoSpacing"/>
              <w:jc w:val="center"/>
              <w:rPr>
                <w:rFonts w:ascii="Arial" w:hAnsi="Arial" w:cs="Arial"/>
              </w:rPr>
            </w:pPr>
            <w:r>
              <w:rPr>
                <w:rFonts w:ascii="Arial" w:hAnsi="Arial" w:cs="Arial"/>
              </w:rPr>
              <w:t>24</w:t>
            </w:r>
          </w:p>
        </w:tc>
        <w:tc>
          <w:tcPr>
            <w:tcW w:w="2880" w:type="dxa"/>
          </w:tcPr>
          <w:p w:rsidR="00330CF1" w:rsidRDefault="00330CF1" w:rsidP="00530C2E">
            <w:pPr>
              <w:pStyle w:val="NoSpacing"/>
              <w:rPr>
                <w:rFonts w:ascii="Arial" w:hAnsi="Arial" w:cs="Arial"/>
              </w:rPr>
            </w:pPr>
            <w:r>
              <w:rPr>
                <w:rFonts w:ascii="Arial" w:hAnsi="Arial" w:cs="Arial"/>
              </w:rPr>
              <w:t>No Culture done</w:t>
            </w:r>
          </w:p>
        </w:tc>
        <w:tc>
          <w:tcPr>
            <w:tcW w:w="3150" w:type="dxa"/>
          </w:tcPr>
          <w:p w:rsidR="00330CF1" w:rsidRDefault="00330CF1" w:rsidP="00530C2E">
            <w:pPr>
              <w:pStyle w:val="NoSpacing"/>
              <w:rPr>
                <w:rFonts w:ascii="Arial" w:hAnsi="Arial" w:cs="Arial"/>
              </w:rPr>
            </w:pPr>
            <w:r>
              <w:rPr>
                <w:rFonts w:ascii="Arial" w:hAnsi="Arial" w:cs="Arial"/>
              </w:rPr>
              <w:t>No Treatment given</w:t>
            </w:r>
          </w:p>
        </w:tc>
      </w:tr>
      <w:tr w:rsidR="00330CF1" w:rsidTr="00530C2E">
        <w:tc>
          <w:tcPr>
            <w:tcW w:w="1771" w:type="dxa"/>
          </w:tcPr>
          <w:p w:rsidR="00330CF1" w:rsidRDefault="00330CF1" w:rsidP="00530C2E">
            <w:pPr>
              <w:pStyle w:val="NoSpacing"/>
              <w:rPr>
                <w:rFonts w:ascii="Arial" w:hAnsi="Arial" w:cs="Arial"/>
              </w:rPr>
            </w:pPr>
            <w:r>
              <w:rPr>
                <w:rFonts w:ascii="Arial" w:hAnsi="Arial" w:cs="Arial"/>
              </w:rPr>
              <w:t>#8003</w:t>
            </w:r>
          </w:p>
        </w:tc>
        <w:tc>
          <w:tcPr>
            <w:tcW w:w="1577" w:type="dxa"/>
          </w:tcPr>
          <w:p w:rsidR="00330CF1" w:rsidRDefault="00330CF1" w:rsidP="00530C2E">
            <w:pPr>
              <w:pStyle w:val="NoSpacing"/>
              <w:jc w:val="center"/>
              <w:rPr>
                <w:rFonts w:ascii="Arial" w:hAnsi="Arial" w:cs="Arial"/>
              </w:rPr>
            </w:pPr>
            <w:r>
              <w:rPr>
                <w:rFonts w:ascii="Arial" w:hAnsi="Arial" w:cs="Arial"/>
              </w:rPr>
              <w:t>15</w:t>
            </w:r>
          </w:p>
        </w:tc>
        <w:tc>
          <w:tcPr>
            <w:tcW w:w="2880" w:type="dxa"/>
          </w:tcPr>
          <w:p w:rsidR="00330CF1" w:rsidRDefault="00330CF1" w:rsidP="00530C2E">
            <w:pPr>
              <w:pStyle w:val="NoSpacing"/>
              <w:rPr>
                <w:rFonts w:ascii="Arial" w:hAnsi="Arial" w:cs="Arial"/>
              </w:rPr>
            </w:pPr>
            <w:r>
              <w:rPr>
                <w:rFonts w:ascii="Arial" w:hAnsi="Arial" w:cs="Arial"/>
              </w:rPr>
              <w:t>No Culture done</w:t>
            </w:r>
          </w:p>
        </w:tc>
        <w:tc>
          <w:tcPr>
            <w:tcW w:w="3150" w:type="dxa"/>
          </w:tcPr>
          <w:p w:rsidR="00330CF1" w:rsidRDefault="00330CF1" w:rsidP="00530C2E">
            <w:pPr>
              <w:pStyle w:val="NoSpacing"/>
              <w:rPr>
                <w:rFonts w:ascii="Arial" w:hAnsi="Arial" w:cs="Arial"/>
              </w:rPr>
            </w:pPr>
            <w:r>
              <w:rPr>
                <w:rFonts w:ascii="Arial" w:hAnsi="Arial" w:cs="Arial"/>
              </w:rPr>
              <w:t>No Treatment given</w:t>
            </w:r>
          </w:p>
        </w:tc>
      </w:tr>
      <w:tr w:rsidR="00330CF1" w:rsidTr="00530C2E">
        <w:tc>
          <w:tcPr>
            <w:tcW w:w="1771" w:type="dxa"/>
          </w:tcPr>
          <w:p w:rsidR="00330CF1" w:rsidRDefault="00330CF1" w:rsidP="00530C2E">
            <w:pPr>
              <w:pStyle w:val="NoSpacing"/>
              <w:rPr>
                <w:rFonts w:ascii="Arial" w:hAnsi="Arial" w:cs="Arial"/>
              </w:rPr>
            </w:pPr>
            <w:r>
              <w:rPr>
                <w:rFonts w:ascii="Arial" w:hAnsi="Arial" w:cs="Arial"/>
              </w:rPr>
              <w:t>#8008</w:t>
            </w:r>
          </w:p>
        </w:tc>
        <w:tc>
          <w:tcPr>
            <w:tcW w:w="1577" w:type="dxa"/>
          </w:tcPr>
          <w:p w:rsidR="00330CF1" w:rsidRDefault="00330CF1" w:rsidP="00530C2E">
            <w:pPr>
              <w:pStyle w:val="NoSpacing"/>
              <w:jc w:val="center"/>
              <w:rPr>
                <w:rFonts w:ascii="Arial" w:hAnsi="Arial" w:cs="Arial"/>
              </w:rPr>
            </w:pPr>
            <w:r>
              <w:rPr>
                <w:rFonts w:ascii="Arial" w:hAnsi="Arial" w:cs="Arial"/>
              </w:rPr>
              <w:t>7</w:t>
            </w:r>
          </w:p>
        </w:tc>
        <w:tc>
          <w:tcPr>
            <w:tcW w:w="2880" w:type="dxa"/>
          </w:tcPr>
          <w:p w:rsidR="00330CF1" w:rsidRDefault="00330CF1" w:rsidP="00530C2E">
            <w:pPr>
              <w:pStyle w:val="NoSpacing"/>
              <w:numPr>
                <w:ilvl w:val="0"/>
                <w:numId w:val="8"/>
              </w:numPr>
              <w:rPr>
                <w:rFonts w:ascii="Arial" w:hAnsi="Arial" w:cs="Arial"/>
              </w:rPr>
            </w:pPr>
            <w:r>
              <w:rPr>
                <w:rFonts w:ascii="Arial" w:hAnsi="Arial" w:cs="Arial"/>
              </w:rPr>
              <w:t xml:space="preserve">1000 </w:t>
            </w:r>
            <w:r>
              <w:rPr>
                <w:rFonts w:ascii="Arial" w:hAnsi="Arial" w:cs="Arial"/>
                <w:i/>
              </w:rPr>
              <w:t>C. perfringens</w:t>
            </w:r>
          </w:p>
        </w:tc>
        <w:tc>
          <w:tcPr>
            <w:tcW w:w="3150" w:type="dxa"/>
          </w:tcPr>
          <w:p w:rsidR="00330CF1" w:rsidRDefault="00330CF1" w:rsidP="00530C2E">
            <w:pPr>
              <w:pStyle w:val="NoSpacing"/>
              <w:rPr>
                <w:rFonts w:ascii="Arial" w:hAnsi="Arial" w:cs="Arial"/>
              </w:rPr>
            </w:pPr>
            <w:r>
              <w:rPr>
                <w:rFonts w:ascii="Arial" w:hAnsi="Arial" w:cs="Arial"/>
              </w:rPr>
              <w:t>Metronidazole 7 days</w:t>
            </w:r>
          </w:p>
        </w:tc>
      </w:tr>
      <w:tr w:rsidR="00330CF1" w:rsidTr="00530C2E">
        <w:tc>
          <w:tcPr>
            <w:tcW w:w="1771" w:type="dxa"/>
          </w:tcPr>
          <w:p w:rsidR="00330CF1" w:rsidRDefault="00330CF1" w:rsidP="00530C2E">
            <w:pPr>
              <w:pStyle w:val="NoSpacing"/>
              <w:rPr>
                <w:rFonts w:ascii="Arial" w:hAnsi="Arial" w:cs="Arial"/>
              </w:rPr>
            </w:pPr>
            <w:r>
              <w:rPr>
                <w:rFonts w:ascii="Arial" w:hAnsi="Arial" w:cs="Arial"/>
              </w:rPr>
              <w:t>#8009</w:t>
            </w:r>
          </w:p>
        </w:tc>
        <w:tc>
          <w:tcPr>
            <w:tcW w:w="1577" w:type="dxa"/>
          </w:tcPr>
          <w:p w:rsidR="00330CF1" w:rsidRDefault="00330CF1" w:rsidP="00530C2E">
            <w:pPr>
              <w:pStyle w:val="NoSpacing"/>
              <w:jc w:val="center"/>
              <w:rPr>
                <w:rFonts w:ascii="Arial" w:hAnsi="Arial" w:cs="Arial"/>
              </w:rPr>
            </w:pPr>
            <w:r>
              <w:rPr>
                <w:rFonts w:ascii="Arial" w:hAnsi="Arial" w:cs="Arial"/>
              </w:rPr>
              <w:t>10</w:t>
            </w:r>
          </w:p>
        </w:tc>
        <w:tc>
          <w:tcPr>
            <w:tcW w:w="2880" w:type="dxa"/>
          </w:tcPr>
          <w:p w:rsidR="00330CF1" w:rsidRDefault="00330CF1" w:rsidP="00530C2E">
            <w:pPr>
              <w:pStyle w:val="NoSpacing"/>
              <w:numPr>
                <w:ilvl w:val="0"/>
                <w:numId w:val="8"/>
              </w:numPr>
              <w:rPr>
                <w:rFonts w:ascii="Arial" w:hAnsi="Arial" w:cs="Arial"/>
              </w:rPr>
            </w:pPr>
            <w:r>
              <w:rPr>
                <w:rFonts w:ascii="Arial" w:hAnsi="Arial" w:cs="Arial"/>
              </w:rPr>
              <w:t xml:space="preserve">1000 </w:t>
            </w:r>
            <w:r>
              <w:rPr>
                <w:rFonts w:ascii="Arial" w:hAnsi="Arial" w:cs="Arial"/>
                <w:i/>
              </w:rPr>
              <w:t xml:space="preserve">C. perfringens, </w:t>
            </w:r>
            <w:r>
              <w:rPr>
                <w:rFonts w:ascii="Arial" w:hAnsi="Arial" w:cs="Arial"/>
              </w:rPr>
              <w:t>weak</w:t>
            </w:r>
            <w:r>
              <w:rPr>
                <w:rFonts w:ascii="Arial" w:hAnsi="Arial" w:cs="Arial"/>
                <w:i/>
              </w:rPr>
              <w:t xml:space="preserve"> C. difficile </w:t>
            </w:r>
            <w:r>
              <w:rPr>
                <w:rFonts w:ascii="Arial" w:hAnsi="Arial" w:cs="Arial"/>
              </w:rPr>
              <w:t>toxin</w:t>
            </w:r>
          </w:p>
        </w:tc>
        <w:tc>
          <w:tcPr>
            <w:tcW w:w="3150" w:type="dxa"/>
          </w:tcPr>
          <w:p w:rsidR="00330CF1" w:rsidRDefault="00330CF1" w:rsidP="00530C2E">
            <w:pPr>
              <w:pStyle w:val="NoSpacing"/>
              <w:rPr>
                <w:rFonts w:ascii="Arial" w:hAnsi="Arial" w:cs="Arial"/>
              </w:rPr>
            </w:pPr>
            <w:r>
              <w:rPr>
                <w:rFonts w:ascii="Arial" w:hAnsi="Arial" w:cs="Arial"/>
              </w:rPr>
              <w:t>Metronidazole 7 days</w:t>
            </w:r>
          </w:p>
        </w:tc>
      </w:tr>
    </w:tbl>
    <w:p w:rsidR="00330CF1" w:rsidRDefault="00330CF1" w:rsidP="001A125B">
      <w:pPr>
        <w:rPr>
          <w:rFonts w:ascii="Arial" w:hAnsi="Arial" w:cs="Arial"/>
        </w:rPr>
      </w:pPr>
    </w:p>
    <w:p w:rsidR="00330CF1" w:rsidRDefault="00330CF1" w:rsidP="001A125B">
      <w:pPr>
        <w:rPr>
          <w:rFonts w:ascii="Arial" w:hAnsi="Arial" w:cs="Arial"/>
        </w:rPr>
      </w:pPr>
    </w:p>
    <w:p w:rsidR="00330CF1" w:rsidRDefault="00330CF1" w:rsidP="009709B7">
      <w:pPr>
        <w:pStyle w:val="NoSpacing"/>
        <w:rPr>
          <w:rFonts w:ascii="Arial" w:hAnsi="Arial" w:cs="Arial"/>
        </w:rPr>
      </w:pPr>
      <w:r>
        <w:rPr>
          <w:rFonts w:ascii="Arial" w:hAnsi="Arial" w:cs="Arial"/>
        </w:rPr>
        <w:t xml:space="preserve">     All of the diets were tested for </w:t>
      </w:r>
      <w:r>
        <w:rPr>
          <w:rFonts w:ascii="Arial" w:hAnsi="Arial" w:cs="Arial"/>
          <w:i/>
        </w:rPr>
        <w:t xml:space="preserve">Salmonella </w:t>
      </w:r>
      <w:r>
        <w:rPr>
          <w:rFonts w:ascii="Arial" w:hAnsi="Arial" w:cs="Arial"/>
        </w:rPr>
        <w:t xml:space="preserve">spp., </w:t>
      </w:r>
      <w:r>
        <w:rPr>
          <w:rFonts w:ascii="Arial" w:hAnsi="Arial" w:cs="Arial"/>
          <w:i/>
        </w:rPr>
        <w:t xml:space="preserve">Campylobacter </w:t>
      </w:r>
      <w:r>
        <w:rPr>
          <w:rFonts w:ascii="Arial" w:hAnsi="Arial" w:cs="Arial"/>
        </w:rPr>
        <w:t xml:space="preserve">spp., and </w:t>
      </w:r>
      <w:r>
        <w:rPr>
          <w:rFonts w:ascii="Arial" w:hAnsi="Arial" w:cs="Arial"/>
          <w:i/>
        </w:rPr>
        <w:t xml:space="preserve">Clostridium </w:t>
      </w:r>
      <w:r>
        <w:rPr>
          <w:rFonts w:ascii="Arial" w:hAnsi="Arial" w:cs="Arial"/>
        </w:rPr>
        <w:t xml:space="preserve">spp. at the beginning of the initial feeding trial and were negative.  Table 6.3 lists the total aerobic plate counts for each of the diets.  Bacterial counts were highest in the commercial raw, followed by the homemade raw with minimal aerobic bacterial counts in the control diet.  </w:t>
      </w:r>
    </w:p>
    <w:p w:rsidR="00330CF1" w:rsidRPr="00FA54B7" w:rsidRDefault="00330CF1" w:rsidP="009709B7">
      <w:pPr>
        <w:pStyle w:val="NoSpacing"/>
        <w:rPr>
          <w:rFonts w:ascii="Arial" w:hAnsi="Arial" w:cs="Arial"/>
        </w:rPr>
      </w:pPr>
    </w:p>
    <w:p w:rsidR="00330CF1" w:rsidRPr="00EA33C6" w:rsidRDefault="00330CF1" w:rsidP="00EA33C6">
      <w:pPr>
        <w:pStyle w:val="NoSpacing"/>
        <w:jc w:val="center"/>
        <w:rPr>
          <w:rFonts w:ascii="Arial" w:hAnsi="Arial" w:cs="Arial"/>
          <w:color w:val="C00000"/>
        </w:rPr>
      </w:pPr>
      <w:r w:rsidRPr="003E1E9B">
        <w:rPr>
          <w:rFonts w:ascii="Arial" w:hAnsi="Arial" w:cs="Arial"/>
          <w:b/>
        </w:rPr>
        <w:t>Table 6.3</w:t>
      </w:r>
      <w:r w:rsidRPr="003E1E9B">
        <w:rPr>
          <w:rFonts w:ascii="Arial" w:hAnsi="Arial" w:cs="Arial"/>
        </w:rPr>
        <w:t xml:space="preserve"> Aero</w:t>
      </w:r>
      <w:r>
        <w:rPr>
          <w:rFonts w:ascii="Arial" w:hAnsi="Arial" w:cs="Arial"/>
        </w:rPr>
        <w:t>bic plate c</w:t>
      </w:r>
      <w:r w:rsidRPr="003E1E9B">
        <w:rPr>
          <w:rFonts w:ascii="Arial" w:hAnsi="Arial" w:cs="Arial"/>
        </w:rPr>
        <w:t>ounts by diet</w:t>
      </w:r>
    </w:p>
    <w:p w:rsidR="00330CF1" w:rsidRPr="002438B2" w:rsidRDefault="00330CF1" w:rsidP="00EA33C6">
      <w:pPr>
        <w:pStyle w:val="NoSpacing"/>
        <w:jc w:val="center"/>
        <w:rPr>
          <w:rFonts w:ascii="Arial" w:hAnsi="Arial" w:cs="Arial"/>
        </w:rPr>
      </w:pPr>
    </w:p>
    <w:tbl>
      <w:tblPr>
        <w:tblStyle w:val="TableGrid"/>
        <w:tblW w:w="0" w:type="auto"/>
        <w:jc w:val="center"/>
        <w:tblLook w:val="04A0" w:firstRow="1" w:lastRow="0" w:firstColumn="1" w:lastColumn="0" w:noHBand="0" w:noVBand="1"/>
      </w:tblPr>
      <w:tblGrid>
        <w:gridCol w:w="2088"/>
        <w:gridCol w:w="2520"/>
      </w:tblGrid>
      <w:tr w:rsidR="00330CF1" w:rsidRPr="002438B2" w:rsidTr="00EA33C6">
        <w:trPr>
          <w:jc w:val="center"/>
        </w:trPr>
        <w:tc>
          <w:tcPr>
            <w:tcW w:w="2088" w:type="dxa"/>
          </w:tcPr>
          <w:p w:rsidR="00330CF1" w:rsidRPr="002438B2" w:rsidRDefault="00330CF1" w:rsidP="00EA33C6">
            <w:pPr>
              <w:pStyle w:val="NoSpacing"/>
              <w:jc w:val="center"/>
              <w:rPr>
                <w:rFonts w:ascii="Arial" w:hAnsi="Arial" w:cs="Arial"/>
              </w:rPr>
            </w:pPr>
            <w:r w:rsidRPr="002438B2">
              <w:rPr>
                <w:rFonts w:ascii="Arial" w:hAnsi="Arial" w:cs="Arial"/>
              </w:rPr>
              <w:t>Control</w:t>
            </w:r>
          </w:p>
        </w:tc>
        <w:tc>
          <w:tcPr>
            <w:tcW w:w="2520" w:type="dxa"/>
          </w:tcPr>
          <w:p w:rsidR="00330CF1" w:rsidRPr="002438B2" w:rsidRDefault="00330CF1" w:rsidP="00EA33C6">
            <w:pPr>
              <w:pStyle w:val="NoSpacing"/>
              <w:jc w:val="center"/>
              <w:rPr>
                <w:rFonts w:ascii="Arial" w:hAnsi="Arial" w:cs="Arial"/>
              </w:rPr>
            </w:pPr>
          </w:p>
        </w:tc>
      </w:tr>
      <w:tr w:rsidR="00330CF1" w:rsidRPr="002438B2" w:rsidTr="00EA33C6">
        <w:trPr>
          <w:jc w:val="center"/>
        </w:trPr>
        <w:tc>
          <w:tcPr>
            <w:tcW w:w="2088" w:type="dxa"/>
          </w:tcPr>
          <w:p w:rsidR="00330CF1" w:rsidRPr="002438B2" w:rsidRDefault="00330CF1" w:rsidP="00EA33C6">
            <w:pPr>
              <w:pStyle w:val="NoSpacing"/>
              <w:jc w:val="center"/>
              <w:rPr>
                <w:rFonts w:ascii="Arial" w:hAnsi="Arial" w:cs="Arial"/>
              </w:rPr>
            </w:pPr>
            <w:r>
              <w:rPr>
                <w:rFonts w:ascii="Arial" w:hAnsi="Arial" w:cs="Arial"/>
              </w:rPr>
              <w:t>Direct from can</w:t>
            </w:r>
          </w:p>
        </w:tc>
        <w:tc>
          <w:tcPr>
            <w:tcW w:w="2520" w:type="dxa"/>
          </w:tcPr>
          <w:p w:rsidR="00330CF1" w:rsidRPr="002438B2" w:rsidRDefault="00330CF1" w:rsidP="00EA33C6">
            <w:pPr>
              <w:pStyle w:val="NoSpacing"/>
              <w:jc w:val="center"/>
              <w:rPr>
                <w:rFonts w:ascii="Arial" w:hAnsi="Arial" w:cs="Arial"/>
              </w:rPr>
            </w:pPr>
            <w:r w:rsidRPr="002438B2">
              <w:rPr>
                <w:rFonts w:ascii="Arial" w:hAnsi="Arial" w:cs="Arial"/>
              </w:rPr>
              <w:t>&lt; 100</w:t>
            </w:r>
            <w:r>
              <w:rPr>
                <w:rFonts w:ascii="Arial" w:hAnsi="Arial" w:cs="Arial"/>
              </w:rPr>
              <w:t xml:space="preserve"> cfu /g</w:t>
            </w:r>
            <w:r w:rsidRPr="002438B2">
              <w:rPr>
                <w:rFonts w:ascii="Arial" w:hAnsi="Arial" w:cs="Arial"/>
              </w:rPr>
              <w:t>m</w:t>
            </w:r>
          </w:p>
        </w:tc>
      </w:tr>
      <w:tr w:rsidR="00330CF1" w:rsidRPr="002438B2" w:rsidTr="00EA33C6">
        <w:trPr>
          <w:jc w:val="center"/>
        </w:trPr>
        <w:tc>
          <w:tcPr>
            <w:tcW w:w="2088" w:type="dxa"/>
          </w:tcPr>
          <w:p w:rsidR="00330CF1" w:rsidRPr="002438B2" w:rsidRDefault="00330CF1" w:rsidP="00EA33C6">
            <w:pPr>
              <w:pStyle w:val="NoSpacing"/>
              <w:jc w:val="center"/>
              <w:rPr>
                <w:rFonts w:ascii="Arial" w:hAnsi="Arial" w:cs="Arial"/>
              </w:rPr>
            </w:pPr>
            <w:r>
              <w:rPr>
                <w:rFonts w:ascii="Arial" w:hAnsi="Arial" w:cs="Arial"/>
              </w:rPr>
              <w:t>Commercial Raw</w:t>
            </w:r>
          </w:p>
        </w:tc>
        <w:tc>
          <w:tcPr>
            <w:tcW w:w="2520" w:type="dxa"/>
          </w:tcPr>
          <w:p w:rsidR="00330CF1" w:rsidRPr="002438B2" w:rsidRDefault="00330CF1" w:rsidP="00EA33C6">
            <w:pPr>
              <w:pStyle w:val="NoSpacing"/>
              <w:jc w:val="center"/>
              <w:rPr>
                <w:rFonts w:ascii="Arial" w:hAnsi="Arial" w:cs="Arial"/>
              </w:rPr>
            </w:pPr>
          </w:p>
        </w:tc>
      </w:tr>
      <w:tr w:rsidR="00330CF1" w:rsidRPr="002438B2" w:rsidTr="00EA33C6">
        <w:trPr>
          <w:jc w:val="center"/>
        </w:trPr>
        <w:tc>
          <w:tcPr>
            <w:tcW w:w="2088" w:type="dxa"/>
          </w:tcPr>
          <w:p w:rsidR="00330CF1" w:rsidRPr="002438B2" w:rsidRDefault="00330CF1" w:rsidP="00EA33C6">
            <w:pPr>
              <w:pStyle w:val="NoSpacing"/>
              <w:jc w:val="center"/>
              <w:rPr>
                <w:rFonts w:ascii="Arial" w:hAnsi="Arial" w:cs="Arial"/>
              </w:rPr>
            </w:pPr>
            <w:r w:rsidRPr="002438B2">
              <w:rPr>
                <w:rFonts w:ascii="Arial" w:hAnsi="Arial" w:cs="Arial"/>
              </w:rPr>
              <w:t>Refrigerated</w:t>
            </w:r>
          </w:p>
        </w:tc>
        <w:tc>
          <w:tcPr>
            <w:tcW w:w="2520" w:type="dxa"/>
          </w:tcPr>
          <w:p w:rsidR="00330CF1" w:rsidRPr="002438B2" w:rsidRDefault="00330CF1" w:rsidP="00EA33C6">
            <w:pPr>
              <w:pStyle w:val="NoSpacing"/>
              <w:jc w:val="center"/>
              <w:rPr>
                <w:rFonts w:ascii="Arial" w:hAnsi="Arial" w:cs="Arial"/>
              </w:rPr>
            </w:pPr>
            <w:r w:rsidRPr="002438B2">
              <w:rPr>
                <w:rFonts w:ascii="Arial" w:hAnsi="Arial" w:cs="Arial"/>
              </w:rPr>
              <w:t>770,000</w:t>
            </w:r>
            <w:r>
              <w:rPr>
                <w:rFonts w:ascii="Arial" w:hAnsi="Arial" w:cs="Arial"/>
              </w:rPr>
              <w:t xml:space="preserve"> cfu /g</w:t>
            </w:r>
            <w:r w:rsidRPr="002438B2">
              <w:rPr>
                <w:rFonts w:ascii="Arial" w:hAnsi="Arial" w:cs="Arial"/>
              </w:rPr>
              <w:t>m</w:t>
            </w:r>
          </w:p>
        </w:tc>
      </w:tr>
      <w:tr w:rsidR="00330CF1" w:rsidRPr="002438B2" w:rsidTr="00EA33C6">
        <w:trPr>
          <w:jc w:val="center"/>
        </w:trPr>
        <w:tc>
          <w:tcPr>
            <w:tcW w:w="2088" w:type="dxa"/>
          </w:tcPr>
          <w:p w:rsidR="00330CF1" w:rsidRPr="002438B2" w:rsidRDefault="00330CF1" w:rsidP="00EA33C6">
            <w:pPr>
              <w:pStyle w:val="NoSpacing"/>
              <w:jc w:val="center"/>
              <w:rPr>
                <w:rFonts w:ascii="Arial" w:hAnsi="Arial" w:cs="Arial"/>
              </w:rPr>
            </w:pPr>
            <w:r>
              <w:rPr>
                <w:rFonts w:ascii="Arial" w:hAnsi="Arial" w:cs="Arial"/>
              </w:rPr>
              <w:t>Homemade Raw</w:t>
            </w:r>
          </w:p>
        </w:tc>
        <w:tc>
          <w:tcPr>
            <w:tcW w:w="2520" w:type="dxa"/>
          </w:tcPr>
          <w:p w:rsidR="00330CF1" w:rsidRPr="002438B2" w:rsidRDefault="00330CF1" w:rsidP="00EA33C6">
            <w:pPr>
              <w:pStyle w:val="NoSpacing"/>
              <w:jc w:val="center"/>
              <w:rPr>
                <w:rFonts w:ascii="Arial" w:hAnsi="Arial" w:cs="Arial"/>
              </w:rPr>
            </w:pPr>
          </w:p>
        </w:tc>
      </w:tr>
      <w:tr w:rsidR="00330CF1" w:rsidRPr="002438B2" w:rsidTr="00EA33C6">
        <w:trPr>
          <w:jc w:val="center"/>
        </w:trPr>
        <w:tc>
          <w:tcPr>
            <w:tcW w:w="2088" w:type="dxa"/>
          </w:tcPr>
          <w:p w:rsidR="00330CF1" w:rsidRPr="002438B2" w:rsidRDefault="00330CF1" w:rsidP="00EA33C6">
            <w:pPr>
              <w:pStyle w:val="NoSpacing"/>
              <w:jc w:val="center"/>
              <w:rPr>
                <w:rFonts w:ascii="Arial" w:hAnsi="Arial" w:cs="Arial"/>
              </w:rPr>
            </w:pPr>
            <w:r w:rsidRPr="002438B2">
              <w:rPr>
                <w:rFonts w:ascii="Arial" w:hAnsi="Arial" w:cs="Arial"/>
              </w:rPr>
              <w:t>Refrigerated</w:t>
            </w:r>
          </w:p>
        </w:tc>
        <w:tc>
          <w:tcPr>
            <w:tcW w:w="2520" w:type="dxa"/>
          </w:tcPr>
          <w:p w:rsidR="00330CF1" w:rsidRPr="002438B2" w:rsidRDefault="00330CF1" w:rsidP="00EA33C6">
            <w:pPr>
              <w:pStyle w:val="NoSpacing"/>
              <w:jc w:val="center"/>
              <w:rPr>
                <w:rFonts w:ascii="Arial" w:hAnsi="Arial" w:cs="Arial"/>
              </w:rPr>
            </w:pPr>
            <w:r w:rsidRPr="002438B2">
              <w:rPr>
                <w:rFonts w:ascii="Arial" w:hAnsi="Arial" w:cs="Arial"/>
              </w:rPr>
              <w:t xml:space="preserve">180,000 </w:t>
            </w:r>
            <w:r>
              <w:rPr>
                <w:rFonts w:ascii="Arial" w:hAnsi="Arial" w:cs="Arial"/>
              </w:rPr>
              <w:t>cfu/g</w:t>
            </w:r>
            <w:r w:rsidRPr="002438B2">
              <w:rPr>
                <w:rFonts w:ascii="Arial" w:hAnsi="Arial" w:cs="Arial"/>
              </w:rPr>
              <w:t>m</w:t>
            </w:r>
          </w:p>
        </w:tc>
      </w:tr>
    </w:tbl>
    <w:p w:rsidR="00330CF1" w:rsidRPr="00FA54B7" w:rsidRDefault="00330CF1" w:rsidP="00EA33C6">
      <w:pPr>
        <w:jc w:val="center"/>
      </w:pPr>
    </w:p>
    <w:p w:rsidR="00330CF1" w:rsidRDefault="00330CF1" w:rsidP="00E422BA">
      <w:pPr>
        <w:pStyle w:val="Heading1"/>
        <w:jc w:val="center"/>
      </w:pPr>
      <w:r>
        <w:t>Discussion</w:t>
      </w:r>
      <w:bookmarkEnd w:id="58"/>
    </w:p>
    <w:p w:rsidR="00330CF1" w:rsidRPr="00E422BA" w:rsidRDefault="00330CF1" w:rsidP="00E422BA"/>
    <w:p w:rsidR="00330CF1" w:rsidRPr="004A67A6" w:rsidRDefault="00330CF1" w:rsidP="00FA54B7">
      <w:pPr>
        <w:rPr>
          <w:rFonts w:ascii="Arial" w:hAnsi="Arial" w:cs="Arial"/>
          <w:i/>
        </w:rPr>
      </w:pPr>
      <w:r>
        <w:rPr>
          <w:rFonts w:ascii="Arial" w:hAnsi="Arial" w:cs="Arial"/>
        </w:rPr>
        <w:t xml:space="preserve">    Due to inconsistent approaches in fecal cultures and treatment of diarrhea, no statistical analyses were done.  All of the composite fecals had increases in </w:t>
      </w:r>
      <w:r>
        <w:rPr>
          <w:rFonts w:ascii="Arial" w:hAnsi="Arial" w:cs="Arial"/>
          <w:i/>
        </w:rPr>
        <w:t>Clostridium perfringens</w:t>
      </w:r>
      <w:r>
        <w:rPr>
          <w:rFonts w:ascii="Arial" w:hAnsi="Arial" w:cs="Arial"/>
        </w:rPr>
        <w:t xml:space="preserve"> over the 10 week feeding trial.  Since the composite cultures were from kittens on all 3 diet treatments, it is difficult to speculate which diet(s) could account for this.  In the last group, fecal cultures were separated at week 5 from control and raw feeders.  A decrease in </w:t>
      </w:r>
      <w:r>
        <w:rPr>
          <w:rFonts w:ascii="Arial" w:hAnsi="Arial" w:cs="Arial"/>
          <w:i/>
        </w:rPr>
        <w:t>Clostridium perfringens</w:t>
      </w:r>
      <w:r>
        <w:rPr>
          <w:rFonts w:ascii="Arial" w:hAnsi="Arial" w:cs="Arial"/>
        </w:rPr>
        <w:t xml:space="preserve"> was seen in </w:t>
      </w:r>
      <w:r w:rsidRPr="000E029E">
        <w:rPr>
          <w:rFonts w:ascii="Arial" w:hAnsi="Arial" w:cs="Arial"/>
        </w:rPr>
        <w:t xml:space="preserve">the control </w:t>
      </w:r>
      <w:r>
        <w:rPr>
          <w:rFonts w:ascii="Arial" w:hAnsi="Arial" w:cs="Arial"/>
        </w:rPr>
        <w:t xml:space="preserve">group compared to week 0 and the week 5 raw diet feeders. Individual fecal cultures from kittens with diarrhea, on both the control and homemade raw diets, found </w:t>
      </w:r>
      <w:r>
        <w:rPr>
          <w:rFonts w:ascii="Arial" w:hAnsi="Arial" w:cs="Arial"/>
          <w:i/>
        </w:rPr>
        <w:t xml:space="preserve">Clostridium perfringens </w:t>
      </w:r>
      <w:r>
        <w:rPr>
          <w:rFonts w:ascii="Arial" w:hAnsi="Arial" w:cs="Arial"/>
        </w:rPr>
        <w:t xml:space="preserve">overgrowth.   While </w:t>
      </w:r>
      <w:r>
        <w:rPr>
          <w:rFonts w:ascii="Arial" w:hAnsi="Arial" w:cs="Arial"/>
          <w:i/>
        </w:rPr>
        <w:t xml:space="preserve">Clostridium perfringens </w:t>
      </w:r>
      <w:r>
        <w:rPr>
          <w:rFonts w:ascii="Arial" w:hAnsi="Arial" w:cs="Arial"/>
        </w:rPr>
        <w:t xml:space="preserve">has been found to be a normal intestinal inhabitant of felines on canned commercial diets </w:t>
      </w:r>
      <w:r>
        <w:rPr>
          <w:rFonts w:ascii="Arial" w:hAnsi="Arial" w:cs="Arial"/>
          <w:noProof/>
        </w:rPr>
        <w:t>[114]</w:t>
      </w:r>
      <w:r>
        <w:rPr>
          <w:rFonts w:ascii="Arial" w:hAnsi="Arial" w:cs="Arial"/>
        </w:rPr>
        <w:t xml:space="preserve">, </w:t>
      </w:r>
      <w:r>
        <w:rPr>
          <w:rFonts w:ascii="Arial" w:hAnsi="Arial" w:cs="Arial"/>
          <w:i/>
        </w:rPr>
        <w:t xml:space="preserve">Clostridium </w:t>
      </w:r>
      <w:r>
        <w:rPr>
          <w:rFonts w:ascii="Arial" w:hAnsi="Arial" w:cs="Arial"/>
        </w:rPr>
        <w:t>spp. relies on mammalian host dietary protein for growth.</w:t>
      </w:r>
      <w:r>
        <w:rPr>
          <w:rFonts w:ascii="Arial" w:hAnsi="Arial" w:cs="Arial"/>
          <w:noProof/>
        </w:rPr>
        <w:t>[381]</w:t>
      </w:r>
      <w:r>
        <w:rPr>
          <w:rFonts w:ascii="Arial" w:hAnsi="Arial" w:cs="Arial"/>
        </w:rPr>
        <w:t xml:space="preserve">  Previous studies in birds and mammals have shown increases in </w:t>
      </w:r>
      <w:r>
        <w:rPr>
          <w:rFonts w:ascii="Arial" w:hAnsi="Arial" w:cs="Arial"/>
          <w:i/>
        </w:rPr>
        <w:t xml:space="preserve">Clostridium perfringens </w:t>
      </w:r>
      <w:r>
        <w:rPr>
          <w:rFonts w:ascii="Arial" w:hAnsi="Arial" w:cs="Arial"/>
        </w:rPr>
        <w:t>with increased dietary protein.</w:t>
      </w:r>
      <w:r>
        <w:rPr>
          <w:rFonts w:ascii="Arial" w:hAnsi="Arial" w:cs="Arial"/>
          <w:noProof/>
        </w:rPr>
        <w:t>[125, 382, 383]</w:t>
      </w:r>
      <w:r>
        <w:rPr>
          <w:rFonts w:ascii="Arial" w:hAnsi="Arial" w:cs="Arial"/>
        </w:rPr>
        <w:t xml:space="preserve">  All of the kittens went from a moderate protein (37.4% DM) to high protein diets (47-78% DM). </w:t>
      </w:r>
    </w:p>
    <w:p w:rsidR="00330CF1" w:rsidRDefault="00330CF1" w:rsidP="00FA54B7">
      <w:pPr>
        <w:rPr>
          <w:rFonts w:ascii="Arial" w:hAnsi="Arial" w:cs="Arial"/>
        </w:rPr>
      </w:pPr>
      <w:r>
        <w:rPr>
          <w:rFonts w:ascii="Arial" w:hAnsi="Arial" w:cs="Arial"/>
        </w:rPr>
        <w:t xml:space="preserve">     The overall incidence of days of diarrhea in all the groups was highest in the control group (91 days) compared to the homemade raw group (56 days) and the commercial raw group (6 days).   Changes in diet and levels of macronutrients can lead to diarrhea stools.  Most of the diarrhea in both the raw and control groups were believed to be associated with </w:t>
      </w:r>
      <w:r>
        <w:rPr>
          <w:rFonts w:ascii="Arial" w:hAnsi="Arial" w:cs="Arial"/>
          <w:i/>
        </w:rPr>
        <w:t>Clostridium perfringens</w:t>
      </w:r>
      <w:r>
        <w:rPr>
          <w:rFonts w:ascii="Arial" w:hAnsi="Arial" w:cs="Arial"/>
        </w:rPr>
        <w:t xml:space="preserve">.  </w:t>
      </w:r>
      <w:r w:rsidRPr="00C861D4">
        <w:rPr>
          <w:rFonts w:ascii="Arial" w:hAnsi="Arial" w:cs="Arial"/>
        </w:rPr>
        <w:t>C</w:t>
      </w:r>
      <w:r>
        <w:rPr>
          <w:rFonts w:ascii="Arial" w:hAnsi="Arial" w:cs="Arial"/>
          <w:i/>
        </w:rPr>
        <w:t xml:space="preserve">. perfringens </w:t>
      </w:r>
      <w:r>
        <w:rPr>
          <w:rFonts w:ascii="Arial" w:hAnsi="Arial" w:cs="Arial"/>
        </w:rPr>
        <w:t xml:space="preserve">enterotoxin is the main virulent factor that initiates most gastrointestinal disease.  The diarrhea cultures associated with </w:t>
      </w:r>
      <w:r>
        <w:rPr>
          <w:rFonts w:ascii="Arial" w:hAnsi="Arial" w:cs="Arial"/>
          <w:i/>
        </w:rPr>
        <w:t>C. perfringens</w:t>
      </w:r>
      <w:r>
        <w:rPr>
          <w:rFonts w:ascii="Arial" w:hAnsi="Arial" w:cs="Arial"/>
        </w:rPr>
        <w:t xml:space="preserve"> were not tested for enterotoxin which could have distinguished which cases were associated with clinical disease vs. intestinal overgrowth.   </w:t>
      </w:r>
    </w:p>
    <w:p w:rsidR="00330CF1" w:rsidRDefault="00330CF1" w:rsidP="00FA54B7">
      <w:pPr>
        <w:rPr>
          <w:rFonts w:ascii="Arial" w:hAnsi="Arial" w:cs="Arial"/>
        </w:rPr>
      </w:pPr>
      <w:r>
        <w:rPr>
          <w:rFonts w:ascii="Arial" w:hAnsi="Arial" w:cs="Arial"/>
        </w:rPr>
        <w:t xml:space="preserve">     Two of the control fed kittens in the last group (10005, 10009) had persistent diarrhea that was not </w:t>
      </w:r>
      <w:r>
        <w:rPr>
          <w:rFonts w:ascii="Arial" w:hAnsi="Arial" w:cs="Arial"/>
          <w:i/>
        </w:rPr>
        <w:t xml:space="preserve">Clostridium </w:t>
      </w:r>
      <w:r w:rsidRPr="00C861D4">
        <w:rPr>
          <w:rFonts w:ascii="Arial" w:hAnsi="Arial" w:cs="Arial"/>
          <w:i/>
        </w:rPr>
        <w:t>perfringens</w:t>
      </w:r>
      <w:r>
        <w:rPr>
          <w:rFonts w:ascii="Arial" w:hAnsi="Arial" w:cs="Arial"/>
        </w:rPr>
        <w:t xml:space="preserve">, and was unresponsive to Metronidazole.  The other kittens housed in the same room during this time and fed the raw diets had normal stools.  While an environmental source of infection may have been the source, it seems likely that diet in this last group played a significant role.  </w:t>
      </w:r>
    </w:p>
    <w:p w:rsidR="00330CF1" w:rsidRDefault="00330CF1" w:rsidP="00FA54B7">
      <w:pPr>
        <w:rPr>
          <w:rFonts w:ascii="Arial" w:hAnsi="Arial" w:cs="Arial"/>
        </w:rPr>
      </w:pPr>
      <w:r>
        <w:rPr>
          <w:rFonts w:ascii="Arial" w:hAnsi="Arial" w:cs="Arial"/>
        </w:rPr>
        <w:t xml:space="preserve">     Toxigenic </w:t>
      </w:r>
      <w:r>
        <w:rPr>
          <w:rFonts w:ascii="Arial" w:hAnsi="Arial" w:cs="Arial"/>
          <w:i/>
        </w:rPr>
        <w:t>Clostridium difficile</w:t>
      </w:r>
      <w:r>
        <w:rPr>
          <w:rFonts w:ascii="Arial" w:hAnsi="Arial" w:cs="Arial"/>
        </w:rPr>
        <w:t xml:space="preserve"> has been reported to cause diarrhea in cats.</w:t>
      </w:r>
      <w:r>
        <w:rPr>
          <w:rFonts w:ascii="Arial" w:hAnsi="Arial" w:cs="Arial"/>
          <w:noProof/>
        </w:rPr>
        <w:t>[384]</w:t>
      </w:r>
      <w:r>
        <w:rPr>
          <w:rFonts w:ascii="Arial" w:hAnsi="Arial" w:cs="Arial"/>
        </w:rPr>
        <w:t xml:space="preserve">  This was likely the cause for diarrhea in kitten 8009 on the homemade raw diet.  It quickly resolved with administration of Metronidazole, as previously reported in the literature.  But shedding of this organism still would present a risk for transmission to caregivers.</w:t>
      </w:r>
      <w:r>
        <w:rPr>
          <w:rFonts w:ascii="Arial" w:hAnsi="Arial" w:cs="Arial"/>
          <w:noProof/>
        </w:rPr>
        <w:t>[385]</w:t>
      </w:r>
    </w:p>
    <w:p w:rsidR="00330CF1" w:rsidRDefault="00330CF1" w:rsidP="00FA54B7">
      <w:pPr>
        <w:rPr>
          <w:rFonts w:ascii="Arial" w:hAnsi="Arial" w:cs="Arial"/>
        </w:rPr>
      </w:pPr>
      <w:r>
        <w:rPr>
          <w:rFonts w:ascii="Arial" w:hAnsi="Arial" w:cs="Arial"/>
        </w:rPr>
        <w:t xml:space="preserve">     While no cases of diarrhea were associated directly with </w:t>
      </w:r>
      <w:r>
        <w:rPr>
          <w:rFonts w:ascii="Arial" w:hAnsi="Arial" w:cs="Arial"/>
          <w:i/>
        </w:rPr>
        <w:t>Salmonella</w:t>
      </w:r>
      <w:r>
        <w:rPr>
          <w:rFonts w:ascii="Arial" w:hAnsi="Arial" w:cs="Arial"/>
        </w:rPr>
        <w:t xml:space="preserve"> spp., it was found in composite fecals twice over the 3-year period.  </w:t>
      </w:r>
      <w:r>
        <w:rPr>
          <w:rFonts w:ascii="Arial" w:hAnsi="Arial" w:cs="Arial"/>
          <w:i/>
        </w:rPr>
        <w:t xml:space="preserve">S. </w:t>
      </w:r>
      <w:r w:rsidRPr="000E029E">
        <w:rPr>
          <w:rFonts w:ascii="Arial" w:hAnsi="Arial" w:cs="Arial"/>
        </w:rPr>
        <w:t xml:space="preserve">Heidelburg </w:t>
      </w:r>
      <w:r>
        <w:rPr>
          <w:rFonts w:ascii="Arial" w:hAnsi="Arial" w:cs="Arial"/>
        </w:rPr>
        <w:t xml:space="preserve">was traced back to a kitten on the homemade raw diet.  This kitten had normal stools through the feeding trial and showed no signs of clinical illness but did have elevated lymphocyte and serum IgG levels indicating subclinical infection.  Risk of illness to both the animal and provider through shedding are present.  </w:t>
      </w:r>
      <w:r>
        <w:rPr>
          <w:rFonts w:ascii="Arial" w:hAnsi="Arial" w:cs="Arial"/>
          <w:i/>
        </w:rPr>
        <w:t xml:space="preserve">S. </w:t>
      </w:r>
      <w:r>
        <w:rPr>
          <w:rFonts w:ascii="Arial" w:hAnsi="Arial" w:cs="Arial"/>
        </w:rPr>
        <w:t>E</w:t>
      </w:r>
      <w:r w:rsidRPr="000E029E">
        <w:rPr>
          <w:rFonts w:ascii="Arial" w:hAnsi="Arial" w:cs="Arial"/>
        </w:rPr>
        <w:t>nteritidis</w:t>
      </w:r>
      <w:r>
        <w:rPr>
          <w:rFonts w:ascii="Arial" w:hAnsi="Arial" w:cs="Arial"/>
        </w:rPr>
        <w:t xml:space="preserve"> was not able to be traced back to any specific kitten(s) as all subsequent individual cultures were negative.  </w:t>
      </w:r>
      <w:r>
        <w:rPr>
          <w:rFonts w:ascii="Arial" w:hAnsi="Arial" w:cs="Arial"/>
          <w:i/>
        </w:rPr>
        <w:t xml:space="preserve">Salmonella </w:t>
      </w:r>
      <w:r>
        <w:rPr>
          <w:rFonts w:ascii="Arial" w:hAnsi="Arial" w:cs="Arial"/>
        </w:rPr>
        <w:t xml:space="preserve">spp. are intermittently shed and difficult to isolate.  Both </w:t>
      </w:r>
      <w:r>
        <w:rPr>
          <w:rFonts w:ascii="Arial" w:hAnsi="Arial" w:cs="Arial"/>
          <w:i/>
        </w:rPr>
        <w:t>Salmonella</w:t>
      </w:r>
      <w:r>
        <w:rPr>
          <w:rFonts w:ascii="Arial" w:hAnsi="Arial" w:cs="Arial"/>
        </w:rPr>
        <w:t xml:space="preserve"> serovars isolated are commonly reported in raw poultry.</w:t>
      </w:r>
      <w:r>
        <w:rPr>
          <w:rFonts w:ascii="Arial" w:hAnsi="Arial" w:cs="Arial"/>
          <w:noProof/>
        </w:rPr>
        <w:t>[386]</w:t>
      </w:r>
      <w:r>
        <w:rPr>
          <w:rFonts w:ascii="Arial" w:hAnsi="Arial" w:cs="Arial"/>
        </w:rPr>
        <w:t xml:space="preserve">   </w:t>
      </w:r>
    </w:p>
    <w:p w:rsidR="00330CF1" w:rsidRPr="00415DCB" w:rsidRDefault="00330CF1" w:rsidP="00FA54B7">
      <w:pPr>
        <w:rPr>
          <w:rFonts w:ascii="Arial" w:hAnsi="Arial" w:cs="Arial"/>
        </w:rPr>
      </w:pPr>
      <w:r>
        <w:rPr>
          <w:rFonts w:ascii="Arial" w:hAnsi="Arial" w:cs="Arial"/>
        </w:rPr>
        <w:lastRenderedPageBreak/>
        <w:t xml:space="preserve">     Neither raw diet was positive for </w:t>
      </w:r>
      <w:r>
        <w:rPr>
          <w:rFonts w:ascii="Arial" w:hAnsi="Arial" w:cs="Arial"/>
          <w:i/>
        </w:rPr>
        <w:t xml:space="preserve">Salmonella </w:t>
      </w:r>
      <w:r>
        <w:rPr>
          <w:rFonts w:ascii="Arial" w:hAnsi="Arial" w:cs="Arial"/>
        </w:rPr>
        <w:t xml:space="preserve">spp. or </w:t>
      </w:r>
      <w:r>
        <w:rPr>
          <w:rFonts w:ascii="Arial" w:hAnsi="Arial" w:cs="Arial"/>
          <w:i/>
        </w:rPr>
        <w:t xml:space="preserve">Campylobacter </w:t>
      </w:r>
      <w:r>
        <w:rPr>
          <w:rFonts w:ascii="Arial" w:hAnsi="Arial" w:cs="Arial"/>
        </w:rPr>
        <w:t xml:space="preserve">spp.  Future evaluations using food industry standards and procedures would be advised.  Repeated sampling using enrichment media and PCR quantification may have yielded a higher level of contamination of these pathogens in the raw products.  Aerobic bacterial levels were significantly higher in both the raw diets compared to the heat-processed control diet.  Future studies examining both quantitative and qualitative effects of dietary microorganisms on established gastrointestinal flora are recommended.  </w:t>
      </w:r>
    </w:p>
    <w:p w:rsidR="00330CF1" w:rsidRPr="00525815" w:rsidRDefault="00330CF1" w:rsidP="00FA54B7">
      <w:pPr>
        <w:rPr>
          <w:rFonts w:ascii="Arial" w:hAnsi="Arial" w:cs="Arial"/>
        </w:rPr>
      </w:pPr>
      <w:r>
        <w:rPr>
          <w:rFonts w:ascii="Arial" w:hAnsi="Arial" w:cs="Arial"/>
        </w:rPr>
        <w:t xml:space="preserve">      </w:t>
      </w:r>
    </w:p>
    <w:p w:rsidR="00330CF1" w:rsidRDefault="00330CF1" w:rsidP="005400D1"/>
    <w:p w:rsidR="00330CF1" w:rsidRDefault="00330CF1" w:rsidP="00E422BA">
      <w:pPr>
        <w:pStyle w:val="Heading1"/>
        <w:jc w:val="center"/>
      </w:pPr>
      <w:bookmarkStart w:id="59" w:name="_Toc305485893"/>
      <w:r>
        <w:t>Conclusion</w:t>
      </w:r>
      <w:bookmarkEnd w:id="59"/>
    </w:p>
    <w:p w:rsidR="00330CF1" w:rsidRPr="00E422BA" w:rsidRDefault="00330CF1" w:rsidP="00E422BA"/>
    <w:p w:rsidR="00330CF1" w:rsidRDefault="00330CF1" w:rsidP="00086F79">
      <w:pPr>
        <w:rPr>
          <w:rFonts w:ascii="Arial" w:hAnsi="Arial" w:cs="Arial"/>
        </w:rPr>
      </w:pPr>
      <w:r>
        <w:t xml:space="preserve">     </w:t>
      </w:r>
      <w:r>
        <w:rPr>
          <w:rFonts w:ascii="Arial" w:hAnsi="Arial" w:cs="Arial"/>
        </w:rPr>
        <w:t xml:space="preserve">Transitioning the kittens from a moderate to a high protein diet in all the groups resulted in significant increases in </w:t>
      </w:r>
      <w:r>
        <w:rPr>
          <w:rFonts w:ascii="Arial" w:hAnsi="Arial" w:cs="Arial"/>
          <w:i/>
        </w:rPr>
        <w:t xml:space="preserve">Clostridium perfringens </w:t>
      </w:r>
      <w:r>
        <w:rPr>
          <w:rFonts w:ascii="Arial" w:hAnsi="Arial" w:cs="Arial"/>
        </w:rPr>
        <w:t xml:space="preserve">and associated diarrhea.  With antibiotics these cases resolved, but diarrhea was extended in the first group of kittens who did not receive antibiotics and in the last group of kittens on the control diet.  Two composite fecal cultures were positive for </w:t>
      </w:r>
      <w:r>
        <w:rPr>
          <w:rFonts w:ascii="Arial" w:hAnsi="Arial" w:cs="Arial"/>
          <w:i/>
        </w:rPr>
        <w:t xml:space="preserve">Salmonella </w:t>
      </w:r>
      <w:r>
        <w:rPr>
          <w:rFonts w:ascii="Arial" w:hAnsi="Arial" w:cs="Arial"/>
        </w:rPr>
        <w:t xml:space="preserve">spp.  </w:t>
      </w:r>
      <w:r>
        <w:rPr>
          <w:rFonts w:ascii="Arial" w:hAnsi="Arial" w:cs="Arial"/>
          <w:i/>
        </w:rPr>
        <w:t xml:space="preserve">S. </w:t>
      </w:r>
      <w:r w:rsidRPr="000E029E">
        <w:rPr>
          <w:rFonts w:ascii="Arial" w:hAnsi="Arial" w:cs="Arial"/>
        </w:rPr>
        <w:t xml:space="preserve">Heidelburg </w:t>
      </w:r>
      <w:r>
        <w:rPr>
          <w:rFonts w:ascii="Arial" w:hAnsi="Arial" w:cs="Arial"/>
        </w:rPr>
        <w:t xml:space="preserve">and </w:t>
      </w:r>
      <w:r>
        <w:rPr>
          <w:rFonts w:ascii="Arial" w:hAnsi="Arial" w:cs="Arial"/>
          <w:i/>
        </w:rPr>
        <w:t>Clostridium difficile</w:t>
      </w:r>
      <w:r>
        <w:rPr>
          <w:rFonts w:ascii="Arial" w:hAnsi="Arial" w:cs="Arial"/>
        </w:rPr>
        <w:t xml:space="preserve"> enterotoxin was found in the feces of kittens fed the homemade raw diet. </w:t>
      </w:r>
      <w:r>
        <w:rPr>
          <w:rFonts w:ascii="Arial" w:hAnsi="Arial" w:cs="Arial"/>
          <w:i/>
        </w:rPr>
        <w:t xml:space="preserve">S. </w:t>
      </w:r>
      <w:r w:rsidRPr="000E029E">
        <w:rPr>
          <w:rFonts w:ascii="Arial" w:hAnsi="Arial" w:cs="Arial"/>
        </w:rPr>
        <w:t>Enteritidis</w:t>
      </w:r>
      <w:r>
        <w:rPr>
          <w:rFonts w:ascii="Arial" w:hAnsi="Arial" w:cs="Arial"/>
          <w:i/>
        </w:rPr>
        <w:t xml:space="preserve"> </w:t>
      </w:r>
      <w:r>
        <w:rPr>
          <w:rFonts w:ascii="Arial" w:hAnsi="Arial" w:cs="Arial"/>
        </w:rPr>
        <w:t xml:space="preserve">was also found, but unable to be traced to an individual kitten or diet(s).  Young age made the kittens particularly vulnerable.  The two </w:t>
      </w:r>
      <w:r>
        <w:rPr>
          <w:rFonts w:ascii="Arial" w:hAnsi="Arial" w:cs="Arial"/>
          <w:i/>
        </w:rPr>
        <w:t>Salmonella</w:t>
      </w:r>
      <w:r>
        <w:rPr>
          <w:rFonts w:ascii="Arial" w:hAnsi="Arial" w:cs="Arial"/>
        </w:rPr>
        <w:t xml:space="preserve"> spp. serovars cultured were ones commonly reported in raw poultry.</w:t>
      </w:r>
    </w:p>
    <w:p w:rsidR="00330CF1" w:rsidRPr="006C24F4" w:rsidRDefault="00330CF1" w:rsidP="00086F79">
      <w:pPr>
        <w:rPr>
          <w:rFonts w:ascii="Arial" w:hAnsi="Arial" w:cs="Arial"/>
        </w:rPr>
      </w:pPr>
      <w:r>
        <w:rPr>
          <w:rFonts w:ascii="Arial" w:hAnsi="Arial" w:cs="Arial"/>
        </w:rPr>
        <w:t xml:space="preserve">     Switching from a moderate to high protein diet along with weaning is stressful.   Use of probiotics may be beneficial during these transitions.  Owners need to know the risk of pathogen associated illness, particularly in young or immuno-compromised cats and to their caregivers, with feeding raw diets.  While the kitten on the homemade raw diet with a positive fecal </w:t>
      </w:r>
      <w:r w:rsidRPr="00394588">
        <w:rPr>
          <w:rFonts w:ascii="Arial" w:hAnsi="Arial" w:cs="Arial"/>
          <w:i/>
        </w:rPr>
        <w:t>S</w:t>
      </w:r>
      <w:r>
        <w:rPr>
          <w:rFonts w:ascii="Arial" w:hAnsi="Arial" w:cs="Arial"/>
          <w:i/>
        </w:rPr>
        <w:t>.</w:t>
      </w:r>
      <w:r>
        <w:rPr>
          <w:rFonts w:ascii="Arial" w:hAnsi="Arial" w:cs="Arial"/>
        </w:rPr>
        <w:t xml:space="preserve"> </w:t>
      </w:r>
      <w:r w:rsidRPr="000E029E">
        <w:rPr>
          <w:rFonts w:ascii="Arial" w:hAnsi="Arial" w:cs="Arial"/>
        </w:rPr>
        <w:t>Heidelburg</w:t>
      </w:r>
      <w:r>
        <w:rPr>
          <w:rFonts w:ascii="Arial" w:hAnsi="Arial" w:cs="Arial"/>
        </w:rPr>
        <w:t xml:space="preserve"> did not show any external signs of illness, elevated lymphocytes, IgG and reduced red cell indices were noted.  Individual fecal assessments using polymerase chain reaction (PCR) techniques and increased fecal monitoring may have yielded higher pathogen exposure than was noted. </w:t>
      </w:r>
    </w:p>
    <w:p w:rsidR="00330CF1" w:rsidRDefault="00330CF1" w:rsidP="000166A9">
      <w:pPr>
        <w:pStyle w:val="StyleHeading1Centered"/>
      </w:pPr>
    </w:p>
    <w:p w:rsidR="00330CF1" w:rsidRDefault="00330CF1" w:rsidP="00424B42">
      <w:pPr>
        <w:pStyle w:val="StyleHeading1Centered"/>
        <w:jc w:val="left"/>
      </w:pPr>
    </w:p>
    <w:p w:rsidR="00330CF1" w:rsidRDefault="00330CF1" w:rsidP="00424B42">
      <w:pPr>
        <w:pStyle w:val="StyleHeading1Centered"/>
        <w:jc w:val="left"/>
      </w:pPr>
    </w:p>
    <w:p w:rsidR="00330CF1" w:rsidRDefault="00330CF1" w:rsidP="00424B42">
      <w:pPr>
        <w:pStyle w:val="StyleHeading1Centered"/>
        <w:jc w:val="left"/>
      </w:pPr>
    </w:p>
    <w:p w:rsidR="00330CF1" w:rsidRDefault="00330CF1" w:rsidP="00424B42">
      <w:pPr>
        <w:pStyle w:val="StyleHeading1Centered"/>
        <w:jc w:val="left"/>
      </w:pPr>
    </w:p>
    <w:p w:rsidR="00330CF1" w:rsidRDefault="00330CF1" w:rsidP="00424B42">
      <w:pPr>
        <w:pStyle w:val="StyleHeading1Centered"/>
        <w:jc w:val="left"/>
      </w:pPr>
    </w:p>
    <w:p w:rsidR="00330CF1" w:rsidRDefault="00330CF1" w:rsidP="00424B42">
      <w:pPr>
        <w:pStyle w:val="StyleHeading1Centered"/>
        <w:jc w:val="left"/>
      </w:pPr>
    </w:p>
    <w:p w:rsidR="00330CF1" w:rsidRDefault="00330CF1" w:rsidP="00424B42">
      <w:pPr>
        <w:pStyle w:val="StyleHeading1Centered"/>
        <w:jc w:val="left"/>
      </w:pPr>
    </w:p>
    <w:p w:rsidR="00330CF1" w:rsidRDefault="00330CF1" w:rsidP="00424B42">
      <w:pPr>
        <w:pStyle w:val="StyleHeading1Centered"/>
        <w:jc w:val="left"/>
      </w:pPr>
    </w:p>
    <w:p w:rsidR="00330CF1" w:rsidRDefault="00330CF1" w:rsidP="00424B42">
      <w:pPr>
        <w:pStyle w:val="StyleHeading1Centered"/>
        <w:jc w:val="left"/>
      </w:pPr>
    </w:p>
    <w:p w:rsidR="00330CF1" w:rsidRDefault="00330CF1" w:rsidP="00886754">
      <w:pPr>
        <w:pStyle w:val="StyleHeading1Centered"/>
        <w:jc w:val="left"/>
        <w:rPr>
          <w:sz w:val="32"/>
          <w:szCs w:val="32"/>
        </w:rPr>
      </w:pPr>
      <w:bookmarkStart w:id="60" w:name="_Toc305485894"/>
    </w:p>
    <w:p w:rsidR="00330CF1" w:rsidRDefault="00330CF1" w:rsidP="001A125B">
      <w:pPr>
        <w:pStyle w:val="StyleHeading1Centered"/>
        <w:rPr>
          <w:sz w:val="32"/>
          <w:szCs w:val="32"/>
        </w:rPr>
      </w:pPr>
    </w:p>
    <w:p w:rsidR="00330CF1" w:rsidRDefault="00330CF1" w:rsidP="001A125B">
      <w:pPr>
        <w:pStyle w:val="StyleHeading1Centered"/>
        <w:rPr>
          <w:sz w:val="32"/>
          <w:szCs w:val="32"/>
        </w:rPr>
      </w:pPr>
    </w:p>
    <w:p w:rsidR="00330CF1" w:rsidRDefault="00330CF1" w:rsidP="001A125B">
      <w:pPr>
        <w:pStyle w:val="StyleHeading1Centered"/>
        <w:rPr>
          <w:sz w:val="32"/>
          <w:szCs w:val="32"/>
        </w:rPr>
      </w:pPr>
    </w:p>
    <w:p w:rsidR="00330CF1" w:rsidRPr="005400D1" w:rsidRDefault="00330CF1" w:rsidP="001A125B">
      <w:pPr>
        <w:pStyle w:val="StyleHeading1Centered"/>
        <w:rPr>
          <w:sz w:val="32"/>
          <w:szCs w:val="32"/>
        </w:rPr>
      </w:pPr>
      <w:r w:rsidRPr="005400D1">
        <w:rPr>
          <w:sz w:val="32"/>
          <w:szCs w:val="32"/>
        </w:rPr>
        <w:lastRenderedPageBreak/>
        <w:t>Chapter VII</w:t>
      </w:r>
      <w:bookmarkEnd w:id="60"/>
    </w:p>
    <w:p w:rsidR="00330CF1" w:rsidRPr="005400D1" w:rsidRDefault="00330CF1" w:rsidP="000166A9">
      <w:pPr>
        <w:pStyle w:val="StyleHeading1Centered"/>
        <w:rPr>
          <w:sz w:val="32"/>
          <w:szCs w:val="32"/>
        </w:rPr>
      </w:pPr>
      <w:bookmarkStart w:id="61" w:name="_Toc305485895"/>
      <w:r w:rsidRPr="005400D1">
        <w:rPr>
          <w:sz w:val="32"/>
          <w:szCs w:val="32"/>
        </w:rPr>
        <w:t>Conclusions and Recommendations</w:t>
      </w:r>
      <w:bookmarkEnd w:id="61"/>
    </w:p>
    <w:p w:rsidR="00330CF1" w:rsidRPr="00344B84" w:rsidRDefault="00330CF1" w:rsidP="00344B8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rPr>
      </w:pPr>
    </w:p>
    <w:p w:rsidR="00330CF1" w:rsidRDefault="00330CF1" w:rsidP="00D503CB">
      <w:pPr>
        <w:rPr>
          <w:rFonts w:ascii="Arial" w:hAnsi="Arial" w:cs="Arial"/>
        </w:rPr>
      </w:pPr>
      <w:r>
        <w:rPr>
          <w:rFonts w:ascii="Arial" w:hAnsi="Arial" w:cs="Arial"/>
        </w:rPr>
        <w:t xml:space="preserve">    Both raw diets passed an AAFCO growth trial and had similar growth performance compared to a premium high-protein canned cat food.  There were no significant differences in average daily gain or body tissue accrual/composition between the raw and heat-processed diets.  Kittens fed the raw diets had lower serum albumin and higher globulin </w:t>
      </w:r>
      <w:r w:rsidRPr="00E87870">
        <w:rPr>
          <w:rFonts w:ascii="Arial" w:hAnsi="Arial" w:cs="Arial"/>
        </w:rPr>
        <w:t>concentrations</w:t>
      </w:r>
      <w:r w:rsidRPr="00EA33C6">
        <w:rPr>
          <w:rFonts w:ascii="Arial" w:hAnsi="Arial" w:cs="Arial"/>
          <w:color w:val="C00000"/>
        </w:rPr>
        <w:t xml:space="preserve"> </w:t>
      </w:r>
      <w:r>
        <w:rPr>
          <w:rFonts w:ascii="Arial" w:hAnsi="Arial" w:cs="Arial"/>
        </w:rPr>
        <w:t>but albumin concentrations</w:t>
      </w:r>
      <w:r w:rsidRPr="00EA33C6">
        <w:rPr>
          <w:rFonts w:ascii="Arial" w:hAnsi="Arial" w:cs="Arial"/>
          <w:color w:val="C00000"/>
        </w:rPr>
        <w:t xml:space="preserve"> </w:t>
      </w:r>
      <w:r>
        <w:rPr>
          <w:rFonts w:ascii="Arial" w:hAnsi="Arial" w:cs="Arial"/>
        </w:rPr>
        <w:t xml:space="preserve">were still within normal reference ranges.  Elevated globulin </w:t>
      </w:r>
      <w:r w:rsidRPr="00E87870">
        <w:rPr>
          <w:rFonts w:ascii="Arial" w:hAnsi="Arial" w:cs="Arial"/>
        </w:rPr>
        <w:t>levels</w:t>
      </w:r>
      <w:r w:rsidRPr="00EA33C6">
        <w:rPr>
          <w:rFonts w:ascii="Arial" w:hAnsi="Arial" w:cs="Arial"/>
          <w:color w:val="C00000"/>
        </w:rPr>
        <w:t xml:space="preserve"> </w:t>
      </w:r>
      <w:r>
        <w:rPr>
          <w:rFonts w:ascii="Arial" w:hAnsi="Arial" w:cs="Arial"/>
        </w:rPr>
        <w:t xml:space="preserve">along with red blood cell microcytosis was noted in the homemade raw diet group and believed to be associated with subclinical infection.  Decreases in albumin </w:t>
      </w:r>
      <w:r w:rsidRPr="00E87870">
        <w:rPr>
          <w:rFonts w:ascii="Arial" w:hAnsi="Arial" w:cs="Arial"/>
        </w:rPr>
        <w:t>concentrations</w:t>
      </w:r>
      <w:r>
        <w:rPr>
          <w:rFonts w:ascii="Arial" w:hAnsi="Arial" w:cs="Arial"/>
        </w:rPr>
        <w:t xml:space="preserve"> in the raw diet feeders was felt to be due to a reduction in albumin production to maintain oncotic pressure secondary to higher globulin levels. All of the groups had high creatinine values consistent with a high protein diet while the homemade raw had significantly higher blood urea nitrogen due to its higher protein content (78% DM vs. 50% DM).  </w:t>
      </w:r>
    </w:p>
    <w:p w:rsidR="00330CF1" w:rsidRDefault="00330CF1" w:rsidP="00D503CB">
      <w:pPr>
        <w:rPr>
          <w:rFonts w:ascii="Arial" w:hAnsi="Arial" w:cs="Arial"/>
        </w:rPr>
      </w:pPr>
      <w:r>
        <w:rPr>
          <w:rFonts w:ascii="Arial" w:hAnsi="Arial" w:cs="Arial"/>
        </w:rPr>
        <w:t xml:space="preserve">     A benefit in both the raw diets was increased digestibility with significantly less fecal matter despite similar levels of dry matter intake and kcal ingested.  Improved digestibility of dry matter, organic matter, protein and energy were seen in both raw diet feeders compared to the control diet and in both kittens and adult cats.  These differences were felt to be due to changes in protein structure secondary to commercial processing, along with alterations in gastrointestinal flora and differences in protein quality.  </w:t>
      </w:r>
    </w:p>
    <w:p w:rsidR="00330CF1" w:rsidRDefault="00330CF1" w:rsidP="00D503CB">
      <w:pPr>
        <w:rPr>
          <w:rFonts w:ascii="Arial" w:hAnsi="Arial" w:cs="Arial"/>
        </w:rPr>
      </w:pPr>
      <w:r>
        <w:rPr>
          <w:rFonts w:ascii="Arial" w:hAnsi="Arial" w:cs="Arial"/>
        </w:rPr>
        <w:t xml:space="preserve">     While improvement in digestibility was noted in both raw diets, differences in humoral immune differences were less apparent between the raw diets and the control diet.  </w:t>
      </w:r>
      <w:r w:rsidRPr="00E87870">
        <w:rPr>
          <w:rFonts w:ascii="Arial" w:hAnsi="Arial" w:cs="Arial"/>
        </w:rPr>
        <w:t xml:space="preserve">Significant increases in total lymphocyte counts and immunoglobulin concentrations were noted in the raw diets over time.  </w:t>
      </w:r>
      <w:r>
        <w:rPr>
          <w:rFonts w:ascii="Arial" w:hAnsi="Arial" w:cs="Arial"/>
        </w:rPr>
        <w:t xml:space="preserve">The commercial raw diet showed a trend toward increased IgM production at the end of the study compared to the control diet.  The commercial raw diet also had the highest aerobic bacteria counts.  Increased exposure to live or dead bacterial material from this diet could have resulted in higher IgM production.  A few of the kittens on the homemade raw diet </w:t>
      </w:r>
      <w:r w:rsidRPr="00E87870">
        <w:rPr>
          <w:rFonts w:ascii="Arial" w:hAnsi="Arial" w:cs="Arial"/>
        </w:rPr>
        <w:t xml:space="preserve">with </w:t>
      </w:r>
      <w:r>
        <w:rPr>
          <w:rFonts w:ascii="Arial" w:hAnsi="Arial" w:cs="Arial"/>
        </w:rPr>
        <w:t xml:space="preserve">elevated total lymphocyte counts and IgG titers were traced back to kittens with diarrhea.  It is unknown whether the increased immunoglobulin concentrations in the raw diet feeders over time were secondary to increased antigen exposure, responses to pathogens, or nutritional formulation differences.  The homemade raw diet feeders had higher oxidative burst responses </w:t>
      </w:r>
      <w:r w:rsidRPr="00127942">
        <w:rPr>
          <w:rFonts w:ascii="Arial" w:hAnsi="Arial" w:cs="Arial"/>
        </w:rPr>
        <w:t xml:space="preserve">in conjunction </w:t>
      </w:r>
      <w:r>
        <w:rPr>
          <w:rFonts w:ascii="Arial" w:hAnsi="Arial" w:cs="Arial"/>
        </w:rPr>
        <w:t xml:space="preserve">with levels of dietary taurine that were three times higher.  </w:t>
      </w:r>
      <w:r w:rsidRPr="00792447">
        <w:rPr>
          <w:rFonts w:ascii="Arial" w:hAnsi="Arial" w:cs="Arial"/>
        </w:rPr>
        <w:t xml:space="preserve">Increased levels </w:t>
      </w:r>
      <w:r>
        <w:rPr>
          <w:rFonts w:ascii="Arial" w:hAnsi="Arial" w:cs="Arial"/>
        </w:rPr>
        <w:t xml:space="preserve">of dietary taurine in the homemade raw diet may have improved oxidative burst responses.  Additional taurine supplementation in feline diets to improve oxidative burst would be recommended.  Further studies examining specific mucosal immunity and T-cell function are needed to fully access immune function in felines on raw diet vs. heat-processed diets. </w:t>
      </w:r>
    </w:p>
    <w:p w:rsidR="00330CF1" w:rsidRDefault="00330CF1" w:rsidP="00D503CB">
      <w:pPr>
        <w:rPr>
          <w:rFonts w:ascii="Arial" w:hAnsi="Arial" w:cs="Arial"/>
        </w:rPr>
      </w:pPr>
      <w:r>
        <w:rPr>
          <w:rFonts w:ascii="Arial" w:hAnsi="Arial" w:cs="Arial"/>
        </w:rPr>
        <w:t xml:space="preserve">     There were no differences in levels of oxidative stress between the raw diets and the control diet.  A significant reduction in oxidative stress was found in the control and homemade raw diet over the 10-week period using urinary isoprostanes as the biomarker.  These reductions may be attributed to stresses associated with weaning or </w:t>
      </w:r>
      <w:r>
        <w:rPr>
          <w:rFonts w:ascii="Arial" w:hAnsi="Arial" w:cs="Arial"/>
        </w:rPr>
        <w:lastRenderedPageBreak/>
        <w:t xml:space="preserve">differences in antioxidant and/or pro-oxidant levels in a canned or raw diets compared to the extruded diet fed prior to entry into the feeding trial. </w:t>
      </w:r>
    </w:p>
    <w:p w:rsidR="00330CF1" w:rsidRDefault="00330CF1" w:rsidP="008822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Pr>
          <w:rFonts w:ascii="Arial" w:hAnsi="Arial" w:cs="Arial"/>
          <w:b/>
          <w:bCs/>
          <w:sz w:val="28"/>
          <w:szCs w:val="28"/>
        </w:rPr>
        <w:t xml:space="preserve">    </w:t>
      </w:r>
      <w:r>
        <w:rPr>
          <w:rFonts w:ascii="Arial" w:hAnsi="Arial" w:cs="Arial"/>
          <w:bCs/>
        </w:rPr>
        <w:t xml:space="preserve">Weaning along with </w:t>
      </w:r>
      <w:r>
        <w:rPr>
          <w:rFonts w:ascii="Arial" w:hAnsi="Arial" w:cs="Arial"/>
        </w:rPr>
        <w:t xml:space="preserve">switching from a moderate to high protein diet in kittens is stressful.   Increases in fecal </w:t>
      </w:r>
      <w:r>
        <w:rPr>
          <w:rFonts w:ascii="Arial" w:hAnsi="Arial" w:cs="Arial"/>
          <w:i/>
        </w:rPr>
        <w:t>Clostridium perfringens</w:t>
      </w:r>
      <w:r>
        <w:rPr>
          <w:rFonts w:ascii="Arial" w:hAnsi="Arial" w:cs="Arial"/>
        </w:rPr>
        <w:t xml:space="preserve"> numbers were </w:t>
      </w:r>
      <w:r w:rsidRPr="00C83320">
        <w:rPr>
          <w:rFonts w:ascii="Arial" w:hAnsi="Arial" w:cs="Arial"/>
        </w:rPr>
        <w:t>noted</w:t>
      </w:r>
      <w:r>
        <w:rPr>
          <w:rFonts w:ascii="Arial" w:hAnsi="Arial" w:cs="Arial"/>
        </w:rPr>
        <w:t xml:space="preserve"> and associated with kitten diarrhea.  The use of probiotics during weaning and diet changes may be beneficial in reducing diarrhea in young cats during these time periods</w:t>
      </w:r>
    </w:p>
    <w:p w:rsidR="00330CF1" w:rsidRPr="00BC7F66" w:rsidRDefault="00330CF1" w:rsidP="008822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rPr>
      </w:pPr>
      <w:r>
        <w:rPr>
          <w:rFonts w:ascii="Arial" w:hAnsi="Arial" w:cs="Arial"/>
        </w:rPr>
        <w:t xml:space="preserve">      The use of intensive farming practices for meat production has increased dramatically over the past 50-100 years.</w:t>
      </w:r>
      <w:r>
        <w:rPr>
          <w:rFonts w:ascii="Arial" w:hAnsi="Arial" w:cs="Arial"/>
          <w:noProof/>
        </w:rPr>
        <w:t>[387]</w:t>
      </w:r>
      <w:r>
        <w:rPr>
          <w:rFonts w:ascii="Arial" w:hAnsi="Arial" w:cs="Arial"/>
        </w:rPr>
        <w:t xml:space="preserve">  Raising livestock in confinement at high stocking density increases the risk of pathogen contamination in raw meat diets.</w:t>
      </w:r>
      <w:r>
        <w:rPr>
          <w:rFonts w:ascii="Arial" w:hAnsi="Arial" w:cs="Arial"/>
          <w:noProof/>
        </w:rPr>
        <w:t>[5, 160, 162]</w:t>
      </w:r>
      <w:r>
        <w:rPr>
          <w:rFonts w:ascii="Arial" w:hAnsi="Arial" w:cs="Arial"/>
        </w:rPr>
        <w:t xml:space="preserve">  Owners need to be informed of the risk of pathogen associated illness, particularly in young or immuno-compromised cats and to their caregivers.  While the kitten with positive fecal </w:t>
      </w:r>
      <w:r w:rsidRPr="00394588">
        <w:rPr>
          <w:rFonts w:ascii="Arial" w:hAnsi="Arial" w:cs="Arial"/>
          <w:i/>
        </w:rPr>
        <w:t>Salmonella</w:t>
      </w:r>
      <w:r>
        <w:rPr>
          <w:rFonts w:ascii="Arial" w:hAnsi="Arial" w:cs="Arial"/>
        </w:rPr>
        <w:t xml:space="preserve"> serovar Heidelberg in our study</w:t>
      </w:r>
      <w:r w:rsidRPr="00394588">
        <w:rPr>
          <w:rFonts w:ascii="Arial" w:hAnsi="Arial" w:cs="Arial"/>
          <w:i/>
        </w:rPr>
        <w:t xml:space="preserve"> </w:t>
      </w:r>
      <w:r>
        <w:rPr>
          <w:rFonts w:ascii="Arial" w:hAnsi="Arial" w:cs="Arial"/>
        </w:rPr>
        <w:t xml:space="preserve">did not show any external signs of illness, elevated lymphocyte counts, IgG concentrations and reduced red cell indices were noted.  Future research on methods to reduce pathogen load while minimizing processing of animal tissue proteins, and the impact of commercial processing on gastrointestinal flora would be recommended. </w:t>
      </w:r>
    </w:p>
    <w:p w:rsidR="00330CF1" w:rsidRPr="00873557" w:rsidRDefault="00330CF1" w:rsidP="0087355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r>
        <w:rPr>
          <w:rFonts w:ascii="Arial" w:hAnsi="Arial" w:cs="Arial"/>
        </w:rPr>
        <w:t xml:space="preserve">       </w:t>
      </w: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330CF1" w:rsidRDefault="00330C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330CF1" w:rsidRDefault="00330CF1" w:rsidP="00343AF3">
      <w:pPr>
        <w:pStyle w:val="StyleHeading1Centered"/>
        <w:jc w:val="left"/>
      </w:pPr>
    </w:p>
    <w:p w:rsidR="00330CF1" w:rsidRDefault="00330CF1" w:rsidP="000166A9">
      <w:pPr>
        <w:pStyle w:val="StyleHeading1Centered"/>
      </w:pPr>
    </w:p>
    <w:p w:rsidR="00330CF1" w:rsidRDefault="00330CF1" w:rsidP="000166A9">
      <w:pPr>
        <w:pStyle w:val="StyleHeading1Centered"/>
      </w:pPr>
    </w:p>
    <w:p w:rsidR="00330CF1" w:rsidRDefault="00330CF1" w:rsidP="000166A9">
      <w:pPr>
        <w:pStyle w:val="StyleHeading1Centered"/>
      </w:pPr>
    </w:p>
    <w:p w:rsidR="00330CF1" w:rsidRDefault="00330CF1" w:rsidP="000166A9">
      <w:pPr>
        <w:pStyle w:val="StyleHeading1Centered"/>
      </w:pPr>
    </w:p>
    <w:p w:rsidR="00330CF1" w:rsidRDefault="00330CF1" w:rsidP="000166A9">
      <w:pPr>
        <w:pStyle w:val="StyleHeading1Centered"/>
      </w:pPr>
    </w:p>
    <w:p w:rsidR="00330CF1" w:rsidRDefault="00330CF1" w:rsidP="000166A9">
      <w:pPr>
        <w:pStyle w:val="StyleHeading1Centered"/>
      </w:pPr>
    </w:p>
    <w:p w:rsidR="00330CF1" w:rsidRDefault="00330CF1" w:rsidP="000166A9">
      <w:pPr>
        <w:pStyle w:val="StyleHeading1Centered"/>
      </w:pPr>
    </w:p>
    <w:p w:rsidR="00330CF1" w:rsidRDefault="00330CF1" w:rsidP="000166A9">
      <w:pPr>
        <w:pStyle w:val="StyleHeading1Centered"/>
      </w:pPr>
    </w:p>
    <w:p w:rsidR="00330CF1" w:rsidRDefault="00330CF1" w:rsidP="000166A9">
      <w:pPr>
        <w:pStyle w:val="StyleHeading1Centered"/>
      </w:pPr>
    </w:p>
    <w:p w:rsidR="00330CF1" w:rsidRDefault="00330CF1" w:rsidP="000166A9">
      <w:pPr>
        <w:pStyle w:val="StyleHeading1Centered"/>
      </w:pPr>
    </w:p>
    <w:p w:rsidR="00330CF1" w:rsidRDefault="00330CF1" w:rsidP="000166A9">
      <w:pPr>
        <w:pStyle w:val="StyleHeading1Centered"/>
      </w:pPr>
    </w:p>
    <w:p w:rsidR="00330CF1" w:rsidRDefault="00330CF1" w:rsidP="000166A9">
      <w:pPr>
        <w:pStyle w:val="StyleHeading1Centered"/>
      </w:pPr>
    </w:p>
    <w:p w:rsidR="00330CF1" w:rsidRDefault="00330CF1" w:rsidP="000166A9">
      <w:pPr>
        <w:pStyle w:val="StyleHeading1Centered"/>
      </w:pPr>
    </w:p>
    <w:p w:rsidR="00330CF1" w:rsidRDefault="00330CF1" w:rsidP="00942C89">
      <w:pPr>
        <w:pStyle w:val="StyleHeading1Centered"/>
        <w:jc w:val="left"/>
      </w:pPr>
    </w:p>
    <w:p w:rsidR="00330CF1" w:rsidRDefault="00330CF1" w:rsidP="00873557">
      <w:pPr>
        <w:pStyle w:val="Heading1"/>
      </w:pPr>
    </w:p>
    <w:p w:rsidR="00330CF1" w:rsidRPr="004C2A38" w:rsidRDefault="00330CF1" w:rsidP="00652773">
      <w:pPr>
        <w:pStyle w:val="Heading1"/>
        <w:jc w:val="center"/>
        <w:rPr>
          <w:rFonts w:cs="Arial"/>
        </w:rPr>
      </w:pPr>
      <w:r w:rsidRPr="004C2A38">
        <w:rPr>
          <w:rFonts w:cs="Arial"/>
        </w:rPr>
        <w:t>LIST OF REFERENCES</w:t>
      </w:r>
    </w:p>
    <w:p w:rsidR="00330CF1" w:rsidRPr="004C2A38" w:rsidRDefault="00330CF1" w:rsidP="003D63DF">
      <w:pPr>
        <w:rPr>
          <w:rFonts w:ascii="Arial" w:hAnsi="Arial" w:cs="Arial"/>
        </w:rPr>
      </w:pPr>
    </w:p>
    <w:p w:rsidR="00330CF1" w:rsidRPr="00330CF1" w:rsidRDefault="00330CF1" w:rsidP="0009286C">
      <w:pPr>
        <w:ind w:left="720" w:hanging="720"/>
        <w:rPr>
          <w:rFonts w:ascii="Arial" w:hAnsi="Arial" w:cs="Arial"/>
          <w:noProof/>
        </w:rPr>
      </w:pPr>
      <w:bookmarkStart w:id="62" w:name="_ENREF_1"/>
      <w:r w:rsidRPr="00330CF1">
        <w:rPr>
          <w:rFonts w:ascii="Arial" w:hAnsi="Arial" w:cs="Arial"/>
          <w:noProof/>
        </w:rPr>
        <w:t>1.</w:t>
      </w:r>
      <w:r w:rsidRPr="00330CF1">
        <w:rPr>
          <w:rFonts w:ascii="Arial" w:hAnsi="Arial" w:cs="Arial"/>
          <w:noProof/>
        </w:rPr>
        <w:tab/>
        <w:t xml:space="preserve">Hartwell, S. </w:t>
      </w:r>
      <w:r w:rsidRPr="00330CF1">
        <w:rPr>
          <w:rFonts w:ascii="Arial" w:hAnsi="Arial" w:cs="Arial"/>
          <w:i/>
          <w:noProof/>
        </w:rPr>
        <w:t>Cats and Cat Care Through the Ages</w:t>
      </w:r>
      <w:r w:rsidRPr="00330CF1">
        <w:rPr>
          <w:rFonts w:ascii="Arial" w:hAnsi="Arial" w:cs="Arial"/>
          <w:noProof/>
        </w:rPr>
        <w:t>.  [Accessed:2011]; Available from: http://www.messybeast.com/retrospective-index.htm.</w:t>
      </w:r>
      <w:bookmarkEnd w:id="62"/>
    </w:p>
    <w:p w:rsidR="00330CF1" w:rsidRPr="00330CF1" w:rsidRDefault="00330CF1" w:rsidP="0009286C">
      <w:pPr>
        <w:ind w:left="720" w:hanging="720"/>
        <w:rPr>
          <w:rFonts w:ascii="Arial" w:hAnsi="Arial" w:cs="Arial"/>
          <w:noProof/>
        </w:rPr>
      </w:pPr>
      <w:bookmarkStart w:id="63" w:name="_ENREF_2"/>
      <w:r w:rsidRPr="00330CF1">
        <w:rPr>
          <w:rFonts w:ascii="Arial" w:hAnsi="Arial" w:cs="Arial"/>
          <w:noProof/>
        </w:rPr>
        <w:t>2.</w:t>
      </w:r>
      <w:r w:rsidRPr="00330CF1">
        <w:rPr>
          <w:rFonts w:ascii="Arial" w:hAnsi="Arial" w:cs="Arial"/>
          <w:noProof/>
        </w:rPr>
        <w:tab/>
        <w:t xml:space="preserve">Laflamme, D.P., et al., </w:t>
      </w:r>
      <w:r w:rsidRPr="00330CF1">
        <w:rPr>
          <w:rFonts w:ascii="Arial" w:hAnsi="Arial" w:cs="Arial"/>
          <w:i/>
          <w:noProof/>
        </w:rPr>
        <w:t>Timely topics in nutrition - Pet feeding practices of dog and cat owners in the United States and Australia.</w:t>
      </w:r>
      <w:r w:rsidRPr="00330CF1">
        <w:rPr>
          <w:rFonts w:ascii="Arial" w:hAnsi="Arial" w:cs="Arial"/>
          <w:noProof/>
        </w:rPr>
        <w:t xml:space="preserve"> Javma-Journal of the American Veterinary Medical Association, 2008. </w:t>
      </w:r>
      <w:r w:rsidRPr="00330CF1">
        <w:rPr>
          <w:rFonts w:ascii="Arial" w:hAnsi="Arial" w:cs="Arial"/>
          <w:b/>
          <w:noProof/>
        </w:rPr>
        <w:t>232</w:t>
      </w:r>
      <w:r w:rsidRPr="00330CF1">
        <w:rPr>
          <w:rFonts w:ascii="Arial" w:hAnsi="Arial" w:cs="Arial"/>
          <w:noProof/>
        </w:rPr>
        <w:t>(5): p. 687-694.</w:t>
      </w:r>
      <w:bookmarkEnd w:id="63"/>
    </w:p>
    <w:p w:rsidR="00330CF1" w:rsidRPr="00330CF1" w:rsidRDefault="00330CF1" w:rsidP="0009286C">
      <w:pPr>
        <w:ind w:left="720" w:hanging="720"/>
        <w:rPr>
          <w:rFonts w:ascii="Arial" w:hAnsi="Arial" w:cs="Arial"/>
          <w:noProof/>
        </w:rPr>
      </w:pPr>
      <w:bookmarkStart w:id="64" w:name="_ENREF_3"/>
      <w:r w:rsidRPr="00330CF1">
        <w:rPr>
          <w:rFonts w:ascii="Arial" w:hAnsi="Arial" w:cs="Arial"/>
          <w:noProof/>
        </w:rPr>
        <w:t>3.</w:t>
      </w:r>
      <w:r w:rsidRPr="00330CF1">
        <w:rPr>
          <w:rFonts w:ascii="Arial" w:hAnsi="Arial" w:cs="Arial"/>
          <w:noProof/>
        </w:rPr>
        <w:tab/>
        <w:t xml:space="preserve">Bernard, M.T., </w:t>
      </w:r>
      <w:r w:rsidRPr="00330CF1">
        <w:rPr>
          <w:rFonts w:ascii="Arial" w:hAnsi="Arial" w:cs="Arial"/>
          <w:i/>
          <w:noProof/>
        </w:rPr>
        <w:t>Raising cats naturally : how to care for your cat the way nature intended</w:t>
      </w:r>
      <w:r w:rsidRPr="00330CF1">
        <w:rPr>
          <w:rFonts w:ascii="Arial" w:hAnsi="Arial" w:cs="Arial"/>
          <w:noProof/>
        </w:rPr>
        <w:t xml:space="preserve"> 2004: Aardvark Global Pub.</w:t>
      </w:r>
      <w:bookmarkEnd w:id="64"/>
    </w:p>
    <w:p w:rsidR="00330CF1" w:rsidRPr="00330CF1" w:rsidRDefault="00330CF1" w:rsidP="0009286C">
      <w:pPr>
        <w:ind w:left="720" w:hanging="720"/>
        <w:rPr>
          <w:rFonts w:ascii="Arial" w:hAnsi="Arial" w:cs="Arial"/>
          <w:noProof/>
        </w:rPr>
      </w:pPr>
      <w:bookmarkStart w:id="65" w:name="_ENREF_4"/>
      <w:r w:rsidRPr="00330CF1">
        <w:rPr>
          <w:rFonts w:ascii="Arial" w:hAnsi="Arial" w:cs="Arial"/>
          <w:noProof/>
        </w:rPr>
        <w:t>4.</w:t>
      </w:r>
      <w:r w:rsidRPr="00330CF1">
        <w:rPr>
          <w:rFonts w:ascii="Arial" w:hAnsi="Arial" w:cs="Arial"/>
          <w:noProof/>
        </w:rPr>
        <w:tab/>
        <w:t xml:space="preserve">Schultze, K.R., ed. </w:t>
      </w:r>
      <w:r w:rsidRPr="00330CF1">
        <w:rPr>
          <w:rFonts w:ascii="Arial" w:hAnsi="Arial" w:cs="Arial"/>
          <w:i/>
          <w:noProof/>
        </w:rPr>
        <w:t>Natural nutrition for dogs and cats : the ultimate diet.</w:t>
      </w:r>
      <w:r w:rsidRPr="00330CF1">
        <w:rPr>
          <w:rFonts w:ascii="Arial" w:hAnsi="Arial" w:cs="Arial"/>
          <w:noProof/>
        </w:rPr>
        <w:t xml:space="preserve"> 1998, Hay House, Inc.</w:t>
      </w:r>
      <w:bookmarkEnd w:id="65"/>
    </w:p>
    <w:p w:rsidR="00330CF1" w:rsidRPr="00330CF1" w:rsidRDefault="00330CF1" w:rsidP="0009286C">
      <w:pPr>
        <w:ind w:left="720" w:hanging="720"/>
        <w:rPr>
          <w:rFonts w:ascii="Arial" w:hAnsi="Arial" w:cs="Arial"/>
          <w:noProof/>
        </w:rPr>
      </w:pPr>
      <w:bookmarkStart w:id="66" w:name="_ENREF_5"/>
      <w:r w:rsidRPr="00330CF1">
        <w:rPr>
          <w:rFonts w:ascii="Arial" w:hAnsi="Arial" w:cs="Arial"/>
          <w:noProof/>
        </w:rPr>
        <w:t>5.</w:t>
      </w:r>
      <w:r w:rsidRPr="00330CF1">
        <w:rPr>
          <w:rFonts w:ascii="Arial" w:hAnsi="Arial" w:cs="Arial"/>
          <w:noProof/>
        </w:rPr>
        <w:tab/>
        <w:t xml:space="preserve">Morley, P.S., et al., </w:t>
      </w:r>
      <w:r w:rsidRPr="00330CF1">
        <w:rPr>
          <w:rFonts w:ascii="Arial" w:hAnsi="Arial" w:cs="Arial"/>
          <w:i/>
          <w:noProof/>
        </w:rPr>
        <w:t>Evaluation of the association between feeding raw meat and Salmonella enterica infections at a Greyhound breeding facility.</w:t>
      </w:r>
      <w:r w:rsidRPr="00330CF1">
        <w:rPr>
          <w:rFonts w:ascii="Arial" w:hAnsi="Arial" w:cs="Arial"/>
          <w:noProof/>
        </w:rPr>
        <w:t xml:space="preserve"> Journal American Veterinary Medical Association, 2006. </w:t>
      </w:r>
      <w:r w:rsidRPr="00330CF1">
        <w:rPr>
          <w:rFonts w:ascii="Arial" w:hAnsi="Arial" w:cs="Arial"/>
          <w:b/>
          <w:noProof/>
        </w:rPr>
        <w:t>228</w:t>
      </w:r>
      <w:r w:rsidRPr="00330CF1">
        <w:rPr>
          <w:rFonts w:ascii="Arial" w:hAnsi="Arial" w:cs="Arial"/>
          <w:noProof/>
        </w:rPr>
        <w:t>(10): p. 1524-1532.</w:t>
      </w:r>
      <w:bookmarkEnd w:id="66"/>
    </w:p>
    <w:p w:rsidR="00330CF1" w:rsidRPr="00330CF1" w:rsidRDefault="00330CF1" w:rsidP="0009286C">
      <w:pPr>
        <w:ind w:left="720" w:hanging="720"/>
        <w:rPr>
          <w:rFonts w:ascii="Arial" w:hAnsi="Arial" w:cs="Arial"/>
          <w:noProof/>
        </w:rPr>
      </w:pPr>
      <w:bookmarkStart w:id="67" w:name="_ENREF_6"/>
      <w:r w:rsidRPr="00330CF1">
        <w:rPr>
          <w:rFonts w:ascii="Arial" w:hAnsi="Arial" w:cs="Arial"/>
          <w:noProof/>
        </w:rPr>
        <w:t>6.</w:t>
      </w:r>
      <w:r w:rsidRPr="00330CF1">
        <w:rPr>
          <w:rFonts w:ascii="Arial" w:hAnsi="Arial" w:cs="Arial"/>
          <w:noProof/>
        </w:rPr>
        <w:tab/>
        <w:t xml:space="preserve">Joffe, D.J. and D.P. Schlesinger, </w:t>
      </w:r>
      <w:r w:rsidRPr="00330CF1">
        <w:rPr>
          <w:rFonts w:ascii="Arial" w:hAnsi="Arial" w:cs="Arial"/>
          <w:i/>
          <w:noProof/>
        </w:rPr>
        <w:t>Preliminary assessment of the risk of Salmonella infection in dogs fed raw chicken diets.</w:t>
      </w:r>
      <w:r w:rsidRPr="00330CF1">
        <w:rPr>
          <w:rFonts w:ascii="Arial" w:hAnsi="Arial" w:cs="Arial"/>
          <w:noProof/>
        </w:rPr>
        <w:t xml:space="preserve"> Canadian Veterinary Journal-Revue Veterinaire Canadienne, 2002. </w:t>
      </w:r>
      <w:r w:rsidRPr="00330CF1">
        <w:rPr>
          <w:rFonts w:ascii="Arial" w:hAnsi="Arial" w:cs="Arial"/>
          <w:b/>
          <w:noProof/>
        </w:rPr>
        <w:t>43</w:t>
      </w:r>
      <w:r w:rsidRPr="00330CF1">
        <w:rPr>
          <w:rFonts w:ascii="Arial" w:hAnsi="Arial" w:cs="Arial"/>
          <w:noProof/>
        </w:rPr>
        <w:t>(6): p. 441-442.</w:t>
      </w:r>
      <w:bookmarkEnd w:id="67"/>
    </w:p>
    <w:p w:rsidR="00330CF1" w:rsidRPr="00330CF1" w:rsidRDefault="00330CF1" w:rsidP="0009286C">
      <w:pPr>
        <w:ind w:left="720" w:hanging="720"/>
        <w:rPr>
          <w:rFonts w:ascii="Arial" w:hAnsi="Arial" w:cs="Arial"/>
          <w:noProof/>
        </w:rPr>
      </w:pPr>
      <w:bookmarkStart w:id="68" w:name="_ENREF_7"/>
      <w:r w:rsidRPr="00330CF1">
        <w:rPr>
          <w:rFonts w:ascii="Arial" w:hAnsi="Arial" w:cs="Arial"/>
          <w:noProof/>
        </w:rPr>
        <w:t>7.</w:t>
      </w:r>
      <w:r w:rsidRPr="00330CF1">
        <w:rPr>
          <w:rFonts w:ascii="Arial" w:hAnsi="Arial" w:cs="Arial"/>
          <w:noProof/>
        </w:rPr>
        <w:tab/>
        <w:t xml:space="preserve">Strohmeyer, R.A., et al., </w:t>
      </w:r>
      <w:r w:rsidRPr="00330CF1">
        <w:rPr>
          <w:rFonts w:ascii="Arial" w:hAnsi="Arial" w:cs="Arial"/>
          <w:i/>
          <w:noProof/>
        </w:rPr>
        <w:t>Evaluation of bacterial and protozoal contamination of commercially available raw meat diets for dogs.</w:t>
      </w:r>
      <w:r w:rsidRPr="00330CF1">
        <w:rPr>
          <w:rFonts w:ascii="Arial" w:hAnsi="Arial" w:cs="Arial"/>
          <w:noProof/>
        </w:rPr>
        <w:t xml:space="preserve"> Javma-Journal of the American Veterinary Medical Association, 2006. </w:t>
      </w:r>
      <w:r w:rsidRPr="00330CF1">
        <w:rPr>
          <w:rFonts w:ascii="Arial" w:hAnsi="Arial" w:cs="Arial"/>
          <w:b/>
          <w:noProof/>
        </w:rPr>
        <w:t>228</w:t>
      </w:r>
      <w:r w:rsidRPr="00330CF1">
        <w:rPr>
          <w:rFonts w:ascii="Arial" w:hAnsi="Arial" w:cs="Arial"/>
          <w:noProof/>
        </w:rPr>
        <w:t>(4): p. 537-542.</w:t>
      </w:r>
      <w:bookmarkEnd w:id="68"/>
    </w:p>
    <w:p w:rsidR="00330CF1" w:rsidRPr="00330CF1" w:rsidRDefault="00330CF1" w:rsidP="0009286C">
      <w:pPr>
        <w:ind w:left="720" w:hanging="720"/>
        <w:rPr>
          <w:rFonts w:ascii="Arial" w:hAnsi="Arial" w:cs="Arial"/>
          <w:noProof/>
        </w:rPr>
      </w:pPr>
      <w:bookmarkStart w:id="69" w:name="_ENREF_8"/>
      <w:r w:rsidRPr="00330CF1">
        <w:rPr>
          <w:rFonts w:ascii="Arial" w:hAnsi="Arial" w:cs="Arial"/>
          <w:noProof/>
        </w:rPr>
        <w:t>8.</w:t>
      </w:r>
      <w:r w:rsidRPr="00330CF1">
        <w:rPr>
          <w:rFonts w:ascii="Arial" w:hAnsi="Arial" w:cs="Arial"/>
          <w:noProof/>
        </w:rPr>
        <w:tab/>
        <w:t xml:space="preserve">Weese, J.S., J. Rousseau, and L. Arroyo, </w:t>
      </w:r>
      <w:r w:rsidRPr="00330CF1">
        <w:rPr>
          <w:rFonts w:ascii="Arial" w:hAnsi="Arial" w:cs="Arial"/>
          <w:i/>
          <w:noProof/>
        </w:rPr>
        <w:t>Bacteriological evaluation of commercial canine and feline raw diets.</w:t>
      </w:r>
      <w:r w:rsidRPr="00330CF1">
        <w:rPr>
          <w:rFonts w:ascii="Arial" w:hAnsi="Arial" w:cs="Arial"/>
          <w:noProof/>
        </w:rPr>
        <w:t xml:space="preserve"> Canadian Veterinary Journal-Revue Veterinaire Canadienne, 2005. </w:t>
      </w:r>
      <w:r w:rsidRPr="00330CF1">
        <w:rPr>
          <w:rFonts w:ascii="Arial" w:hAnsi="Arial" w:cs="Arial"/>
          <w:b/>
          <w:noProof/>
        </w:rPr>
        <w:t>46</w:t>
      </w:r>
      <w:r w:rsidRPr="00330CF1">
        <w:rPr>
          <w:rFonts w:ascii="Arial" w:hAnsi="Arial" w:cs="Arial"/>
          <w:noProof/>
        </w:rPr>
        <w:t>(6): p. 513-516.</w:t>
      </w:r>
      <w:bookmarkEnd w:id="69"/>
    </w:p>
    <w:p w:rsidR="00330CF1" w:rsidRPr="00330CF1" w:rsidRDefault="00330CF1" w:rsidP="0009286C">
      <w:pPr>
        <w:ind w:left="720" w:hanging="720"/>
        <w:rPr>
          <w:rFonts w:ascii="Arial" w:hAnsi="Arial" w:cs="Arial"/>
          <w:noProof/>
        </w:rPr>
      </w:pPr>
      <w:bookmarkStart w:id="70" w:name="_ENREF_9"/>
      <w:r w:rsidRPr="00330CF1">
        <w:rPr>
          <w:rFonts w:ascii="Arial" w:hAnsi="Arial" w:cs="Arial"/>
          <w:noProof/>
        </w:rPr>
        <w:t>9.</w:t>
      </w:r>
      <w:r w:rsidRPr="00330CF1">
        <w:rPr>
          <w:rFonts w:ascii="Arial" w:hAnsi="Arial" w:cs="Arial"/>
          <w:noProof/>
        </w:rPr>
        <w:tab/>
        <w:t xml:space="preserve">Meade, S.J., E.A. Reid, and J.A. Gerrard, </w:t>
      </w:r>
      <w:r w:rsidRPr="00330CF1">
        <w:rPr>
          <w:rFonts w:ascii="Arial" w:hAnsi="Arial" w:cs="Arial"/>
          <w:i/>
          <w:noProof/>
        </w:rPr>
        <w:t>The impact of processing on the nutritional quality of food proteins.</w:t>
      </w:r>
      <w:r w:rsidRPr="00330CF1">
        <w:rPr>
          <w:rFonts w:ascii="Arial" w:hAnsi="Arial" w:cs="Arial"/>
          <w:noProof/>
        </w:rPr>
        <w:t xml:space="preserve"> Journal of Association of Official Analytical Chemists International, 2005. </w:t>
      </w:r>
      <w:r w:rsidRPr="00330CF1">
        <w:rPr>
          <w:rFonts w:ascii="Arial" w:hAnsi="Arial" w:cs="Arial"/>
          <w:b/>
          <w:noProof/>
        </w:rPr>
        <w:t>88</w:t>
      </w:r>
      <w:r w:rsidRPr="00330CF1">
        <w:rPr>
          <w:rFonts w:ascii="Arial" w:hAnsi="Arial" w:cs="Arial"/>
          <w:noProof/>
        </w:rPr>
        <w:t>(3): p. 904-922.</w:t>
      </w:r>
      <w:bookmarkEnd w:id="70"/>
    </w:p>
    <w:p w:rsidR="00330CF1" w:rsidRPr="00330CF1" w:rsidRDefault="00330CF1" w:rsidP="0009286C">
      <w:pPr>
        <w:ind w:left="720" w:hanging="720"/>
        <w:rPr>
          <w:rFonts w:ascii="Arial" w:hAnsi="Arial" w:cs="Arial"/>
          <w:noProof/>
        </w:rPr>
      </w:pPr>
      <w:bookmarkStart w:id="71" w:name="_ENREF_10"/>
      <w:r w:rsidRPr="00330CF1">
        <w:rPr>
          <w:rFonts w:ascii="Arial" w:hAnsi="Arial" w:cs="Arial"/>
          <w:noProof/>
        </w:rPr>
        <w:t>10.</w:t>
      </w:r>
      <w:r w:rsidRPr="00330CF1">
        <w:rPr>
          <w:rFonts w:ascii="Arial" w:hAnsi="Arial" w:cs="Arial"/>
          <w:noProof/>
        </w:rPr>
        <w:tab/>
        <w:t xml:space="preserve">Kim, S.W., Q.R. Rogers, and J.G. Morris, </w:t>
      </w:r>
      <w:r w:rsidRPr="00330CF1">
        <w:rPr>
          <w:rFonts w:ascii="Arial" w:hAnsi="Arial" w:cs="Arial"/>
          <w:i/>
          <w:noProof/>
        </w:rPr>
        <w:t>Maillard reaction products in purified diets induce taurine depletion in cats which is reversed by antibiotics.</w:t>
      </w:r>
      <w:r w:rsidRPr="00330CF1">
        <w:rPr>
          <w:rFonts w:ascii="Arial" w:hAnsi="Arial" w:cs="Arial"/>
          <w:noProof/>
        </w:rPr>
        <w:t xml:space="preserve"> Journal of Nutrition, 1996. </w:t>
      </w:r>
      <w:r w:rsidRPr="00330CF1">
        <w:rPr>
          <w:rFonts w:ascii="Arial" w:hAnsi="Arial" w:cs="Arial"/>
          <w:b/>
          <w:noProof/>
        </w:rPr>
        <w:t>126</w:t>
      </w:r>
      <w:r w:rsidRPr="00330CF1">
        <w:rPr>
          <w:rFonts w:ascii="Arial" w:hAnsi="Arial" w:cs="Arial"/>
          <w:noProof/>
        </w:rPr>
        <w:t>(1): p. 195-201.</w:t>
      </w:r>
      <w:bookmarkEnd w:id="71"/>
    </w:p>
    <w:p w:rsidR="00330CF1" w:rsidRPr="00330CF1" w:rsidRDefault="00330CF1" w:rsidP="0009286C">
      <w:pPr>
        <w:ind w:left="720" w:hanging="720"/>
        <w:rPr>
          <w:rFonts w:ascii="Arial" w:hAnsi="Arial" w:cs="Arial"/>
          <w:noProof/>
        </w:rPr>
      </w:pPr>
      <w:bookmarkStart w:id="72" w:name="_ENREF_11"/>
      <w:r w:rsidRPr="00330CF1">
        <w:rPr>
          <w:rFonts w:ascii="Arial" w:hAnsi="Arial" w:cs="Arial"/>
          <w:noProof/>
        </w:rPr>
        <w:t>11.</w:t>
      </w:r>
      <w:r w:rsidRPr="00330CF1">
        <w:rPr>
          <w:rFonts w:ascii="Arial" w:hAnsi="Arial" w:cs="Arial"/>
          <w:noProof/>
        </w:rPr>
        <w:tab/>
        <w:t xml:space="preserve">Morris, J.G., </w:t>
      </w:r>
      <w:r w:rsidRPr="00330CF1">
        <w:rPr>
          <w:rFonts w:ascii="Arial" w:hAnsi="Arial" w:cs="Arial"/>
          <w:i/>
          <w:noProof/>
        </w:rPr>
        <w:t>Idiosyncratic nutrient requirements of cats appear to be diet-induced evolutionary adaptations.</w:t>
      </w:r>
      <w:r w:rsidRPr="00330CF1">
        <w:rPr>
          <w:rFonts w:ascii="Arial" w:hAnsi="Arial" w:cs="Arial"/>
          <w:noProof/>
        </w:rPr>
        <w:t xml:space="preserve"> Nutrition Research Reviews, 2002. </w:t>
      </w:r>
      <w:r w:rsidRPr="00330CF1">
        <w:rPr>
          <w:rFonts w:ascii="Arial" w:hAnsi="Arial" w:cs="Arial"/>
          <w:b/>
          <w:noProof/>
        </w:rPr>
        <w:t>15</w:t>
      </w:r>
      <w:r w:rsidRPr="00330CF1">
        <w:rPr>
          <w:rFonts w:ascii="Arial" w:hAnsi="Arial" w:cs="Arial"/>
          <w:noProof/>
        </w:rPr>
        <w:t>(1): p. 153-168.</w:t>
      </w:r>
      <w:bookmarkEnd w:id="72"/>
    </w:p>
    <w:p w:rsidR="00330CF1" w:rsidRPr="00330CF1" w:rsidRDefault="00330CF1" w:rsidP="0009286C">
      <w:pPr>
        <w:ind w:left="720" w:hanging="720"/>
        <w:rPr>
          <w:rFonts w:ascii="Arial" w:hAnsi="Arial" w:cs="Arial"/>
          <w:noProof/>
        </w:rPr>
      </w:pPr>
      <w:bookmarkStart w:id="73" w:name="_ENREF_12"/>
      <w:r w:rsidRPr="00330CF1">
        <w:rPr>
          <w:rFonts w:ascii="Arial" w:hAnsi="Arial" w:cs="Arial"/>
          <w:noProof/>
        </w:rPr>
        <w:t>12.</w:t>
      </w:r>
      <w:r w:rsidRPr="00330CF1">
        <w:rPr>
          <w:rFonts w:ascii="Arial" w:hAnsi="Arial" w:cs="Arial"/>
          <w:noProof/>
        </w:rPr>
        <w:tab/>
        <w:t xml:space="preserve">National Research Council Ad Hoc Committee on Dog Cat Nutrition, </w:t>
      </w:r>
      <w:r w:rsidRPr="00330CF1">
        <w:rPr>
          <w:rFonts w:ascii="Arial" w:hAnsi="Arial" w:cs="Arial"/>
          <w:i/>
          <w:noProof/>
        </w:rPr>
        <w:t>Nutrient requirements of dogs and cats</w:t>
      </w:r>
      <w:r w:rsidRPr="00330CF1">
        <w:rPr>
          <w:rFonts w:ascii="Arial" w:hAnsi="Arial" w:cs="Arial"/>
          <w:noProof/>
        </w:rPr>
        <w:t xml:space="preserve"> 2006, Washington, D.C.: National Academies Press.</w:t>
      </w:r>
      <w:bookmarkEnd w:id="73"/>
    </w:p>
    <w:p w:rsidR="00330CF1" w:rsidRPr="00330CF1" w:rsidRDefault="00330CF1" w:rsidP="0009286C">
      <w:pPr>
        <w:ind w:left="720" w:hanging="720"/>
        <w:rPr>
          <w:rFonts w:ascii="Arial" w:hAnsi="Arial" w:cs="Arial"/>
          <w:noProof/>
        </w:rPr>
      </w:pPr>
      <w:bookmarkStart w:id="74" w:name="_ENREF_13"/>
      <w:r w:rsidRPr="00330CF1">
        <w:rPr>
          <w:rFonts w:ascii="Arial" w:hAnsi="Arial" w:cs="Arial"/>
          <w:noProof/>
        </w:rPr>
        <w:t>13.</w:t>
      </w:r>
      <w:r w:rsidRPr="00330CF1">
        <w:rPr>
          <w:rFonts w:ascii="Arial" w:hAnsi="Arial" w:cs="Arial"/>
          <w:noProof/>
        </w:rPr>
        <w:tab/>
        <w:t xml:space="preserve">Morris, J.G., </w:t>
      </w:r>
      <w:r w:rsidRPr="00330CF1">
        <w:rPr>
          <w:rFonts w:ascii="Arial" w:hAnsi="Arial" w:cs="Arial"/>
          <w:i/>
          <w:noProof/>
        </w:rPr>
        <w:t>Nutritional and Metabolic Responses to Arginine Deficiency in Carnivores.</w:t>
      </w:r>
      <w:r w:rsidRPr="00330CF1">
        <w:rPr>
          <w:rFonts w:ascii="Arial" w:hAnsi="Arial" w:cs="Arial"/>
          <w:noProof/>
        </w:rPr>
        <w:t xml:space="preserve"> Journal of Nutrition, 1985. </w:t>
      </w:r>
      <w:r w:rsidRPr="00330CF1">
        <w:rPr>
          <w:rFonts w:ascii="Arial" w:hAnsi="Arial" w:cs="Arial"/>
          <w:b/>
          <w:noProof/>
        </w:rPr>
        <w:t>115</w:t>
      </w:r>
      <w:r w:rsidRPr="00330CF1">
        <w:rPr>
          <w:rFonts w:ascii="Arial" w:hAnsi="Arial" w:cs="Arial"/>
          <w:noProof/>
        </w:rPr>
        <w:t>: p. 524-531.</w:t>
      </w:r>
      <w:bookmarkEnd w:id="74"/>
    </w:p>
    <w:p w:rsidR="00330CF1" w:rsidRPr="00330CF1" w:rsidRDefault="00330CF1" w:rsidP="0009286C">
      <w:pPr>
        <w:ind w:left="720" w:hanging="720"/>
        <w:rPr>
          <w:rFonts w:ascii="Arial" w:hAnsi="Arial" w:cs="Arial"/>
          <w:noProof/>
        </w:rPr>
      </w:pPr>
      <w:bookmarkStart w:id="75" w:name="_ENREF_14"/>
      <w:r w:rsidRPr="00330CF1">
        <w:rPr>
          <w:rFonts w:ascii="Arial" w:hAnsi="Arial" w:cs="Arial"/>
          <w:noProof/>
        </w:rPr>
        <w:t>14.</w:t>
      </w:r>
      <w:r w:rsidRPr="00330CF1">
        <w:rPr>
          <w:rFonts w:ascii="Arial" w:hAnsi="Arial" w:cs="Arial"/>
          <w:noProof/>
        </w:rPr>
        <w:tab/>
        <w:t xml:space="preserve">Rogers, Q.R. and J.G. Morris. </w:t>
      </w:r>
      <w:r w:rsidRPr="00330CF1">
        <w:rPr>
          <w:rFonts w:ascii="Arial" w:hAnsi="Arial" w:cs="Arial"/>
          <w:i/>
          <w:noProof/>
        </w:rPr>
        <w:t>Nutritional peculiarities of the cat</w:t>
      </w:r>
      <w:r w:rsidRPr="00330CF1">
        <w:rPr>
          <w:rFonts w:ascii="Arial" w:hAnsi="Arial" w:cs="Arial"/>
          <w:noProof/>
        </w:rPr>
        <w:t xml:space="preserve">. in </w:t>
      </w:r>
      <w:r w:rsidRPr="00330CF1">
        <w:rPr>
          <w:rFonts w:ascii="Arial" w:hAnsi="Arial" w:cs="Arial"/>
          <w:i/>
          <w:noProof/>
        </w:rPr>
        <w:t>Proceedings of the XVI World Congress, World Small Animal Veterinary Association (WSAVA) and VI National Congress</w:t>
      </w:r>
      <w:r w:rsidRPr="00330CF1">
        <w:rPr>
          <w:rFonts w:ascii="Arial" w:hAnsi="Arial" w:cs="Arial"/>
          <w:noProof/>
        </w:rPr>
        <w:t>. 1991. Vienna, Austria.</w:t>
      </w:r>
      <w:bookmarkEnd w:id="75"/>
    </w:p>
    <w:p w:rsidR="00330CF1" w:rsidRPr="00330CF1" w:rsidRDefault="00330CF1" w:rsidP="0009286C">
      <w:pPr>
        <w:ind w:left="720" w:hanging="720"/>
        <w:rPr>
          <w:rFonts w:ascii="Arial" w:hAnsi="Arial" w:cs="Arial"/>
          <w:noProof/>
        </w:rPr>
      </w:pPr>
      <w:bookmarkStart w:id="76" w:name="_ENREF_15"/>
      <w:r w:rsidRPr="00330CF1">
        <w:rPr>
          <w:rFonts w:ascii="Arial" w:hAnsi="Arial" w:cs="Arial"/>
          <w:noProof/>
        </w:rPr>
        <w:t>15.</w:t>
      </w:r>
      <w:r w:rsidRPr="00330CF1">
        <w:rPr>
          <w:rFonts w:ascii="Arial" w:hAnsi="Arial" w:cs="Arial"/>
          <w:noProof/>
        </w:rPr>
        <w:tab/>
        <w:t xml:space="preserve">Morris, J.G. and Q.R. Rogers, </w:t>
      </w:r>
      <w:r w:rsidRPr="00330CF1">
        <w:rPr>
          <w:rFonts w:ascii="Arial" w:hAnsi="Arial" w:cs="Arial"/>
          <w:i/>
          <w:noProof/>
        </w:rPr>
        <w:t>Arginine: An Essential Amino Acid for the Cat.</w:t>
      </w:r>
      <w:r w:rsidRPr="00330CF1">
        <w:rPr>
          <w:rFonts w:ascii="Arial" w:hAnsi="Arial" w:cs="Arial"/>
          <w:noProof/>
        </w:rPr>
        <w:t xml:space="preserve"> Journal of Nutrition, 1978. </w:t>
      </w:r>
      <w:r w:rsidRPr="00330CF1">
        <w:rPr>
          <w:rFonts w:ascii="Arial" w:hAnsi="Arial" w:cs="Arial"/>
          <w:b/>
          <w:noProof/>
        </w:rPr>
        <w:t>108</w:t>
      </w:r>
      <w:r w:rsidRPr="00330CF1">
        <w:rPr>
          <w:rFonts w:ascii="Arial" w:hAnsi="Arial" w:cs="Arial"/>
          <w:noProof/>
        </w:rPr>
        <w:t>: p. 1944-1953.</w:t>
      </w:r>
      <w:bookmarkEnd w:id="76"/>
    </w:p>
    <w:p w:rsidR="00330CF1" w:rsidRPr="00330CF1" w:rsidRDefault="00330CF1" w:rsidP="0009286C">
      <w:pPr>
        <w:ind w:left="720" w:hanging="720"/>
        <w:rPr>
          <w:rFonts w:ascii="Arial" w:hAnsi="Arial" w:cs="Arial"/>
          <w:noProof/>
        </w:rPr>
      </w:pPr>
      <w:bookmarkStart w:id="77" w:name="_ENREF_16"/>
      <w:r w:rsidRPr="00330CF1">
        <w:rPr>
          <w:rFonts w:ascii="Arial" w:hAnsi="Arial" w:cs="Arial"/>
          <w:noProof/>
        </w:rPr>
        <w:t>16.</w:t>
      </w:r>
      <w:r w:rsidRPr="00330CF1">
        <w:rPr>
          <w:rFonts w:ascii="Arial" w:hAnsi="Arial" w:cs="Arial"/>
          <w:noProof/>
        </w:rPr>
        <w:tab/>
        <w:t xml:space="preserve">Knopf, K., et al., </w:t>
      </w:r>
      <w:r w:rsidRPr="00330CF1">
        <w:rPr>
          <w:rFonts w:ascii="Arial" w:hAnsi="Arial" w:cs="Arial"/>
          <w:i/>
          <w:noProof/>
        </w:rPr>
        <w:t>Taurine - essential nutrient for the cat.</w:t>
      </w:r>
      <w:r w:rsidRPr="00330CF1">
        <w:rPr>
          <w:rFonts w:ascii="Arial" w:hAnsi="Arial" w:cs="Arial"/>
          <w:noProof/>
        </w:rPr>
        <w:t xml:space="preserve"> Journal of Nutrition, 1978. </w:t>
      </w:r>
      <w:r w:rsidRPr="00330CF1">
        <w:rPr>
          <w:rFonts w:ascii="Arial" w:hAnsi="Arial" w:cs="Arial"/>
          <w:b/>
          <w:noProof/>
        </w:rPr>
        <w:t>108</w:t>
      </w:r>
      <w:r w:rsidRPr="00330CF1">
        <w:rPr>
          <w:rFonts w:ascii="Arial" w:hAnsi="Arial" w:cs="Arial"/>
          <w:noProof/>
        </w:rPr>
        <w:t>(5): p. 773-778.</w:t>
      </w:r>
      <w:bookmarkEnd w:id="77"/>
    </w:p>
    <w:p w:rsidR="00330CF1" w:rsidRPr="00330CF1" w:rsidRDefault="00330CF1" w:rsidP="0009286C">
      <w:pPr>
        <w:ind w:left="720" w:hanging="720"/>
        <w:rPr>
          <w:rFonts w:ascii="Arial" w:hAnsi="Arial" w:cs="Arial"/>
          <w:noProof/>
        </w:rPr>
      </w:pPr>
      <w:bookmarkStart w:id="78" w:name="_ENREF_17"/>
      <w:r w:rsidRPr="00330CF1">
        <w:rPr>
          <w:rFonts w:ascii="Arial" w:hAnsi="Arial" w:cs="Arial"/>
          <w:noProof/>
        </w:rPr>
        <w:lastRenderedPageBreak/>
        <w:t>17.</w:t>
      </w:r>
      <w:r w:rsidRPr="00330CF1">
        <w:rPr>
          <w:rFonts w:ascii="Arial" w:hAnsi="Arial" w:cs="Arial"/>
          <w:noProof/>
        </w:rPr>
        <w:tab/>
        <w:t xml:space="preserve">Markwell, P.J. and K.E. Earle, </w:t>
      </w:r>
      <w:r w:rsidRPr="00330CF1">
        <w:rPr>
          <w:rFonts w:ascii="Arial" w:hAnsi="Arial" w:cs="Arial"/>
          <w:i/>
          <w:noProof/>
        </w:rPr>
        <w:t>Taurine - an essential nutrient for the cat - a brief revew of the biochemistry of its requirement and the clinical consequences of deficiency.</w:t>
      </w:r>
      <w:r w:rsidRPr="00330CF1">
        <w:rPr>
          <w:rFonts w:ascii="Arial" w:hAnsi="Arial" w:cs="Arial"/>
          <w:noProof/>
        </w:rPr>
        <w:t xml:space="preserve"> Nutrition Research, 1995. </w:t>
      </w:r>
      <w:r w:rsidRPr="00330CF1">
        <w:rPr>
          <w:rFonts w:ascii="Arial" w:hAnsi="Arial" w:cs="Arial"/>
          <w:b/>
          <w:noProof/>
        </w:rPr>
        <w:t>15</w:t>
      </w:r>
      <w:r w:rsidRPr="00330CF1">
        <w:rPr>
          <w:rFonts w:ascii="Arial" w:hAnsi="Arial" w:cs="Arial"/>
          <w:noProof/>
        </w:rPr>
        <w:t>(1): p. 53-58.</w:t>
      </w:r>
      <w:bookmarkEnd w:id="78"/>
    </w:p>
    <w:p w:rsidR="00330CF1" w:rsidRPr="00330CF1" w:rsidRDefault="00330CF1" w:rsidP="0009286C">
      <w:pPr>
        <w:ind w:left="720" w:hanging="720"/>
        <w:rPr>
          <w:rFonts w:ascii="Arial" w:hAnsi="Arial" w:cs="Arial"/>
          <w:noProof/>
        </w:rPr>
      </w:pPr>
      <w:bookmarkStart w:id="79" w:name="_ENREF_18"/>
      <w:r w:rsidRPr="00330CF1">
        <w:rPr>
          <w:rFonts w:ascii="Arial" w:hAnsi="Arial" w:cs="Arial"/>
          <w:noProof/>
        </w:rPr>
        <w:t>18.</w:t>
      </w:r>
      <w:r w:rsidRPr="00330CF1">
        <w:rPr>
          <w:rFonts w:ascii="Arial" w:hAnsi="Arial" w:cs="Arial"/>
          <w:noProof/>
        </w:rPr>
        <w:tab/>
        <w:t xml:space="preserve">Huxtable, R.J., </w:t>
      </w:r>
      <w:r w:rsidRPr="00330CF1">
        <w:rPr>
          <w:rFonts w:ascii="Arial" w:hAnsi="Arial" w:cs="Arial"/>
          <w:i/>
          <w:noProof/>
        </w:rPr>
        <w:t>Physiological actions of taurine.</w:t>
      </w:r>
      <w:r w:rsidRPr="00330CF1">
        <w:rPr>
          <w:rFonts w:ascii="Arial" w:hAnsi="Arial" w:cs="Arial"/>
          <w:noProof/>
        </w:rPr>
        <w:t xml:space="preserve"> Physiological Reviews, 1992. </w:t>
      </w:r>
      <w:r w:rsidRPr="00330CF1">
        <w:rPr>
          <w:rFonts w:ascii="Arial" w:hAnsi="Arial" w:cs="Arial"/>
          <w:b/>
          <w:noProof/>
        </w:rPr>
        <w:t>72</w:t>
      </w:r>
      <w:r w:rsidRPr="00330CF1">
        <w:rPr>
          <w:rFonts w:ascii="Arial" w:hAnsi="Arial" w:cs="Arial"/>
          <w:noProof/>
        </w:rPr>
        <w:t>(1): p. 101-163.</w:t>
      </w:r>
      <w:bookmarkEnd w:id="79"/>
    </w:p>
    <w:p w:rsidR="00330CF1" w:rsidRPr="00330CF1" w:rsidRDefault="00330CF1" w:rsidP="0009286C">
      <w:pPr>
        <w:ind w:left="720" w:hanging="720"/>
        <w:rPr>
          <w:rFonts w:ascii="Arial" w:hAnsi="Arial" w:cs="Arial"/>
          <w:noProof/>
        </w:rPr>
      </w:pPr>
      <w:bookmarkStart w:id="80" w:name="_ENREF_19"/>
      <w:r w:rsidRPr="00330CF1">
        <w:rPr>
          <w:rFonts w:ascii="Arial" w:hAnsi="Arial" w:cs="Arial"/>
          <w:noProof/>
        </w:rPr>
        <w:t>19.</w:t>
      </w:r>
      <w:r w:rsidRPr="00330CF1">
        <w:rPr>
          <w:rFonts w:ascii="Arial" w:hAnsi="Arial" w:cs="Arial"/>
          <w:noProof/>
        </w:rPr>
        <w:tab/>
        <w:t xml:space="preserve">Sturman, J.A., </w:t>
      </w:r>
      <w:r w:rsidRPr="00330CF1">
        <w:rPr>
          <w:rFonts w:ascii="Arial" w:hAnsi="Arial" w:cs="Arial"/>
          <w:i/>
          <w:noProof/>
        </w:rPr>
        <w:t>Taurine in development.</w:t>
      </w:r>
      <w:r w:rsidRPr="00330CF1">
        <w:rPr>
          <w:rFonts w:ascii="Arial" w:hAnsi="Arial" w:cs="Arial"/>
          <w:noProof/>
        </w:rPr>
        <w:t xml:space="preserve"> Physiological Reviews, 1993. </w:t>
      </w:r>
      <w:r w:rsidRPr="00330CF1">
        <w:rPr>
          <w:rFonts w:ascii="Arial" w:hAnsi="Arial" w:cs="Arial"/>
          <w:b/>
          <w:noProof/>
        </w:rPr>
        <w:t>73</w:t>
      </w:r>
      <w:r w:rsidRPr="00330CF1">
        <w:rPr>
          <w:rFonts w:ascii="Arial" w:hAnsi="Arial" w:cs="Arial"/>
          <w:noProof/>
        </w:rPr>
        <w:t>(1): p. 119-147.</w:t>
      </w:r>
      <w:bookmarkEnd w:id="80"/>
    </w:p>
    <w:p w:rsidR="00330CF1" w:rsidRPr="00330CF1" w:rsidRDefault="00330CF1" w:rsidP="0009286C">
      <w:pPr>
        <w:ind w:left="720" w:hanging="720"/>
        <w:rPr>
          <w:rFonts w:ascii="Arial" w:hAnsi="Arial" w:cs="Arial"/>
          <w:noProof/>
        </w:rPr>
      </w:pPr>
      <w:bookmarkStart w:id="81" w:name="_ENREF_20"/>
      <w:r w:rsidRPr="00330CF1">
        <w:rPr>
          <w:rFonts w:ascii="Arial" w:hAnsi="Arial" w:cs="Arial"/>
          <w:noProof/>
        </w:rPr>
        <w:t>20.</w:t>
      </w:r>
      <w:r w:rsidRPr="00330CF1">
        <w:rPr>
          <w:rFonts w:ascii="Arial" w:hAnsi="Arial" w:cs="Arial"/>
          <w:noProof/>
        </w:rPr>
        <w:tab/>
        <w:t xml:space="preserve">Taylor, T.P., </w:t>
      </w:r>
      <w:r w:rsidRPr="00330CF1">
        <w:rPr>
          <w:rFonts w:ascii="Arial" w:hAnsi="Arial" w:cs="Arial"/>
          <w:i/>
          <w:noProof/>
        </w:rPr>
        <w:t xml:space="preserve">Optimizing the pattern of essential amino acids as the sole source of nitrogen supports near-maximal growth in kittens </w:t>
      </w:r>
      <w:r w:rsidRPr="00330CF1">
        <w:rPr>
          <w:rFonts w:ascii="Arial" w:hAnsi="Arial" w:cs="Arial"/>
          <w:noProof/>
        </w:rPr>
        <w:t>1995, M.S. Thesis, University of California, Davis.</w:t>
      </w:r>
      <w:bookmarkEnd w:id="81"/>
    </w:p>
    <w:p w:rsidR="00330CF1" w:rsidRPr="00330CF1" w:rsidRDefault="00330CF1" w:rsidP="0009286C">
      <w:pPr>
        <w:ind w:left="720" w:hanging="720"/>
        <w:rPr>
          <w:rFonts w:ascii="Arial" w:hAnsi="Arial" w:cs="Arial"/>
          <w:noProof/>
        </w:rPr>
      </w:pPr>
      <w:bookmarkStart w:id="82" w:name="_ENREF_21"/>
      <w:r w:rsidRPr="00330CF1">
        <w:rPr>
          <w:rFonts w:ascii="Arial" w:hAnsi="Arial" w:cs="Arial"/>
          <w:noProof/>
        </w:rPr>
        <w:t>21.</w:t>
      </w:r>
      <w:r w:rsidRPr="00330CF1">
        <w:rPr>
          <w:rFonts w:ascii="Arial" w:hAnsi="Arial" w:cs="Arial"/>
          <w:noProof/>
        </w:rPr>
        <w:tab/>
        <w:t xml:space="preserve">Maede, Y., et al., </w:t>
      </w:r>
      <w:r w:rsidRPr="00330CF1">
        <w:rPr>
          <w:rFonts w:ascii="Arial" w:hAnsi="Arial" w:cs="Arial"/>
          <w:i/>
          <w:noProof/>
        </w:rPr>
        <w:t>Methionine toxicosis in cats.</w:t>
      </w:r>
      <w:r w:rsidRPr="00330CF1">
        <w:rPr>
          <w:rFonts w:ascii="Arial" w:hAnsi="Arial" w:cs="Arial"/>
          <w:noProof/>
        </w:rPr>
        <w:t xml:space="preserve"> American Journal of Veterinary Research, 1987. </w:t>
      </w:r>
      <w:r w:rsidRPr="00330CF1">
        <w:rPr>
          <w:rFonts w:ascii="Arial" w:hAnsi="Arial" w:cs="Arial"/>
          <w:b/>
          <w:noProof/>
        </w:rPr>
        <w:t>48</w:t>
      </w:r>
      <w:r w:rsidRPr="00330CF1">
        <w:rPr>
          <w:rFonts w:ascii="Arial" w:hAnsi="Arial" w:cs="Arial"/>
          <w:noProof/>
        </w:rPr>
        <w:t>(2): p. 289-292.</w:t>
      </w:r>
      <w:bookmarkEnd w:id="82"/>
    </w:p>
    <w:p w:rsidR="00330CF1" w:rsidRPr="00330CF1" w:rsidRDefault="00330CF1" w:rsidP="0009286C">
      <w:pPr>
        <w:ind w:left="720" w:hanging="720"/>
        <w:rPr>
          <w:rFonts w:ascii="Arial" w:hAnsi="Arial" w:cs="Arial"/>
          <w:noProof/>
        </w:rPr>
      </w:pPr>
      <w:bookmarkStart w:id="83" w:name="_ENREF_22"/>
      <w:r w:rsidRPr="00330CF1">
        <w:rPr>
          <w:rFonts w:ascii="Arial" w:hAnsi="Arial" w:cs="Arial"/>
          <w:noProof/>
        </w:rPr>
        <w:t>22.</w:t>
      </w:r>
      <w:r w:rsidRPr="00330CF1">
        <w:rPr>
          <w:rFonts w:ascii="Arial" w:hAnsi="Arial" w:cs="Arial"/>
          <w:noProof/>
        </w:rPr>
        <w:tab/>
        <w:t xml:space="preserve">Fau, D., et al., </w:t>
      </w:r>
      <w:r w:rsidRPr="00330CF1">
        <w:rPr>
          <w:rFonts w:ascii="Arial" w:hAnsi="Arial" w:cs="Arial"/>
          <w:i/>
          <w:noProof/>
        </w:rPr>
        <w:t>Effect of excess dietary methionine on weight gain and plasma amino acids in kittens.</w:t>
      </w:r>
      <w:r w:rsidRPr="00330CF1">
        <w:rPr>
          <w:rFonts w:ascii="Arial" w:hAnsi="Arial" w:cs="Arial"/>
          <w:noProof/>
        </w:rPr>
        <w:t xml:space="preserve"> Journal of Nutrition, 1987. </w:t>
      </w:r>
      <w:r w:rsidRPr="00330CF1">
        <w:rPr>
          <w:rFonts w:ascii="Arial" w:hAnsi="Arial" w:cs="Arial"/>
          <w:b/>
          <w:noProof/>
        </w:rPr>
        <w:t>117</w:t>
      </w:r>
      <w:r w:rsidRPr="00330CF1">
        <w:rPr>
          <w:rFonts w:ascii="Arial" w:hAnsi="Arial" w:cs="Arial"/>
          <w:noProof/>
        </w:rPr>
        <w:t>(11): p. 1838-1843.</w:t>
      </w:r>
      <w:bookmarkEnd w:id="83"/>
    </w:p>
    <w:p w:rsidR="00330CF1" w:rsidRPr="00330CF1" w:rsidRDefault="00330CF1" w:rsidP="0009286C">
      <w:pPr>
        <w:ind w:left="720" w:hanging="720"/>
        <w:rPr>
          <w:rFonts w:ascii="Arial" w:hAnsi="Arial" w:cs="Arial"/>
          <w:noProof/>
        </w:rPr>
      </w:pPr>
      <w:bookmarkStart w:id="84" w:name="_ENREF_23"/>
      <w:r w:rsidRPr="00330CF1">
        <w:rPr>
          <w:rFonts w:ascii="Arial" w:hAnsi="Arial" w:cs="Arial"/>
          <w:noProof/>
        </w:rPr>
        <w:t>23.</w:t>
      </w:r>
      <w:r w:rsidRPr="00330CF1">
        <w:rPr>
          <w:rFonts w:ascii="Arial" w:hAnsi="Arial" w:cs="Arial"/>
          <w:noProof/>
        </w:rPr>
        <w:tab/>
        <w:t xml:space="preserve">Fau, D., J.G. Morris, and Q.R. Rogers, </w:t>
      </w:r>
      <w:r w:rsidRPr="00330CF1">
        <w:rPr>
          <w:rFonts w:ascii="Arial" w:hAnsi="Arial" w:cs="Arial"/>
          <w:i/>
          <w:noProof/>
        </w:rPr>
        <w:t>Effects of high dietary methionine on activities of selected enzymes in the liver of kittens (Felis domesticus).</w:t>
      </w:r>
      <w:r w:rsidRPr="00330CF1">
        <w:rPr>
          <w:rFonts w:ascii="Arial" w:hAnsi="Arial" w:cs="Arial"/>
          <w:noProof/>
        </w:rPr>
        <w:t xml:space="preserve"> Comparative Biochemistry and Physiology, B (Comparative Biochemistry), 1987. </w:t>
      </w:r>
      <w:r w:rsidRPr="00330CF1">
        <w:rPr>
          <w:rFonts w:ascii="Arial" w:hAnsi="Arial" w:cs="Arial"/>
          <w:b/>
          <w:noProof/>
        </w:rPr>
        <w:t>88</w:t>
      </w:r>
      <w:r w:rsidRPr="00330CF1">
        <w:rPr>
          <w:rFonts w:ascii="Arial" w:hAnsi="Arial" w:cs="Arial"/>
          <w:noProof/>
        </w:rPr>
        <w:t>(2): p. 551-555.</w:t>
      </w:r>
      <w:bookmarkEnd w:id="84"/>
    </w:p>
    <w:p w:rsidR="00330CF1" w:rsidRPr="00330CF1" w:rsidRDefault="00330CF1" w:rsidP="0009286C">
      <w:pPr>
        <w:ind w:left="720" w:hanging="720"/>
        <w:rPr>
          <w:rFonts w:ascii="Arial" w:hAnsi="Arial" w:cs="Arial"/>
          <w:noProof/>
        </w:rPr>
      </w:pPr>
      <w:bookmarkStart w:id="85" w:name="_ENREF_24"/>
      <w:r w:rsidRPr="00330CF1">
        <w:rPr>
          <w:rFonts w:ascii="Arial" w:hAnsi="Arial" w:cs="Arial"/>
          <w:noProof/>
        </w:rPr>
        <w:t>24.</w:t>
      </w:r>
      <w:r w:rsidRPr="00330CF1">
        <w:rPr>
          <w:rFonts w:ascii="Arial" w:hAnsi="Arial" w:cs="Arial"/>
          <w:noProof/>
        </w:rPr>
        <w:tab/>
        <w:t xml:space="preserve">Benevenga, N.J. and R.D. Steele, </w:t>
      </w:r>
      <w:r w:rsidRPr="00330CF1">
        <w:rPr>
          <w:rFonts w:ascii="Arial" w:hAnsi="Arial" w:cs="Arial"/>
          <w:i/>
          <w:noProof/>
        </w:rPr>
        <w:t>Adverse-Effects of Excessive Consumption of Amino-Acids.</w:t>
      </w:r>
      <w:r w:rsidRPr="00330CF1">
        <w:rPr>
          <w:rFonts w:ascii="Arial" w:hAnsi="Arial" w:cs="Arial"/>
          <w:noProof/>
        </w:rPr>
        <w:t xml:space="preserve"> Annual Review of Nutrition, 1984. </w:t>
      </w:r>
      <w:r w:rsidRPr="00330CF1">
        <w:rPr>
          <w:rFonts w:ascii="Arial" w:hAnsi="Arial" w:cs="Arial"/>
          <w:b/>
          <w:noProof/>
        </w:rPr>
        <w:t>4</w:t>
      </w:r>
      <w:r w:rsidRPr="00330CF1">
        <w:rPr>
          <w:rFonts w:ascii="Arial" w:hAnsi="Arial" w:cs="Arial"/>
          <w:noProof/>
        </w:rPr>
        <w:t>: p. 157-181.</w:t>
      </w:r>
      <w:bookmarkEnd w:id="85"/>
    </w:p>
    <w:p w:rsidR="00330CF1" w:rsidRPr="00330CF1" w:rsidRDefault="00330CF1" w:rsidP="0009286C">
      <w:pPr>
        <w:ind w:left="720" w:hanging="720"/>
        <w:rPr>
          <w:rFonts w:ascii="Arial" w:hAnsi="Arial" w:cs="Arial"/>
          <w:noProof/>
        </w:rPr>
      </w:pPr>
      <w:bookmarkStart w:id="86" w:name="_ENREF_25"/>
      <w:r w:rsidRPr="00330CF1">
        <w:rPr>
          <w:rFonts w:ascii="Arial" w:hAnsi="Arial" w:cs="Arial"/>
          <w:noProof/>
        </w:rPr>
        <w:t>25.</w:t>
      </w:r>
      <w:r w:rsidRPr="00330CF1">
        <w:rPr>
          <w:rFonts w:ascii="Arial" w:hAnsi="Arial" w:cs="Arial"/>
          <w:noProof/>
        </w:rPr>
        <w:tab/>
        <w:t xml:space="preserve">Association of American Feed Control Officials, </w:t>
      </w:r>
      <w:r w:rsidRPr="00330CF1">
        <w:rPr>
          <w:rFonts w:ascii="Arial" w:hAnsi="Arial" w:cs="Arial"/>
          <w:i/>
          <w:noProof/>
        </w:rPr>
        <w:t>2011 Official publication of Association of American Feed Control Officials Incorporated</w:t>
      </w:r>
      <w:r w:rsidRPr="00330CF1">
        <w:rPr>
          <w:rFonts w:ascii="Arial" w:hAnsi="Arial" w:cs="Arial"/>
          <w:noProof/>
        </w:rPr>
        <w:t xml:space="preserve"> 2011, Oxford, IN: AAFCO.</w:t>
      </w:r>
      <w:bookmarkEnd w:id="86"/>
    </w:p>
    <w:p w:rsidR="00330CF1" w:rsidRPr="00330CF1" w:rsidRDefault="00330CF1" w:rsidP="0009286C">
      <w:pPr>
        <w:ind w:left="720" w:hanging="720"/>
        <w:rPr>
          <w:rFonts w:ascii="Arial" w:hAnsi="Arial" w:cs="Arial"/>
          <w:noProof/>
        </w:rPr>
      </w:pPr>
      <w:bookmarkStart w:id="87" w:name="_ENREF_26"/>
      <w:r w:rsidRPr="00330CF1">
        <w:rPr>
          <w:rFonts w:ascii="Arial" w:hAnsi="Arial" w:cs="Arial"/>
          <w:noProof/>
        </w:rPr>
        <w:t>26.</w:t>
      </w:r>
      <w:r w:rsidRPr="00330CF1">
        <w:rPr>
          <w:rFonts w:ascii="Arial" w:hAnsi="Arial" w:cs="Arial"/>
          <w:noProof/>
        </w:rPr>
        <w:tab/>
        <w:t xml:space="preserve">Taylor, T.P., et al., </w:t>
      </w:r>
      <w:r w:rsidRPr="00330CF1">
        <w:rPr>
          <w:rFonts w:ascii="Arial" w:hAnsi="Arial" w:cs="Arial"/>
          <w:i/>
          <w:noProof/>
        </w:rPr>
        <w:t>Maximal growth occurs at a broad range of essential amino acids to total nitrogen ratios in kittens.</w:t>
      </w:r>
      <w:r w:rsidRPr="00330CF1">
        <w:rPr>
          <w:rFonts w:ascii="Arial" w:hAnsi="Arial" w:cs="Arial"/>
          <w:noProof/>
        </w:rPr>
        <w:t xml:space="preserve"> Amino Acids, 1998. </w:t>
      </w:r>
      <w:r w:rsidRPr="00330CF1">
        <w:rPr>
          <w:rFonts w:ascii="Arial" w:hAnsi="Arial" w:cs="Arial"/>
          <w:b/>
          <w:noProof/>
        </w:rPr>
        <w:t>15</w:t>
      </w:r>
      <w:r w:rsidRPr="00330CF1">
        <w:rPr>
          <w:rFonts w:ascii="Arial" w:hAnsi="Arial" w:cs="Arial"/>
          <w:noProof/>
        </w:rPr>
        <w:t>(3): p. 221-234.</w:t>
      </w:r>
      <w:bookmarkEnd w:id="87"/>
    </w:p>
    <w:p w:rsidR="00330CF1" w:rsidRPr="00330CF1" w:rsidRDefault="00330CF1" w:rsidP="0009286C">
      <w:pPr>
        <w:ind w:left="720" w:hanging="720"/>
        <w:rPr>
          <w:rFonts w:ascii="Arial" w:hAnsi="Arial" w:cs="Arial"/>
          <w:noProof/>
        </w:rPr>
      </w:pPr>
      <w:bookmarkStart w:id="88" w:name="_ENREF_27"/>
      <w:r w:rsidRPr="00330CF1">
        <w:rPr>
          <w:rFonts w:ascii="Arial" w:hAnsi="Arial" w:cs="Arial"/>
          <w:noProof/>
        </w:rPr>
        <w:t>27.</w:t>
      </w:r>
      <w:r w:rsidRPr="00330CF1">
        <w:rPr>
          <w:rFonts w:ascii="Arial" w:hAnsi="Arial" w:cs="Arial"/>
          <w:noProof/>
        </w:rPr>
        <w:tab/>
        <w:t xml:space="preserve">Rogers, Q.R., T.P. Taylor, and J.G. Morris, </w:t>
      </w:r>
      <w:r w:rsidRPr="00330CF1">
        <w:rPr>
          <w:rFonts w:ascii="Arial" w:hAnsi="Arial" w:cs="Arial"/>
          <w:i/>
          <w:noProof/>
        </w:rPr>
        <w:t>Optimizing dietary amino acid patterns at various levels of crude protein for cats.</w:t>
      </w:r>
      <w:r w:rsidRPr="00330CF1">
        <w:rPr>
          <w:rFonts w:ascii="Arial" w:hAnsi="Arial" w:cs="Arial"/>
          <w:noProof/>
        </w:rPr>
        <w:t xml:space="preserve"> Journal of Nutrition, 1998. </w:t>
      </w:r>
      <w:r w:rsidRPr="00330CF1">
        <w:rPr>
          <w:rFonts w:ascii="Arial" w:hAnsi="Arial" w:cs="Arial"/>
          <w:b/>
          <w:noProof/>
        </w:rPr>
        <w:t>128</w:t>
      </w:r>
      <w:r w:rsidRPr="00330CF1">
        <w:rPr>
          <w:rFonts w:ascii="Arial" w:hAnsi="Arial" w:cs="Arial"/>
          <w:noProof/>
        </w:rPr>
        <w:t>(12): p. 2577S-2580S.</w:t>
      </w:r>
      <w:bookmarkEnd w:id="88"/>
    </w:p>
    <w:p w:rsidR="00330CF1" w:rsidRPr="00330CF1" w:rsidRDefault="00330CF1" w:rsidP="0009286C">
      <w:pPr>
        <w:ind w:left="720" w:hanging="720"/>
        <w:rPr>
          <w:rFonts w:ascii="Arial" w:hAnsi="Arial" w:cs="Arial"/>
          <w:noProof/>
        </w:rPr>
      </w:pPr>
      <w:bookmarkStart w:id="89" w:name="_ENREF_28"/>
      <w:r w:rsidRPr="00330CF1">
        <w:rPr>
          <w:rFonts w:ascii="Arial" w:hAnsi="Arial" w:cs="Arial"/>
          <w:noProof/>
        </w:rPr>
        <w:t>28.</w:t>
      </w:r>
      <w:r w:rsidRPr="00330CF1">
        <w:rPr>
          <w:rFonts w:ascii="Arial" w:hAnsi="Arial" w:cs="Arial"/>
          <w:noProof/>
        </w:rPr>
        <w:tab/>
        <w:t xml:space="preserve">Spector, A.A., </w:t>
      </w:r>
      <w:r w:rsidRPr="00330CF1">
        <w:rPr>
          <w:rFonts w:ascii="Arial" w:hAnsi="Arial" w:cs="Arial"/>
          <w:i/>
          <w:noProof/>
        </w:rPr>
        <w:t>Essential Fatty Acids</w:t>
      </w:r>
      <w:r w:rsidRPr="00330CF1">
        <w:rPr>
          <w:rFonts w:ascii="Arial" w:hAnsi="Arial" w:cs="Arial"/>
          <w:noProof/>
        </w:rPr>
        <w:t xml:space="preserve">, in </w:t>
      </w:r>
      <w:r w:rsidRPr="00330CF1">
        <w:rPr>
          <w:rFonts w:ascii="Arial" w:hAnsi="Arial" w:cs="Arial"/>
          <w:i/>
          <w:noProof/>
        </w:rPr>
        <w:t>Biochemical, Physiological, and Molecular Aspects of Human Nutrition</w:t>
      </w:r>
      <w:r w:rsidRPr="00330CF1">
        <w:rPr>
          <w:rFonts w:ascii="Arial" w:hAnsi="Arial" w:cs="Arial"/>
          <w:noProof/>
        </w:rPr>
        <w:t>, M.H. Stipanuk, Editor 2006, St. Louis : Saunders Elsevier: St. Louis, MO. p. 518-540.</w:t>
      </w:r>
      <w:bookmarkEnd w:id="89"/>
    </w:p>
    <w:p w:rsidR="00330CF1" w:rsidRPr="00330CF1" w:rsidRDefault="00330CF1" w:rsidP="0009286C">
      <w:pPr>
        <w:ind w:left="720" w:hanging="720"/>
        <w:rPr>
          <w:rFonts w:ascii="Arial" w:hAnsi="Arial" w:cs="Arial"/>
          <w:noProof/>
        </w:rPr>
      </w:pPr>
      <w:bookmarkStart w:id="90" w:name="_ENREF_29"/>
      <w:r w:rsidRPr="00330CF1">
        <w:rPr>
          <w:rFonts w:ascii="Arial" w:hAnsi="Arial" w:cs="Arial"/>
          <w:noProof/>
        </w:rPr>
        <w:t>29.</w:t>
      </w:r>
      <w:r w:rsidRPr="00330CF1">
        <w:rPr>
          <w:rFonts w:ascii="Arial" w:hAnsi="Arial" w:cs="Arial"/>
          <w:noProof/>
        </w:rPr>
        <w:tab/>
        <w:t xml:space="preserve">Bauer, J.E., </w:t>
      </w:r>
      <w:r w:rsidRPr="00330CF1">
        <w:rPr>
          <w:rFonts w:ascii="Arial" w:hAnsi="Arial" w:cs="Arial"/>
          <w:i/>
          <w:noProof/>
        </w:rPr>
        <w:t>Metabolic basis for the essential nature of fatty acids and the unique dietary fatty acid requirements of cats.</w:t>
      </w:r>
      <w:r w:rsidRPr="00330CF1">
        <w:rPr>
          <w:rFonts w:ascii="Arial" w:hAnsi="Arial" w:cs="Arial"/>
          <w:noProof/>
        </w:rPr>
        <w:t xml:space="preserve"> Javma-Journal of the American Veterinary Medical Association, 2006. </w:t>
      </w:r>
      <w:r w:rsidRPr="00330CF1">
        <w:rPr>
          <w:rFonts w:ascii="Arial" w:hAnsi="Arial" w:cs="Arial"/>
          <w:b/>
          <w:noProof/>
        </w:rPr>
        <w:t>229</w:t>
      </w:r>
      <w:r w:rsidRPr="00330CF1">
        <w:rPr>
          <w:rFonts w:ascii="Arial" w:hAnsi="Arial" w:cs="Arial"/>
          <w:noProof/>
        </w:rPr>
        <w:t>(11): p. 1729-1732.</w:t>
      </w:r>
      <w:bookmarkEnd w:id="90"/>
    </w:p>
    <w:p w:rsidR="00330CF1" w:rsidRPr="00330CF1" w:rsidRDefault="00330CF1" w:rsidP="0009286C">
      <w:pPr>
        <w:ind w:left="720" w:hanging="720"/>
        <w:rPr>
          <w:rFonts w:ascii="Arial" w:hAnsi="Arial" w:cs="Arial"/>
          <w:noProof/>
        </w:rPr>
      </w:pPr>
      <w:bookmarkStart w:id="91" w:name="_ENREF_30"/>
      <w:r w:rsidRPr="00330CF1">
        <w:rPr>
          <w:rFonts w:ascii="Arial" w:hAnsi="Arial" w:cs="Arial"/>
          <w:noProof/>
        </w:rPr>
        <w:t>30.</w:t>
      </w:r>
      <w:r w:rsidRPr="00330CF1">
        <w:rPr>
          <w:rFonts w:ascii="Arial" w:hAnsi="Arial" w:cs="Arial"/>
          <w:noProof/>
        </w:rPr>
        <w:tab/>
        <w:t xml:space="preserve">Rivers, J.P.W., A.J. Sinclair, and M.A. Crawford, </w:t>
      </w:r>
      <w:r w:rsidRPr="00330CF1">
        <w:rPr>
          <w:rFonts w:ascii="Arial" w:hAnsi="Arial" w:cs="Arial"/>
          <w:i/>
          <w:noProof/>
        </w:rPr>
        <w:t>Inability of the cat to desaturate essential fatty-acids.</w:t>
      </w:r>
      <w:r w:rsidRPr="00330CF1">
        <w:rPr>
          <w:rFonts w:ascii="Arial" w:hAnsi="Arial" w:cs="Arial"/>
          <w:noProof/>
        </w:rPr>
        <w:t xml:space="preserve"> Nature, 1975. </w:t>
      </w:r>
      <w:r w:rsidRPr="00330CF1">
        <w:rPr>
          <w:rFonts w:ascii="Arial" w:hAnsi="Arial" w:cs="Arial"/>
          <w:b/>
          <w:noProof/>
        </w:rPr>
        <w:t>258</w:t>
      </w:r>
      <w:r w:rsidRPr="00330CF1">
        <w:rPr>
          <w:rFonts w:ascii="Arial" w:hAnsi="Arial" w:cs="Arial"/>
          <w:noProof/>
        </w:rPr>
        <w:t>(5531): p. 171-173.</w:t>
      </w:r>
      <w:bookmarkEnd w:id="91"/>
    </w:p>
    <w:p w:rsidR="00330CF1" w:rsidRPr="00330CF1" w:rsidRDefault="00330CF1" w:rsidP="0009286C">
      <w:pPr>
        <w:ind w:left="720" w:hanging="720"/>
        <w:rPr>
          <w:rFonts w:ascii="Arial" w:hAnsi="Arial" w:cs="Arial"/>
          <w:noProof/>
        </w:rPr>
      </w:pPr>
      <w:bookmarkStart w:id="92" w:name="_ENREF_31"/>
      <w:r w:rsidRPr="00330CF1">
        <w:rPr>
          <w:rFonts w:ascii="Arial" w:hAnsi="Arial" w:cs="Arial"/>
          <w:noProof/>
        </w:rPr>
        <w:t>31.</w:t>
      </w:r>
      <w:r w:rsidRPr="00330CF1">
        <w:rPr>
          <w:rFonts w:ascii="Arial" w:hAnsi="Arial" w:cs="Arial"/>
          <w:noProof/>
        </w:rPr>
        <w:tab/>
        <w:t xml:space="preserve">Macdonald, M.L., et al., </w:t>
      </w:r>
      <w:r w:rsidRPr="00330CF1">
        <w:rPr>
          <w:rFonts w:ascii="Arial" w:hAnsi="Arial" w:cs="Arial"/>
          <w:i/>
          <w:noProof/>
        </w:rPr>
        <w:t>Effects of linoleate and arachidonate deficiencies on reproduction and spermatogenesis in the cat. .</w:t>
      </w:r>
      <w:r w:rsidRPr="00330CF1">
        <w:rPr>
          <w:rFonts w:ascii="Arial" w:hAnsi="Arial" w:cs="Arial"/>
          <w:noProof/>
        </w:rPr>
        <w:t xml:space="preserve"> Journal of Nutrition, 1984. </w:t>
      </w:r>
      <w:r w:rsidRPr="00330CF1">
        <w:rPr>
          <w:rFonts w:ascii="Arial" w:hAnsi="Arial" w:cs="Arial"/>
          <w:b/>
          <w:noProof/>
        </w:rPr>
        <w:t>114</w:t>
      </w:r>
      <w:r w:rsidRPr="00330CF1">
        <w:rPr>
          <w:rFonts w:ascii="Arial" w:hAnsi="Arial" w:cs="Arial"/>
          <w:noProof/>
        </w:rPr>
        <w:t>(4): p. 719-726.</w:t>
      </w:r>
      <w:bookmarkEnd w:id="92"/>
    </w:p>
    <w:p w:rsidR="00330CF1" w:rsidRPr="00330CF1" w:rsidRDefault="00330CF1" w:rsidP="0009286C">
      <w:pPr>
        <w:ind w:left="720" w:hanging="720"/>
        <w:rPr>
          <w:rFonts w:ascii="Arial" w:hAnsi="Arial" w:cs="Arial"/>
          <w:noProof/>
        </w:rPr>
      </w:pPr>
      <w:bookmarkStart w:id="93" w:name="_ENREF_32"/>
      <w:r w:rsidRPr="00330CF1">
        <w:rPr>
          <w:rFonts w:ascii="Arial" w:hAnsi="Arial" w:cs="Arial"/>
          <w:noProof/>
        </w:rPr>
        <w:t>32.</w:t>
      </w:r>
      <w:r w:rsidRPr="00330CF1">
        <w:rPr>
          <w:rFonts w:ascii="Arial" w:hAnsi="Arial" w:cs="Arial"/>
          <w:noProof/>
        </w:rPr>
        <w:tab/>
        <w:t xml:space="preserve">Villablanca, J.R. and C.E. Olmstead, </w:t>
      </w:r>
      <w:r w:rsidRPr="00330CF1">
        <w:rPr>
          <w:rFonts w:ascii="Arial" w:hAnsi="Arial" w:cs="Arial"/>
          <w:i/>
          <w:noProof/>
        </w:rPr>
        <w:t>Neurological development of kittens.</w:t>
      </w:r>
      <w:r w:rsidRPr="00330CF1">
        <w:rPr>
          <w:rFonts w:ascii="Arial" w:hAnsi="Arial" w:cs="Arial"/>
          <w:noProof/>
        </w:rPr>
        <w:t xml:space="preserve"> Developmental Psychobiology, 1979. </w:t>
      </w:r>
      <w:r w:rsidRPr="00330CF1">
        <w:rPr>
          <w:rFonts w:ascii="Arial" w:hAnsi="Arial" w:cs="Arial"/>
          <w:b/>
          <w:noProof/>
        </w:rPr>
        <w:t>12</w:t>
      </w:r>
      <w:r w:rsidRPr="00330CF1">
        <w:rPr>
          <w:rFonts w:ascii="Arial" w:hAnsi="Arial" w:cs="Arial"/>
          <w:noProof/>
        </w:rPr>
        <w:t>(2): p. 101-127.</w:t>
      </w:r>
      <w:bookmarkEnd w:id="93"/>
    </w:p>
    <w:p w:rsidR="00330CF1" w:rsidRPr="00330CF1" w:rsidRDefault="00330CF1" w:rsidP="0009286C">
      <w:pPr>
        <w:ind w:left="720" w:hanging="720"/>
        <w:rPr>
          <w:rFonts w:ascii="Arial" w:hAnsi="Arial" w:cs="Arial"/>
          <w:noProof/>
        </w:rPr>
      </w:pPr>
      <w:bookmarkStart w:id="94" w:name="_ENREF_33"/>
      <w:r w:rsidRPr="00330CF1">
        <w:rPr>
          <w:rFonts w:ascii="Arial" w:hAnsi="Arial" w:cs="Arial"/>
          <w:noProof/>
        </w:rPr>
        <w:t>33.</w:t>
      </w:r>
      <w:r w:rsidRPr="00330CF1">
        <w:rPr>
          <w:rFonts w:ascii="Arial" w:hAnsi="Arial" w:cs="Arial"/>
          <w:noProof/>
        </w:rPr>
        <w:tab/>
        <w:t xml:space="preserve">Pawlosky, R., A. Barnes, and N. Salem, </w:t>
      </w:r>
      <w:r w:rsidRPr="00330CF1">
        <w:rPr>
          <w:rFonts w:ascii="Arial" w:hAnsi="Arial" w:cs="Arial"/>
          <w:i/>
          <w:noProof/>
        </w:rPr>
        <w:t>Essential fatty-acid metabolism in the feline - relationship between liver and brain production of long-chain polyunsaturated fatty-acids. .</w:t>
      </w:r>
      <w:r w:rsidRPr="00330CF1">
        <w:rPr>
          <w:rFonts w:ascii="Arial" w:hAnsi="Arial" w:cs="Arial"/>
          <w:noProof/>
        </w:rPr>
        <w:t xml:space="preserve"> Journal of Lipid Research, 1994. </w:t>
      </w:r>
      <w:r w:rsidRPr="00330CF1">
        <w:rPr>
          <w:rFonts w:ascii="Arial" w:hAnsi="Arial" w:cs="Arial"/>
          <w:b/>
          <w:noProof/>
        </w:rPr>
        <w:t>35</w:t>
      </w:r>
      <w:r w:rsidRPr="00330CF1">
        <w:rPr>
          <w:rFonts w:ascii="Arial" w:hAnsi="Arial" w:cs="Arial"/>
          <w:noProof/>
        </w:rPr>
        <w:t>(11): p. 2032-2040.</w:t>
      </w:r>
      <w:bookmarkEnd w:id="94"/>
    </w:p>
    <w:p w:rsidR="00330CF1" w:rsidRPr="00330CF1" w:rsidRDefault="00330CF1" w:rsidP="0009286C">
      <w:pPr>
        <w:ind w:left="720" w:hanging="720"/>
        <w:rPr>
          <w:rFonts w:ascii="Arial" w:hAnsi="Arial" w:cs="Arial"/>
          <w:noProof/>
        </w:rPr>
      </w:pPr>
      <w:bookmarkStart w:id="95" w:name="_ENREF_34"/>
      <w:r w:rsidRPr="00330CF1">
        <w:rPr>
          <w:rFonts w:ascii="Arial" w:hAnsi="Arial" w:cs="Arial"/>
          <w:noProof/>
        </w:rPr>
        <w:lastRenderedPageBreak/>
        <w:t>34.</w:t>
      </w:r>
      <w:r w:rsidRPr="00330CF1">
        <w:rPr>
          <w:rFonts w:ascii="Arial" w:hAnsi="Arial" w:cs="Arial"/>
          <w:noProof/>
        </w:rPr>
        <w:tab/>
        <w:t xml:space="preserve">Pawlosky, R.J., et al., </w:t>
      </w:r>
      <w:r w:rsidRPr="00330CF1">
        <w:rPr>
          <w:rFonts w:ascii="Arial" w:hAnsi="Arial" w:cs="Arial"/>
          <w:i/>
          <w:noProof/>
        </w:rPr>
        <w:t>Retinal and brain accretion of long-chain polyunsaturated fatty acids in developing felines: The effects of corn oil-based maternal diets.</w:t>
      </w:r>
      <w:r w:rsidRPr="00330CF1">
        <w:rPr>
          <w:rFonts w:ascii="Arial" w:hAnsi="Arial" w:cs="Arial"/>
          <w:noProof/>
        </w:rPr>
        <w:t xml:space="preserve"> American Journal of Clinical Nutrition, 1997. </w:t>
      </w:r>
      <w:r w:rsidRPr="00330CF1">
        <w:rPr>
          <w:rFonts w:ascii="Arial" w:hAnsi="Arial" w:cs="Arial"/>
          <w:b/>
          <w:noProof/>
        </w:rPr>
        <w:t>65</w:t>
      </w:r>
      <w:r w:rsidRPr="00330CF1">
        <w:rPr>
          <w:rFonts w:ascii="Arial" w:hAnsi="Arial" w:cs="Arial"/>
          <w:noProof/>
        </w:rPr>
        <w:t>(2): p. 465-472.</w:t>
      </w:r>
      <w:bookmarkEnd w:id="95"/>
    </w:p>
    <w:p w:rsidR="00330CF1" w:rsidRPr="00330CF1" w:rsidRDefault="00330CF1" w:rsidP="0009286C">
      <w:pPr>
        <w:ind w:left="720" w:hanging="720"/>
        <w:rPr>
          <w:rFonts w:ascii="Arial" w:hAnsi="Arial" w:cs="Arial"/>
          <w:noProof/>
        </w:rPr>
      </w:pPr>
      <w:bookmarkStart w:id="96" w:name="_ENREF_35"/>
      <w:r w:rsidRPr="00330CF1">
        <w:rPr>
          <w:rFonts w:ascii="Arial" w:hAnsi="Arial" w:cs="Arial"/>
          <w:noProof/>
        </w:rPr>
        <w:t>35.</w:t>
      </w:r>
      <w:r w:rsidRPr="00330CF1">
        <w:rPr>
          <w:rFonts w:ascii="Arial" w:hAnsi="Arial" w:cs="Arial"/>
          <w:noProof/>
        </w:rPr>
        <w:tab/>
        <w:t xml:space="preserve">Plantinga, E.A., G. Bosch, and W.H. Hendriks, </w:t>
      </w:r>
      <w:r w:rsidRPr="00330CF1">
        <w:rPr>
          <w:rFonts w:ascii="Arial" w:hAnsi="Arial" w:cs="Arial"/>
          <w:i/>
          <w:noProof/>
        </w:rPr>
        <w:t>Estimation of the dietary nutrient profile of free-roaming feral cats: possible implications for nutrition of domestic cats.</w:t>
      </w:r>
      <w:r w:rsidRPr="00330CF1">
        <w:rPr>
          <w:rFonts w:ascii="Arial" w:hAnsi="Arial" w:cs="Arial"/>
          <w:noProof/>
        </w:rPr>
        <w:t xml:space="preserve"> British Journal of Nutrition, 2011. </w:t>
      </w:r>
      <w:r w:rsidRPr="00330CF1">
        <w:rPr>
          <w:rFonts w:ascii="Arial" w:hAnsi="Arial" w:cs="Arial"/>
          <w:b/>
          <w:noProof/>
        </w:rPr>
        <w:t>106</w:t>
      </w:r>
      <w:r w:rsidRPr="00330CF1">
        <w:rPr>
          <w:rFonts w:ascii="Arial" w:hAnsi="Arial" w:cs="Arial"/>
          <w:noProof/>
        </w:rPr>
        <w:t>: p. S35-S48.</w:t>
      </w:r>
      <w:bookmarkEnd w:id="96"/>
    </w:p>
    <w:p w:rsidR="00330CF1" w:rsidRPr="00330CF1" w:rsidRDefault="00330CF1" w:rsidP="0009286C">
      <w:pPr>
        <w:ind w:left="720" w:hanging="720"/>
        <w:rPr>
          <w:rFonts w:ascii="Arial" w:hAnsi="Arial" w:cs="Arial"/>
          <w:noProof/>
        </w:rPr>
      </w:pPr>
      <w:bookmarkStart w:id="97" w:name="_ENREF_36"/>
      <w:r w:rsidRPr="00330CF1">
        <w:rPr>
          <w:rFonts w:ascii="Arial" w:hAnsi="Arial" w:cs="Arial"/>
          <w:noProof/>
        </w:rPr>
        <w:t>36.</w:t>
      </w:r>
      <w:r w:rsidRPr="00330CF1">
        <w:rPr>
          <w:rFonts w:ascii="Arial" w:hAnsi="Arial" w:cs="Arial"/>
          <w:noProof/>
        </w:rPr>
        <w:tab/>
        <w:t xml:space="preserve">Gross, K.L., I. Becvarova, and J. Debraekeleer, </w:t>
      </w:r>
      <w:r w:rsidRPr="00330CF1">
        <w:rPr>
          <w:rFonts w:ascii="Arial" w:hAnsi="Arial" w:cs="Arial"/>
          <w:i/>
          <w:noProof/>
        </w:rPr>
        <w:t>Feeding Growing Kittens: Postweaning to Adulthood</w:t>
      </w:r>
      <w:r w:rsidRPr="00330CF1">
        <w:rPr>
          <w:rFonts w:ascii="Arial" w:hAnsi="Arial" w:cs="Arial"/>
          <w:noProof/>
        </w:rPr>
        <w:t xml:space="preserve">, in </w:t>
      </w:r>
      <w:r w:rsidRPr="00330CF1">
        <w:rPr>
          <w:rFonts w:ascii="Arial" w:hAnsi="Arial" w:cs="Arial"/>
          <w:i/>
          <w:noProof/>
        </w:rPr>
        <w:t>Small Animal Clinical Nutrition, 5th Edition</w:t>
      </w:r>
      <w:r w:rsidRPr="00330CF1">
        <w:rPr>
          <w:rFonts w:ascii="Arial" w:hAnsi="Arial" w:cs="Arial"/>
          <w:noProof/>
        </w:rPr>
        <w:t>, M.S. Hand, et al., Editors. 2010, Mark Morris Institute: Topeka, KS. p. 429-434.</w:t>
      </w:r>
      <w:bookmarkEnd w:id="97"/>
    </w:p>
    <w:p w:rsidR="00330CF1" w:rsidRPr="00330CF1" w:rsidRDefault="00330CF1" w:rsidP="0009286C">
      <w:pPr>
        <w:ind w:left="720" w:hanging="720"/>
        <w:rPr>
          <w:rFonts w:ascii="Arial" w:hAnsi="Arial" w:cs="Arial"/>
          <w:noProof/>
        </w:rPr>
      </w:pPr>
      <w:bookmarkStart w:id="98" w:name="_ENREF_37"/>
      <w:r w:rsidRPr="00330CF1">
        <w:rPr>
          <w:rFonts w:ascii="Arial" w:hAnsi="Arial" w:cs="Arial"/>
          <w:noProof/>
        </w:rPr>
        <w:t>37.</w:t>
      </w:r>
      <w:r w:rsidRPr="00330CF1">
        <w:rPr>
          <w:rFonts w:ascii="Arial" w:hAnsi="Arial" w:cs="Arial"/>
          <w:noProof/>
        </w:rPr>
        <w:tab/>
        <w:t xml:space="preserve">Meyer, H., </w:t>
      </w:r>
      <w:r w:rsidRPr="00330CF1">
        <w:rPr>
          <w:rFonts w:ascii="Arial" w:hAnsi="Arial" w:cs="Arial"/>
          <w:i/>
          <w:noProof/>
        </w:rPr>
        <w:t>Lactose Intake of Carnivores.</w:t>
      </w:r>
      <w:r w:rsidRPr="00330CF1">
        <w:rPr>
          <w:rFonts w:ascii="Arial" w:hAnsi="Arial" w:cs="Arial"/>
          <w:noProof/>
        </w:rPr>
        <w:t xml:space="preserve"> Wiener Tierarztliche Monatsschrift, 1992. </w:t>
      </w:r>
      <w:r w:rsidRPr="00330CF1">
        <w:rPr>
          <w:rFonts w:ascii="Arial" w:hAnsi="Arial" w:cs="Arial"/>
          <w:b/>
          <w:noProof/>
        </w:rPr>
        <w:t>79</w:t>
      </w:r>
      <w:r w:rsidRPr="00330CF1">
        <w:rPr>
          <w:rFonts w:ascii="Arial" w:hAnsi="Arial" w:cs="Arial"/>
          <w:noProof/>
        </w:rPr>
        <w:t>(8): p. 236-241.</w:t>
      </w:r>
      <w:bookmarkEnd w:id="98"/>
    </w:p>
    <w:p w:rsidR="00330CF1" w:rsidRPr="00330CF1" w:rsidRDefault="00330CF1" w:rsidP="0009286C">
      <w:pPr>
        <w:ind w:left="720" w:hanging="720"/>
        <w:rPr>
          <w:rFonts w:ascii="Arial" w:hAnsi="Arial" w:cs="Arial"/>
          <w:noProof/>
        </w:rPr>
      </w:pPr>
      <w:bookmarkStart w:id="99" w:name="_ENREF_38"/>
      <w:r w:rsidRPr="00330CF1">
        <w:rPr>
          <w:rFonts w:ascii="Arial" w:hAnsi="Arial" w:cs="Arial"/>
          <w:noProof/>
        </w:rPr>
        <w:t>38.</w:t>
      </w:r>
      <w:r w:rsidRPr="00330CF1">
        <w:rPr>
          <w:rFonts w:ascii="Arial" w:hAnsi="Arial" w:cs="Arial"/>
          <w:noProof/>
        </w:rPr>
        <w:tab/>
        <w:t xml:space="preserve">Kienzle, E., </w:t>
      </w:r>
      <w:r w:rsidRPr="00330CF1">
        <w:rPr>
          <w:rFonts w:ascii="Arial" w:hAnsi="Arial" w:cs="Arial"/>
          <w:i/>
          <w:noProof/>
        </w:rPr>
        <w:t>Carbohydrate-metabolism of the cat.  4. Activity of maltase, isomaltase, sucrase and lactase in the gastrointestinal-tract in relation to age and diet. .</w:t>
      </w:r>
      <w:r w:rsidRPr="00330CF1">
        <w:rPr>
          <w:rFonts w:ascii="Arial" w:hAnsi="Arial" w:cs="Arial"/>
          <w:noProof/>
        </w:rPr>
        <w:t xml:space="preserve"> Journal of Animal Physiology and Animal Nutrition, 1993. </w:t>
      </w:r>
      <w:r w:rsidRPr="00330CF1">
        <w:rPr>
          <w:rFonts w:ascii="Arial" w:hAnsi="Arial" w:cs="Arial"/>
          <w:b/>
          <w:noProof/>
        </w:rPr>
        <w:t>70</w:t>
      </w:r>
      <w:r w:rsidRPr="00330CF1">
        <w:rPr>
          <w:rFonts w:ascii="Arial" w:hAnsi="Arial" w:cs="Arial"/>
          <w:noProof/>
        </w:rPr>
        <w:t>(2): p. 89-96.</w:t>
      </w:r>
      <w:bookmarkEnd w:id="99"/>
    </w:p>
    <w:p w:rsidR="00330CF1" w:rsidRPr="00330CF1" w:rsidRDefault="00330CF1" w:rsidP="0009286C">
      <w:pPr>
        <w:ind w:left="720" w:hanging="720"/>
        <w:rPr>
          <w:rFonts w:ascii="Arial" w:hAnsi="Arial" w:cs="Arial"/>
          <w:noProof/>
        </w:rPr>
      </w:pPr>
      <w:bookmarkStart w:id="100" w:name="_ENREF_39"/>
      <w:r w:rsidRPr="00330CF1">
        <w:rPr>
          <w:rFonts w:ascii="Arial" w:hAnsi="Arial" w:cs="Arial"/>
          <w:noProof/>
        </w:rPr>
        <w:t>39.</w:t>
      </w:r>
      <w:r w:rsidRPr="00330CF1">
        <w:rPr>
          <w:rFonts w:ascii="Arial" w:hAnsi="Arial" w:cs="Arial"/>
          <w:noProof/>
        </w:rPr>
        <w:tab/>
        <w:t xml:space="preserve">Kienzle, E., </w:t>
      </w:r>
      <w:r w:rsidRPr="00330CF1">
        <w:rPr>
          <w:rFonts w:ascii="Arial" w:hAnsi="Arial" w:cs="Arial"/>
          <w:i/>
          <w:noProof/>
        </w:rPr>
        <w:t>Carbohydrate-metabolism of the cat.  3. Digestion of sugars.</w:t>
      </w:r>
      <w:r w:rsidRPr="00330CF1">
        <w:rPr>
          <w:rFonts w:ascii="Arial" w:hAnsi="Arial" w:cs="Arial"/>
          <w:noProof/>
        </w:rPr>
        <w:t xml:space="preserve"> Journal of Animal Physiology and Animal Nutrition, 1993. </w:t>
      </w:r>
      <w:r w:rsidRPr="00330CF1">
        <w:rPr>
          <w:rFonts w:ascii="Arial" w:hAnsi="Arial" w:cs="Arial"/>
          <w:b/>
          <w:noProof/>
        </w:rPr>
        <w:t>69</w:t>
      </w:r>
      <w:r w:rsidRPr="00330CF1">
        <w:rPr>
          <w:rFonts w:ascii="Arial" w:hAnsi="Arial" w:cs="Arial"/>
          <w:noProof/>
        </w:rPr>
        <w:t>(4): p. 203-210.</w:t>
      </w:r>
      <w:bookmarkEnd w:id="100"/>
    </w:p>
    <w:p w:rsidR="00330CF1" w:rsidRPr="00330CF1" w:rsidRDefault="00330CF1" w:rsidP="0009286C">
      <w:pPr>
        <w:ind w:left="720" w:hanging="720"/>
        <w:rPr>
          <w:rFonts w:ascii="Arial" w:hAnsi="Arial" w:cs="Arial"/>
          <w:noProof/>
        </w:rPr>
      </w:pPr>
      <w:bookmarkStart w:id="101" w:name="_ENREF_40"/>
      <w:r w:rsidRPr="00330CF1">
        <w:rPr>
          <w:rFonts w:ascii="Arial" w:hAnsi="Arial" w:cs="Arial"/>
          <w:noProof/>
        </w:rPr>
        <w:t>40.</w:t>
      </w:r>
      <w:r w:rsidRPr="00330CF1">
        <w:rPr>
          <w:rFonts w:ascii="Arial" w:hAnsi="Arial" w:cs="Arial"/>
          <w:noProof/>
        </w:rPr>
        <w:tab/>
        <w:t xml:space="preserve">Kienzle, E., </w:t>
      </w:r>
      <w:r w:rsidRPr="00330CF1">
        <w:rPr>
          <w:rFonts w:ascii="Arial" w:hAnsi="Arial" w:cs="Arial"/>
          <w:i/>
          <w:noProof/>
        </w:rPr>
        <w:t>Carbohydrate-metabolism of the cat. 1. Activity of amylase in the gastrointestinal tract of the cat. .</w:t>
      </w:r>
      <w:r w:rsidRPr="00330CF1">
        <w:rPr>
          <w:rFonts w:ascii="Arial" w:hAnsi="Arial" w:cs="Arial"/>
          <w:noProof/>
        </w:rPr>
        <w:t xml:space="preserve"> Journal of Animal Physiology and Animal Nutrition, 1993. </w:t>
      </w:r>
      <w:r w:rsidRPr="00330CF1">
        <w:rPr>
          <w:rFonts w:ascii="Arial" w:hAnsi="Arial" w:cs="Arial"/>
          <w:b/>
          <w:noProof/>
        </w:rPr>
        <w:t>69</w:t>
      </w:r>
      <w:r w:rsidRPr="00330CF1">
        <w:rPr>
          <w:rFonts w:ascii="Arial" w:hAnsi="Arial" w:cs="Arial"/>
          <w:noProof/>
        </w:rPr>
        <w:t>(2-3): p. 92-101.</w:t>
      </w:r>
      <w:bookmarkEnd w:id="101"/>
    </w:p>
    <w:p w:rsidR="00330CF1" w:rsidRPr="00330CF1" w:rsidRDefault="00330CF1" w:rsidP="0009286C">
      <w:pPr>
        <w:ind w:left="720" w:hanging="720"/>
        <w:rPr>
          <w:rFonts w:ascii="Arial" w:hAnsi="Arial" w:cs="Arial"/>
          <w:noProof/>
        </w:rPr>
      </w:pPr>
      <w:bookmarkStart w:id="102" w:name="_ENREF_41"/>
      <w:r w:rsidRPr="00330CF1">
        <w:rPr>
          <w:rFonts w:ascii="Arial" w:hAnsi="Arial" w:cs="Arial"/>
          <w:noProof/>
        </w:rPr>
        <w:t>41.</w:t>
      </w:r>
      <w:r w:rsidRPr="00330CF1">
        <w:rPr>
          <w:rFonts w:ascii="Arial" w:hAnsi="Arial" w:cs="Arial"/>
          <w:noProof/>
        </w:rPr>
        <w:tab/>
        <w:t xml:space="preserve">Washizu, T., et al., </w:t>
      </w:r>
      <w:r w:rsidRPr="00330CF1">
        <w:rPr>
          <w:rFonts w:ascii="Arial" w:hAnsi="Arial" w:cs="Arial"/>
          <w:i/>
          <w:noProof/>
        </w:rPr>
        <w:t>Comparison of the activities of enzymes related to glycolysis and gluconeogenesis in the liver of dogs and cats.</w:t>
      </w:r>
      <w:r w:rsidRPr="00330CF1">
        <w:rPr>
          <w:rFonts w:ascii="Arial" w:hAnsi="Arial" w:cs="Arial"/>
          <w:noProof/>
        </w:rPr>
        <w:t xml:space="preserve"> Research in Veterinary Science, 1999. </w:t>
      </w:r>
      <w:r w:rsidRPr="00330CF1">
        <w:rPr>
          <w:rFonts w:ascii="Arial" w:hAnsi="Arial" w:cs="Arial"/>
          <w:b/>
          <w:noProof/>
        </w:rPr>
        <w:t>67</w:t>
      </w:r>
      <w:r w:rsidRPr="00330CF1">
        <w:rPr>
          <w:rFonts w:ascii="Arial" w:hAnsi="Arial" w:cs="Arial"/>
          <w:noProof/>
        </w:rPr>
        <w:t>(2): p. 205-206.</w:t>
      </w:r>
      <w:bookmarkEnd w:id="102"/>
    </w:p>
    <w:p w:rsidR="00330CF1" w:rsidRPr="00330CF1" w:rsidRDefault="00330CF1" w:rsidP="0009286C">
      <w:pPr>
        <w:ind w:left="720" w:hanging="720"/>
        <w:rPr>
          <w:rFonts w:ascii="Arial" w:hAnsi="Arial" w:cs="Arial"/>
          <w:noProof/>
        </w:rPr>
      </w:pPr>
      <w:bookmarkStart w:id="103" w:name="_ENREF_42"/>
      <w:r w:rsidRPr="00330CF1">
        <w:rPr>
          <w:rFonts w:ascii="Arial" w:hAnsi="Arial" w:cs="Arial"/>
          <w:noProof/>
        </w:rPr>
        <w:t>42.</w:t>
      </w:r>
      <w:r w:rsidRPr="00330CF1">
        <w:rPr>
          <w:rFonts w:ascii="Arial" w:hAnsi="Arial" w:cs="Arial"/>
          <w:noProof/>
        </w:rPr>
        <w:tab/>
        <w:t xml:space="preserve">Zoran, D.L., </w:t>
      </w:r>
      <w:r w:rsidRPr="00330CF1">
        <w:rPr>
          <w:rFonts w:ascii="Arial" w:hAnsi="Arial" w:cs="Arial"/>
          <w:i/>
          <w:noProof/>
        </w:rPr>
        <w:t>The carnivore connection to nutrition in cats.</w:t>
      </w:r>
      <w:r w:rsidRPr="00330CF1">
        <w:rPr>
          <w:rFonts w:ascii="Arial" w:hAnsi="Arial" w:cs="Arial"/>
          <w:noProof/>
        </w:rPr>
        <w:t xml:space="preserve"> Journal of the American Veterinary Medical Association, 2002. </w:t>
      </w:r>
      <w:r w:rsidRPr="00330CF1">
        <w:rPr>
          <w:rFonts w:ascii="Arial" w:hAnsi="Arial" w:cs="Arial"/>
          <w:b/>
          <w:noProof/>
        </w:rPr>
        <w:t>221</w:t>
      </w:r>
      <w:r w:rsidRPr="00330CF1">
        <w:rPr>
          <w:rFonts w:ascii="Arial" w:hAnsi="Arial" w:cs="Arial"/>
          <w:noProof/>
        </w:rPr>
        <w:t>(11): p. 1559-1567.</w:t>
      </w:r>
      <w:bookmarkEnd w:id="103"/>
    </w:p>
    <w:p w:rsidR="00330CF1" w:rsidRPr="00330CF1" w:rsidRDefault="00330CF1" w:rsidP="0009286C">
      <w:pPr>
        <w:ind w:left="720" w:hanging="720"/>
        <w:rPr>
          <w:rFonts w:ascii="Arial" w:hAnsi="Arial" w:cs="Arial"/>
          <w:noProof/>
        </w:rPr>
      </w:pPr>
      <w:bookmarkStart w:id="104" w:name="_ENREF_43"/>
      <w:r w:rsidRPr="00330CF1">
        <w:rPr>
          <w:rFonts w:ascii="Arial" w:hAnsi="Arial" w:cs="Arial"/>
          <w:noProof/>
        </w:rPr>
        <w:t>43.</w:t>
      </w:r>
      <w:r w:rsidRPr="00330CF1">
        <w:rPr>
          <w:rFonts w:ascii="Arial" w:hAnsi="Arial" w:cs="Arial"/>
          <w:noProof/>
        </w:rPr>
        <w:tab/>
        <w:t xml:space="preserve">Morris, J.G., </w:t>
      </w:r>
      <w:r w:rsidRPr="00330CF1">
        <w:rPr>
          <w:rFonts w:ascii="Arial" w:hAnsi="Arial" w:cs="Arial"/>
          <w:i/>
          <w:noProof/>
        </w:rPr>
        <w:t>Vitamin D Synthesis by Kittens.</w:t>
      </w:r>
      <w:r w:rsidRPr="00330CF1">
        <w:rPr>
          <w:rFonts w:ascii="Arial" w:hAnsi="Arial" w:cs="Arial"/>
          <w:noProof/>
        </w:rPr>
        <w:t xml:space="preserve"> Veterinary Clinical Nutrition, 1996. </w:t>
      </w:r>
      <w:r w:rsidRPr="00330CF1">
        <w:rPr>
          <w:rFonts w:ascii="Arial" w:hAnsi="Arial" w:cs="Arial"/>
          <w:b/>
          <w:noProof/>
        </w:rPr>
        <w:t>3</w:t>
      </w:r>
      <w:r w:rsidRPr="00330CF1">
        <w:rPr>
          <w:rFonts w:ascii="Arial" w:hAnsi="Arial" w:cs="Arial"/>
          <w:noProof/>
        </w:rPr>
        <w:t>(3): p. 88-92.</w:t>
      </w:r>
      <w:bookmarkEnd w:id="104"/>
    </w:p>
    <w:p w:rsidR="00330CF1" w:rsidRPr="00330CF1" w:rsidRDefault="00330CF1" w:rsidP="0009286C">
      <w:pPr>
        <w:ind w:left="720" w:hanging="720"/>
        <w:rPr>
          <w:rFonts w:ascii="Arial" w:hAnsi="Arial" w:cs="Arial"/>
          <w:noProof/>
        </w:rPr>
      </w:pPr>
      <w:bookmarkStart w:id="105" w:name="_ENREF_44"/>
      <w:r w:rsidRPr="00330CF1">
        <w:rPr>
          <w:rFonts w:ascii="Arial" w:hAnsi="Arial" w:cs="Arial"/>
          <w:noProof/>
        </w:rPr>
        <w:t>44.</w:t>
      </w:r>
      <w:r w:rsidRPr="00330CF1">
        <w:rPr>
          <w:rFonts w:ascii="Arial" w:hAnsi="Arial" w:cs="Arial"/>
          <w:noProof/>
        </w:rPr>
        <w:tab/>
        <w:t xml:space="preserve">Morris, J.G. and K.E. Earle, </w:t>
      </w:r>
      <w:r w:rsidRPr="00330CF1">
        <w:rPr>
          <w:rFonts w:ascii="Arial" w:hAnsi="Arial" w:cs="Arial"/>
          <w:i/>
          <w:noProof/>
        </w:rPr>
        <w:t>Vitamin D and Calcium Requirements of Kittens.</w:t>
      </w:r>
      <w:r w:rsidRPr="00330CF1">
        <w:rPr>
          <w:rFonts w:ascii="Arial" w:hAnsi="Arial" w:cs="Arial"/>
          <w:noProof/>
        </w:rPr>
        <w:t xml:space="preserve"> Veterinary Clinical Nutrition, 1996. </w:t>
      </w:r>
      <w:r w:rsidRPr="00330CF1">
        <w:rPr>
          <w:rFonts w:ascii="Arial" w:hAnsi="Arial" w:cs="Arial"/>
          <w:b/>
          <w:noProof/>
        </w:rPr>
        <w:t>3</w:t>
      </w:r>
      <w:r w:rsidRPr="00330CF1">
        <w:rPr>
          <w:rFonts w:ascii="Arial" w:hAnsi="Arial" w:cs="Arial"/>
          <w:noProof/>
        </w:rPr>
        <w:t>(3): p. 93-96.</w:t>
      </w:r>
      <w:bookmarkEnd w:id="105"/>
    </w:p>
    <w:p w:rsidR="00330CF1" w:rsidRPr="00330CF1" w:rsidRDefault="00330CF1" w:rsidP="0009286C">
      <w:pPr>
        <w:ind w:left="720" w:hanging="720"/>
        <w:rPr>
          <w:rFonts w:ascii="Arial" w:hAnsi="Arial" w:cs="Arial"/>
          <w:noProof/>
        </w:rPr>
      </w:pPr>
      <w:bookmarkStart w:id="106" w:name="_ENREF_45"/>
      <w:r w:rsidRPr="00330CF1">
        <w:rPr>
          <w:rFonts w:ascii="Arial" w:hAnsi="Arial" w:cs="Arial"/>
          <w:noProof/>
        </w:rPr>
        <w:t>45.</w:t>
      </w:r>
      <w:r w:rsidRPr="00330CF1">
        <w:rPr>
          <w:rFonts w:ascii="Arial" w:hAnsi="Arial" w:cs="Arial"/>
          <w:noProof/>
        </w:rPr>
        <w:tab/>
        <w:t xml:space="preserve">Howard, K.A., Q.R. Rogers, and J.G. Morris, </w:t>
      </w:r>
      <w:r w:rsidRPr="00330CF1">
        <w:rPr>
          <w:rFonts w:ascii="Arial" w:hAnsi="Arial" w:cs="Arial"/>
          <w:i/>
          <w:noProof/>
        </w:rPr>
        <w:t>Magnesium Requirement of Kittens Is Increased by High Dietary Calcium (abstract).</w:t>
      </w:r>
      <w:r w:rsidRPr="00330CF1">
        <w:rPr>
          <w:rFonts w:ascii="Arial" w:hAnsi="Arial" w:cs="Arial"/>
          <w:noProof/>
        </w:rPr>
        <w:t xml:space="preserve"> Journal of Nutrition, 1998. </w:t>
      </w:r>
      <w:r w:rsidRPr="00330CF1">
        <w:rPr>
          <w:rFonts w:ascii="Arial" w:hAnsi="Arial" w:cs="Arial"/>
          <w:b/>
          <w:noProof/>
        </w:rPr>
        <w:t>128</w:t>
      </w:r>
      <w:r w:rsidRPr="00330CF1">
        <w:rPr>
          <w:rFonts w:ascii="Arial" w:hAnsi="Arial" w:cs="Arial"/>
          <w:noProof/>
        </w:rPr>
        <w:t>: p. 2601S-2602S.</w:t>
      </w:r>
      <w:bookmarkEnd w:id="106"/>
    </w:p>
    <w:p w:rsidR="00330CF1" w:rsidRPr="00330CF1" w:rsidRDefault="00330CF1" w:rsidP="0009286C">
      <w:pPr>
        <w:ind w:left="720" w:hanging="720"/>
        <w:rPr>
          <w:rFonts w:ascii="Arial" w:hAnsi="Arial" w:cs="Arial"/>
          <w:noProof/>
        </w:rPr>
      </w:pPr>
      <w:bookmarkStart w:id="107" w:name="_ENREF_46"/>
      <w:r w:rsidRPr="00330CF1">
        <w:rPr>
          <w:rFonts w:ascii="Arial" w:hAnsi="Arial" w:cs="Arial"/>
          <w:noProof/>
        </w:rPr>
        <w:t>46.</w:t>
      </w:r>
      <w:r w:rsidRPr="00330CF1">
        <w:rPr>
          <w:rFonts w:ascii="Arial" w:hAnsi="Arial" w:cs="Arial"/>
          <w:noProof/>
        </w:rPr>
        <w:tab/>
        <w:t xml:space="preserve">DiBartola, S.P. and M.D. Willard, </w:t>
      </w:r>
      <w:r w:rsidRPr="00330CF1">
        <w:rPr>
          <w:rFonts w:ascii="Arial" w:hAnsi="Arial" w:cs="Arial"/>
          <w:i/>
          <w:noProof/>
        </w:rPr>
        <w:t>Disorders of Phosphorus: Hypophosphatemia and Hyperphosphatemia</w:t>
      </w:r>
      <w:r w:rsidRPr="00330CF1">
        <w:rPr>
          <w:rFonts w:ascii="Arial" w:hAnsi="Arial" w:cs="Arial"/>
          <w:noProof/>
        </w:rPr>
        <w:t xml:space="preserve">, in </w:t>
      </w:r>
      <w:r w:rsidRPr="00330CF1">
        <w:rPr>
          <w:rFonts w:ascii="Arial" w:hAnsi="Arial" w:cs="Arial"/>
          <w:i/>
          <w:noProof/>
        </w:rPr>
        <w:t>Fluid, Electrolyte, and Acid-Base Disorders</w:t>
      </w:r>
      <w:r w:rsidRPr="00330CF1">
        <w:rPr>
          <w:rFonts w:ascii="Arial" w:hAnsi="Arial" w:cs="Arial"/>
          <w:noProof/>
        </w:rPr>
        <w:t>, S.P. DiBartola, Editor 2006, Saunders Elsevier: St. Louis, Mo. p. 195-209.</w:t>
      </w:r>
      <w:bookmarkEnd w:id="107"/>
    </w:p>
    <w:p w:rsidR="00330CF1" w:rsidRPr="00330CF1" w:rsidRDefault="00330CF1" w:rsidP="0009286C">
      <w:pPr>
        <w:ind w:left="720" w:hanging="720"/>
        <w:rPr>
          <w:rFonts w:ascii="Arial" w:hAnsi="Arial" w:cs="Arial"/>
          <w:noProof/>
        </w:rPr>
      </w:pPr>
      <w:bookmarkStart w:id="108" w:name="_ENREF_47"/>
      <w:r w:rsidRPr="00330CF1">
        <w:rPr>
          <w:rFonts w:ascii="Arial" w:hAnsi="Arial" w:cs="Arial"/>
          <w:noProof/>
        </w:rPr>
        <w:t>47.</w:t>
      </w:r>
      <w:r w:rsidRPr="00330CF1">
        <w:rPr>
          <w:rFonts w:ascii="Arial" w:hAnsi="Arial" w:cs="Arial"/>
          <w:noProof/>
        </w:rPr>
        <w:tab/>
        <w:t xml:space="preserve">Buffington, C.A., Q.R. Rogers, and J.G. Morris, </w:t>
      </w:r>
      <w:r w:rsidRPr="00330CF1">
        <w:rPr>
          <w:rFonts w:ascii="Arial" w:hAnsi="Arial" w:cs="Arial"/>
          <w:i/>
          <w:noProof/>
        </w:rPr>
        <w:t>Effects of Age and Food Deprivation on Urine pH of Cats.</w:t>
      </w:r>
      <w:r w:rsidRPr="00330CF1">
        <w:rPr>
          <w:rFonts w:ascii="Arial" w:hAnsi="Arial" w:cs="Arial"/>
          <w:noProof/>
        </w:rPr>
        <w:t xml:space="preserve"> Veterinary Clinical Nutrition, 1994. </w:t>
      </w:r>
      <w:r w:rsidRPr="00330CF1">
        <w:rPr>
          <w:rFonts w:ascii="Arial" w:hAnsi="Arial" w:cs="Arial"/>
          <w:b/>
          <w:noProof/>
        </w:rPr>
        <w:t>1</w:t>
      </w:r>
      <w:r w:rsidRPr="00330CF1">
        <w:rPr>
          <w:rFonts w:ascii="Arial" w:hAnsi="Arial" w:cs="Arial"/>
          <w:noProof/>
        </w:rPr>
        <w:t>(1): p. 12-17.</w:t>
      </w:r>
      <w:bookmarkEnd w:id="108"/>
    </w:p>
    <w:p w:rsidR="00330CF1" w:rsidRPr="00330CF1" w:rsidRDefault="00330CF1" w:rsidP="0009286C">
      <w:pPr>
        <w:ind w:left="720" w:hanging="720"/>
        <w:rPr>
          <w:rFonts w:ascii="Arial" w:hAnsi="Arial" w:cs="Arial"/>
          <w:noProof/>
        </w:rPr>
      </w:pPr>
      <w:bookmarkStart w:id="109" w:name="_ENREF_48"/>
      <w:r w:rsidRPr="00330CF1">
        <w:rPr>
          <w:rFonts w:ascii="Arial" w:hAnsi="Arial" w:cs="Arial"/>
          <w:noProof/>
        </w:rPr>
        <w:t>48.</w:t>
      </w:r>
      <w:r w:rsidRPr="00330CF1">
        <w:rPr>
          <w:rFonts w:ascii="Arial" w:hAnsi="Arial" w:cs="Arial"/>
          <w:noProof/>
        </w:rPr>
        <w:tab/>
        <w:t xml:space="preserve">Stipanuk, M.H. and M. Watford, </w:t>
      </w:r>
      <w:r w:rsidRPr="00330CF1">
        <w:rPr>
          <w:rFonts w:ascii="Arial" w:hAnsi="Arial" w:cs="Arial"/>
          <w:i/>
          <w:noProof/>
        </w:rPr>
        <w:t>Amino Acid Metabolism</w:t>
      </w:r>
      <w:r w:rsidRPr="00330CF1">
        <w:rPr>
          <w:rFonts w:ascii="Arial" w:hAnsi="Arial" w:cs="Arial"/>
          <w:noProof/>
        </w:rPr>
        <w:t xml:space="preserve">, in </w:t>
      </w:r>
      <w:r w:rsidRPr="00330CF1">
        <w:rPr>
          <w:rFonts w:ascii="Arial" w:hAnsi="Arial" w:cs="Arial"/>
          <w:i/>
          <w:noProof/>
        </w:rPr>
        <w:t>Biochemical, Physiological, and Molecular Aspects of Human Nutrition</w:t>
      </w:r>
      <w:r w:rsidRPr="00330CF1">
        <w:rPr>
          <w:rFonts w:ascii="Arial" w:hAnsi="Arial" w:cs="Arial"/>
          <w:noProof/>
        </w:rPr>
        <w:t>, M.H. Stipanuk, Editor 2006, St. Louis : Saunders Elsevier: St. Louis, MO. p. 360-418.</w:t>
      </w:r>
      <w:bookmarkEnd w:id="109"/>
    </w:p>
    <w:p w:rsidR="00330CF1" w:rsidRPr="00330CF1" w:rsidRDefault="00330CF1" w:rsidP="0009286C">
      <w:pPr>
        <w:ind w:left="720" w:hanging="720"/>
        <w:rPr>
          <w:rFonts w:ascii="Arial" w:hAnsi="Arial" w:cs="Arial"/>
          <w:noProof/>
        </w:rPr>
      </w:pPr>
      <w:bookmarkStart w:id="110" w:name="_ENREF_49"/>
      <w:r w:rsidRPr="00330CF1">
        <w:rPr>
          <w:rFonts w:ascii="Arial" w:hAnsi="Arial" w:cs="Arial"/>
          <w:noProof/>
        </w:rPr>
        <w:t>49.</w:t>
      </w:r>
      <w:r w:rsidRPr="00330CF1">
        <w:rPr>
          <w:rFonts w:ascii="Arial" w:hAnsi="Arial" w:cs="Arial"/>
          <w:noProof/>
        </w:rPr>
        <w:tab/>
        <w:t xml:space="preserve">Buffington, C.A., </w:t>
      </w:r>
      <w:r w:rsidRPr="00330CF1">
        <w:rPr>
          <w:rFonts w:ascii="Arial" w:hAnsi="Arial" w:cs="Arial"/>
          <w:i/>
          <w:noProof/>
        </w:rPr>
        <w:t xml:space="preserve">Effects of Diet on the Feline Struvite Urolithiasis Syndrome </w:t>
      </w:r>
      <w:r w:rsidRPr="00330CF1">
        <w:rPr>
          <w:rFonts w:ascii="Arial" w:hAnsi="Arial" w:cs="Arial"/>
          <w:noProof/>
        </w:rPr>
        <w:t>PhD thesis. University of California, Davis.  1989.</w:t>
      </w:r>
      <w:bookmarkEnd w:id="110"/>
    </w:p>
    <w:p w:rsidR="00330CF1" w:rsidRPr="00330CF1" w:rsidRDefault="00330CF1" w:rsidP="0009286C">
      <w:pPr>
        <w:ind w:left="720" w:hanging="720"/>
        <w:rPr>
          <w:rFonts w:ascii="Arial" w:hAnsi="Arial" w:cs="Arial"/>
          <w:noProof/>
        </w:rPr>
      </w:pPr>
      <w:bookmarkStart w:id="111" w:name="_ENREF_50"/>
      <w:r w:rsidRPr="00330CF1">
        <w:rPr>
          <w:rFonts w:ascii="Arial" w:hAnsi="Arial" w:cs="Arial"/>
          <w:noProof/>
        </w:rPr>
        <w:t>50.</w:t>
      </w:r>
      <w:r w:rsidRPr="00330CF1">
        <w:rPr>
          <w:rFonts w:ascii="Arial" w:hAnsi="Arial" w:cs="Arial"/>
          <w:noProof/>
        </w:rPr>
        <w:tab/>
        <w:t xml:space="preserve">Hills, D.L., J.G. Morris, and Q.R. Rogers, </w:t>
      </w:r>
      <w:r w:rsidRPr="00330CF1">
        <w:rPr>
          <w:rFonts w:ascii="Arial" w:hAnsi="Arial" w:cs="Arial"/>
          <w:i/>
          <w:noProof/>
        </w:rPr>
        <w:t>Potassium requirement of kittens as affected by dietary-protein.</w:t>
      </w:r>
      <w:r w:rsidRPr="00330CF1">
        <w:rPr>
          <w:rFonts w:ascii="Arial" w:hAnsi="Arial" w:cs="Arial"/>
          <w:noProof/>
        </w:rPr>
        <w:t xml:space="preserve"> Journal of Nutrition, 1982. </w:t>
      </w:r>
      <w:r w:rsidRPr="00330CF1">
        <w:rPr>
          <w:rFonts w:ascii="Arial" w:hAnsi="Arial" w:cs="Arial"/>
          <w:b/>
          <w:noProof/>
        </w:rPr>
        <w:t>112</w:t>
      </w:r>
      <w:r w:rsidRPr="00330CF1">
        <w:rPr>
          <w:rFonts w:ascii="Arial" w:hAnsi="Arial" w:cs="Arial"/>
          <w:noProof/>
        </w:rPr>
        <w:t>(2): p. 216-222.</w:t>
      </w:r>
      <w:bookmarkEnd w:id="111"/>
    </w:p>
    <w:p w:rsidR="00330CF1" w:rsidRPr="00330CF1" w:rsidRDefault="00330CF1" w:rsidP="0009286C">
      <w:pPr>
        <w:ind w:left="720" w:hanging="720"/>
        <w:rPr>
          <w:rFonts w:ascii="Arial" w:hAnsi="Arial" w:cs="Arial"/>
          <w:noProof/>
        </w:rPr>
      </w:pPr>
      <w:bookmarkStart w:id="112" w:name="_ENREF_51"/>
      <w:r w:rsidRPr="00330CF1">
        <w:rPr>
          <w:rFonts w:ascii="Arial" w:hAnsi="Arial" w:cs="Arial"/>
          <w:noProof/>
        </w:rPr>
        <w:lastRenderedPageBreak/>
        <w:t>51.</w:t>
      </w:r>
      <w:r w:rsidRPr="00330CF1">
        <w:rPr>
          <w:rFonts w:ascii="Arial" w:hAnsi="Arial" w:cs="Arial"/>
          <w:noProof/>
        </w:rPr>
        <w:tab/>
        <w:t xml:space="preserve">Loveridge, G.G. </w:t>
      </w:r>
      <w:r w:rsidRPr="00330CF1">
        <w:rPr>
          <w:rFonts w:ascii="Arial" w:hAnsi="Arial" w:cs="Arial"/>
          <w:i/>
          <w:noProof/>
        </w:rPr>
        <w:t>Factors affecting kitten growth</w:t>
      </w:r>
      <w:r w:rsidRPr="00330CF1">
        <w:rPr>
          <w:rFonts w:ascii="Arial" w:hAnsi="Arial" w:cs="Arial"/>
          <w:noProof/>
        </w:rPr>
        <w:t xml:space="preserve">. in </w:t>
      </w:r>
      <w:r w:rsidRPr="00330CF1">
        <w:rPr>
          <w:rFonts w:ascii="Arial" w:hAnsi="Arial" w:cs="Arial"/>
          <w:i/>
          <w:noProof/>
        </w:rPr>
        <w:t>Nutrition, Malnutrition and Dietetics in the Dog and Cat. Proceedings of an International Symposium</w:t>
      </w:r>
      <w:r w:rsidRPr="00330CF1">
        <w:rPr>
          <w:rFonts w:ascii="Arial" w:hAnsi="Arial" w:cs="Arial"/>
          <w:noProof/>
        </w:rPr>
        <w:t>. 1987. Hanover, Germany.</w:t>
      </w:r>
      <w:bookmarkEnd w:id="112"/>
    </w:p>
    <w:p w:rsidR="00330CF1" w:rsidRPr="00330CF1" w:rsidRDefault="00330CF1" w:rsidP="0009286C">
      <w:pPr>
        <w:ind w:left="720" w:hanging="720"/>
        <w:rPr>
          <w:rFonts w:ascii="Arial" w:hAnsi="Arial" w:cs="Arial"/>
          <w:noProof/>
        </w:rPr>
      </w:pPr>
      <w:bookmarkStart w:id="113" w:name="_ENREF_52"/>
      <w:r w:rsidRPr="00330CF1">
        <w:rPr>
          <w:rFonts w:ascii="Arial" w:hAnsi="Arial" w:cs="Arial"/>
          <w:noProof/>
        </w:rPr>
        <w:t>52.</w:t>
      </w:r>
      <w:r w:rsidRPr="00330CF1">
        <w:rPr>
          <w:rFonts w:ascii="Arial" w:hAnsi="Arial" w:cs="Arial"/>
          <w:noProof/>
        </w:rPr>
        <w:tab/>
        <w:t xml:space="preserve">Sparkes, A.H., et al., </w:t>
      </w:r>
      <w:r w:rsidRPr="00330CF1">
        <w:rPr>
          <w:rFonts w:ascii="Arial" w:hAnsi="Arial" w:cs="Arial"/>
          <w:i/>
          <w:noProof/>
        </w:rPr>
        <w:t>A questionnaire-based study of gestation, parturition and neonatal mortality in pedigree breeding cats in the UK.</w:t>
      </w:r>
      <w:r w:rsidRPr="00330CF1">
        <w:rPr>
          <w:rFonts w:ascii="Arial" w:hAnsi="Arial" w:cs="Arial"/>
          <w:noProof/>
        </w:rPr>
        <w:t xml:space="preserve"> Journal of Feline Medicine and Surgery, 2006. </w:t>
      </w:r>
      <w:r w:rsidRPr="00330CF1">
        <w:rPr>
          <w:rFonts w:ascii="Arial" w:hAnsi="Arial" w:cs="Arial"/>
          <w:b/>
          <w:noProof/>
        </w:rPr>
        <w:t>8</w:t>
      </w:r>
      <w:r w:rsidRPr="00330CF1">
        <w:rPr>
          <w:rFonts w:ascii="Arial" w:hAnsi="Arial" w:cs="Arial"/>
          <w:noProof/>
        </w:rPr>
        <w:t>(3): p. 145-157.</w:t>
      </w:r>
      <w:bookmarkEnd w:id="113"/>
    </w:p>
    <w:p w:rsidR="00330CF1" w:rsidRPr="00330CF1" w:rsidRDefault="00330CF1" w:rsidP="0009286C">
      <w:pPr>
        <w:ind w:left="720" w:hanging="720"/>
        <w:rPr>
          <w:rFonts w:ascii="Arial" w:hAnsi="Arial" w:cs="Arial"/>
          <w:noProof/>
        </w:rPr>
      </w:pPr>
      <w:bookmarkStart w:id="114" w:name="_ENREF_53"/>
      <w:r w:rsidRPr="00330CF1">
        <w:rPr>
          <w:rFonts w:ascii="Arial" w:hAnsi="Arial" w:cs="Arial"/>
          <w:noProof/>
        </w:rPr>
        <w:t>53.</w:t>
      </w:r>
      <w:r w:rsidRPr="00330CF1">
        <w:rPr>
          <w:rFonts w:ascii="Arial" w:hAnsi="Arial" w:cs="Arial"/>
          <w:noProof/>
        </w:rPr>
        <w:tab/>
        <w:t xml:space="preserve">Musters, J., et al., </w:t>
      </w:r>
      <w:r w:rsidRPr="00330CF1">
        <w:rPr>
          <w:rFonts w:ascii="Arial" w:hAnsi="Arial" w:cs="Arial"/>
          <w:i/>
          <w:noProof/>
        </w:rPr>
        <w:t>Questionnaire-based survey of parturition in the queen.</w:t>
      </w:r>
      <w:r w:rsidRPr="00330CF1">
        <w:rPr>
          <w:rFonts w:ascii="Arial" w:hAnsi="Arial" w:cs="Arial"/>
          <w:noProof/>
        </w:rPr>
        <w:t xml:space="preserve"> Theriogenology, 2011. </w:t>
      </w:r>
      <w:r w:rsidRPr="00330CF1">
        <w:rPr>
          <w:rFonts w:ascii="Arial" w:hAnsi="Arial" w:cs="Arial"/>
          <w:b/>
          <w:noProof/>
        </w:rPr>
        <w:t>75</w:t>
      </w:r>
      <w:r w:rsidRPr="00330CF1">
        <w:rPr>
          <w:rFonts w:ascii="Arial" w:hAnsi="Arial" w:cs="Arial"/>
          <w:noProof/>
        </w:rPr>
        <w:t>(9): p. 1596-1601.</w:t>
      </w:r>
      <w:bookmarkEnd w:id="114"/>
    </w:p>
    <w:p w:rsidR="00330CF1" w:rsidRPr="00330CF1" w:rsidRDefault="00330CF1" w:rsidP="0009286C">
      <w:pPr>
        <w:ind w:left="720" w:hanging="720"/>
        <w:rPr>
          <w:rFonts w:ascii="Arial" w:hAnsi="Arial" w:cs="Arial"/>
          <w:noProof/>
        </w:rPr>
      </w:pPr>
      <w:bookmarkStart w:id="115" w:name="_ENREF_54"/>
      <w:r w:rsidRPr="00330CF1">
        <w:rPr>
          <w:rFonts w:ascii="Arial" w:hAnsi="Arial" w:cs="Arial"/>
          <w:noProof/>
        </w:rPr>
        <w:t>54.</w:t>
      </w:r>
      <w:r w:rsidRPr="00330CF1">
        <w:rPr>
          <w:rFonts w:ascii="Arial" w:hAnsi="Arial" w:cs="Arial"/>
          <w:noProof/>
        </w:rPr>
        <w:tab/>
        <w:t xml:space="preserve">Kienzle, E., B. Stratmann, and H. Meyer, </w:t>
      </w:r>
      <w:r w:rsidRPr="00330CF1">
        <w:rPr>
          <w:rFonts w:ascii="Arial" w:hAnsi="Arial" w:cs="Arial"/>
          <w:i/>
          <w:noProof/>
        </w:rPr>
        <w:t>Body-composition of cats as a basis for factorial calculation of energy and nutrient-requirements for growth. .</w:t>
      </w:r>
      <w:r w:rsidRPr="00330CF1">
        <w:rPr>
          <w:rFonts w:ascii="Arial" w:hAnsi="Arial" w:cs="Arial"/>
          <w:noProof/>
        </w:rPr>
        <w:t xml:space="preserve"> Journal of Nutrition, 1991. </w:t>
      </w:r>
      <w:r w:rsidRPr="00330CF1">
        <w:rPr>
          <w:rFonts w:ascii="Arial" w:hAnsi="Arial" w:cs="Arial"/>
          <w:b/>
          <w:noProof/>
        </w:rPr>
        <w:t>121</w:t>
      </w:r>
      <w:r w:rsidRPr="00330CF1">
        <w:rPr>
          <w:rFonts w:ascii="Arial" w:hAnsi="Arial" w:cs="Arial"/>
          <w:noProof/>
        </w:rPr>
        <w:t>(11): p. S122-S123.</w:t>
      </w:r>
      <w:bookmarkEnd w:id="115"/>
    </w:p>
    <w:p w:rsidR="00330CF1" w:rsidRPr="00330CF1" w:rsidRDefault="00330CF1" w:rsidP="0009286C">
      <w:pPr>
        <w:ind w:left="720" w:hanging="720"/>
        <w:rPr>
          <w:rFonts w:ascii="Arial" w:hAnsi="Arial" w:cs="Arial"/>
          <w:noProof/>
        </w:rPr>
      </w:pPr>
      <w:bookmarkStart w:id="116" w:name="_ENREF_55"/>
      <w:r w:rsidRPr="00330CF1">
        <w:rPr>
          <w:rFonts w:ascii="Arial" w:hAnsi="Arial" w:cs="Arial"/>
          <w:noProof/>
        </w:rPr>
        <w:t>55.</w:t>
      </w:r>
      <w:r w:rsidRPr="00330CF1">
        <w:rPr>
          <w:rFonts w:ascii="Arial" w:hAnsi="Arial" w:cs="Arial"/>
          <w:noProof/>
        </w:rPr>
        <w:tab/>
        <w:t xml:space="preserve">Munday, H.S., K.E. Earle, and P. Anderson, </w:t>
      </w:r>
      <w:r w:rsidRPr="00330CF1">
        <w:rPr>
          <w:rFonts w:ascii="Arial" w:hAnsi="Arial" w:cs="Arial"/>
          <w:i/>
          <w:noProof/>
        </w:rPr>
        <w:t>Changes in the Body Composition of the Domestic Shorthaired Cat During Growth and Development.</w:t>
      </w:r>
      <w:r w:rsidRPr="00330CF1">
        <w:rPr>
          <w:rFonts w:ascii="Arial" w:hAnsi="Arial" w:cs="Arial"/>
          <w:noProof/>
        </w:rPr>
        <w:t xml:space="preserve"> Journal of Nutrition, 1994. </w:t>
      </w:r>
      <w:r w:rsidRPr="00330CF1">
        <w:rPr>
          <w:rFonts w:ascii="Arial" w:hAnsi="Arial" w:cs="Arial"/>
          <w:b/>
          <w:noProof/>
        </w:rPr>
        <w:t>124</w:t>
      </w:r>
      <w:r w:rsidRPr="00330CF1">
        <w:rPr>
          <w:rFonts w:ascii="Arial" w:hAnsi="Arial" w:cs="Arial"/>
          <w:noProof/>
        </w:rPr>
        <w:t>: p. 2622S-2623S.</w:t>
      </w:r>
      <w:bookmarkEnd w:id="116"/>
    </w:p>
    <w:p w:rsidR="00330CF1" w:rsidRPr="00330CF1" w:rsidRDefault="00330CF1" w:rsidP="0009286C">
      <w:pPr>
        <w:ind w:left="720" w:hanging="720"/>
        <w:rPr>
          <w:rFonts w:ascii="Arial" w:hAnsi="Arial" w:cs="Arial"/>
          <w:noProof/>
        </w:rPr>
      </w:pPr>
      <w:bookmarkStart w:id="117" w:name="_ENREF_56"/>
      <w:r w:rsidRPr="00330CF1">
        <w:rPr>
          <w:rFonts w:ascii="Arial" w:hAnsi="Arial" w:cs="Arial"/>
          <w:noProof/>
        </w:rPr>
        <w:t>56.</w:t>
      </w:r>
      <w:r w:rsidRPr="00330CF1">
        <w:rPr>
          <w:rFonts w:ascii="Arial" w:hAnsi="Arial" w:cs="Arial"/>
          <w:noProof/>
        </w:rPr>
        <w:tab/>
        <w:t xml:space="preserve">Lauten, S.D., et al., </w:t>
      </w:r>
      <w:r w:rsidRPr="00330CF1">
        <w:rPr>
          <w:rFonts w:ascii="Arial" w:hAnsi="Arial" w:cs="Arial"/>
          <w:i/>
          <w:noProof/>
        </w:rPr>
        <w:t>Body composition of growing and adult cats as measured by use of dual energy X-ray absorptiometry.</w:t>
      </w:r>
      <w:r w:rsidRPr="00330CF1">
        <w:rPr>
          <w:rFonts w:ascii="Arial" w:hAnsi="Arial" w:cs="Arial"/>
          <w:noProof/>
        </w:rPr>
        <w:t xml:space="preserve"> Comparative Medicine, 2000. </w:t>
      </w:r>
      <w:r w:rsidRPr="00330CF1">
        <w:rPr>
          <w:rFonts w:ascii="Arial" w:hAnsi="Arial" w:cs="Arial"/>
          <w:b/>
          <w:noProof/>
        </w:rPr>
        <w:t>50</w:t>
      </w:r>
      <w:r w:rsidRPr="00330CF1">
        <w:rPr>
          <w:rFonts w:ascii="Arial" w:hAnsi="Arial" w:cs="Arial"/>
          <w:noProof/>
        </w:rPr>
        <w:t>(2): p. 175-183.</w:t>
      </w:r>
      <w:bookmarkEnd w:id="117"/>
    </w:p>
    <w:p w:rsidR="00330CF1" w:rsidRPr="00330CF1" w:rsidRDefault="00330CF1" w:rsidP="0009286C">
      <w:pPr>
        <w:ind w:left="720" w:hanging="720"/>
        <w:rPr>
          <w:rFonts w:ascii="Arial" w:hAnsi="Arial" w:cs="Arial"/>
          <w:noProof/>
        </w:rPr>
      </w:pPr>
      <w:bookmarkStart w:id="118" w:name="_ENREF_57"/>
      <w:r w:rsidRPr="00330CF1">
        <w:rPr>
          <w:rFonts w:ascii="Arial" w:hAnsi="Arial" w:cs="Arial"/>
          <w:noProof/>
        </w:rPr>
        <w:t>57.</w:t>
      </w:r>
      <w:r w:rsidRPr="00330CF1">
        <w:rPr>
          <w:rFonts w:ascii="Arial" w:hAnsi="Arial" w:cs="Arial"/>
          <w:noProof/>
        </w:rPr>
        <w:tab/>
        <w:t xml:space="preserve">National Research Council (U.S.) Subcommittee on Cat Nutrition, </w:t>
      </w:r>
      <w:r w:rsidRPr="00330CF1">
        <w:rPr>
          <w:rFonts w:ascii="Arial" w:hAnsi="Arial" w:cs="Arial"/>
          <w:i/>
          <w:noProof/>
        </w:rPr>
        <w:t>Nutrient Requirements of cats</w:t>
      </w:r>
      <w:r w:rsidRPr="00330CF1">
        <w:rPr>
          <w:rFonts w:ascii="Arial" w:hAnsi="Arial" w:cs="Arial"/>
          <w:noProof/>
        </w:rPr>
        <w:t xml:space="preserve"> 1986 Rev. ed., Washington, D.C.: National Academy Press.</w:t>
      </w:r>
      <w:bookmarkEnd w:id="118"/>
    </w:p>
    <w:p w:rsidR="00330CF1" w:rsidRPr="00330CF1" w:rsidRDefault="00330CF1" w:rsidP="0009286C">
      <w:pPr>
        <w:ind w:left="720" w:hanging="720"/>
        <w:rPr>
          <w:rFonts w:ascii="Arial" w:hAnsi="Arial" w:cs="Arial"/>
          <w:noProof/>
        </w:rPr>
      </w:pPr>
      <w:bookmarkStart w:id="119" w:name="_ENREF_58"/>
      <w:r w:rsidRPr="00330CF1">
        <w:rPr>
          <w:rFonts w:ascii="Arial" w:hAnsi="Arial" w:cs="Arial"/>
          <w:noProof/>
        </w:rPr>
        <w:t>58.</w:t>
      </w:r>
      <w:r w:rsidRPr="00330CF1">
        <w:rPr>
          <w:rFonts w:ascii="Arial" w:hAnsi="Arial" w:cs="Arial"/>
          <w:noProof/>
        </w:rPr>
        <w:tab/>
        <w:t xml:space="preserve">Buddington, R.K., </w:t>
      </w:r>
      <w:r w:rsidRPr="00330CF1">
        <w:rPr>
          <w:rFonts w:ascii="Arial" w:hAnsi="Arial" w:cs="Arial"/>
          <w:i/>
          <w:noProof/>
        </w:rPr>
        <w:t>Nutrition and ontogenic development of the intestine.</w:t>
      </w:r>
      <w:r w:rsidRPr="00330CF1">
        <w:rPr>
          <w:rFonts w:ascii="Arial" w:hAnsi="Arial" w:cs="Arial"/>
          <w:noProof/>
        </w:rPr>
        <w:t xml:space="preserve"> Canadian Journal of Physiology and Pharmacology, 1994. </w:t>
      </w:r>
      <w:r w:rsidRPr="00330CF1">
        <w:rPr>
          <w:rFonts w:ascii="Arial" w:hAnsi="Arial" w:cs="Arial"/>
          <w:b/>
          <w:noProof/>
        </w:rPr>
        <w:t>72</w:t>
      </w:r>
      <w:r w:rsidRPr="00330CF1">
        <w:rPr>
          <w:rFonts w:ascii="Arial" w:hAnsi="Arial" w:cs="Arial"/>
          <w:noProof/>
        </w:rPr>
        <w:t>(3): p. 251-259.</w:t>
      </w:r>
      <w:bookmarkEnd w:id="119"/>
    </w:p>
    <w:p w:rsidR="00330CF1" w:rsidRPr="00330CF1" w:rsidRDefault="00330CF1" w:rsidP="0009286C">
      <w:pPr>
        <w:ind w:left="720" w:hanging="720"/>
        <w:rPr>
          <w:rFonts w:ascii="Arial" w:hAnsi="Arial" w:cs="Arial"/>
          <w:noProof/>
        </w:rPr>
      </w:pPr>
      <w:bookmarkStart w:id="120" w:name="_ENREF_59"/>
      <w:r w:rsidRPr="00330CF1">
        <w:rPr>
          <w:rFonts w:ascii="Arial" w:hAnsi="Arial" w:cs="Arial"/>
          <w:noProof/>
        </w:rPr>
        <w:t>59.</w:t>
      </w:r>
      <w:r w:rsidRPr="00330CF1">
        <w:rPr>
          <w:rFonts w:ascii="Arial" w:hAnsi="Arial" w:cs="Arial"/>
          <w:noProof/>
        </w:rPr>
        <w:tab/>
        <w:t xml:space="preserve">Berseth, C.L., </w:t>
      </w:r>
      <w:r w:rsidRPr="00330CF1">
        <w:rPr>
          <w:rFonts w:ascii="Arial" w:hAnsi="Arial" w:cs="Arial"/>
          <w:i/>
          <w:noProof/>
        </w:rPr>
        <w:t>Neonatal small intestinal motility - motor-responses to feeding in term and pre-term infants.</w:t>
      </w:r>
      <w:r w:rsidRPr="00330CF1">
        <w:rPr>
          <w:rFonts w:ascii="Arial" w:hAnsi="Arial" w:cs="Arial"/>
          <w:noProof/>
        </w:rPr>
        <w:t xml:space="preserve"> Journal of Pediatrics, 1990. </w:t>
      </w:r>
      <w:r w:rsidRPr="00330CF1">
        <w:rPr>
          <w:rFonts w:ascii="Arial" w:hAnsi="Arial" w:cs="Arial"/>
          <w:b/>
          <w:noProof/>
        </w:rPr>
        <w:t>117</w:t>
      </w:r>
      <w:r w:rsidRPr="00330CF1">
        <w:rPr>
          <w:rFonts w:ascii="Arial" w:hAnsi="Arial" w:cs="Arial"/>
          <w:noProof/>
        </w:rPr>
        <w:t>(5): p. 777-782.</w:t>
      </w:r>
      <w:bookmarkEnd w:id="120"/>
    </w:p>
    <w:p w:rsidR="00330CF1" w:rsidRPr="00330CF1" w:rsidRDefault="00330CF1" w:rsidP="0009286C">
      <w:pPr>
        <w:ind w:left="720" w:hanging="720"/>
        <w:rPr>
          <w:rFonts w:ascii="Arial" w:hAnsi="Arial" w:cs="Arial"/>
          <w:noProof/>
        </w:rPr>
      </w:pPr>
      <w:bookmarkStart w:id="121" w:name="_ENREF_60"/>
      <w:r w:rsidRPr="00330CF1">
        <w:rPr>
          <w:rFonts w:ascii="Arial" w:hAnsi="Arial" w:cs="Arial"/>
          <w:noProof/>
        </w:rPr>
        <w:t>60.</w:t>
      </w:r>
      <w:r w:rsidRPr="00330CF1">
        <w:rPr>
          <w:rFonts w:ascii="Arial" w:hAnsi="Arial" w:cs="Arial"/>
          <w:noProof/>
        </w:rPr>
        <w:tab/>
        <w:t xml:space="preserve">Crissinger, K.D. and D.L. Burney, </w:t>
      </w:r>
      <w:r w:rsidRPr="00330CF1">
        <w:rPr>
          <w:rFonts w:ascii="Arial" w:hAnsi="Arial" w:cs="Arial"/>
          <w:i/>
          <w:noProof/>
        </w:rPr>
        <w:t>Postprandial hemodynamics and oxygenation in developing piglet intestine.</w:t>
      </w:r>
      <w:r w:rsidRPr="00330CF1">
        <w:rPr>
          <w:rFonts w:ascii="Arial" w:hAnsi="Arial" w:cs="Arial"/>
          <w:noProof/>
        </w:rPr>
        <w:t xml:space="preserve"> American Journal of Physiology, 1991. </w:t>
      </w:r>
      <w:r w:rsidRPr="00330CF1">
        <w:rPr>
          <w:rFonts w:ascii="Arial" w:hAnsi="Arial" w:cs="Arial"/>
          <w:b/>
          <w:noProof/>
        </w:rPr>
        <w:t>260</w:t>
      </w:r>
      <w:r w:rsidRPr="00330CF1">
        <w:rPr>
          <w:rFonts w:ascii="Arial" w:hAnsi="Arial" w:cs="Arial"/>
          <w:noProof/>
        </w:rPr>
        <w:t>(6): p. G951-G957.</w:t>
      </w:r>
      <w:bookmarkEnd w:id="121"/>
    </w:p>
    <w:p w:rsidR="00330CF1" w:rsidRPr="00330CF1" w:rsidRDefault="00330CF1" w:rsidP="0009286C">
      <w:pPr>
        <w:ind w:left="720" w:hanging="720"/>
        <w:rPr>
          <w:rFonts w:ascii="Arial" w:hAnsi="Arial" w:cs="Arial"/>
          <w:noProof/>
        </w:rPr>
      </w:pPr>
      <w:bookmarkStart w:id="122" w:name="_ENREF_61"/>
      <w:r w:rsidRPr="00330CF1">
        <w:rPr>
          <w:rFonts w:ascii="Arial" w:hAnsi="Arial" w:cs="Arial"/>
          <w:noProof/>
        </w:rPr>
        <w:t>61.</w:t>
      </w:r>
      <w:r w:rsidRPr="00330CF1">
        <w:rPr>
          <w:rFonts w:ascii="Arial" w:hAnsi="Arial" w:cs="Arial"/>
          <w:noProof/>
        </w:rPr>
        <w:tab/>
        <w:t xml:space="preserve">Lucas, A., </w:t>
      </w:r>
      <w:r w:rsidRPr="00330CF1">
        <w:rPr>
          <w:rFonts w:ascii="Arial" w:hAnsi="Arial" w:cs="Arial"/>
          <w:i/>
          <w:noProof/>
        </w:rPr>
        <w:t>Gut Hormones and the Adaptation to Extrauterine Nutrition</w:t>
      </w:r>
      <w:r w:rsidRPr="00330CF1">
        <w:rPr>
          <w:rFonts w:ascii="Arial" w:hAnsi="Arial" w:cs="Arial"/>
          <w:noProof/>
        </w:rPr>
        <w:t xml:space="preserve">, in </w:t>
      </w:r>
      <w:r w:rsidRPr="00330CF1">
        <w:rPr>
          <w:rFonts w:ascii="Arial" w:hAnsi="Arial" w:cs="Arial"/>
          <w:i/>
          <w:noProof/>
        </w:rPr>
        <w:t>Harries Paediatric Gastroenterology</w:t>
      </w:r>
      <w:r w:rsidRPr="00330CF1">
        <w:rPr>
          <w:rFonts w:ascii="Arial" w:hAnsi="Arial" w:cs="Arial"/>
          <w:noProof/>
        </w:rPr>
        <w:t>, P.J. Milla and D.P.R. Muller, Editors. 1988, Churchill Livingstone: New York. p. 302-317.</w:t>
      </w:r>
      <w:bookmarkEnd w:id="122"/>
    </w:p>
    <w:p w:rsidR="00330CF1" w:rsidRPr="00330CF1" w:rsidRDefault="00330CF1" w:rsidP="0009286C">
      <w:pPr>
        <w:ind w:left="720" w:hanging="720"/>
        <w:rPr>
          <w:rFonts w:ascii="Arial" w:hAnsi="Arial" w:cs="Arial"/>
          <w:noProof/>
        </w:rPr>
      </w:pPr>
      <w:bookmarkStart w:id="123" w:name="_ENREF_62"/>
      <w:r w:rsidRPr="00330CF1">
        <w:rPr>
          <w:rFonts w:ascii="Arial" w:hAnsi="Arial" w:cs="Arial"/>
          <w:noProof/>
        </w:rPr>
        <w:t>62.</w:t>
      </w:r>
      <w:r w:rsidRPr="00330CF1">
        <w:rPr>
          <w:rFonts w:ascii="Arial" w:hAnsi="Arial" w:cs="Arial"/>
          <w:noProof/>
        </w:rPr>
        <w:tab/>
        <w:t xml:space="preserve">Stoddart, R.W. and E.M. Widdowson, </w:t>
      </w:r>
      <w:r w:rsidRPr="00330CF1">
        <w:rPr>
          <w:rFonts w:ascii="Arial" w:hAnsi="Arial" w:cs="Arial"/>
          <w:i/>
          <w:noProof/>
        </w:rPr>
        <w:t>Changes in organs of pigs in response to feeding for 1st 24 hours after birth.</w:t>
      </w:r>
      <w:r w:rsidRPr="00330CF1">
        <w:rPr>
          <w:rFonts w:ascii="Arial" w:hAnsi="Arial" w:cs="Arial"/>
          <w:noProof/>
        </w:rPr>
        <w:t xml:space="preserve"> Biology of the Neonate, 1976. </w:t>
      </w:r>
      <w:r w:rsidRPr="00330CF1">
        <w:rPr>
          <w:rFonts w:ascii="Arial" w:hAnsi="Arial" w:cs="Arial"/>
          <w:b/>
          <w:noProof/>
        </w:rPr>
        <w:t>29</w:t>
      </w:r>
      <w:r w:rsidRPr="00330CF1">
        <w:rPr>
          <w:rFonts w:ascii="Arial" w:hAnsi="Arial" w:cs="Arial"/>
          <w:noProof/>
        </w:rPr>
        <w:t>(1-2): p. 18-27.</w:t>
      </w:r>
      <w:bookmarkEnd w:id="123"/>
    </w:p>
    <w:p w:rsidR="00330CF1" w:rsidRPr="00330CF1" w:rsidRDefault="00330CF1" w:rsidP="0009286C">
      <w:pPr>
        <w:ind w:left="720" w:hanging="720"/>
        <w:rPr>
          <w:rFonts w:ascii="Arial" w:hAnsi="Arial" w:cs="Arial"/>
          <w:noProof/>
        </w:rPr>
      </w:pPr>
      <w:bookmarkStart w:id="124" w:name="_ENREF_63"/>
      <w:r w:rsidRPr="00330CF1">
        <w:rPr>
          <w:rFonts w:ascii="Arial" w:hAnsi="Arial" w:cs="Arial"/>
          <w:noProof/>
        </w:rPr>
        <w:t>63.</w:t>
      </w:r>
      <w:r w:rsidRPr="00330CF1">
        <w:rPr>
          <w:rFonts w:ascii="Arial" w:hAnsi="Arial" w:cs="Arial"/>
          <w:noProof/>
        </w:rPr>
        <w:tab/>
        <w:t xml:space="preserve">Kelly, D., et al., </w:t>
      </w:r>
      <w:r w:rsidRPr="00330CF1">
        <w:rPr>
          <w:rFonts w:ascii="Arial" w:hAnsi="Arial" w:cs="Arial"/>
          <w:i/>
          <w:noProof/>
        </w:rPr>
        <w:t>Effect of lactation on the decline of brush-border lactase activity in neonatal pigs.</w:t>
      </w:r>
      <w:r w:rsidRPr="00330CF1">
        <w:rPr>
          <w:rFonts w:ascii="Arial" w:hAnsi="Arial" w:cs="Arial"/>
          <w:noProof/>
        </w:rPr>
        <w:t xml:space="preserve"> Gut, 1991. </w:t>
      </w:r>
      <w:r w:rsidRPr="00330CF1">
        <w:rPr>
          <w:rFonts w:ascii="Arial" w:hAnsi="Arial" w:cs="Arial"/>
          <w:b/>
          <w:noProof/>
        </w:rPr>
        <w:t>32</w:t>
      </w:r>
      <w:r w:rsidRPr="00330CF1">
        <w:rPr>
          <w:rFonts w:ascii="Arial" w:hAnsi="Arial" w:cs="Arial"/>
          <w:noProof/>
        </w:rPr>
        <w:t>(4): p. 386-392.</w:t>
      </w:r>
      <w:bookmarkEnd w:id="124"/>
    </w:p>
    <w:p w:rsidR="00330CF1" w:rsidRPr="00330CF1" w:rsidRDefault="00330CF1" w:rsidP="0009286C">
      <w:pPr>
        <w:ind w:left="720" w:hanging="720"/>
        <w:rPr>
          <w:rFonts w:ascii="Arial" w:hAnsi="Arial" w:cs="Arial"/>
          <w:noProof/>
        </w:rPr>
      </w:pPr>
      <w:bookmarkStart w:id="125" w:name="_ENREF_64"/>
      <w:r w:rsidRPr="00330CF1">
        <w:rPr>
          <w:rFonts w:ascii="Arial" w:hAnsi="Arial" w:cs="Arial"/>
          <w:noProof/>
        </w:rPr>
        <w:t>64.</w:t>
      </w:r>
      <w:r w:rsidRPr="00330CF1">
        <w:rPr>
          <w:rFonts w:ascii="Arial" w:hAnsi="Arial" w:cs="Arial"/>
          <w:noProof/>
        </w:rPr>
        <w:tab/>
        <w:t xml:space="preserve">Buddington, R.K. and J. Diamond, </w:t>
      </w:r>
      <w:r w:rsidRPr="00330CF1">
        <w:rPr>
          <w:rFonts w:ascii="Arial" w:hAnsi="Arial" w:cs="Arial"/>
          <w:i/>
          <w:noProof/>
        </w:rPr>
        <w:t>Ontogenic development of nutrient transporters in cat intestine.</w:t>
      </w:r>
      <w:r w:rsidRPr="00330CF1">
        <w:rPr>
          <w:rFonts w:ascii="Arial" w:hAnsi="Arial" w:cs="Arial"/>
          <w:noProof/>
        </w:rPr>
        <w:t xml:space="preserve"> American Journal of Physiology, 1992. </w:t>
      </w:r>
      <w:r w:rsidRPr="00330CF1">
        <w:rPr>
          <w:rFonts w:ascii="Arial" w:hAnsi="Arial" w:cs="Arial"/>
          <w:b/>
          <w:noProof/>
        </w:rPr>
        <w:t>263</w:t>
      </w:r>
      <w:r w:rsidRPr="00330CF1">
        <w:rPr>
          <w:rFonts w:ascii="Arial" w:hAnsi="Arial" w:cs="Arial"/>
          <w:noProof/>
        </w:rPr>
        <w:t>(5): p. G605-G616.</w:t>
      </w:r>
      <w:bookmarkEnd w:id="125"/>
    </w:p>
    <w:p w:rsidR="00330CF1" w:rsidRPr="00330CF1" w:rsidRDefault="00330CF1" w:rsidP="0009286C">
      <w:pPr>
        <w:ind w:left="720" w:hanging="720"/>
        <w:rPr>
          <w:rFonts w:ascii="Arial" w:hAnsi="Arial" w:cs="Arial"/>
          <w:noProof/>
        </w:rPr>
      </w:pPr>
      <w:bookmarkStart w:id="126" w:name="_ENREF_65"/>
      <w:r w:rsidRPr="00330CF1">
        <w:rPr>
          <w:rFonts w:ascii="Arial" w:hAnsi="Arial" w:cs="Arial"/>
          <w:noProof/>
        </w:rPr>
        <w:t>65.</w:t>
      </w:r>
      <w:r w:rsidRPr="00330CF1">
        <w:rPr>
          <w:rFonts w:ascii="Arial" w:hAnsi="Arial" w:cs="Arial"/>
          <w:noProof/>
        </w:rPr>
        <w:tab/>
        <w:t xml:space="preserve">Harper, E.J. and C.L. Turner, </w:t>
      </w:r>
      <w:r w:rsidRPr="00330CF1">
        <w:rPr>
          <w:rFonts w:ascii="Arial" w:hAnsi="Arial" w:cs="Arial"/>
          <w:i/>
          <w:noProof/>
        </w:rPr>
        <w:t>Age-related changes in apparent digestibility in growing kittens.</w:t>
      </w:r>
      <w:r w:rsidRPr="00330CF1">
        <w:rPr>
          <w:rFonts w:ascii="Arial" w:hAnsi="Arial" w:cs="Arial"/>
          <w:noProof/>
        </w:rPr>
        <w:t xml:space="preserve"> Reproduction Nutrition Development, 2000. </w:t>
      </w:r>
      <w:r w:rsidRPr="00330CF1">
        <w:rPr>
          <w:rFonts w:ascii="Arial" w:hAnsi="Arial" w:cs="Arial"/>
          <w:b/>
          <w:noProof/>
        </w:rPr>
        <w:t>40</w:t>
      </w:r>
      <w:r w:rsidRPr="00330CF1">
        <w:rPr>
          <w:rFonts w:ascii="Arial" w:hAnsi="Arial" w:cs="Arial"/>
          <w:noProof/>
        </w:rPr>
        <w:t>(3): p. 249-260.</w:t>
      </w:r>
      <w:bookmarkEnd w:id="126"/>
    </w:p>
    <w:p w:rsidR="00330CF1" w:rsidRPr="00330CF1" w:rsidRDefault="00330CF1" w:rsidP="0009286C">
      <w:pPr>
        <w:ind w:left="720" w:hanging="720"/>
        <w:rPr>
          <w:rFonts w:ascii="Arial" w:hAnsi="Arial" w:cs="Arial"/>
          <w:noProof/>
        </w:rPr>
      </w:pPr>
      <w:bookmarkStart w:id="127" w:name="_ENREF_66"/>
      <w:r w:rsidRPr="00330CF1">
        <w:rPr>
          <w:rFonts w:ascii="Arial" w:hAnsi="Arial" w:cs="Arial"/>
          <w:noProof/>
        </w:rPr>
        <w:t>66.</w:t>
      </w:r>
      <w:r w:rsidRPr="00330CF1">
        <w:rPr>
          <w:rFonts w:ascii="Arial" w:hAnsi="Arial" w:cs="Arial"/>
          <w:noProof/>
        </w:rPr>
        <w:tab/>
        <w:t xml:space="preserve">Wang, C.S., et al., </w:t>
      </w:r>
      <w:r w:rsidRPr="00330CF1">
        <w:rPr>
          <w:rFonts w:ascii="Arial" w:hAnsi="Arial" w:cs="Arial"/>
          <w:i/>
          <w:noProof/>
        </w:rPr>
        <w:t>Bile-sale activated lipase - effect on kitten growth-rate. .</w:t>
      </w:r>
      <w:r w:rsidRPr="00330CF1">
        <w:rPr>
          <w:rFonts w:ascii="Arial" w:hAnsi="Arial" w:cs="Arial"/>
          <w:noProof/>
        </w:rPr>
        <w:t xml:space="preserve"> American Journal of Clinical Nutrition, 1989. </w:t>
      </w:r>
      <w:r w:rsidRPr="00330CF1">
        <w:rPr>
          <w:rFonts w:ascii="Arial" w:hAnsi="Arial" w:cs="Arial"/>
          <w:b/>
          <w:noProof/>
        </w:rPr>
        <w:t>49</w:t>
      </w:r>
      <w:r w:rsidRPr="00330CF1">
        <w:rPr>
          <w:rFonts w:ascii="Arial" w:hAnsi="Arial" w:cs="Arial"/>
          <w:noProof/>
        </w:rPr>
        <w:t>(3): p. 457-463.</w:t>
      </w:r>
      <w:bookmarkEnd w:id="127"/>
    </w:p>
    <w:p w:rsidR="00330CF1" w:rsidRPr="00330CF1" w:rsidRDefault="00330CF1" w:rsidP="0009286C">
      <w:pPr>
        <w:ind w:left="720" w:hanging="720"/>
        <w:rPr>
          <w:rFonts w:ascii="Arial" w:hAnsi="Arial" w:cs="Arial"/>
          <w:noProof/>
        </w:rPr>
      </w:pPr>
      <w:bookmarkStart w:id="128" w:name="_ENREF_67"/>
      <w:r w:rsidRPr="00330CF1">
        <w:rPr>
          <w:rFonts w:ascii="Arial" w:hAnsi="Arial" w:cs="Arial"/>
          <w:noProof/>
        </w:rPr>
        <w:t>67.</w:t>
      </w:r>
      <w:r w:rsidRPr="00330CF1">
        <w:rPr>
          <w:rFonts w:ascii="Arial" w:hAnsi="Arial" w:cs="Arial"/>
          <w:noProof/>
        </w:rPr>
        <w:tab/>
        <w:t xml:space="preserve">Buddington, R.K., J.W. Chen, and J.M. Diamond, </w:t>
      </w:r>
      <w:r w:rsidRPr="00330CF1">
        <w:rPr>
          <w:rFonts w:ascii="Arial" w:hAnsi="Arial" w:cs="Arial"/>
          <w:i/>
          <w:noProof/>
        </w:rPr>
        <w:t>Dietary-regulation of intestinal brush-border sugar and amino-acid-transport in carnivores. .</w:t>
      </w:r>
      <w:r w:rsidRPr="00330CF1">
        <w:rPr>
          <w:rFonts w:ascii="Arial" w:hAnsi="Arial" w:cs="Arial"/>
          <w:noProof/>
        </w:rPr>
        <w:t xml:space="preserve"> American Journal of Physiology, 1991. </w:t>
      </w:r>
      <w:r w:rsidRPr="00330CF1">
        <w:rPr>
          <w:rFonts w:ascii="Arial" w:hAnsi="Arial" w:cs="Arial"/>
          <w:b/>
          <w:noProof/>
        </w:rPr>
        <w:t>261</w:t>
      </w:r>
      <w:r w:rsidRPr="00330CF1">
        <w:rPr>
          <w:rFonts w:ascii="Arial" w:hAnsi="Arial" w:cs="Arial"/>
          <w:noProof/>
        </w:rPr>
        <w:t>(4): p. R793-R801.</w:t>
      </w:r>
      <w:bookmarkEnd w:id="128"/>
    </w:p>
    <w:p w:rsidR="00330CF1" w:rsidRPr="00330CF1" w:rsidRDefault="00330CF1" w:rsidP="0009286C">
      <w:pPr>
        <w:ind w:left="720" w:hanging="720"/>
        <w:rPr>
          <w:rFonts w:ascii="Arial" w:hAnsi="Arial" w:cs="Arial"/>
          <w:noProof/>
        </w:rPr>
      </w:pPr>
      <w:bookmarkStart w:id="129" w:name="_ENREF_68"/>
      <w:r w:rsidRPr="00330CF1">
        <w:rPr>
          <w:rFonts w:ascii="Arial" w:hAnsi="Arial" w:cs="Arial"/>
          <w:noProof/>
        </w:rPr>
        <w:lastRenderedPageBreak/>
        <w:t>68.</w:t>
      </w:r>
      <w:r w:rsidRPr="00330CF1">
        <w:rPr>
          <w:rFonts w:ascii="Arial" w:hAnsi="Arial" w:cs="Arial"/>
          <w:noProof/>
        </w:rPr>
        <w:tab/>
        <w:t xml:space="preserve">Chandler, M.L., </w:t>
      </w:r>
      <w:r w:rsidRPr="00330CF1">
        <w:rPr>
          <w:rFonts w:ascii="Arial" w:hAnsi="Arial" w:cs="Arial"/>
          <w:i/>
          <w:noProof/>
        </w:rPr>
        <w:t>Pediatric Normal Blood Values</w:t>
      </w:r>
      <w:r w:rsidRPr="00330CF1">
        <w:rPr>
          <w:rFonts w:ascii="Arial" w:hAnsi="Arial" w:cs="Arial"/>
          <w:noProof/>
        </w:rPr>
        <w:t xml:space="preserve">, in </w:t>
      </w:r>
      <w:r w:rsidRPr="00330CF1">
        <w:rPr>
          <w:rFonts w:ascii="Arial" w:hAnsi="Arial" w:cs="Arial"/>
          <w:i/>
          <w:noProof/>
        </w:rPr>
        <w:t>Current Veterinary Therapy XI</w:t>
      </w:r>
      <w:r w:rsidRPr="00330CF1">
        <w:rPr>
          <w:rFonts w:ascii="Arial" w:hAnsi="Arial" w:cs="Arial"/>
          <w:noProof/>
        </w:rPr>
        <w:t>, R.W. Kirk and J.D. Bongura, Editors. 1992, WB Saunders: Philadelphia. p. 981-984.</w:t>
      </w:r>
      <w:bookmarkEnd w:id="129"/>
    </w:p>
    <w:p w:rsidR="00330CF1" w:rsidRPr="00330CF1" w:rsidRDefault="00330CF1" w:rsidP="0009286C">
      <w:pPr>
        <w:ind w:left="720" w:hanging="720"/>
        <w:rPr>
          <w:rFonts w:ascii="Arial" w:hAnsi="Arial" w:cs="Arial"/>
          <w:noProof/>
        </w:rPr>
      </w:pPr>
      <w:bookmarkStart w:id="130" w:name="_ENREF_69"/>
      <w:r w:rsidRPr="00330CF1">
        <w:rPr>
          <w:rFonts w:ascii="Arial" w:hAnsi="Arial" w:cs="Arial"/>
          <w:noProof/>
        </w:rPr>
        <w:t>69.</w:t>
      </w:r>
      <w:r w:rsidRPr="00330CF1">
        <w:rPr>
          <w:rFonts w:ascii="Arial" w:hAnsi="Arial" w:cs="Arial"/>
          <w:noProof/>
        </w:rPr>
        <w:tab/>
        <w:t xml:space="preserve">Meyerswallen, V.N., M.E. Haskins, and D.F. Patterson, </w:t>
      </w:r>
      <w:r w:rsidRPr="00330CF1">
        <w:rPr>
          <w:rFonts w:ascii="Arial" w:hAnsi="Arial" w:cs="Arial"/>
          <w:i/>
          <w:noProof/>
        </w:rPr>
        <w:t>Hematologic values in healthy neonatal, weanling, and juvenile kittens. .</w:t>
      </w:r>
      <w:r w:rsidRPr="00330CF1">
        <w:rPr>
          <w:rFonts w:ascii="Arial" w:hAnsi="Arial" w:cs="Arial"/>
          <w:noProof/>
        </w:rPr>
        <w:t xml:space="preserve"> American Journal of Veterinary Research, 1984. </w:t>
      </w:r>
      <w:r w:rsidRPr="00330CF1">
        <w:rPr>
          <w:rFonts w:ascii="Arial" w:hAnsi="Arial" w:cs="Arial"/>
          <w:b/>
          <w:noProof/>
        </w:rPr>
        <w:t>45</w:t>
      </w:r>
      <w:r w:rsidRPr="00330CF1">
        <w:rPr>
          <w:rFonts w:ascii="Arial" w:hAnsi="Arial" w:cs="Arial"/>
          <w:noProof/>
        </w:rPr>
        <w:t>(7): p. 1322-1327.</w:t>
      </w:r>
      <w:bookmarkEnd w:id="130"/>
    </w:p>
    <w:p w:rsidR="00330CF1" w:rsidRPr="00330CF1" w:rsidRDefault="00330CF1" w:rsidP="0009286C">
      <w:pPr>
        <w:ind w:left="720" w:hanging="720"/>
        <w:rPr>
          <w:rFonts w:ascii="Arial" w:hAnsi="Arial" w:cs="Arial"/>
          <w:noProof/>
        </w:rPr>
      </w:pPr>
      <w:bookmarkStart w:id="131" w:name="_ENREF_70"/>
      <w:r w:rsidRPr="00330CF1">
        <w:rPr>
          <w:rFonts w:ascii="Arial" w:hAnsi="Arial" w:cs="Arial"/>
          <w:noProof/>
        </w:rPr>
        <w:t>70.</w:t>
      </w:r>
      <w:r w:rsidRPr="00330CF1">
        <w:rPr>
          <w:rFonts w:ascii="Arial" w:hAnsi="Arial" w:cs="Arial"/>
          <w:noProof/>
        </w:rPr>
        <w:tab/>
        <w:t xml:space="preserve">Keen, C.L., et al., </w:t>
      </w:r>
      <w:r w:rsidRPr="00330CF1">
        <w:rPr>
          <w:rFonts w:ascii="Arial" w:hAnsi="Arial" w:cs="Arial"/>
          <w:i/>
          <w:noProof/>
        </w:rPr>
        <w:t>Developmental-changes in composition of cat's milk - trace-elements, minerals, protein, carbohydrate and fat. .</w:t>
      </w:r>
      <w:r w:rsidRPr="00330CF1">
        <w:rPr>
          <w:rFonts w:ascii="Arial" w:hAnsi="Arial" w:cs="Arial"/>
          <w:noProof/>
        </w:rPr>
        <w:t xml:space="preserve"> Journal of Nutrition, 1982. </w:t>
      </w:r>
      <w:r w:rsidRPr="00330CF1">
        <w:rPr>
          <w:rFonts w:ascii="Arial" w:hAnsi="Arial" w:cs="Arial"/>
          <w:b/>
          <w:noProof/>
        </w:rPr>
        <w:t>112</w:t>
      </w:r>
      <w:r w:rsidRPr="00330CF1">
        <w:rPr>
          <w:rFonts w:ascii="Arial" w:hAnsi="Arial" w:cs="Arial"/>
          <w:noProof/>
        </w:rPr>
        <w:t>(9): p. 1763-1769.</w:t>
      </w:r>
      <w:bookmarkEnd w:id="131"/>
    </w:p>
    <w:p w:rsidR="00330CF1" w:rsidRPr="00330CF1" w:rsidRDefault="00330CF1" w:rsidP="0009286C">
      <w:pPr>
        <w:ind w:left="720" w:hanging="720"/>
        <w:rPr>
          <w:rFonts w:ascii="Arial" w:hAnsi="Arial" w:cs="Arial"/>
          <w:noProof/>
        </w:rPr>
      </w:pPr>
      <w:bookmarkStart w:id="132" w:name="_ENREF_71"/>
      <w:r w:rsidRPr="00330CF1">
        <w:rPr>
          <w:rFonts w:ascii="Arial" w:hAnsi="Arial" w:cs="Arial"/>
          <w:noProof/>
        </w:rPr>
        <w:t>71.</w:t>
      </w:r>
      <w:r w:rsidRPr="00330CF1">
        <w:rPr>
          <w:rFonts w:ascii="Arial" w:hAnsi="Arial" w:cs="Arial"/>
          <w:noProof/>
        </w:rPr>
        <w:tab/>
        <w:t xml:space="preserve">Adkins, Y., et al., </w:t>
      </w:r>
      <w:r w:rsidRPr="00330CF1">
        <w:rPr>
          <w:rFonts w:ascii="Arial" w:hAnsi="Arial" w:cs="Arial"/>
          <w:i/>
          <w:noProof/>
        </w:rPr>
        <w:t>Changes in nutrient and protein composition of cat milk during lactation.</w:t>
      </w:r>
      <w:r w:rsidRPr="00330CF1">
        <w:rPr>
          <w:rFonts w:ascii="Arial" w:hAnsi="Arial" w:cs="Arial"/>
          <w:noProof/>
        </w:rPr>
        <w:t xml:space="preserve"> American Journal of Veterinary Research, 1997. </w:t>
      </w:r>
      <w:r w:rsidRPr="00330CF1">
        <w:rPr>
          <w:rFonts w:ascii="Arial" w:hAnsi="Arial" w:cs="Arial"/>
          <w:b/>
          <w:noProof/>
        </w:rPr>
        <w:t>58</w:t>
      </w:r>
      <w:r w:rsidRPr="00330CF1">
        <w:rPr>
          <w:rFonts w:ascii="Arial" w:hAnsi="Arial" w:cs="Arial"/>
          <w:noProof/>
        </w:rPr>
        <w:t>(4): p. 370-375.</w:t>
      </w:r>
      <w:bookmarkEnd w:id="132"/>
    </w:p>
    <w:p w:rsidR="00330CF1" w:rsidRPr="00330CF1" w:rsidRDefault="00330CF1" w:rsidP="0009286C">
      <w:pPr>
        <w:ind w:left="720" w:hanging="720"/>
        <w:rPr>
          <w:rFonts w:ascii="Arial" w:hAnsi="Arial" w:cs="Arial"/>
          <w:noProof/>
        </w:rPr>
      </w:pPr>
      <w:bookmarkStart w:id="133" w:name="_ENREF_72"/>
      <w:r w:rsidRPr="00330CF1">
        <w:rPr>
          <w:rFonts w:ascii="Arial" w:hAnsi="Arial" w:cs="Arial"/>
          <w:noProof/>
        </w:rPr>
        <w:t>72.</w:t>
      </w:r>
      <w:r w:rsidRPr="00330CF1">
        <w:rPr>
          <w:rFonts w:ascii="Arial" w:hAnsi="Arial" w:cs="Arial"/>
          <w:noProof/>
        </w:rPr>
        <w:tab/>
        <w:t xml:space="preserve">Levy, J.K., P.C. Crawford, and L.L. Werner, </w:t>
      </w:r>
      <w:r w:rsidRPr="00330CF1">
        <w:rPr>
          <w:rFonts w:ascii="Arial" w:hAnsi="Arial" w:cs="Arial"/>
          <w:i/>
          <w:noProof/>
        </w:rPr>
        <w:t>Effect of age on reference intervals of serum biochemical values in kittens.</w:t>
      </w:r>
      <w:r w:rsidRPr="00330CF1">
        <w:rPr>
          <w:rFonts w:ascii="Arial" w:hAnsi="Arial" w:cs="Arial"/>
          <w:noProof/>
        </w:rPr>
        <w:t xml:space="preserve"> Journal of the American Veterinary Medical Association, 2006. </w:t>
      </w:r>
      <w:r w:rsidRPr="00330CF1">
        <w:rPr>
          <w:rFonts w:ascii="Arial" w:hAnsi="Arial" w:cs="Arial"/>
          <w:b/>
          <w:noProof/>
        </w:rPr>
        <w:t>228</w:t>
      </w:r>
      <w:r w:rsidRPr="00330CF1">
        <w:rPr>
          <w:rFonts w:ascii="Arial" w:hAnsi="Arial" w:cs="Arial"/>
          <w:noProof/>
        </w:rPr>
        <w:t>(7): p. 1033-1037.</w:t>
      </w:r>
      <w:bookmarkEnd w:id="133"/>
    </w:p>
    <w:p w:rsidR="00330CF1" w:rsidRPr="00330CF1" w:rsidRDefault="00330CF1" w:rsidP="0009286C">
      <w:pPr>
        <w:ind w:left="720" w:hanging="720"/>
        <w:rPr>
          <w:rFonts w:ascii="Arial" w:hAnsi="Arial" w:cs="Arial"/>
          <w:noProof/>
        </w:rPr>
      </w:pPr>
      <w:bookmarkStart w:id="134" w:name="_ENREF_73"/>
      <w:r w:rsidRPr="00330CF1">
        <w:rPr>
          <w:rFonts w:ascii="Arial" w:hAnsi="Arial" w:cs="Arial"/>
          <w:noProof/>
        </w:rPr>
        <w:t>73.</w:t>
      </w:r>
      <w:r w:rsidRPr="00330CF1">
        <w:rPr>
          <w:rFonts w:ascii="Arial" w:hAnsi="Arial" w:cs="Arial"/>
          <w:noProof/>
        </w:rPr>
        <w:tab/>
        <w:t xml:space="preserve">Grundy, S.A., </w:t>
      </w:r>
      <w:r w:rsidRPr="00330CF1">
        <w:rPr>
          <w:rFonts w:ascii="Arial" w:hAnsi="Arial" w:cs="Arial"/>
          <w:i/>
          <w:noProof/>
        </w:rPr>
        <w:t>Clinically relevant physiology of the neonate.</w:t>
      </w:r>
      <w:r w:rsidRPr="00330CF1">
        <w:rPr>
          <w:rFonts w:ascii="Arial" w:hAnsi="Arial" w:cs="Arial"/>
          <w:noProof/>
        </w:rPr>
        <w:t xml:space="preserve"> Veterinary Clinics of North America, Small Animal Practice, 2006. </w:t>
      </w:r>
      <w:r w:rsidRPr="00330CF1">
        <w:rPr>
          <w:rFonts w:ascii="Arial" w:hAnsi="Arial" w:cs="Arial"/>
          <w:b/>
          <w:noProof/>
        </w:rPr>
        <w:t>36</w:t>
      </w:r>
      <w:r w:rsidRPr="00330CF1">
        <w:rPr>
          <w:rFonts w:ascii="Arial" w:hAnsi="Arial" w:cs="Arial"/>
          <w:noProof/>
        </w:rPr>
        <w:t>(3): p. 443-459, v.</w:t>
      </w:r>
      <w:bookmarkEnd w:id="134"/>
    </w:p>
    <w:p w:rsidR="00330CF1" w:rsidRPr="00330CF1" w:rsidRDefault="00330CF1" w:rsidP="0009286C">
      <w:pPr>
        <w:ind w:left="720" w:hanging="720"/>
        <w:rPr>
          <w:rFonts w:ascii="Arial" w:hAnsi="Arial" w:cs="Arial"/>
          <w:noProof/>
        </w:rPr>
      </w:pPr>
      <w:bookmarkStart w:id="135" w:name="_ENREF_74"/>
      <w:r w:rsidRPr="00330CF1">
        <w:rPr>
          <w:rFonts w:ascii="Arial" w:hAnsi="Arial" w:cs="Arial"/>
          <w:noProof/>
        </w:rPr>
        <w:t>74.</w:t>
      </w:r>
      <w:r w:rsidRPr="00330CF1">
        <w:rPr>
          <w:rFonts w:ascii="Arial" w:hAnsi="Arial" w:cs="Arial"/>
          <w:noProof/>
        </w:rPr>
        <w:tab/>
        <w:t xml:space="preserve">Lage, A.L., </w:t>
      </w:r>
      <w:r w:rsidRPr="00330CF1">
        <w:rPr>
          <w:rFonts w:ascii="Arial" w:hAnsi="Arial" w:cs="Arial"/>
          <w:i/>
          <w:noProof/>
        </w:rPr>
        <w:t>Neonatal clinical nephrology</w:t>
      </w:r>
      <w:r w:rsidRPr="00330CF1">
        <w:rPr>
          <w:rFonts w:ascii="Arial" w:hAnsi="Arial" w:cs="Arial"/>
          <w:noProof/>
        </w:rPr>
        <w:t xml:space="preserve">, in </w:t>
      </w:r>
      <w:r w:rsidRPr="00330CF1">
        <w:rPr>
          <w:rFonts w:ascii="Arial" w:hAnsi="Arial" w:cs="Arial"/>
          <w:i/>
          <w:noProof/>
        </w:rPr>
        <w:t>Current Veterinary Therapy</w:t>
      </w:r>
      <w:r w:rsidRPr="00330CF1">
        <w:rPr>
          <w:rFonts w:ascii="Arial" w:hAnsi="Arial" w:cs="Arial"/>
          <w:noProof/>
        </w:rPr>
        <w:t>, R.W. Kirk, Editor 1980, W.B. Saunders: Philadelphia. p. 1085-1087.</w:t>
      </w:r>
      <w:bookmarkEnd w:id="135"/>
    </w:p>
    <w:p w:rsidR="00330CF1" w:rsidRPr="00330CF1" w:rsidRDefault="00330CF1" w:rsidP="0009286C">
      <w:pPr>
        <w:ind w:left="720" w:hanging="720"/>
        <w:rPr>
          <w:rFonts w:ascii="Arial" w:hAnsi="Arial" w:cs="Arial"/>
          <w:noProof/>
        </w:rPr>
      </w:pPr>
      <w:bookmarkStart w:id="136" w:name="_ENREF_75"/>
      <w:r w:rsidRPr="00330CF1">
        <w:rPr>
          <w:rFonts w:ascii="Arial" w:hAnsi="Arial" w:cs="Arial"/>
          <w:noProof/>
        </w:rPr>
        <w:t>75.</w:t>
      </w:r>
      <w:r w:rsidRPr="00330CF1">
        <w:rPr>
          <w:rFonts w:ascii="Arial" w:hAnsi="Arial" w:cs="Arial"/>
          <w:noProof/>
        </w:rPr>
        <w:tab/>
        <w:t xml:space="preserve">Casal, M.L., </w:t>
      </w:r>
      <w:r w:rsidRPr="00330CF1">
        <w:rPr>
          <w:rFonts w:ascii="Arial" w:hAnsi="Arial" w:cs="Arial"/>
          <w:i/>
          <w:noProof/>
        </w:rPr>
        <w:t>Feline paediatrics.</w:t>
      </w:r>
      <w:r w:rsidRPr="00330CF1">
        <w:rPr>
          <w:rFonts w:ascii="Arial" w:hAnsi="Arial" w:cs="Arial"/>
          <w:noProof/>
        </w:rPr>
        <w:t xml:space="preserve"> Veterinary Annual, 1995. </w:t>
      </w:r>
      <w:r w:rsidRPr="00330CF1">
        <w:rPr>
          <w:rFonts w:ascii="Arial" w:hAnsi="Arial" w:cs="Arial"/>
          <w:b/>
          <w:noProof/>
        </w:rPr>
        <w:t>35</w:t>
      </w:r>
      <w:r w:rsidRPr="00330CF1">
        <w:rPr>
          <w:rFonts w:ascii="Arial" w:hAnsi="Arial" w:cs="Arial"/>
          <w:noProof/>
        </w:rPr>
        <w:t>: p. 210-228.</w:t>
      </w:r>
      <w:bookmarkEnd w:id="136"/>
    </w:p>
    <w:p w:rsidR="00330CF1" w:rsidRPr="00330CF1" w:rsidRDefault="00330CF1" w:rsidP="0009286C">
      <w:pPr>
        <w:ind w:left="720" w:hanging="720"/>
        <w:rPr>
          <w:rFonts w:ascii="Arial" w:hAnsi="Arial" w:cs="Arial"/>
          <w:noProof/>
        </w:rPr>
      </w:pPr>
      <w:bookmarkStart w:id="137" w:name="_ENREF_76"/>
      <w:r w:rsidRPr="00330CF1">
        <w:rPr>
          <w:rFonts w:ascii="Arial" w:hAnsi="Arial" w:cs="Arial"/>
          <w:noProof/>
        </w:rPr>
        <w:t>76.</w:t>
      </w:r>
      <w:r w:rsidRPr="00330CF1">
        <w:rPr>
          <w:rFonts w:ascii="Arial" w:hAnsi="Arial" w:cs="Arial"/>
          <w:noProof/>
        </w:rPr>
        <w:tab/>
        <w:t xml:space="preserve">Wegman, T.G., et al., </w:t>
      </w:r>
      <w:r w:rsidRPr="00330CF1">
        <w:rPr>
          <w:rFonts w:ascii="Arial" w:hAnsi="Arial" w:cs="Arial"/>
          <w:i/>
          <w:noProof/>
        </w:rPr>
        <w:t>Bidirectional cytokine interactions in the maternal-fetal relationship: is successful pregnancy a TH2 phenomenon?</w:t>
      </w:r>
      <w:r w:rsidRPr="00330CF1">
        <w:rPr>
          <w:rFonts w:ascii="Arial" w:hAnsi="Arial" w:cs="Arial"/>
          <w:noProof/>
        </w:rPr>
        <w:t xml:space="preserve"> Immunology Today, 1993. </w:t>
      </w:r>
      <w:r w:rsidRPr="00330CF1">
        <w:rPr>
          <w:rFonts w:ascii="Arial" w:hAnsi="Arial" w:cs="Arial"/>
          <w:b/>
          <w:noProof/>
        </w:rPr>
        <w:t>353</w:t>
      </w:r>
      <w:r w:rsidRPr="00330CF1">
        <w:rPr>
          <w:rFonts w:ascii="Arial" w:hAnsi="Arial" w:cs="Arial"/>
          <w:noProof/>
        </w:rPr>
        <w:t>(14): p. 353-356.</w:t>
      </w:r>
      <w:bookmarkEnd w:id="137"/>
    </w:p>
    <w:p w:rsidR="00330CF1" w:rsidRPr="00330CF1" w:rsidRDefault="00330CF1" w:rsidP="0009286C">
      <w:pPr>
        <w:ind w:left="720" w:hanging="720"/>
        <w:rPr>
          <w:rFonts w:ascii="Arial" w:hAnsi="Arial" w:cs="Arial"/>
          <w:noProof/>
        </w:rPr>
      </w:pPr>
      <w:bookmarkStart w:id="138" w:name="_ENREF_77"/>
      <w:r w:rsidRPr="00330CF1">
        <w:rPr>
          <w:rFonts w:ascii="Arial" w:hAnsi="Arial" w:cs="Arial"/>
          <w:noProof/>
        </w:rPr>
        <w:t>77.</w:t>
      </w:r>
      <w:r w:rsidRPr="00330CF1">
        <w:rPr>
          <w:rFonts w:ascii="Arial" w:hAnsi="Arial" w:cs="Arial"/>
          <w:noProof/>
        </w:rPr>
        <w:tab/>
        <w:t xml:space="preserve">Lin, H., et al., </w:t>
      </w:r>
      <w:r w:rsidRPr="00330CF1">
        <w:rPr>
          <w:rFonts w:ascii="Arial" w:hAnsi="Arial" w:cs="Arial"/>
          <w:i/>
          <w:noProof/>
        </w:rPr>
        <w:t>Synthesis of T-helper 2-type cytokines at the maternal-fetal interface. .</w:t>
      </w:r>
      <w:r w:rsidRPr="00330CF1">
        <w:rPr>
          <w:rFonts w:ascii="Arial" w:hAnsi="Arial" w:cs="Arial"/>
          <w:noProof/>
        </w:rPr>
        <w:t xml:space="preserve"> Journal of Immunology, 1993. </w:t>
      </w:r>
      <w:r w:rsidRPr="00330CF1">
        <w:rPr>
          <w:rFonts w:ascii="Arial" w:hAnsi="Arial" w:cs="Arial"/>
          <w:b/>
          <w:noProof/>
        </w:rPr>
        <w:t>151</w:t>
      </w:r>
      <w:r w:rsidRPr="00330CF1">
        <w:rPr>
          <w:rFonts w:ascii="Arial" w:hAnsi="Arial" w:cs="Arial"/>
          <w:noProof/>
        </w:rPr>
        <w:t>(9): p. 4562-4573.</w:t>
      </w:r>
      <w:bookmarkEnd w:id="138"/>
    </w:p>
    <w:p w:rsidR="00330CF1" w:rsidRPr="00330CF1" w:rsidRDefault="00330CF1" w:rsidP="0009286C">
      <w:pPr>
        <w:ind w:left="720" w:hanging="720"/>
        <w:rPr>
          <w:rFonts w:ascii="Arial" w:hAnsi="Arial" w:cs="Arial"/>
          <w:noProof/>
        </w:rPr>
      </w:pPr>
      <w:bookmarkStart w:id="139" w:name="_ENREF_78"/>
      <w:r w:rsidRPr="00330CF1">
        <w:rPr>
          <w:rFonts w:ascii="Arial" w:hAnsi="Arial" w:cs="Arial"/>
          <w:noProof/>
        </w:rPr>
        <w:t>78.</w:t>
      </w:r>
      <w:r w:rsidRPr="00330CF1">
        <w:rPr>
          <w:rFonts w:ascii="Arial" w:hAnsi="Arial" w:cs="Arial"/>
          <w:noProof/>
        </w:rPr>
        <w:tab/>
        <w:t xml:space="preserve">Piccinni, M.P., et al., </w:t>
      </w:r>
      <w:r w:rsidRPr="00330CF1">
        <w:rPr>
          <w:rFonts w:ascii="Arial" w:hAnsi="Arial" w:cs="Arial"/>
          <w:i/>
          <w:noProof/>
        </w:rPr>
        <w:t>Progesterone favors the development of human T-helper cells producing Th2-type cytokines and promotes both IL-4 production and membrane CD30 expression in established Th1 cell clones. .</w:t>
      </w:r>
      <w:r w:rsidRPr="00330CF1">
        <w:rPr>
          <w:rFonts w:ascii="Arial" w:hAnsi="Arial" w:cs="Arial"/>
          <w:noProof/>
        </w:rPr>
        <w:t xml:space="preserve"> Journal of Immunology, 1995. </w:t>
      </w:r>
      <w:r w:rsidRPr="00330CF1">
        <w:rPr>
          <w:rFonts w:ascii="Arial" w:hAnsi="Arial" w:cs="Arial"/>
          <w:b/>
          <w:noProof/>
        </w:rPr>
        <w:t>155</w:t>
      </w:r>
      <w:r w:rsidRPr="00330CF1">
        <w:rPr>
          <w:rFonts w:ascii="Arial" w:hAnsi="Arial" w:cs="Arial"/>
          <w:noProof/>
        </w:rPr>
        <w:t>(1): p. 128-133.</w:t>
      </w:r>
      <w:bookmarkEnd w:id="139"/>
    </w:p>
    <w:p w:rsidR="00330CF1" w:rsidRPr="00330CF1" w:rsidRDefault="00330CF1" w:rsidP="0009286C">
      <w:pPr>
        <w:ind w:left="720" w:hanging="720"/>
        <w:rPr>
          <w:rFonts w:ascii="Arial" w:hAnsi="Arial" w:cs="Arial"/>
          <w:noProof/>
        </w:rPr>
      </w:pPr>
      <w:bookmarkStart w:id="140" w:name="_ENREF_79"/>
      <w:r w:rsidRPr="00330CF1">
        <w:rPr>
          <w:rFonts w:ascii="Arial" w:hAnsi="Arial" w:cs="Arial"/>
          <w:noProof/>
        </w:rPr>
        <w:t>79.</w:t>
      </w:r>
      <w:r w:rsidRPr="00330CF1">
        <w:rPr>
          <w:rFonts w:ascii="Arial" w:hAnsi="Arial" w:cs="Arial"/>
          <w:noProof/>
        </w:rPr>
        <w:tab/>
        <w:t xml:space="preserve">Aschkenazi, S., et al., </w:t>
      </w:r>
      <w:r w:rsidRPr="00330CF1">
        <w:rPr>
          <w:rFonts w:ascii="Arial" w:hAnsi="Arial" w:cs="Arial"/>
          <w:i/>
          <w:noProof/>
        </w:rPr>
        <w:t>Differential regulation and function of the Fas/Fas ligand system in human trophoblast cells.</w:t>
      </w:r>
      <w:r w:rsidRPr="00330CF1">
        <w:rPr>
          <w:rFonts w:ascii="Arial" w:hAnsi="Arial" w:cs="Arial"/>
          <w:noProof/>
        </w:rPr>
        <w:t xml:space="preserve"> Biology of Reproduction, 2002. </w:t>
      </w:r>
      <w:r w:rsidRPr="00330CF1">
        <w:rPr>
          <w:rFonts w:ascii="Arial" w:hAnsi="Arial" w:cs="Arial"/>
          <w:b/>
          <w:noProof/>
        </w:rPr>
        <w:t>66</w:t>
      </w:r>
      <w:r w:rsidRPr="00330CF1">
        <w:rPr>
          <w:rFonts w:ascii="Arial" w:hAnsi="Arial" w:cs="Arial"/>
          <w:noProof/>
        </w:rPr>
        <w:t>(6): p. 1853-1861.</w:t>
      </w:r>
      <w:bookmarkEnd w:id="140"/>
    </w:p>
    <w:p w:rsidR="00330CF1" w:rsidRPr="00330CF1" w:rsidRDefault="00330CF1" w:rsidP="0009286C">
      <w:pPr>
        <w:ind w:left="720" w:hanging="720"/>
        <w:rPr>
          <w:rFonts w:ascii="Arial" w:hAnsi="Arial" w:cs="Arial"/>
          <w:noProof/>
        </w:rPr>
      </w:pPr>
      <w:bookmarkStart w:id="141" w:name="_ENREF_80"/>
      <w:r w:rsidRPr="00330CF1">
        <w:rPr>
          <w:rFonts w:ascii="Arial" w:hAnsi="Arial" w:cs="Arial"/>
          <w:noProof/>
        </w:rPr>
        <w:t>80.</w:t>
      </w:r>
      <w:r w:rsidRPr="00330CF1">
        <w:rPr>
          <w:rFonts w:ascii="Arial" w:hAnsi="Arial" w:cs="Arial"/>
          <w:noProof/>
        </w:rPr>
        <w:tab/>
        <w:t xml:space="preserve">Day, M.J., </w:t>
      </w:r>
      <w:r w:rsidRPr="00330CF1">
        <w:rPr>
          <w:rFonts w:ascii="Arial" w:hAnsi="Arial" w:cs="Arial"/>
          <w:i/>
          <w:noProof/>
        </w:rPr>
        <w:t>Immune system development in the dog and cat.</w:t>
      </w:r>
      <w:r w:rsidRPr="00330CF1">
        <w:rPr>
          <w:rFonts w:ascii="Arial" w:hAnsi="Arial" w:cs="Arial"/>
          <w:noProof/>
        </w:rPr>
        <w:t xml:space="preserve"> Journal of Comparative Pathology, 2007. </w:t>
      </w:r>
      <w:r w:rsidRPr="00330CF1">
        <w:rPr>
          <w:rFonts w:ascii="Arial" w:hAnsi="Arial" w:cs="Arial"/>
          <w:b/>
          <w:noProof/>
        </w:rPr>
        <w:t>137</w:t>
      </w:r>
      <w:r w:rsidRPr="00330CF1">
        <w:rPr>
          <w:rFonts w:ascii="Arial" w:hAnsi="Arial" w:cs="Arial"/>
          <w:noProof/>
        </w:rPr>
        <w:t>: p. S10-S15.</w:t>
      </w:r>
      <w:bookmarkEnd w:id="141"/>
    </w:p>
    <w:p w:rsidR="00330CF1" w:rsidRPr="00330CF1" w:rsidRDefault="00330CF1" w:rsidP="0009286C">
      <w:pPr>
        <w:ind w:left="720" w:hanging="720"/>
        <w:rPr>
          <w:rFonts w:ascii="Arial" w:hAnsi="Arial" w:cs="Arial"/>
          <w:noProof/>
        </w:rPr>
      </w:pPr>
      <w:bookmarkStart w:id="142" w:name="_ENREF_81"/>
      <w:r w:rsidRPr="00330CF1">
        <w:rPr>
          <w:rFonts w:ascii="Arial" w:hAnsi="Arial" w:cs="Arial"/>
          <w:noProof/>
        </w:rPr>
        <w:t>81.</w:t>
      </w:r>
      <w:r w:rsidRPr="00330CF1">
        <w:rPr>
          <w:rFonts w:ascii="Arial" w:hAnsi="Arial" w:cs="Arial"/>
          <w:noProof/>
        </w:rPr>
        <w:tab/>
        <w:t xml:space="preserve">Casal, M.L., P.F. Jezyk, and U. Giger, </w:t>
      </w:r>
      <w:r w:rsidRPr="00330CF1">
        <w:rPr>
          <w:rFonts w:ascii="Arial" w:hAnsi="Arial" w:cs="Arial"/>
          <w:i/>
          <w:noProof/>
        </w:rPr>
        <w:t>Transfer of colostral antibodies from queens to their kittens.</w:t>
      </w:r>
      <w:r w:rsidRPr="00330CF1">
        <w:rPr>
          <w:rFonts w:ascii="Arial" w:hAnsi="Arial" w:cs="Arial"/>
          <w:noProof/>
        </w:rPr>
        <w:t xml:space="preserve"> American Journal of Veterinary Research, 1996. </w:t>
      </w:r>
      <w:r w:rsidRPr="00330CF1">
        <w:rPr>
          <w:rFonts w:ascii="Arial" w:hAnsi="Arial" w:cs="Arial"/>
          <w:b/>
          <w:noProof/>
        </w:rPr>
        <w:t>57</w:t>
      </w:r>
      <w:r w:rsidRPr="00330CF1">
        <w:rPr>
          <w:rFonts w:ascii="Arial" w:hAnsi="Arial" w:cs="Arial"/>
          <w:noProof/>
        </w:rPr>
        <w:t>(11): p. 1653-1658.</w:t>
      </w:r>
      <w:bookmarkEnd w:id="142"/>
    </w:p>
    <w:p w:rsidR="00330CF1" w:rsidRPr="00330CF1" w:rsidRDefault="00330CF1" w:rsidP="0009286C">
      <w:pPr>
        <w:ind w:left="720" w:hanging="720"/>
        <w:rPr>
          <w:rFonts w:ascii="Arial" w:hAnsi="Arial" w:cs="Arial"/>
          <w:noProof/>
        </w:rPr>
      </w:pPr>
      <w:bookmarkStart w:id="143" w:name="_ENREF_82"/>
      <w:r w:rsidRPr="00330CF1">
        <w:rPr>
          <w:rFonts w:ascii="Arial" w:hAnsi="Arial" w:cs="Arial"/>
          <w:noProof/>
        </w:rPr>
        <w:t>82.</w:t>
      </w:r>
      <w:r w:rsidRPr="00330CF1">
        <w:rPr>
          <w:rFonts w:ascii="Arial" w:hAnsi="Arial" w:cs="Arial"/>
          <w:noProof/>
        </w:rPr>
        <w:tab/>
        <w:t xml:space="preserve">Claus, M.A., et al., </w:t>
      </w:r>
      <w:r w:rsidRPr="00330CF1">
        <w:rPr>
          <w:rFonts w:ascii="Arial" w:hAnsi="Arial" w:cs="Arial"/>
          <w:i/>
          <w:noProof/>
        </w:rPr>
        <w:t>Immunoglobulin concentrations in feline colostrum and milk, and the requirement of colostrum for passive transfer of immunity to neonatal kittens.</w:t>
      </w:r>
      <w:r w:rsidRPr="00330CF1">
        <w:rPr>
          <w:rFonts w:ascii="Arial" w:hAnsi="Arial" w:cs="Arial"/>
          <w:noProof/>
        </w:rPr>
        <w:t xml:space="preserve"> Journal of Feline Medicine and Surgery, 2006. </w:t>
      </w:r>
      <w:r w:rsidRPr="00330CF1">
        <w:rPr>
          <w:rFonts w:ascii="Arial" w:hAnsi="Arial" w:cs="Arial"/>
          <w:b/>
          <w:noProof/>
        </w:rPr>
        <w:t>8</w:t>
      </w:r>
      <w:r w:rsidRPr="00330CF1">
        <w:rPr>
          <w:rFonts w:ascii="Arial" w:hAnsi="Arial" w:cs="Arial"/>
          <w:noProof/>
        </w:rPr>
        <w:t>(3): p. 184-191.</w:t>
      </w:r>
      <w:bookmarkEnd w:id="143"/>
    </w:p>
    <w:p w:rsidR="00330CF1" w:rsidRPr="00330CF1" w:rsidRDefault="00330CF1" w:rsidP="0009286C">
      <w:pPr>
        <w:ind w:left="720" w:hanging="720"/>
        <w:rPr>
          <w:rFonts w:ascii="Arial" w:hAnsi="Arial" w:cs="Arial"/>
          <w:noProof/>
        </w:rPr>
      </w:pPr>
      <w:bookmarkStart w:id="144" w:name="_ENREF_83"/>
      <w:r w:rsidRPr="00330CF1">
        <w:rPr>
          <w:rFonts w:ascii="Arial" w:hAnsi="Arial" w:cs="Arial"/>
          <w:noProof/>
        </w:rPr>
        <w:t>83.</w:t>
      </w:r>
      <w:r w:rsidRPr="00330CF1">
        <w:rPr>
          <w:rFonts w:ascii="Arial" w:hAnsi="Arial" w:cs="Arial"/>
          <w:noProof/>
        </w:rPr>
        <w:tab/>
        <w:t xml:space="preserve">Bortnick, S.J., et al., </w:t>
      </w:r>
      <w:r w:rsidRPr="00330CF1">
        <w:rPr>
          <w:rFonts w:ascii="Arial" w:hAnsi="Arial" w:cs="Arial"/>
          <w:i/>
          <w:noProof/>
        </w:rPr>
        <w:t>Lymphocyte subsets in neonatal and juvenile cats: Comparison of blood and lymphoid tissues.</w:t>
      </w:r>
      <w:r w:rsidRPr="00330CF1">
        <w:rPr>
          <w:rFonts w:ascii="Arial" w:hAnsi="Arial" w:cs="Arial"/>
          <w:noProof/>
        </w:rPr>
        <w:t xml:space="preserve"> Laboratory Animal Science, 1999. </w:t>
      </w:r>
      <w:r w:rsidRPr="00330CF1">
        <w:rPr>
          <w:rFonts w:ascii="Arial" w:hAnsi="Arial" w:cs="Arial"/>
          <w:b/>
          <w:noProof/>
        </w:rPr>
        <w:t>49</w:t>
      </w:r>
      <w:r w:rsidRPr="00330CF1">
        <w:rPr>
          <w:rFonts w:ascii="Arial" w:hAnsi="Arial" w:cs="Arial"/>
          <w:noProof/>
        </w:rPr>
        <w:t>(4): p. 395-400.</w:t>
      </w:r>
      <w:bookmarkEnd w:id="144"/>
    </w:p>
    <w:p w:rsidR="00330CF1" w:rsidRPr="00330CF1" w:rsidRDefault="00330CF1" w:rsidP="0009286C">
      <w:pPr>
        <w:ind w:left="720" w:hanging="720"/>
        <w:rPr>
          <w:rFonts w:ascii="Arial" w:hAnsi="Arial" w:cs="Arial"/>
          <w:noProof/>
        </w:rPr>
      </w:pPr>
      <w:bookmarkStart w:id="145" w:name="_ENREF_84"/>
      <w:r w:rsidRPr="00330CF1">
        <w:rPr>
          <w:rFonts w:ascii="Arial" w:hAnsi="Arial" w:cs="Arial"/>
          <w:noProof/>
        </w:rPr>
        <w:t>84.</w:t>
      </w:r>
      <w:r w:rsidRPr="00330CF1">
        <w:rPr>
          <w:rFonts w:ascii="Arial" w:hAnsi="Arial" w:cs="Arial"/>
          <w:noProof/>
        </w:rPr>
        <w:tab/>
        <w:t xml:space="preserve">Sellon, R.K., et al., </w:t>
      </w:r>
      <w:r w:rsidRPr="00330CF1">
        <w:rPr>
          <w:rFonts w:ascii="Arial" w:hAnsi="Arial" w:cs="Arial"/>
          <w:i/>
          <w:noProof/>
        </w:rPr>
        <w:t>Changes in lymphocyte subsets with age in perinatal cats: late gestation through eight weeks.</w:t>
      </w:r>
      <w:r w:rsidRPr="00330CF1">
        <w:rPr>
          <w:rFonts w:ascii="Arial" w:hAnsi="Arial" w:cs="Arial"/>
          <w:noProof/>
        </w:rPr>
        <w:t xml:space="preserve"> Veterinary Immunology and Immunopathology, 1996. </w:t>
      </w:r>
      <w:r w:rsidRPr="00330CF1">
        <w:rPr>
          <w:rFonts w:ascii="Arial" w:hAnsi="Arial" w:cs="Arial"/>
          <w:b/>
          <w:noProof/>
        </w:rPr>
        <w:t>53</w:t>
      </w:r>
      <w:r w:rsidRPr="00330CF1">
        <w:rPr>
          <w:rFonts w:ascii="Arial" w:hAnsi="Arial" w:cs="Arial"/>
          <w:noProof/>
        </w:rPr>
        <w:t>(1/2): p. 105-113.</w:t>
      </w:r>
      <w:bookmarkEnd w:id="145"/>
    </w:p>
    <w:p w:rsidR="00330CF1" w:rsidRPr="00330CF1" w:rsidRDefault="00330CF1" w:rsidP="0009286C">
      <w:pPr>
        <w:ind w:left="720" w:hanging="720"/>
        <w:rPr>
          <w:rFonts w:ascii="Arial" w:hAnsi="Arial" w:cs="Arial"/>
          <w:noProof/>
        </w:rPr>
      </w:pPr>
      <w:bookmarkStart w:id="146" w:name="_ENREF_85"/>
      <w:r w:rsidRPr="00330CF1">
        <w:rPr>
          <w:rFonts w:ascii="Arial" w:hAnsi="Arial" w:cs="Arial"/>
          <w:noProof/>
        </w:rPr>
        <w:lastRenderedPageBreak/>
        <w:t>85.</w:t>
      </w:r>
      <w:r w:rsidRPr="00330CF1">
        <w:rPr>
          <w:rFonts w:ascii="Arial" w:hAnsi="Arial" w:cs="Arial"/>
          <w:noProof/>
        </w:rPr>
        <w:tab/>
        <w:t xml:space="preserve">Dean, G.A., et al., </w:t>
      </w:r>
      <w:r w:rsidRPr="00330CF1">
        <w:rPr>
          <w:rFonts w:ascii="Arial" w:hAnsi="Arial" w:cs="Arial"/>
          <w:i/>
          <w:noProof/>
        </w:rPr>
        <w:t>Flow cytometric analysis of lymphocyte-T subsets in cats. .</w:t>
      </w:r>
      <w:r w:rsidRPr="00330CF1">
        <w:rPr>
          <w:rFonts w:ascii="Arial" w:hAnsi="Arial" w:cs="Arial"/>
          <w:noProof/>
        </w:rPr>
        <w:t xml:space="preserve"> Veterinary Immunology and Immunopathology, 1991. </w:t>
      </w:r>
      <w:r w:rsidRPr="00330CF1">
        <w:rPr>
          <w:rFonts w:ascii="Arial" w:hAnsi="Arial" w:cs="Arial"/>
          <w:b/>
          <w:noProof/>
        </w:rPr>
        <w:t>28</w:t>
      </w:r>
      <w:r w:rsidRPr="00330CF1">
        <w:rPr>
          <w:rFonts w:ascii="Arial" w:hAnsi="Arial" w:cs="Arial"/>
          <w:noProof/>
        </w:rPr>
        <w:t>(3-4): p. 327-335.</w:t>
      </w:r>
      <w:bookmarkEnd w:id="146"/>
    </w:p>
    <w:p w:rsidR="00330CF1" w:rsidRPr="00330CF1" w:rsidRDefault="00330CF1" w:rsidP="0009286C">
      <w:pPr>
        <w:ind w:left="720" w:hanging="720"/>
        <w:rPr>
          <w:rFonts w:ascii="Arial" w:hAnsi="Arial" w:cs="Arial"/>
          <w:noProof/>
        </w:rPr>
      </w:pPr>
      <w:bookmarkStart w:id="147" w:name="_ENREF_86"/>
      <w:r w:rsidRPr="00330CF1">
        <w:rPr>
          <w:rFonts w:ascii="Arial" w:hAnsi="Arial" w:cs="Arial"/>
          <w:noProof/>
        </w:rPr>
        <w:t>86.</w:t>
      </w:r>
      <w:r w:rsidRPr="00330CF1">
        <w:rPr>
          <w:rFonts w:ascii="Arial" w:hAnsi="Arial" w:cs="Arial"/>
          <w:noProof/>
        </w:rPr>
        <w:tab/>
        <w:t xml:space="preserve">Roccabianca, P., J.C. Woo, and P.F. Moore, </w:t>
      </w:r>
      <w:r w:rsidRPr="00330CF1">
        <w:rPr>
          <w:rFonts w:ascii="Arial" w:hAnsi="Arial" w:cs="Arial"/>
          <w:i/>
          <w:noProof/>
        </w:rPr>
        <w:t>Characterization of the diffuse mucosal associated lymphoid tissue of feline small intestine.</w:t>
      </w:r>
      <w:r w:rsidRPr="00330CF1">
        <w:rPr>
          <w:rFonts w:ascii="Arial" w:hAnsi="Arial" w:cs="Arial"/>
          <w:noProof/>
        </w:rPr>
        <w:t xml:space="preserve"> Veterinary Immunology and Immunopathology, 2000. </w:t>
      </w:r>
      <w:r w:rsidRPr="00330CF1">
        <w:rPr>
          <w:rFonts w:ascii="Arial" w:hAnsi="Arial" w:cs="Arial"/>
          <w:b/>
          <w:noProof/>
        </w:rPr>
        <w:t>75</w:t>
      </w:r>
      <w:r w:rsidRPr="00330CF1">
        <w:rPr>
          <w:rFonts w:ascii="Arial" w:hAnsi="Arial" w:cs="Arial"/>
          <w:noProof/>
        </w:rPr>
        <w:t>(1-2): p. 27-42.</w:t>
      </w:r>
      <w:bookmarkEnd w:id="147"/>
    </w:p>
    <w:p w:rsidR="00330CF1" w:rsidRPr="00330CF1" w:rsidRDefault="00330CF1" w:rsidP="0009286C">
      <w:pPr>
        <w:ind w:left="720" w:hanging="720"/>
        <w:rPr>
          <w:rFonts w:ascii="Arial" w:hAnsi="Arial" w:cs="Arial"/>
          <w:noProof/>
        </w:rPr>
      </w:pPr>
      <w:bookmarkStart w:id="148" w:name="_ENREF_87"/>
      <w:r w:rsidRPr="00330CF1">
        <w:rPr>
          <w:rFonts w:ascii="Arial" w:hAnsi="Arial" w:cs="Arial"/>
          <w:noProof/>
        </w:rPr>
        <w:t>87.</w:t>
      </w:r>
      <w:r w:rsidRPr="00330CF1">
        <w:rPr>
          <w:rFonts w:ascii="Arial" w:hAnsi="Arial" w:cs="Arial"/>
          <w:noProof/>
        </w:rPr>
        <w:tab/>
        <w:t xml:space="preserve">Simpson, S. and L.M. Wetzler, </w:t>
      </w:r>
      <w:r w:rsidRPr="00330CF1">
        <w:rPr>
          <w:rFonts w:ascii="Arial" w:hAnsi="Arial" w:cs="Arial"/>
          <w:i/>
          <w:noProof/>
        </w:rPr>
        <w:t>Mucosal Immunity</w:t>
      </w:r>
      <w:r w:rsidRPr="00330CF1">
        <w:rPr>
          <w:rFonts w:ascii="Arial" w:hAnsi="Arial" w:cs="Arial"/>
          <w:noProof/>
        </w:rPr>
        <w:t xml:space="preserve">, in </w:t>
      </w:r>
      <w:r w:rsidRPr="00330CF1">
        <w:rPr>
          <w:rFonts w:ascii="Arial" w:hAnsi="Arial" w:cs="Arial"/>
          <w:i/>
          <w:noProof/>
        </w:rPr>
        <w:t>Immunology, Infection, and Immunity</w:t>
      </w:r>
      <w:r w:rsidRPr="00330CF1">
        <w:rPr>
          <w:rFonts w:ascii="Arial" w:hAnsi="Arial" w:cs="Arial"/>
          <w:noProof/>
        </w:rPr>
        <w:t>, G.B. Pier, J.B. Lyczak, and L.M. Wetzler, Editors. 2004, ASM Press: Washington, D.C. p. 399-423.</w:t>
      </w:r>
      <w:bookmarkEnd w:id="148"/>
    </w:p>
    <w:p w:rsidR="00330CF1" w:rsidRPr="00330CF1" w:rsidRDefault="00330CF1" w:rsidP="0009286C">
      <w:pPr>
        <w:ind w:left="720" w:hanging="720"/>
        <w:rPr>
          <w:rFonts w:ascii="Arial" w:hAnsi="Arial" w:cs="Arial"/>
          <w:noProof/>
        </w:rPr>
      </w:pPr>
      <w:bookmarkStart w:id="149" w:name="_ENREF_88"/>
      <w:r w:rsidRPr="00330CF1">
        <w:rPr>
          <w:rFonts w:ascii="Arial" w:hAnsi="Arial" w:cs="Arial"/>
          <w:noProof/>
        </w:rPr>
        <w:t>88.</w:t>
      </w:r>
      <w:r w:rsidRPr="00330CF1">
        <w:rPr>
          <w:rFonts w:ascii="Arial" w:hAnsi="Arial" w:cs="Arial"/>
          <w:noProof/>
        </w:rPr>
        <w:tab/>
        <w:t xml:space="preserve">Wright, W.C., et al., </w:t>
      </w:r>
      <w:r w:rsidRPr="00330CF1">
        <w:rPr>
          <w:rFonts w:ascii="Arial" w:hAnsi="Arial" w:cs="Arial"/>
          <w:i/>
          <w:noProof/>
        </w:rPr>
        <w:t>Decreased bactericidal activity of leukocytes of stressed newborn-infants. .</w:t>
      </w:r>
      <w:r w:rsidRPr="00330CF1">
        <w:rPr>
          <w:rFonts w:ascii="Arial" w:hAnsi="Arial" w:cs="Arial"/>
          <w:noProof/>
        </w:rPr>
        <w:t xml:space="preserve"> Pediatrics, 1975. </w:t>
      </w:r>
      <w:r w:rsidRPr="00330CF1">
        <w:rPr>
          <w:rFonts w:ascii="Arial" w:hAnsi="Arial" w:cs="Arial"/>
          <w:b/>
          <w:noProof/>
        </w:rPr>
        <w:t>56</w:t>
      </w:r>
      <w:r w:rsidRPr="00330CF1">
        <w:rPr>
          <w:rFonts w:ascii="Arial" w:hAnsi="Arial" w:cs="Arial"/>
          <w:noProof/>
        </w:rPr>
        <w:t>(4): p. 579-584.</w:t>
      </w:r>
      <w:bookmarkEnd w:id="149"/>
    </w:p>
    <w:p w:rsidR="00330CF1" w:rsidRPr="00330CF1" w:rsidRDefault="00330CF1" w:rsidP="0009286C">
      <w:pPr>
        <w:ind w:left="720" w:hanging="720"/>
        <w:rPr>
          <w:rFonts w:ascii="Arial" w:hAnsi="Arial" w:cs="Arial"/>
          <w:noProof/>
        </w:rPr>
      </w:pPr>
      <w:bookmarkStart w:id="150" w:name="_ENREF_89"/>
      <w:r w:rsidRPr="00330CF1">
        <w:rPr>
          <w:rFonts w:ascii="Arial" w:hAnsi="Arial" w:cs="Arial"/>
          <w:noProof/>
        </w:rPr>
        <w:t>89.</w:t>
      </w:r>
      <w:r w:rsidRPr="00330CF1">
        <w:rPr>
          <w:rFonts w:ascii="Arial" w:hAnsi="Arial" w:cs="Arial"/>
          <w:noProof/>
        </w:rPr>
        <w:tab/>
        <w:t xml:space="preserve">Dinauer, M., </w:t>
      </w:r>
      <w:r w:rsidRPr="00330CF1">
        <w:rPr>
          <w:rFonts w:ascii="Arial" w:hAnsi="Arial" w:cs="Arial"/>
          <w:i/>
          <w:noProof/>
        </w:rPr>
        <w:t>The phagocyte system and disorders of granulopoiesis and granulocyte function</w:t>
      </w:r>
      <w:r w:rsidRPr="00330CF1">
        <w:rPr>
          <w:rFonts w:ascii="Arial" w:hAnsi="Arial" w:cs="Arial"/>
          <w:noProof/>
        </w:rPr>
        <w:t xml:space="preserve">, in </w:t>
      </w:r>
      <w:r w:rsidRPr="00330CF1">
        <w:rPr>
          <w:rFonts w:ascii="Arial" w:hAnsi="Arial" w:cs="Arial"/>
          <w:i/>
          <w:noProof/>
        </w:rPr>
        <w:t>Hematology of Infancy and Childhood</w:t>
      </w:r>
      <w:r w:rsidRPr="00330CF1">
        <w:rPr>
          <w:rFonts w:ascii="Arial" w:hAnsi="Arial" w:cs="Arial"/>
          <w:noProof/>
        </w:rPr>
        <w:t>, D. Nathan and S. Orkin, Editors. 1998, WB Saunders and Co: Philadelphia. p. 889-967.</w:t>
      </w:r>
      <w:bookmarkEnd w:id="150"/>
    </w:p>
    <w:p w:rsidR="00330CF1" w:rsidRPr="00330CF1" w:rsidRDefault="00330CF1" w:rsidP="0009286C">
      <w:pPr>
        <w:ind w:left="720" w:hanging="720"/>
        <w:rPr>
          <w:rFonts w:ascii="Arial" w:hAnsi="Arial" w:cs="Arial"/>
          <w:noProof/>
        </w:rPr>
      </w:pPr>
      <w:bookmarkStart w:id="151" w:name="_ENREF_90"/>
      <w:r w:rsidRPr="00330CF1">
        <w:rPr>
          <w:rFonts w:ascii="Arial" w:hAnsi="Arial" w:cs="Arial"/>
          <w:noProof/>
        </w:rPr>
        <w:t>90.</w:t>
      </w:r>
      <w:r w:rsidRPr="00330CF1">
        <w:rPr>
          <w:rFonts w:ascii="Arial" w:hAnsi="Arial" w:cs="Arial"/>
          <w:noProof/>
        </w:rPr>
        <w:tab/>
        <w:t xml:space="preserve">Ambruso, D.R., et al., </w:t>
      </w:r>
      <w:r w:rsidRPr="00330CF1">
        <w:rPr>
          <w:rFonts w:ascii="Arial" w:hAnsi="Arial" w:cs="Arial"/>
          <w:i/>
          <w:noProof/>
        </w:rPr>
        <w:t>Oxidative-metabolism of cord blood neutrophils - relationship to content and de-granulation of cytoplasmic granules.</w:t>
      </w:r>
      <w:r w:rsidRPr="00330CF1">
        <w:rPr>
          <w:rFonts w:ascii="Arial" w:hAnsi="Arial" w:cs="Arial"/>
          <w:noProof/>
        </w:rPr>
        <w:t xml:space="preserve"> Pediatric Research, 1984. </w:t>
      </w:r>
      <w:r w:rsidRPr="00330CF1">
        <w:rPr>
          <w:rFonts w:ascii="Arial" w:hAnsi="Arial" w:cs="Arial"/>
          <w:b/>
          <w:noProof/>
        </w:rPr>
        <w:t>18</w:t>
      </w:r>
      <w:r w:rsidRPr="00330CF1">
        <w:rPr>
          <w:rFonts w:ascii="Arial" w:hAnsi="Arial" w:cs="Arial"/>
          <w:noProof/>
        </w:rPr>
        <w:t>(11): p. 1148-1153.</w:t>
      </w:r>
      <w:bookmarkEnd w:id="151"/>
    </w:p>
    <w:p w:rsidR="00330CF1" w:rsidRPr="00330CF1" w:rsidRDefault="00330CF1" w:rsidP="0009286C">
      <w:pPr>
        <w:ind w:left="720" w:hanging="720"/>
        <w:rPr>
          <w:rFonts w:ascii="Arial" w:hAnsi="Arial" w:cs="Arial"/>
          <w:noProof/>
        </w:rPr>
      </w:pPr>
      <w:bookmarkStart w:id="152" w:name="_ENREF_91"/>
      <w:r w:rsidRPr="00330CF1">
        <w:rPr>
          <w:rFonts w:ascii="Arial" w:hAnsi="Arial" w:cs="Arial"/>
          <w:noProof/>
        </w:rPr>
        <w:t>91.</w:t>
      </w:r>
      <w:r w:rsidRPr="00330CF1">
        <w:rPr>
          <w:rFonts w:ascii="Arial" w:hAnsi="Arial" w:cs="Arial"/>
          <w:noProof/>
        </w:rPr>
        <w:tab/>
        <w:t xml:space="preserve">Levy, O., et al., </w:t>
      </w:r>
      <w:r w:rsidRPr="00330CF1">
        <w:rPr>
          <w:rFonts w:ascii="Arial" w:hAnsi="Arial" w:cs="Arial"/>
          <w:i/>
          <w:noProof/>
        </w:rPr>
        <w:t>Impaired innate immunity in the newborn: Newborn neutrophils are deficient in bactericidal/permeability-increasing protein.</w:t>
      </w:r>
      <w:r w:rsidRPr="00330CF1">
        <w:rPr>
          <w:rFonts w:ascii="Arial" w:hAnsi="Arial" w:cs="Arial"/>
          <w:noProof/>
        </w:rPr>
        <w:t xml:space="preserve"> Pediatrics, 1999. </w:t>
      </w:r>
      <w:r w:rsidRPr="00330CF1">
        <w:rPr>
          <w:rFonts w:ascii="Arial" w:hAnsi="Arial" w:cs="Arial"/>
          <w:b/>
          <w:noProof/>
        </w:rPr>
        <w:t>104</w:t>
      </w:r>
      <w:r w:rsidRPr="00330CF1">
        <w:rPr>
          <w:rFonts w:ascii="Arial" w:hAnsi="Arial" w:cs="Arial"/>
          <w:noProof/>
        </w:rPr>
        <w:t>(6): p. 1327-1333.</w:t>
      </w:r>
      <w:bookmarkEnd w:id="152"/>
    </w:p>
    <w:p w:rsidR="00330CF1" w:rsidRPr="00330CF1" w:rsidRDefault="00330CF1" w:rsidP="0009286C">
      <w:pPr>
        <w:ind w:left="720" w:hanging="720"/>
        <w:rPr>
          <w:rFonts w:ascii="Arial" w:hAnsi="Arial" w:cs="Arial"/>
          <w:noProof/>
        </w:rPr>
      </w:pPr>
      <w:bookmarkStart w:id="153" w:name="_ENREF_92"/>
      <w:r w:rsidRPr="00330CF1">
        <w:rPr>
          <w:rFonts w:ascii="Arial" w:hAnsi="Arial" w:cs="Arial"/>
          <w:noProof/>
        </w:rPr>
        <w:t>92.</w:t>
      </w:r>
      <w:r w:rsidRPr="00330CF1">
        <w:rPr>
          <w:rFonts w:ascii="Arial" w:hAnsi="Arial" w:cs="Arial"/>
          <w:noProof/>
        </w:rPr>
        <w:tab/>
        <w:t xml:space="preserve">Wolach, B., et al., </w:t>
      </w:r>
      <w:r w:rsidRPr="00330CF1">
        <w:rPr>
          <w:rFonts w:ascii="Arial" w:hAnsi="Arial" w:cs="Arial"/>
          <w:i/>
          <w:noProof/>
        </w:rPr>
        <w:t>Some aspects of the humoral immunity and the phagocytic function in newborn-infants. .</w:t>
      </w:r>
      <w:r w:rsidRPr="00330CF1">
        <w:rPr>
          <w:rFonts w:ascii="Arial" w:hAnsi="Arial" w:cs="Arial"/>
          <w:noProof/>
        </w:rPr>
        <w:t xml:space="preserve"> Israel Journal of Medical Sciences, 1994. </w:t>
      </w:r>
      <w:r w:rsidRPr="00330CF1">
        <w:rPr>
          <w:rFonts w:ascii="Arial" w:hAnsi="Arial" w:cs="Arial"/>
          <w:b/>
          <w:noProof/>
        </w:rPr>
        <w:t>30</w:t>
      </w:r>
      <w:r w:rsidRPr="00330CF1">
        <w:rPr>
          <w:rFonts w:ascii="Arial" w:hAnsi="Arial" w:cs="Arial"/>
          <w:noProof/>
        </w:rPr>
        <w:t>(5-6): p. 331-335.</w:t>
      </w:r>
      <w:bookmarkEnd w:id="153"/>
    </w:p>
    <w:p w:rsidR="00330CF1" w:rsidRPr="00330CF1" w:rsidRDefault="00330CF1" w:rsidP="0009286C">
      <w:pPr>
        <w:ind w:left="720" w:hanging="720"/>
        <w:rPr>
          <w:rFonts w:ascii="Arial" w:hAnsi="Arial" w:cs="Arial"/>
          <w:noProof/>
        </w:rPr>
      </w:pPr>
      <w:bookmarkStart w:id="154" w:name="_ENREF_93"/>
      <w:r w:rsidRPr="00330CF1">
        <w:rPr>
          <w:rFonts w:ascii="Arial" w:hAnsi="Arial" w:cs="Arial"/>
          <w:noProof/>
        </w:rPr>
        <w:t>93.</w:t>
      </w:r>
      <w:r w:rsidRPr="00330CF1">
        <w:rPr>
          <w:rFonts w:ascii="Arial" w:hAnsi="Arial" w:cs="Arial"/>
          <w:noProof/>
        </w:rPr>
        <w:tab/>
        <w:t xml:space="preserve">McTaggart, C., et al., </w:t>
      </w:r>
      <w:r w:rsidRPr="00330CF1">
        <w:rPr>
          <w:rFonts w:ascii="Arial" w:hAnsi="Arial" w:cs="Arial"/>
          <w:i/>
          <w:noProof/>
        </w:rPr>
        <w:t>A comparison of foal and adult horse neutrophil function using flow cytometric techniques.</w:t>
      </w:r>
      <w:r w:rsidRPr="00330CF1">
        <w:rPr>
          <w:rFonts w:ascii="Arial" w:hAnsi="Arial" w:cs="Arial"/>
          <w:noProof/>
        </w:rPr>
        <w:t xml:space="preserve"> Research in Veterinary Science, 2001. </w:t>
      </w:r>
      <w:r w:rsidRPr="00330CF1">
        <w:rPr>
          <w:rFonts w:ascii="Arial" w:hAnsi="Arial" w:cs="Arial"/>
          <w:b/>
          <w:noProof/>
        </w:rPr>
        <w:t>71</w:t>
      </w:r>
      <w:r w:rsidRPr="00330CF1">
        <w:rPr>
          <w:rFonts w:ascii="Arial" w:hAnsi="Arial" w:cs="Arial"/>
          <w:noProof/>
        </w:rPr>
        <w:t>(1): p. 73-79.</w:t>
      </w:r>
      <w:bookmarkEnd w:id="154"/>
    </w:p>
    <w:p w:rsidR="00330CF1" w:rsidRPr="00330CF1" w:rsidRDefault="00330CF1" w:rsidP="0009286C">
      <w:pPr>
        <w:ind w:left="720" w:hanging="720"/>
        <w:rPr>
          <w:rFonts w:ascii="Arial" w:hAnsi="Arial" w:cs="Arial"/>
          <w:noProof/>
        </w:rPr>
      </w:pPr>
      <w:bookmarkStart w:id="155" w:name="_ENREF_94"/>
      <w:r w:rsidRPr="00330CF1">
        <w:rPr>
          <w:rFonts w:ascii="Arial" w:hAnsi="Arial" w:cs="Arial"/>
          <w:noProof/>
        </w:rPr>
        <w:t>94.</w:t>
      </w:r>
      <w:r w:rsidRPr="00330CF1">
        <w:rPr>
          <w:rFonts w:ascii="Arial" w:hAnsi="Arial" w:cs="Arial"/>
          <w:noProof/>
        </w:rPr>
        <w:tab/>
        <w:t xml:space="preserve">Higuchi, H., et al., </w:t>
      </w:r>
      <w:r w:rsidRPr="00330CF1">
        <w:rPr>
          <w:rFonts w:ascii="Arial" w:hAnsi="Arial" w:cs="Arial"/>
          <w:i/>
          <w:noProof/>
        </w:rPr>
        <w:t>Relationship between age-dependent changes of bovine neutrophil functions and their intracellular Ca2+ concentrations.</w:t>
      </w:r>
      <w:r w:rsidRPr="00330CF1">
        <w:rPr>
          <w:rFonts w:ascii="Arial" w:hAnsi="Arial" w:cs="Arial"/>
          <w:noProof/>
        </w:rPr>
        <w:t xml:space="preserve"> Journal of Veterinary Medical Science, 1997. </w:t>
      </w:r>
      <w:r w:rsidRPr="00330CF1">
        <w:rPr>
          <w:rFonts w:ascii="Arial" w:hAnsi="Arial" w:cs="Arial"/>
          <w:b/>
          <w:noProof/>
        </w:rPr>
        <w:t>59</w:t>
      </w:r>
      <w:r w:rsidRPr="00330CF1">
        <w:rPr>
          <w:rFonts w:ascii="Arial" w:hAnsi="Arial" w:cs="Arial"/>
          <w:noProof/>
        </w:rPr>
        <w:t>(4): p. 271-276.</w:t>
      </w:r>
      <w:bookmarkEnd w:id="155"/>
    </w:p>
    <w:p w:rsidR="00330CF1" w:rsidRPr="00330CF1" w:rsidRDefault="00330CF1" w:rsidP="0009286C">
      <w:pPr>
        <w:ind w:left="720" w:hanging="720"/>
        <w:rPr>
          <w:rFonts w:ascii="Arial" w:hAnsi="Arial" w:cs="Arial"/>
          <w:noProof/>
        </w:rPr>
      </w:pPr>
      <w:bookmarkStart w:id="156" w:name="_ENREF_95"/>
      <w:r w:rsidRPr="00330CF1">
        <w:rPr>
          <w:rFonts w:ascii="Arial" w:hAnsi="Arial" w:cs="Arial"/>
          <w:noProof/>
        </w:rPr>
        <w:t>95.</w:t>
      </w:r>
      <w:r w:rsidRPr="00330CF1">
        <w:rPr>
          <w:rFonts w:ascii="Arial" w:hAnsi="Arial" w:cs="Arial"/>
          <w:noProof/>
        </w:rPr>
        <w:tab/>
        <w:t xml:space="preserve">Hanel, R.M., et al., </w:t>
      </w:r>
      <w:r w:rsidRPr="00330CF1">
        <w:rPr>
          <w:rFonts w:ascii="Arial" w:hAnsi="Arial" w:cs="Arial"/>
          <w:i/>
          <w:noProof/>
        </w:rPr>
        <w:t>Neutrophil function and plasma opsonic capacity in colostrum-fed and colostrum-deprived neonatal kittens.</w:t>
      </w:r>
      <w:r w:rsidRPr="00330CF1">
        <w:rPr>
          <w:rFonts w:ascii="Arial" w:hAnsi="Arial" w:cs="Arial"/>
          <w:noProof/>
        </w:rPr>
        <w:t xml:space="preserve"> American Journal of Veterinary Research, 2003. </w:t>
      </w:r>
      <w:r w:rsidRPr="00330CF1">
        <w:rPr>
          <w:rFonts w:ascii="Arial" w:hAnsi="Arial" w:cs="Arial"/>
          <w:b/>
          <w:noProof/>
        </w:rPr>
        <w:t>64</w:t>
      </w:r>
      <w:r w:rsidRPr="00330CF1">
        <w:rPr>
          <w:rFonts w:ascii="Arial" w:hAnsi="Arial" w:cs="Arial"/>
          <w:noProof/>
        </w:rPr>
        <w:t>(5): p. 538-543.</w:t>
      </w:r>
      <w:bookmarkEnd w:id="156"/>
    </w:p>
    <w:p w:rsidR="00330CF1" w:rsidRPr="00330CF1" w:rsidRDefault="00330CF1" w:rsidP="0009286C">
      <w:pPr>
        <w:ind w:left="720" w:hanging="720"/>
        <w:rPr>
          <w:rFonts w:ascii="Arial" w:hAnsi="Arial" w:cs="Arial"/>
          <w:noProof/>
        </w:rPr>
      </w:pPr>
      <w:bookmarkStart w:id="157" w:name="_ENREF_96"/>
      <w:r w:rsidRPr="00330CF1">
        <w:rPr>
          <w:rFonts w:ascii="Arial" w:hAnsi="Arial" w:cs="Arial"/>
          <w:noProof/>
        </w:rPr>
        <w:t>96.</w:t>
      </w:r>
      <w:r w:rsidRPr="00330CF1">
        <w:rPr>
          <w:rFonts w:ascii="Arial" w:hAnsi="Arial" w:cs="Arial"/>
          <w:noProof/>
        </w:rPr>
        <w:tab/>
        <w:t xml:space="preserve">Nagler-Anderson, C., </w:t>
      </w:r>
      <w:r w:rsidRPr="00330CF1">
        <w:rPr>
          <w:rFonts w:ascii="Arial" w:hAnsi="Arial" w:cs="Arial"/>
          <w:i/>
          <w:noProof/>
        </w:rPr>
        <w:t>Man the barrier! Strategic defences in the intestinal mucosa.</w:t>
      </w:r>
      <w:r w:rsidRPr="00330CF1">
        <w:rPr>
          <w:rFonts w:ascii="Arial" w:hAnsi="Arial" w:cs="Arial"/>
          <w:noProof/>
        </w:rPr>
        <w:t xml:space="preserve"> Nature Reviews Immunology, 2001. </w:t>
      </w:r>
      <w:r w:rsidRPr="00330CF1">
        <w:rPr>
          <w:rFonts w:ascii="Arial" w:hAnsi="Arial" w:cs="Arial"/>
          <w:b/>
          <w:noProof/>
        </w:rPr>
        <w:t>1</w:t>
      </w:r>
      <w:r w:rsidRPr="00330CF1">
        <w:rPr>
          <w:rFonts w:ascii="Arial" w:hAnsi="Arial" w:cs="Arial"/>
          <w:noProof/>
        </w:rPr>
        <w:t>(1): p. 59-67.</w:t>
      </w:r>
      <w:bookmarkEnd w:id="157"/>
    </w:p>
    <w:p w:rsidR="00330CF1" w:rsidRPr="00330CF1" w:rsidRDefault="00330CF1" w:rsidP="0009286C">
      <w:pPr>
        <w:ind w:left="720" w:hanging="720"/>
        <w:rPr>
          <w:rFonts w:ascii="Arial" w:hAnsi="Arial" w:cs="Arial"/>
          <w:noProof/>
        </w:rPr>
      </w:pPr>
      <w:bookmarkStart w:id="158" w:name="_ENREF_97"/>
      <w:r w:rsidRPr="00330CF1">
        <w:rPr>
          <w:rFonts w:ascii="Arial" w:hAnsi="Arial" w:cs="Arial"/>
          <w:noProof/>
        </w:rPr>
        <w:t>97.</w:t>
      </w:r>
      <w:r w:rsidRPr="00330CF1">
        <w:rPr>
          <w:rFonts w:ascii="Arial" w:hAnsi="Arial" w:cs="Arial"/>
          <w:noProof/>
        </w:rPr>
        <w:tab/>
        <w:t xml:space="preserve">Levy, O., </w:t>
      </w:r>
      <w:r w:rsidRPr="00330CF1">
        <w:rPr>
          <w:rFonts w:ascii="Arial" w:hAnsi="Arial" w:cs="Arial"/>
          <w:i/>
          <w:noProof/>
        </w:rPr>
        <w:t>Antimicrobial proteins and peptides: anti-infective molecules of mammalian leukocytes.</w:t>
      </w:r>
      <w:r w:rsidRPr="00330CF1">
        <w:rPr>
          <w:rFonts w:ascii="Arial" w:hAnsi="Arial" w:cs="Arial"/>
          <w:noProof/>
        </w:rPr>
        <w:t xml:space="preserve"> Journal of Leukocyte Biology, 2004. </w:t>
      </w:r>
      <w:r w:rsidRPr="00330CF1">
        <w:rPr>
          <w:rFonts w:ascii="Arial" w:hAnsi="Arial" w:cs="Arial"/>
          <w:b/>
          <w:noProof/>
        </w:rPr>
        <w:t>76</w:t>
      </w:r>
      <w:r w:rsidRPr="00330CF1">
        <w:rPr>
          <w:rFonts w:ascii="Arial" w:hAnsi="Arial" w:cs="Arial"/>
          <w:noProof/>
        </w:rPr>
        <w:t>(5): p. 909-925.</w:t>
      </w:r>
      <w:bookmarkEnd w:id="158"/>
    </w:p>
    <w:p w:rsidR="00330CF1" w:rsidRPr="00330CF1" w:rsidRDefault="00330CF1" w:rsidP="0009286C">
      <w:pPr>
        <w:ind w:left="720" w:hanging="720"/>
        <w:rPr>
          <w:rFonts w:ascii="Arial" w:hAnsi="Arial" w:cs="Arial"/>
          <w:noProof/>
        </w:rPr>
      </w:pPr>
      <w:bookmarkStart w:id="159" w:name="_ENREF_98"/>
      <w:r w:rsidRPr="00330CF1">
        <w:rPr>
          <w:rFonts w:ascii="Arial" w:hAnsi="Arial" w:cs="Arial"/>
          <w:noProof/>
        </w:rPr>
        <w:t>98.</w:t>
      </w:r>
      <w:r w:rsidRPr="00330CF1">
        <w:rPr>
          <w:rFonts w:ascii="Arial" w:hAnsi="Arial" w:cs="Arial"/>
          <w:noProof/>
        </w:rPr>
        <w:tab/>
        <w:t xml:space="preserve">Stokes, C. and N. Waly, </w:t>
      </w:r>
      <w:r w:rsidRPr="00330CF1">
        <w:rPr>
          <w:rFonts w:ascii="Arial" w:hAnsi="Arial" w:cs="Arial"/>
          <w:i/>
          <w:noProof/>
        </w:rPr>
        <w:t>Mucosal defence along the gastrointestinal tract of cats and dogs.</w:t>
      </w:r>
      <w:r w:rsidRPr="00330CF1">
        <w:rPr>
          <w:rFonts w:ascii="Arial" w:hAnsi="Arial" w:cs="Arial"/>
          <w:noProof/>
        </w:rPr>
        <w:t xml:space="preserve"> Veterinary Research, 2006. </w:t>
      </w:r>
      <w:r w:rsidRPr="00330CF1">
        <w:rPr>
          <w:rFonts w:ascii="Arial" w:hAnsi="Arial" w:cs="Arial"/>
          <w:b/>
          <w:noProof/>
        </w:rPr>
        <w:t>37</w:t>
      </w:r>
      <w:r w:rsidRPr="00330CF1">
        <w:rPr>
          <w:rFonts w:ascii="Arial" w:hAnsi="Arial" w:cs="Arial"/>
          <w:noProof/>
        </w:rPr>
        <w:t>(3): p. 281-293.</w:t>
      </w:r>
      <w:bookmarkEnd w:id="159"/>
    </w:p>
    <w:p w:rsidR="00330CF1" w:rsidRPr="00330CF1" w:rsidRDefault="00330CF1" w:rsidP="0009286C">
      <w:pPr>
        <w:ind w:left="720" w:hanging="720"/>
        <w:rPr>
          <w:rFonts w:ascii="Arial" w:hAnsi="Arial" w:cs="Arial"/>
          <w:noProof/>
        </w:rPr>
      </w:pPr>
      <w:bookmarkStart w:id="160" w:name="_ENREF_99"/>
      <w:r w:rsidRPr="00330CF1">
        <w:rPr>
          <w:rFonts w:ascii="Arial" w:hAnsi="Arial" w:cs="Arial"/>
          <w:noProof/>
        </w:rPr>
        <w:t>99.</w:t>
      </w:r>
      <w:r w:rsidRPr="00330CF1">
        <w:rPr>
          <w:rFonts w:ascii="Arial" w:hAnsi="Arial" w:cs="Arial"/>
          <w:noProof/>
        </w:rPr>
        <w:tab/>
        <w:t xml:space="preserve">Waly, N., et al., </w:t>
      </w:r>
      <w:r w:rsidRPr="00330CF1">
        <w:rPr>
          <w:rFonts w:ascii="Arial" w:hAnsi="Arial" w:cs="Arial"/>
          <w:i/>
          <w:noProof/>
        </w:rPr>
        <w:t>The distribution of leucocyte subsets in the small intestine of healthy cats.</w:t>
      </w:r>
      <w:r w:rsidRPr="00330CF1">
        <w:rPr>
          <w:rFonts w:ascii="Arial" w:hAnsi="Arial" w:cs="Arial"/>
          <w:noProof/>
        </w:rPr>
        <w:t xml:space="preserve"> Journal of Comparative Pathology, 2001. </w:t>
      </w:r>
      <w:r w:rsidRPr="00330CF1">
        <w:rPr>
          <w:rFonts w:ascii="Arial" w:hAnsi="Arial" w:cs="Arial"/>
          <w:b/>
          <w:noProof/>
        </w:rPr>
        <w:t>124</w:t>
      </w:r>
      <w:r w:rsidRPr="00330CF1">
        <w:rPr>
          <w:rFonts w:ascii="Arial" w:hAnsi="Arial" w:cs="Arial"/>
          <w:noProof/>
        </w:rPr>
        <w:t>(2-3): p. 172-182.</w:t>
      </w:r>
      <w:bookmarkEnd w:id="160"/>
    </w:p>
    <w:p w:rsidR="00330CF1" w:rsidRPr="00330CF1" w:rsidRDefault="00330CF1" w:rsidP="0009286C">
      <w:pPr>
        <w:ind w:left="720" w:hanging="720"/>
        <w:rPr>
          <w:rFonts w:ascii="Arial" w:hAnsi="Arial" w:cs="Arial"/>
          <w:noProof/>
        </w:rPr>
      </w:pPr>
      <w:bookmarkStart w:id="161" w:name="_ENREF_100"/>
      <w:r w:rsidRPr="00330CF1">
        <w:rPr>
          <w:rFonts w:ascii="Arial" w:hAnsi="Arial" w:cs="Arial"/>
          <w:noProof/>
        </w:rPr>
        <w:t>100.</w:t>
      </w:r>
      <w:r w:rsidRPr="00330CF1">
        <w:rPr>
          <w:rFonts w:ascii="Arial" w:hAnsi="Arial" w:cs="Arial"/>
          <w:noProof/>
        </w:rPr>
        <w:tab/>
        <w:t xml:space="preserve">Brandtzaeg, P., </w:t>
      </w:r>
      <w:r w:rsidRPr="00330CF1">
        <w:rPr>
          <w:rFonts w:ascii="Arial" w:hAnsi="Arial" w:cs="Arial"/>
          <w:i/>
          <w:noProof/>
        </w:rPr>
        <w:t>Nature and function of gastrointestinal antigen-presenting cells.</w:t>
      </w:r>
      <w:r w:rsidRPr="00330CF1">
        <w:rPr>
          <w:rFonts w:ascii="Arial" w:hAnsi="Arial" w:cs="Arial"/>
          <w:noProof/>
        </w:rPr>
        <w:t xml:space="preserve"> Allergy, 2001. </w:t>
      </w:r>
      <w:r w:rsidRPr="00330CF1">
        <w:rPr>
          <w:rFonts w:ascii="Arial" w:hAnsi="Arial" w:cs="Arial"/>
          <w:b/>
          <w:noProof/>
        </w:rPr>
        <w:t>56</w:t>
      </w:r>
      <w:r w:rsidRPr="00330CF1">
        <w:rPr>
          <w:rFonts w:ascii="Arial" w:hAnsi="Arial" w:cs="Arial"/>
          <w:noProof/>
        </w:rPr>
        <w:t>: p. 16-20.</w:t>
      </w:r>
      <w:bookmarkEnd w:id="161"/>
    </w:p>
    <w:p w:rsidR="00330CF1" w:rsidRPr="00330CF1" w:rsidRDefault="00330CF1" w:rsidP="0009286C">
      <w:pPr>
        <w:ind w:left="720" w:hanging="720"/>
        <w:rPr>
          <w:rFonts w:ascii="Arial" w:hAnsi="Arial" w:cs="Arial"/>
          <w:noProof/>
        </w:rPr>
      </w:pPr>
      <w:bookmarkStart w:id="162" w:name="_ENREF_101"/>
      <w:r w:rsidRPr="00330CF1">
        <w:rPr>
          <w:rFonts w:ascii="Arial" w:hAnsi="Arial" w:cs="Arial"/>
          <w:noProof/>
        </w:rPr>
        <w:t>101.</w:t>
      </w:r>
      <w:r w:rsidRPr="00330CF1">
        <w:rPr>
          <w:rFonts w:ascii="Arial" w:hAnsi="Arial" w:cs="Arial"/>
          <w:noProof/>
        </w:rPr>
        <w:tab/>
        <w:t xml:space="preserve">Neurath, M.F., S. Finotto, and L.H. Glimcher, </w:t>
      </w:r>
      <w:r w:rsidRPr="00330CF1">
        <w:rPr>
          <w:rFonts w:ascii="Arial" w:hAnsi="Arial" w:cs="Arial"/>
          <w:i/>
          <w:noProof/>
        </w:rPr>
        <w:t>The role of Th1/Th2 polarization in mucosal immunity.</w:t>
      </w:r>
      <w:r w:rsidRPr="00330CF1">
        <w:rPr>
          <w:rFonts w:ascii="Arial" w:hAnsi="Arial" w:cs="Arial"/>
          <w:noProof/>
        </w:rPr>
        <w:t xml:space="preserve"> Nature Medicine, 2002. </w:t>
      </w:r>
      <w:r w:rsidRPr="00330CF1">
        <w:rPr>
          <w:rFonts w:ascii="Arial" w:hAnsi="Arial" w:cs="Arial"/>
          <w:b/>
          <w:noProof/>
        </w:rPr>
        <w:t>8</w:t>
      </w:r>
      <w:r w:rsidRPr="00330CF1">
        <w:rPr>
          <w:rFonts w:ascii="Arial" w:hAnsi="Arial" w:cs="Arial"/>
          <w:noProof/>
        </w:rPr>
        <w:t>(6): p. 567-573.</w:t>
      </w:r>
      <w:bookmarkEnd w:id="162"/>
    </w:p>
    <w:p w:rsidR="00330CF1" w:rsidRPr="00330CF1" w:rsidRDefault="00330CF1" w:rsidP="0009286C">
      <w:pPr>
        <w:ind w:left="720" w:hanging="720"/>
        <w:rPr>
          <w:rFonts w:ascii="Arial" w:hAnsi="Arial" w:cs="Arial"/>
          <w:noProof/>
        </w:rPr>
      </w:pPr>
      <w:bookmarkStart w:id="163" w:name="_ENREF_102"/>
      <w:r w:rsidRPr="00330CF1">
        <w:rPr>
          <w:rFonts w:ascii="Arial" w:hAnsi="Arial" w:cs="Arial"/>
          <w:noProof/>
        </w:rPr>
        <w:lastRenderedPageBreak/>
        <w:t>102.</w:t>
      </w:r>
      <w:r w:rsidRPr="00330CF1">
        <w:rPr>
          <w:rFonts w:ascii="Arial" w:hAnsi="Arial" w:cs="Arial"/>
          <w:noProof/>
        </w:rPr>
        <w:tab/>
        <w:t xml:space="preserve">Senju, M., et al., </w:t>
      </w:r>
      <w:r w:rsidRPr="00330CF1">
        <w:rPr>
          <w:rFonts w:ascii="Arial" w:hAnsi="Arial" w:cs="Arial"/>
          <w:i/>
          <w:noProof/>
        </w:rPr>
        <w:t>2-Color immunofluorescence and flow cytometric analysis of lamina propria lympocyte subsets in ulcerative-colitis and Crohs-disease. .</w:t>
      </w:r>
      <w:r w:rsidRPr="00330CF1">
        <w:rPr>
          <w:rFonts w:ascii="Arial" w:hAnsi="Arial" w:cs="Arial"/>
          <w:noProof/>
        </w:rPr>
        <w:t xml:space="preserve"> Digestive Diseases and Sciences, 1991. </w:t>
      </w:r>
      <w:r w:rsidRPr="00330CF1">
        <w:rPr>
          <w:rFonts w:ascii="Arial" w:hAnsi="Arial" w:cs="Arial"/>
          <w:b/>
          <w:noProof/>
        </w:rPr>
        <w:t>36</w:t>
      </w:r>
      <w:r w:rsidRPr="00330CF1">
        <w:rPr>
          <w:rFonts w:ascii="Arial" w:hAnsi="Arial" w:cs="Arial"/>
          <w:noProof/>
        </w:rPr>
        <w:t>(10): p. 1453-1458.</w:t>
      </w:r>
      <w:bookmarkEnd w:id="163"/>
    </w:p>
    <w:p w:rsidR="00330CF1" w:rsidRPr="00330CF1" w:rsidRDefault="00330CF1" w:rsidP="0009286C">
      <w:pPr>
        <w:ind w:left="720" w:hanging="720"/>
        <w:rPr>
          <w:rFonts w:ascii="Arial" w:hAnsi="Arial" w:cs="Arial"/>
          <w:noProof/>
        </w:rPr>
      </w:pPr>
      <w:bookmarkStart w:id="164" w:name="_ENREF_103"/>
      <w:r w:rsidRPr="00330CF1">
        <w:rPr>
          <w:rFonts w:ascii="Arial" w:hAnsi="Arial" w:cs="Arial"/>
          <w:noProof/>
        </w:rPr>
        <w:t>103.</w:t>
      </w:r>
      <w:r w:rsidRPr="00330CF1">
        <w:rPr>
          <w:rFonts w:ascii="Arial" w:hAnsi="Arial" w:cs="Arial"/>
          <w:noProof/>
        </w:rPr>
        <w:tab/>
        <w:t xml:space="preserve">Guy-Grand, D. and P. Vassalli, </w:t>
      </w:r>
      <w:r w:rsidRPr="00330CF1">
        <w:rPr>
          <w:rFonts w:ascii="Arial" w:hAnsi="Arial" w:cs="Arial"/>
          <w:i/>
          <w:noProof/>
        </w:rPr>
        <w:t>Gut intraepithelial lymphocyte development.</w:t>
      </w:r>
      <w:r w:rsidRPr="00330CF1">
        <w:rPr>
          <w:rFonts w:ascii="Arial" w:hAnsi="Arial" w:cs="Arial"/>
          <w:noProof/>
        </w:rPr>
        <w:t xml:space="preserve"> Current Opinion in Immunology, 2002. </w:t>
      </w:r>
      <w:r w:rsidRPr="00330CF1">
        <w:rPr>
          <w:rFonts w:ascii="Arial" w:hAnsi="Arial" w:cs="Arial"/>
          <w:b/>
          <w:noProof/>
        </w:rPr>
        <w:t>14</w:t>
      </w:r>
      <w:r w:rsidRPr="00330CF1">
        <w:rPr>
          <w:rFonts w:ascii="Arial" w:hAnsi="Arial" w:cs="Arial"/>
          <w:noProof/>
        </w:rPr>
        <w:t>(2): p. 255-259.</w:t>
      </w:r>
      <w:bookmarkEnd w:id="164"/>
    </w:p>
    <w:p w:rsidR="00330CF1" w:rsidRPr="00330CF1" w:rsidRDefault="00330CF1" w:rsidP="0009286C">
      <w:pPr>
        <w:ind w:left="720" w:hanging="720"/>
        <w:rPr>
          <w:rFonts w:ascii="Arial" w:hAnsi="Arial" w:cs="Arial"/>
          <w:noProof/>
        </w:rPr>
      </w:pPr>
      <w:bookmarkStart w:id="165" w:name="_ENREF_104"/>
      <w:r w:rsidRPr="00330CF1">
        <w:rPr>
          <w:rFonts w:ascii="Arial" w:hAnsi="Arial" w:cs="Arial"/>
          <w:noProof/>
        </w:rPr>
        <w:t>104.</w:t>
      </w:r>
      <w:r w:rsidRPr="00330CF1">
        <w:rPr>
          <w:rFonts w:ascii="Arial" w:hAnsi="Arial" w:cs="Arial"/>
          <w:noProof/>
        </w:rPr>
        <w:tab/>
        <w:t xml:space="preserve">Williams, N., </w:t>
      </w:r>
      <w:r w:rsidRPr="00330CF1">
        <w:rPr>
          <w:rFonts w:ascii="Arial" w:hAnsi="Arial" w:cs="Arial"/>
          <w:i/>
          <w:noProof/>
        </w:rPr>
        <w:t>T cells on the mucosal frontline.</w:t>
      </w:r>
      <w:r w:rsidRPr="00330CF1">
        <w:rPr>
          <w:rFonts w:ascii="Arial" w:hAnsi="Arial" w:cs="Arial"/>
          <w:noProof/>
        </w:rPr>
        <w:t xml:space="preserve"> Science, 1998. </w:t>
      </w:r>
      <w:r w:rsidRPr="00330CF1">
        <w:rPr>
          <w:rFonts w:ascii="Arial" w:hAnsi="Arial" w:cs="Arial"/>
          <w:b/>
          <w:noProof/>
        </w:rPr>
        <w:t>280</w:t>
      </w:r>
      <w:r w:rsidRPr="00330CF1">
        <w:rPr>
          <w:rFonts w:ascii="Arial" w:hAnsi="Arial" w:cs="Arial"/>
          <w:noProof/>
        </w:rPr>
        <w:t>(5361): p. 198-200.</w:t>
      </w:r>
      <w:bookmarkEnd w:id="165"/>
    </w:p>
    <w:p w:rsidR="00330CF1" w:rsidRPr="00330CF1" w:rsidRDefault="00330CF1" w:rsidP="0009286C">
      <w:pPr>
        <w:ind w:left="720" w:hanging="720"/>
        <w:rPr>
          <w:rFonts w:ascii="Arial" w:hAnsi="Arial" w:cs="Arial"/>
          <w:noProof/>
        </w:rPr>
      </w:pPr>
      <w:bookmarkStart w:id="166" w:name="_ENREF_105"/>
      <w:r w:rsidRPr="00330CF1">
        <w:rPr>
          <w:rFonts w:ascii="Arial" w:hAnsi="Arial" w:cs="Arial"/>
          <w:noProof/>
        </w:rPr>
        <w:t>105.</w:t>
      </w:r>
      <w:r w:rsidRPr="00330CF1">
        <w:rPr>
          <w:rFonts w:ascii="Arial" w:hAnsi="Arial" w:cs="Arial"/>
          <w:noProof/>
        </w:rPr>
        <w:tab/>
        <w:t xml:space="preserve">Groh, V., et al., </w:t>
      </w:r>
      <w:r w:rsidRPr="00330CF1">
        <w:rPr>
          <w:rFonts w:ascii="Arial" w:hAnsi="Arial" w:cs="Arial"/>
          <w:i/>
          <w:noProof/>
        </w:rPr>
        <w:t>Recognition of stress-induced MHC molecules by intestinal epithelial gamma delta T cells.</w:t>
      </w:r>
      <w:r w:rsidRPr="00330CF1">
        <w:rPr>
          <w:rFonts w:ascii="Arial" w:hAnsi="Arial" w:cs="Arial"/>
          <w:noProof/>
        </w:rPr>
        <w:t xml:space="preserve"> Science, 1998. </w:t>
      </w:r>
      <w:r w:rsidRPr="00330CF1">
        <w:rPr>
          <w:rFonts w:ascii="Arial" w:hAnsi="Arial" w:cs="Arial"/>
          <w:b/>
          <w:noProof/>
        </w:rPr>
        <w:t>279</w:t>
      </w:r>
      <w:r w:rsidRPr="00330CF1">
        <w:rPr>
          <w:rFonts w:ascii="Arial" w:hAnsi="Arial" w:cs="Arial"/>
          <w:noProof/>
        </w:rPr>
        <w:t>(5357): p. 1737-1740.</w:t>
      </w:r>
      <w:bookmarkEnd w:id="166"/>
    </w:p>
    <w:p w:rsidR="00330CF1" w:rsidRPr="00330CF1" w:rsidRDefault="00330CF1" w:rsidP="0009286C">
      <w:pPr>
        <w:ind w:left="720" w:hanging="720"/>
        <w:rPr>
          <w:rFonts w:ascii="Arial" w:hAnsi="Arial" w:cs="Arial"/>
          <w:noProof/>
        </w:rPr>
      </w:pPr>
      <w:bookmarkStart w:id="167" w:name="_ENREF_106"/>
      <w:r w:rsidRPr="00330CF1">
        <w:rPr>
          <w:rFonts w:ascii="Arial" w:hAnsi="Arial" w:cs="Arial"/>
          <w:noProof/>
        </w:rPr>
        <w:t>106.</w:t>
      </w:r>
      <w:r w:rsidRPr="00330CF1">
        <w:rPr>
          <w:rFonts w:ascii="Arial" w:hAnsi="Arial" w:cs="Arial"/>
          <w:noProof/>
        </w:rPr>
        <w:tab/>
        <w:t xml:space="preserve">Kelly, D., T. King, and R. Aminov, </w:t>
      </w:r>
      <w:r w:rsidRPr="00330CF1">
        <w:rPr>
          <w:rFonts w:ascii="Arial" w:hAnsi="Arial" w:cs="Arial"/>
          <w:i/>
          <w:noProof/>
        </w:rPr>
        <w:t>Importance of microbial colonization of the gut in early life to the development of immunity.</w:t>
      </w:r>
      <w:r w:rsidRPr="00330CF1">
        <w:rPr>
          <w:rFonts w:ascii="Arial" w:hAnsi="Arial" w:cs="Arial"/>
          <w:noProof/>
        </w:rPr>
        <w:t xml:space="preserve"> Mutation Research, Fundamental and Molecular Mechanisms of Mutagenesis, 2007. </w:t>
      </w:r>
      <w:r w:rsidRPr="00330CF1">
        <w:rPr>
          <w:rFonts w:ascii="Arial" w:hAnsi="Arial" w:cs="Arial"/>
          <w:b/>
          <w:noProof/>
        </w:rPr>
        <w:t>622</w:t>
      </w:r>
      <w:r w:rsidRPr="00330CF1">
        <w:rPr>
          <w:rFonts w:ascii="Arial" w:hAnsi="Arial" w:cs="Arial"/>
          <w:noProof/>
        </w:rPr>
        <w:t>(1/2): p. 58-69.</w:t>
      </w:r>
      <w:bookmarkEnd w:id="167"/>
    </w:p>
    <w:p w:rsidR="00330CF1" w:rsidRPr="00330CF1" w:rsidRDefault="00330CF1" w:rsidP="0009286C">
      <w:pPr>
        <w:ind w:left="720" w:hanging="720"/>
        <w:rPr>
          <w:rFonts w:ascii="Arial" w:hAnsi="Arial" w:cs="Arial"/>
          <w:noProof/>
        </w:rPr>
      </w:pPr>
      <w:bookmarkStart w:id="168" w:name="_ENREF_107"/>
      <w:r w:rsidRPr="00330CF1">
        <w:rPr>
          <w:rFonts w:ascii="Arial" w:hAnsi="Arial" w:cs="Arial"/>
          <w:noProof/>
        </w:rPr>
        <w:t>107.</w:t>
      </w:r>
      <w:r w:rsidRPr="00330CF1">
        <w:rPr>
          <w:rFonts w:ascii="Arial" w:hAnsi="Arial" w:cs="Arial"/>
          <w:noProof/>
        </w:rPr>
        <w:tab/>
        <w:t xml:space="preserve">Adlerberth, I., et al., </w:t>
      </w:r>
      <w:r w:rsidRPr="00330CF1">
        <w:rPr>
          <w:rFonts w:ascii="Arial" w:hAnsi="Arial" w:cs="Arial"/>
          <w:i/>
          <w:noProof/>
        </w:rPr>
        <w:t>Reduced enterobacterial and increased staphylococcal colonization of the infantile bowel: An effect of hygienic lifestyle?</w:t>
      </w:r>
      <w:r w:rsidRPr="00330CF1">
        <w:rPr>
          <w:rFonts w:ascii="Arial" w:hAnsi="Arial" w:cs="Arial"/>
          <w:noProof/>
        </w:rPr>
        <w:t xml:space="preserve"> Pediatric Research, 2006. </w:t>
      </w:r>
      <w:r w:rsidRPr="00330CF1">
        <w:rPr>
          <w:rFonts w:ascii="Arial" w:hAnsi="Arial" w:cs="Arial"/>
          <w:b/>
          <w:noProof/>
        </w:rPr>
        <w:t>59</w:t>
      </w:r>
      <w:r w:rsidRPr="00330CF1">
        <w:rPr>
          <w:rFonts w:ascii="Arial" w:hAnsi="Arial" w:cs="Arial"/>
          <w:noProof/>
        </w:rPr>
        <w:t>(1): p. 96-101.</w:t>
      </w:r>
      <w:bookmarkEnd w:id="168"/>
    </w:p>
    <w:p w:rsidR="00330CF1" w:rsidRPr="00330CF1" w:rsidRDefault="00330CF1" w:rsidP="0009286C">
      <w:pPr>
        <w:ind w:left="720" w:hanging="720"/>
        <w:rPr>
          <w:rFonts w:ascii="Arial" w:hAnsi="Arial" w:cs="Arial"/>
          <w:noProof/>
        </w:rPr>
      </w:pPr>
      <w:bookmarkStart w:id="169" w:name="_ENREF_108"/>
      <w:r w:rsidRPr="00330CF1">
        <w:rPr>
          <w:rFonts w:ascii="Arial" w:hAnsi="Arial" w:cs="Arial"/>
          <w:noProof/>
        </w:rPr>
        <w:t>108.</w:t>
      </w:r>
      <w:r w:rsidRPr="00330CF1">
        <w:rPr>
          <w:rFonts w:ascii="Arial" w:hAnsi="Arial" w:cs="Arial"/>
          <w:noProof/>
        </w:rPr>
        <w:tab/>
        <w:t xml:space="preserve">Marques, T.M., et al., </w:t>
      </w:r>
      <w:r w:rsidRPr="00330CF1">
        <w:rPr>
          <w:rFonts w:ascii="Arial" w:hAnsi="Arial" w:cs="Arial"/>
          <w:i/>
          <w:noProof/>
        </w:rPr>
        <w:t>Programming infant gut microbiota: influence of dietary and environmental factors.</w:t>
      </w:r>
      <w:r w:rsidRPr="00330CF1">
        <w:rPr>
          <w:rFonts w:ascii="Arial" w:hAnsi="Arial" w:cs="Arial"/>
          <w:noProof/>
        </w:rPr>
        <w:t xml:space="preserve"> Current Opinion in Biotechnology, 2010. </w:t>
      </w:r>
      <w:r w:rsidRPr="00330CF1">
        <w:rPr>
          <w:rFonts w:ascii="Arial" w:hAnsi="Arial" w:cs="Arial"/>
          <w:b/>
          <w:noProof/>
        </w:rPr>
        <w:t>21</w:t>
      </w:r>
      <w:r w:rsidRPr="00330CF1">
        <w:rPr>
          <w:rFonts w:ascii="Arial" w:hAnsi="Arial" w:cs="Arial"/>
          <w:noProof/>
        </w:rPr>
        <w:t>(2): p. 149-156.</w:t>
      </w:r>
      <w:bookmarkEnd w:id="169"/>
    </w:p>
    <w:p w:rsidR="00330CF1" w:rsidRPr="00330CF1" w:rsidRDefault="00330CF1" w:rsidP="0009286C">
      <w:pPr>
        <w:ind w:left="720" w:hanging="720"/>
        <w:rPr>
          <w:rFonts w:ascii="Arial" w:hAnsi="Arial" w:cs="Arial"/>
          <w:noProof/>
        </w:rPr>
      </w:pPr>
      <w:bookmarkStart w:id="170" w:name="_ENREF_109"/>
      <w:r w:rsidRPr="00330CF1">
        <w:rPr>
          <w:rFonts w:ascii="Arial" w:hAnsi="Arial" w:cs="Arial"/>
          <w:noProof/>
        </w:rPr>
        <w:t>109.</w:t>
      </w:r>
      <w:r w:rsidRPr="00330CF1">
        <w:rPr>
          <w:rFonts w:ascii="Arial" w:hAnsi="Arial" w:cs="Arial"/>
          <w:noProof/>
        </w:rPr>
        <w:tab/>
        <w:t xml:space="preserve">Ley, R.E., et al., </w:t>
      </w:r>
      <w:r w:rsidRPr="00330CF1">
        <w:rPr>
          <w:rFonts w:ascii="Arial" w:hAnsi="Arial" w:cs="Arial"/>
          <w:i/>
          <w:noProof/>
        </w:rPr>
        <w:t>Evolution of mammals and their gut microbes.</w:t>
      </w:r>
      <w:r w:rsidRPr="00330CF1">
        <w:rPr>
          <w:rFonts w:ascii="Arial" w:hAnsi="Arial" w:cs="Arial"/>
          <w:noProof/>
        </w:rPr>
        <w:t xml:space="preserve"> Science, 2008. </w:t>
      </w:r>
      <w:r w:rsidRPr="00330CF1">
        <w:rPr>
          <w:rFonts w:ascii="Arial" w:hAnsi="Arial" w:cs="Arial"/>
          <w:b/>
          <w:noProof/>
        </w:rPr>
        <w:t>320</w:t>
      </w:r>
      <w:r w:rsidRPr="00330CF1">
        <w:rPr>
          <w:rFonts w:ascii="Arial" w:hAnsi="Arial" w:cs="Arial"/>
          <w:noProof/>
        </w:rPr>
        <w:t>(5883): p. 1647-1651.</w:t>
      </w:r>
      <w:bookmarkEnd w:id="170"/>
    </w:p>
    <w:p w:rsidR="00330CF1" w:rsidRPr="00330CF1" w:rsidRDefault="00330CF1" w:rsidP="0009286C">
      <w:pPr>
        <w:ind w:left="720" w:hanging="720"/>
        <w:rPr>
          <w:rFonts w:ascii="Arial" w:hAnsi="Arial" w:cs="Arial"/>
          <w:noProof/>
        </w:rPr>
      </w:pPr>
      <w:bookmarkStart w:id="171" w:name="_ENREF_110"/>
      <w:r w:rsidRPr="00330CF1">
        <w:rPr>
          <w:rFonts w:ascii="Arial" w:hAnsi="Arial" w:cs="Arial"/>
          <w:noProof/>
        </w:rPr>
        <w:t>110.</w:t>
      </w:r>
      <w:r w:rsidRPr="00330CF1">
        <w:rPr>
          <w:rFonts w:ascii="Arial" w:hAnsi="Arial" w:cs="Arial"/>
          <w:noProof/>
        </w:rPr>
        <w:tab/>
        <w:t xml:space="preserve">Leser, T.D. and L. Molbak, </w:t>
      </w:r>
      <w:r w:rsidRPr="00330CF1">
        <w:rPr>
          <w:rFonts w:ascii="Arial" w:hAnsi="Arial" w:cs="Arial"/>
          <w:i/>
          <w:noProof/>
        </w:rPr>
        <w:t>Better living through microbial action: the benefits of the mammalian gastrointestinal microbiota on the host.</w:t>
      </w:r>
      <w:r w:rsidRPr="00330CF1">
        <w:rPr>
          <w:rFonts w:ascii="Arial" w:hAnsi="Arial" w:cs="Arial"/>
          <w:noProof/>
        </w:rPr>
        <w:t xml:space="preserve"> Environmental Microbiology, 2009. </w:t>
      </w:r>
      <w:r w:rsidRPr="00330CF1">
        <w:rPr>
          <w:rFonts w:ascii="Arial" w:hAnsi="Arial" w:cs="Arial"/>
          <w:b/>
          <w:noProof/>
        </w:rPr>
        <w:t>11</w:t>
      </w:r>
      <w:r w:rsidRPr="00330CF1">
        <w:rPr>
          <w:rFonts w:ascii="Arial" w:hAnsi="Arial" w:cs="Arial"/>
          <w:noProof/>
        </w:rPr>
        <w:t>(9): p. 2194-2206.</w:t>
      </w:r>
      <w:bookmarkEnd w:id="171"/>
    </w:p>
    <w:p w:rsidR="00330CF1" w:rsidRPr="00330CF1" w:rsidRDefault="00330CF1" w:rsidP="0009286C">
      <w:pPr>
        <w:ind w:left="720" w:hanging="720"/>
        <w:rPr>
          <w:rFonts w:ascii="Arial" w:hAnsi="Arial" w:cs="Arial"/>
          <w:noProof/>
        </w:rPr>
      </w:pPr>
      <w:bookmarkStart w:id="172" w:name="_ENREF_111"/>
      <w:r w:rsidRPr="00330CF1">
        <w:rPr>
          <w:rFonts w:ascii="Arial" w:hAnsi="Arial" w:cs="Arial"/>
          <w:noProof/>
        </w:rPr>
        <w:t>111.</w:t>
      </w:r>
      <w:r w:rsidRPr="00330CF1">
        <w:rPr>
          <w:rFonts w:ascii="Arial" w:hAnsi="Arial" w:cs="Arial"/>
          <w:noProof/>
        </w:rPr>
        <w:tab/>
        <w:t xml:space="preserve">Ley, R.E., et al., </w:t>
      </w:r>
      <w:r w:rsidRPr="00330CF1">
        <w:rPr>
          <w:rFonts w:ascii="Arial" w:hAnsi="Arial" w:cs="Arial"/>
          <w:i/>
          <w:noProof/>
        </w:rPr>
        <w:t>Worlds within worlds: evolution of the vertebrate gut microbiota.</w:t>
      </w:r>
      <w:r w:rsidRPr="00330CF1">
        <w:rPr>
          <w:rFonts w:ascii="Arial" w:hAnsi="Arial" w:cs="Arial"/>
          <w:noProof/>
        </w:rPr>
        <w:t xml:space="preserve"> Nature Reviews Microbiology, 2008. </w:t>
      </w:r>
      <w:r w:rsidRPr="00330CF1">
        <w:rPr>
          <w:rFonts w:ascii="Arial" w:hAnsi="Arial" w:cs="Arial"/>
          <w:b/>
          <w:noProof/>
        </w:rPr>
        <w:t>6</w:t>
      </w:r>
      <w:r w:rsidRPr="00330CF1">
        <w:rPr>
          <w:rFonts w:ascii="Arial" w:hAnsi="Arial" w:cs="Arial"/>
          <w:noProof/>
        </w:rPr>
        <w:t>(10): p. 776-788.</w:t>
      </w:r>
      <w:bookmarkEnd w:id="172"/>
    </w:p>
    <w:p w:rsidR="00330CF1" w:rsidRPr="00330CF1" w:rsidRDefault="00330CF1" w:rsidP="0009286C">
      <w:pPr>
        <w:ind w:left="720" w:hanging="720"/>
        <w:rPr>
          <w:rFonts w:ascii="Arial" w:hAnsi="Arial" w:cs="Arial"/>
          <w:noProof/>
        </w:rPr>
      </w:pPr>
      <w:bookmarkStart w:id="173" w:name="_ENREF_112"/>
      <w:r w:rsidRPr="00330CF1">
        <w:rPr>
          <w:rFonts w:ascii="Arial" w:hAnsi="Arial" w:cs="Arial"/>
          <w:noProof/>
        </w:rPr>
        <w:t>112.</w:t>
      </w:r>
      <w:r w:rsidRPr="00330CF1">
        <w:rPr>
          <w:rFonts w:ascii="Arial" w:hAnsi="Arial" w:cs="Arial"/>
          <w:noProof/>
        </w:rPr>
        <w:tab/>
        <w:t xml:space="preserve">Dierenfeld, E.S., et al., </w:t>
      </w:r>
      <w:r w:rsidRPr="00330CF1">
        <w:rPr>
          <w:rFonts w:ascii="Arial" w:hAnsi="Arial" w:cs="Arial"/>
          <w:i/>
          <w:noProof/>
        </w:rPr>
        <w:t>Utilization of bamboo by the giant panda. .</w:t>
      </w:r>
      <w:r w:rsidRPr="00330CF1">
        <w:rPr>
          <w:rFonts w:ascii="Arial" w:hAnsi="Arial" w:cs="Arial"/>
          <w:noProof/>
        </w:rPr>
        <w:t xml:space="preserve"> Journal of Nutrition, 1982. </w:t>
      </w:r>
      <w:r w:rsidRPr="00330CF1">
        <w:rPr>
          <w:rFonts w:ascii="Arial" w:hAnsi="Arial" w:cs="Arial"/>
          <w:b/>
          <w:noProof/>
        </w:rPr>
        <w:t>112</w:t>
      </w:r>
      <w:r w:rsidRPr="00330CF1">
        <w:rPr>
          <w:rFonts w:ascii="Arial" w:hAnsi="Arial" w:cs="Arial"/>
          <w:noProof/>
        </w:rPr>
        <w:t>(4): p. 636-641.</w:t>
      </w:r>
      <w:bookmarkEnd w:id="173"/>
    </w:p>
    <w:p w:rsidR="00330CF1" w:rsidRPr="00330CF1" w:rsidRDefault="00330CF1" w:rsidP="0009286C">
      <w:pPr>
        <w:ind w:left="720" w:hanging="720"/>
        <w:rPr>
          <w:rFonts w:ascii="Arial" w:hAnsi="Arial" w:cs="Arial"/>
          <w:noProof/>
        </w:rPr>
      </w:pPr>
      <w:bookmarkStart w:id="174" w:name="_ENREF_113"/>
      <w:r w:rsidRPr="00330CF1">
        <w:rPr>
          <w:rFonts w:ascii="Arial" w:hAnsi="Arial" w:cs="Arial"/>
          <w:noProof/>
        </w:rPr>
        <w:t>113.</w:t>
      </w:r>
      <w:r w:rsidRPr="00330CF1">
        <w:rPr>
          <w:rFonts w:ascii="Arial" w:hAnsi="Arial" w:cs="Arial"/>
          <w:noProof/>
        </w:rPr>
        <w:tab/>
        <w:t xml:space="preserve">Inness, V.L., et al., </w:t>
      </w:r>
      <w:r w:rsidRPr="00330CF1">
        <w:rPr>
          <w:rFonts w:ascii="Arial" w:hAnsi="Arial" w:cs="Arial"/>
          <w:i/>
          <w:noProof/>
        </w:rPr>
        <w:t>Molecular characterisation of the gut microflora of healthy and inflammatory bowel disease cats using fluorescence in situ hybridisation with special reference to Desulfovibrio spp.</w:t>
      </w:r>
      <w:r w:rsidRPr="00330CF1">
        <w:rPr>
          <w:rFonts w:ascii="Arial" w:hAnsi="Arial" w:cs="Arial"/>
          <w:noProof/>
        </w:rPr>
        <w:t xml:space="preserve"> Journal of Animal Physiology and Animal Nutrition, 2007. </w:t>
      </w:r>
      <w:r w:rsidRPr="00330CF1">
        <w:rPr>
          <w:rFonts w:ascii="Arial" w:hAnsi="Arial" w:cs="Arial"/>
          <w:b/>
          <w:noProof/>
        </w:rPr>
        <w:t>91</w:t>
      </w:r>
      <w:r w:rsidRPr="00330CF1">
        <w:rPr>
          <w:rFonts w:ascii="Arial" w:hAnsi="Arial" w:cs="Arial"/>
          <w:noProof/>
        </w:rPr>
        <w:t>(1-2): p. 48-53.</w:t>
      </w:r>
      <w:bookmarkEnd w:id="174"/>
    </w:p>
    <w:p w:rsidR="00330CF1" w:rsidRPr="00330CF1" w:rsidRDefault="00330CF1" w:rsidP="0009286C">
      <w:pPr>
        <w:ind w:left="720" w:hanging="720"/>
        <w:rPr>
          <w:rFonts w:ascii="Arial" w:hAnsi="Arial" w:cs="Arial"/>
          <w:noProof/>
        </w:rPr>
      </w:pPr>
      <w:bookmarkStart w:id="175" w:name="_ENREF_114"/>
      <w:r w:rsidRPr="00330CF1">
        <w:rPr>
          <w:rFonts w:ascii="Arial" w:hAnsi="Arial" w:cs="Arial"/>
          <w:noProof/>
        </w:rPr>
        <w:t>114.</w:t>
      </w:r>
      <w:r w:rsidRPr="00330CF1">
        <w:rPr>
          <w:rFonts w:ascii="Arial" w:hAnsi="Arial" w:cs="Arial"/>
          <w:noProof/>
        </w:rPr>
        <w:tab/>
        <w:t xml:space="preserve">Johnston, K., A. Lamport, and R.M. Batt, </w:t>
      </w:r>
      <w:r w:rsidRPr="00330CF1">
        <w:rPr>
          <w:rFonts w:ascii="Arial" w:hAnsi="Arial" w:cs="Arial"/>
          <w:i/>
          <w:noProof/>
        </w:rPr>
        <w:t>An unexpected bacterial-flora in the proximal small-intestine of normal cats. .</w:t>
      </w:r>
      <w:r w:rsidRPr="00330CF1">
        <w:rPr>
          <w:rFonts w:ascii="Arial" w:hAnsi="Arial" w:cs="Arial"/>
          <w:noProof/>
        </w:rPr>
        <w:t xml:space="preserve"> Veterinary Record, 1993. </w:t>
      </w:r>
      <w:r w:rsidRPr="00330CF1">
        <w:rPr>
          <w:rFonts w:ascii="Arial" w:hAnsi="Arial" w:cs="Arial"/>
          <w:b/>
          <w:noProof/>
        </w:rPr>
        <w:t>132</w:t>
      </w:r>
      <w:r w:rsidRPr="00330CF1">
        <w:rPr>
          <w:rFonts w:ascii="Arial" w:hAnsi="Arial" w:cs="Arial"/>
          <w:noProof/>
        </w:rPr>
        <w:t>(14): p. 362-363.</w:t>
      </w:r>
      <w:bookmarkEnd w:id="175"/>
    </w:p>
    <w:p w:rsidR="00330CF1" w:rsidRPr="00330CF1" w:rsidRDefault="00330CF1" w:rsidP="0009286C">
      <w:pPr>
        <w:ind w:left="720" w:hanging="720"/>
        <w:rPr>
          <w:rFonts w:ascii="Arial" w:hAnsi="Arial" w:cs="Arial"/>
          <w:noProof/>
        </w:rPr>
      </w:pPr>
      <w:bookmarkStart w:id="176" w:name="_ENREF_115"/>
      <w:r w:rsidRPr="00330CF1">
        <w:rPr>
          <w:rFonts w:ascii="Arial" w:hAnsi="Arial" w:cs="Arial"/>
          <w:noProof/>
        </w:rPr>
        <w:t>115.</w:t>
      </w:r>
      <w:r w:rsidRPr="00330CF1">
        <w:rPr>
          <w:rFonts w:ascii="Arial" w:hAnsi="Arial" w:cs="Arial"/>
          <w:noProof/>
        </w:rPr>
        <w:tab/>
        <w:t xml:space="preserve">Ritchie, L.E., J.M. Steiner, and J.S. Suchodolski, </w:t>
      </w:r>
      <w:r w:rsidRPr="00330CF1">
        <w:rPr>
          <w:rFonts w:ascii="Arial" w:hAnsi="Arial" w:cs="Arial"/>
          <w:i/>
          <w:noProof/>
        </w:rPr>
        <w:t>Assessment of microbial diversity along the feline intestinal tract using 16S rRNA gene analysis.</w:t>
      </w:r>
      <w:r w:rsidRPr="00330CF1">
        <w:rPr>
          <w:rFonts w:ascii="Arial" w:hAnsi="Arial" w:cs="Arial"/>
          <w:noProof/>
        </w:rPr>
        <w:t xml:space="preserve"> Fems Microbiology Ecology, 2008. </w:t>
      </w:r>
      <w:r w:rsidRPr="00330CF1">
        <w:rPr>
          <w:rFonts w:ascii="Arial" w:hAnsi="Arial" w:cs="Arial"/>
          <w:b/>
          <w:noProof/>
        </w:rPr>
        <w:t>66</w:t>
      </w:r>
      <w:r w:rsidRPr="00330CF1">
        <w:rPr>
          <w:rFonts w:ascii="Arial" w:hAnsi="Arial" w:cs="Arial"/>
          <w:noProof/>
        </w:rPr>
        <w:t>(3): p. 590-598.</w:t>
      </w:r>
      <w:bookmarkEnd w:id="176"/>
    </w:p>
    <w:p w:rsidR="00330CF1" w:rsidRPr="00330CF1" w:rsidRDefault="00330CF1" w:rsidP="0009286C">
      <w:pPr>
        <w:ind w:left="720" w:hanging="720"/>
        <w:rPr>
          <w:rFonts w:ascii="Arial" w:hAnsi="Arial" w:cs="Arial"/>
          <w:noProof/>
        </w:rPr>
      </w:pPr>
      <w:bookmarkStart w:id="177" w:name="_ENREF_116"/>
      <w:r w:rsidRPr="00330CF1">
        <w:rPr>
          <w:rFonts w:ascii="Arial" w:hAnsi="Arial" w:cs="Arial"/>
          <w:noProof/>
        </w:rPr>
        <w:t>116.</w:t>
      </w:r>
      <w:r w:rsidRPr="00330CF1">
        <w:rPr>
          <w:rFonts w:ascii="Arial" w:hAnsi="Arial" w:cs="Arial"/>
          <w:noProof/>
        </w:rPr>
        <w:tab/>
        <w:t xml:space="preserve">Desai, A.R., et al., </w:t>
      </w:r>
      <w:r w:rsidRPr="00330CF1">
        <w:rPr>
          <w:rFonts w:ascii="Arial" w:hAnsi="Arial" w:cs="Arial"/>
          <w:i/>
          <w:noProof/>
        </w:rPr>
        <w:t>Characterization and quantification of feline fecal microbiota using cpn60 sequence-based methods and investigation of animal-to-animal variation in microbial population structure.</w:t>
      </w:r>
      <w:r w:rsidRPr="00330CF1">
        <w:rPr>
          <w:rFonts w:ascii="Arial" w:hAnsi="Arial" w:cs="Arial"/>
          <w:noProof/>
        </w:rPr>
        <w:t xml:space="preserve"> Veterinary Microbiology, 2009. </w:t>
      </w:r>
      <w:r w:rsidRPr="00330CF1">
        <w:rPr>
          <w:rFonts w:ascii="Arial" w:hAnsi="Arial" w:cs="Arial"/>
          <w:b/>
          <w:noProof/>
        </w:rPr>
        <w:t>137</w:t>
      </w:r>
      <w:r w:rsidRPr="00330CF1">
        <w:rPr>
          <w:rFonts w:ascii="Arial" w:hAnsi="Arial" w:cs="Arial"/>
          <w:noProof/>
        </w:rPr>
        <w:t>(1-2): p. 120-128.</w:t>
      </w:r>
      <w:bookmarkEnd w:id="177"/>
    </w:p>
    <w:p w:rsidR="00330CF1" w:rsidRPr="00330CF1" w:rsidRDefault="00330CF1" w:rsidP="0009286C">
      <w:pPr>
        <w:ind w:left="720" w:hanging="720"/>
        <w:rPr>
          <w:rFonts w:ascii="Arial" w:hAnsi="Arial" w:cs="Arial"/>
          <w:noProof/>
        </w:rPr>
      </w:pPr>
      <w:bookmarkStart w:id="178" w:name="_ENREF_117"/>
      <w:r w:rsidRPr="00330CF1">
        <w:rPr>
          <w:rFonts w:ascii="Arial" w:hAnsi="Arial" w:cs="Arial"/>
          <w:noProof/>
        </w:rPr>
        <w:t>117.</w:t>
      </w:r>
      <w:r w:rsidRPr="00330CF1">
        <w:rPr>
          <w:rFonts w:ascii="Arial" w:hAnsi="Arial" w:cs="Arial"/>
          <w:noProof/>
        </w:rPr>
        <w:tab/>
        <w:t xml:space="preserve">Bik, E.M., </w:t>
      </w:r>
      <w:r w:rsidRPr="00330CF1">
        <w:rPr>
          <w:rFonts w:ascii="Arial" w:hAnsi="Arial" w:cs="Arial"/>
          <w:i/>
          <w:noProof/>
        </w:rPr>
        <w:t>Composition and function of the human-associated microbiota.</w:t>
      </w:r>
      <w:r w:rsidRPr="00330CF1">
        <w:rPr>
          <w:rFonts w:ascii="Arial" w:hAnsi="Arial" w:cs="Arial"/>
          <w:noProof/>
        </w:rPr>
        <w:t xml:space="preserve"> Nutrition Reviews, 2009. </w:t>
      </w:r>
      <w:r w:rsidRPr="00330CF1">
        <w:rPr>
          <w:rFonts w:ascii="Arial" w:hAnsi="Arial" w:cs="Arial"/>
          <w:b/>
          <w:noProof/>
        </w:rPr>
        <w:t>67</w:t>
      </w:r>
      <w:r w:rsidRPr="00330CF1">
        <w:rPr>
          <w:rFonts w:ascii="Arial" w:hAnsi="Arial" w:cs="Arial"/>
          <w:noProof/>
        </w:rPr>
        <w:t>(11): p. S164-S171.</w:t>
      </w:r>
      <w:bookmarkEnd w:id="178"/>
    </w:p>
    <w:p w:rsidR="00330CF1" w:rsidRPr="00330CF1" w:rsidRDefault="00330CF1" w:rsidP="0009286C">
      <w:pPr>
        <w:ind w:left="720" w:hanging="720"/>
        <w:rPr>
          <w:rFonts w:ascii="Arial" w:hAnsi="Arial" w:cs="Arial"/>
          <w:noProof/>
        </w:rPr>
      </w:pPr>
      <w:bookmarkStart w:id="179" w:name="_ENREF_118"/>
      <w:r w:rsidRPr="00330CF1">
        <w:rPr>
          <w:rFonts w:ascii="Arial" w:hAnsi="Arial" w:cs="Arial"/>
          <w:noProof/>
        </w:rPr>
        <w:t>118.</w:t>
      </w:r>
      <w:r w:rsidRPr="00330CF1">
        <w:rPr>
          <w:rFonts w:ascii="Arial" w:hAnsi="Arial" w:cs="Arial"/>
          <w:noProof/>
        </w:rPr>
        <w:tab/>
        <w:t xml:space="preserve">Batt, R.M., H.C. Rutgers, and A.A. Sancak, </w:t>
      </w:r>
      <w:r w:rsidRPr="00330CF1">
        <w:rPr>
          <w:rFonts w:ascii="Arial" w:hAnsi="Arial" w:cs="Arial"/>
          <w:i/>
          <w:noProof/>
        </w:rPr>
        <w:t>Enteric bacteria: Friend or foe?</w:t>
      </w:r>
      <w:r w:rsidRPr="00330CF1">
        <w:rPr>
          <w:rFonts w:ascii="Arial" w:hAnsi="Arial" w:cs="Arial"/>
          <w:noProof/>
        </w:rPr>
        <w:t xml:space="preserve"> Journal of Small Animal Practice, 1996. </w:t>
      </w:r>
      <w:r w:rsidRPr="00330CF1">
        <w:rPr>
          <w:rFonts w:ascii="Arial" w:hAnsi="Arial" w:cs="Arial"/>
          <w:b/>
          <w:noProof/>
        </w:rPr>
        <w:t>37</w:t>
      </w:r>
      <w:r w:rsidRPr="00330CF1">
        <w:rPr>
          <w:rFonts w:ascii="Arial" w:hAnsi="Arial" w:cs="Arial"/>
          <w:noProof/>
        </w:rPr>
        <w:t>(6): p. 261-267.</w:t>
      </w:r>
      <w:bookmarkEnd w:id="179"/>
    </w:p>
    <w:p w:rsidR="00330CF1" w:rsidRPr="00330CF1" w:rsidRDefault="00330CF1" w:rsidP="0009286C">
      <w:pPr>
        <w:ind w:left="720" w:hanging="720"/>
        <w:rPr>
          <w:rFonts w:ascii="Arial" w:hAnsi="Arial" w:cs="Arial"/>
          <w:noProof/>
        </w:rPr>
      </w:pPr>
      <w:bookmarkStart w:id="180" w:name="_ENREF_119"/>
      <w:r w:rsidRPr="00330CF1">
        <w:rPr>
          <w:rFonts w:ascii="Arial" w:hAnsi="Arial" w:cs="Arial"/>
          <w:noProof/>
        </w:rPr>
        <w:lastRenderedPageBreak/>
        <w:t>119.</w:t>
      </w:r>
      <w:r w:rsidRPr="00330CF1">
        <w:rPr>
          <w:rFonts w:ascii="Arial" w:hAnsi="Arial" w:cs="Arial"/>
          <w:noProof/>
        </w:rPr>
        <w:tab/>
        <w:t xml:space="preserve">Brosey, B.P., R.C. Hill, and K.C. Scott, </w:t>
      </w:r>
      <w:r w:rsidRPr="00330CF1">
        <w:rPr>
          <w:rFonts w:ascii="Arial" w:hAnsi="Arial" w:cs="Arial"/>
          <w:i/>
          <w:noProof/>
        </w:rPr>
        <w:t>Gastrointestinal volatile fatty acid concentrations and pH in cats.</w:t>
      </w:r>
      <w:r w:rsidRPr="00330CF1">
        <w:rPr>
          <w:rFonts w:ascii="Arial" w:hAnsi="Arial" w:cs="Arial"/>
          <w:noProof/>
        </w:rPr>
        <w:t xml:space="preserve"> American Journal of Veterinary Research, 2000. </w:t>
      </w:r>
      <w:r w:rsidRPr="00330CF1">
        <w:rPr>
          <w:rFonts w:ascii="Arial" w:hAnsi="Arial" w:cs="Arial"/>
          <w:b/>
          <w:noProof/>
        </w:rPr>
        <w:t>61</w:t>
      </w:r>
      <w:r w:rsidRPr="00330CF1">
        <w:rPr>
          <w:rFonts w:ascii="Arial" w:hAnsi="Arial" w:cs="Arial"/>
          <w:noProof/>
        </w:rPr>
        <w:t>(4): p. 359-361.</w:t>
      </w:r>
      <w:bookmarkEnd w:id="180"/>
    </w:p>
    <w:p w:rsidR="00330CF1" w:rsidRPr="00330CF1" w:rsidRDefault="00330CF1" w:rsidP="0009286C">
      <w:pPr>
        <w:ind w:left="720" w:hanging="720"/>
        <w:rPr>
          <w:rFonts w:ascii="Arial" w:hAnsi="Arial" w:cs="Arial"/>
          <w:noProof/>
        </w:rPr>
      </w:pPr>
      <w:bookmarkStart w:id="181" w:name="_ENREF_120"/>
      <w:r w:rsidRPr="00330CF1">
        <w:rPr>
          <w:rFonts w:ascii="Arial" w:hAnsi="Arial" w:cs="Arial"/>
          <w:noProof/>
        </w:rPr>
        <w:t>120.</w:t>
      </w:r>
      <w:r w:rsidRPr="00330CF1">
        <w:rPr>
          <w:rFonts w:ascii="Arial" w:hAnsi="Arial" w:cs="Arial"/>
          <w:noProof/>
        </w:rPr>
        <w:tab/>
        <w:t xml:space="preserve">Hughes, R., E.A.M. Magee, and S. Bingham, </w:t>
      </w:r>
      <w:r w:rsidRPr="00330CF1">
        <w:rPr>
          <w:rFonts w:ascii="Arial" w:hAnsi="Arial" w:cs="Arial"/>
          <w:i/>
          <w:noProof/>
        </w:rPr>
        <w:t>Protein degradation in the large intestine: relevance to colorectal cancer.</w:t>
      </w:r>
      <w:r w:rsidRPr="00330CF1">
        <w:rPr>
          <w:rFonts w:ascii="Arial" w:hAnsi="Arial" w:cs="Arial"/>
          <w:noProof/>
        </w:rPr>
        <w:t xml:space="preserve"> Current Issues in Intestinal Microbiology, 2000. </w:t>
      </w:r>
      <w:r w:rsidRPr="00330CF1">
        <w:rPr>
          <w:rFonts w:ascii="Arial" w:hAnsi="Arial" w:cs="Arial"/>
          <w:b/>
          <w:noProof/>
        </w:rPr>
        <w:t>1</w:t>
      </w:r>
      <w:r w:rsidRPr="00330CF1">
        <w:rPr>
          <w:rFonts w:ascii="Arial" w:hAnsi="Arial" w:cs="Arial"/>
          <w:noProof/>
        </w:rPr>
        <w:t>(2): p. 51-58.</w:t>
      </w:r>
      <w:bookmarkEnd w:id="181"/>
    </w:p>
    <w:p w:rsidR="00330CF1" w:rsidRPr="00330CF1" w:rsidRDefault="00330CF1" w:rsidP="0009286C">
      <w:pPr>
        <w:ind w:left="720" w:hanging="720"/>
        <w:rPr>
          <w:rFonts w:ascii="Arial" w:hAnsi="Arial" w:cs="Arial"/>
          <w:noProof/>
        </w:rPr>
      </w:pPr>
      <w:bookmarkStart w:id="182" w:name="_ENREF_121"/>
      <w:r w:rsidRPr="00330CF1">
        <w:rPr>
          <w:rFonts w:ascii="Arial" w:hAnsi="Arial" w:cs="Arial"/>
          <w:noProof/>
        </w:rPr>
        <w:t>121.</w:t>
      </w:r>
      <w:r w:rsidRPr="00330CF1">
        <w:rPr>
          <w:rFonts w:ascii="Arial" w:hAnsi="Arial" w:cs="Arial"/>
          <w:noProof/>
        </w:rPr>
        <w:tab/>
        <w:t xml:space="preserve">Hooper, L.V., T. Midtvedt, and J.I. Gordon, </w:t>
      </w:r>
      <w:r w:rsidRPr="00330CF1">
        <w:rPr>
          <w:rFonts w:ascii="Arial" w:hAnsi="Arial" w:cs="Arial"/>
          <w:i/>
          <w:noProof/>
        </w:rPr>
        <w:t>How host-microbial interactions shape the nutrient environment of the mammalian intestine.</w:t>
      </w:r>
      <w:r w:rsidRPr="00330CF1">
        <w:rPr>
          <w:rFonts w:ascii="Arial" w:hAnsi="Arial" w:cs="Arial"/>
          <w:noProof/>
        </w:rPr>
        <w:t xml:space="preserve"> Annual Review of Nutrition, 2002. </w:t>
      </w:r>
      <w:r w:rsidRPr="00330CF1">
        <w:rPr>
          <w:rFonts w:ascii="Arial" w:hAnsi="Arial" w:cs="Arial"/>
          <w:b/>
          <w:noProof/>
        </w:rPr>
        <w:t>22</w:t>
      </w:r>
      <w:r w:rsidRPr="00330CF1">
        <w:rPr>
          <w:rFonts w:ascii="Arial" w:hAnsi="Arial" w:cs="Arial"/>
          <w:noProof/>
        </w:rPr>
        <w:t>: p. 283-307.</w:t>
      </w:r>
      <w:bookmarkEnd w:id="182"/>
    </w:p>
    <w:p w:rsidR="00330CF1" w:rsidRPr="00330CF1" w:rsidRDefault="00330CF1" w:rsidP="0009286C">
      <w:pPr>
        <w:ind w:left="720" w:hanging="720"/>
        <w:rPr>
          <w:rFonts w:ascii="Arial" w:hAnsi="Arial" w:cs="Arial"/>
          <w:noProof/>
        </w:rPr>
      </w:pPr>
      <w:bookmarkStart w:id="183" w:name="_ENREF_122"/>
      <w:r w:rsidRPr="00330CF1">
        <w:rPr>
          <w:rFonts w:ascii="Arial" w:hAnsi="Arial" w:cs="Arial"/>
          <w:noProof/>
        </w:rPr>
        <w:t>122.</w:t>
      </w:r>
      <w:r w:rsidRPr="00330CF1">
        <w:rPr>
          <w:rFonts w:ascii="Arial" w:hAnsi="Arial" w:cs="Arial"/>
          <w:noProof/>
        </w:rPr>
        <w:tab/>
        <w:t xml:space="preserve">Hume, I.D., </w:t>
      </w:r>
      <w:r w:rsidRPr="00330CF1">
        <w:rPr>
          <w:rFonts w:ascii="Arial" w:hAnsi="Arial" w:cs="Arial"/>
          <w:i/>
          <w:noProof/>
        </w:rPr>
        <w:t>Fermentation in the hindgut of mammals.</w:t>
      </w:r>
      <w:r w:rsidRPr="00330CF1">
        <w:rPr>
          <w:rFonts w:ascii="Arial" w:hAnsi="Arial" w:cs="Arial"/>
          <w:noProof/>
        </w:rPr>
        <w:t xml:space="preserve">, in </w:t>
      </w:r>
      <w:r w:rsidRPr="00330CF1">
        <w:rPr>
          <w:rFonts w:ascii="Arial" w:hAnsi="Arial" w:cs="Arial"/>
          <w:i/>
          <w:noProof/>
        </w:rPr>
        <w:t>Gastrointestinal Microbiology</w:t>
      </w:r>
      <w:r w:rsidRPr="00330CF1">
        <w:rPr>
          <w:rFonts w:ascii="Arial" w:hAnsi="Arial" w:cs="Arial"/>
          <w:noProof/>
        </w:rPr>
        <w:t>, R.I. Mackie and B.A. White, Editors. 1997, Chapman &amp; Hall: New York. p. 84-115.</w:t>
      </w:r>
      <w:bookmarkEnd w:id="183"/>
    </w:p>
    <w:p w:rsidR="00330CF1" w:rsidRPr="00330CF1" w:rsidRDefault="00330CF1" w:rsidP="0009286C">
      <w:pPr>
        <w:ind w:left="720" w:hanging="720"/>
        <w:rPr>
          <w:rFonts w:ascii="Arial" w:hAnsi="Arial" w:cs="Arial"/>
          <w:noProof/>
        </w:rPr>
      </w:pPr>
      <w:bookmarkStart w:id="184" w:name="_ENREF_123"/>
      <w:r w:rsidRPr="00330CF1">
        <w:rPr>
          <w:rFonts w:ascii="Arial" w:hAnsi="Arial" w:cs="Arial"/>
          <w:noProof/>
        </w:rPr>
        <w:t>123.</w:t>
      </w:r>
      <w:r w:rsidRPr="00330CF1">
        <w:rPr>
          <w:rFonts w:ascii="Arial" w:hAnsi="Arial" w:cs="Arial"/>
          <w:noProof/>
        </w:rPr>
        <w:tab/>
        <w:t xml:space="preserve">Macfarlane, G.T. and J.H. Cummings, </w:t>
      </w:r>
      <w:r w:rsidRPr="00330CF1">
        <w:rPr>
          <w:rFonts w:ascii="Arial" w:hAnsi="Arial" w:cs="Arial"/>
          <w:i/>
          <w:noProof/>
        </w:rPr>
        <w:t>The colonic flora, fermentation and large bowel digestive function</w:t>
      </w:r>
      <w:r w:rsidRPr="00330CF1">
        <w:rPr>
          <w:rFonts w:ascii="Arial" w:hAnsi="Arial" w:cs="Arial"/>
          <w:noProof/>
        </w:rPr>
        <w:t xml:space="preserve">, in </w:t>
      </w:r>
      <w:r w:rsidRPr="00330CF1">
        <w:rPr>
          <w:rFonts w:ascii="Arial" w:hAnsi="Arial" w:cs="Arial"/>
          <w:i/>
          <w:noProof/>
        </w:rPr>
        <w:t>The Large Intestine: Physiology, Pathophysiology, and Disease</w:t>
      </w:r>
      <w:r w:rsidRPr="00330CF1">
        <w:rPr>
          <w:rFonts w:ascii="Arial" w:hAnsi="Arial" w:cs="Arial"/>
          <w:noProof/>
        </w:rPr>
        <w:t>, S.F. Phillips, J.H. Pemberton, and R.G. Shorter, Editors. 1991, Raven Press: New York, NY. p. 51-92.</w:t>
      </w:r>
      <w:bookmarkEnd w:id="184"/>
    </w:p>
    <w:p w:rsidR="00330CF1" w:rsidRPr="00330CF1" w:rsidRDefault="00330CF1" w:rsidP="0009286C">
      <w:pPr>
        <w:ind w:left="720" w:hanging="720"/>
        <w:rPr>
          <w:rFonts w:ascii="Arial" w:hAnsi="Arial" w:cs="Arial"/>
          <w:noProof/>
        </w:rPr>
      </w:pPr>
      <w:bookmarkStart w:id="185" w:name="_ENREF_124"/>
      <w:r w:rsidRPr="00330CF1">
        <w:rPr>
          <w:rFonts w:ascii="Arial" w:hAnsi="Arial" w:cs="Arial"/>
          <w:noProof/>
        </w:rPr>
        <w:t>124.</w:t>
      </w:r>
      <w:r w:rsidRPr="00330CF1">
        <w:rPr>
          <w:rFonts w:ascii="Arial" w:hAnsi="Arial" w:cs="Arial"/>
          <w:noProof/>
        </w:rPr>
        <w:tab/>
        <w:t xml:space="preserve">Backus, R.C., et al., </w:t>
      </w:r>
      <w:r w:rsidRPr="00330CF1">
        <w:rPr>
          <w:rFonts w:ascii="Arial" w:hAnsi="Arial" w:cs="Arial"/>
          <w:i/>
          <w:noProof/>
        </w:rPr>
        <w:t>Breath hydrogen concentrations of cats given commercial canned and extruded diets indicate gastrointestinal microbial activity vary with diet type.</w:t>
      </w:r>
      <w:r w:rsidRPr="00330CF1">
        <w:rPr>
          <w:rFonts w:ascii="Arial" w:hAnsi="Arial" w:cs="Arial"/>
          <w:noProof/>
        </w:rPr>
        <w:t xml:space="preserve"> Journal of Nutrition, 2002. </w:t>
      </w:r>
      <w:r w:rsidRPr="00330CF1">
        <w:rPr>
          <w:rFonts w:ascii="Arial" w:hAnsi="Arial" w:cs="Arial"/>
          <w:b/>
          <w:noProof/>
        </w:rPr>
        <w:t>132</w:t>
      </w:r>
      <w:r w:rsidRPr="00330CF1">
        <w:rPr>
          <w:rFonts w:ascii="Arial" w:hAnsi="Arial" w:cs="Arial"/>
          <w:noProof/>
        </w:rPr>
        <w:t>(6): p. 1763S-1766S.</w:t>
      </w:r>
      <w:bookmarkEnd w:id="185"/>
    </w:p>
    <w:p w:rsidR="00330CF1" w:rsidRPr="00330CF1" w:rsidRDefault="00330CF1" w:rsidP="0009286C">
      <w:pPr>
        <w:ind w:left="720" w:hanging="720"/>
        <w:rPr>
          <w:rFonts w:ascii="Arial" w:hAnsi="Arial" w:cs="Arial"/>
          <w:noProof/>
        </w:rPr>
      </w:pPr>
      <w:bookmarkStart w:id="186" w:name="_ENREF_125"/>
      <w:r w:rsidRPr="00330CF1">
        <w:rPr>
          <w:rFonts w:ascii="Arial" w:hAnsi="Arial" w:cs="Arial"/>
          <w:noProof/>
        </w:rPr>
        <w:t>125.</w:t>
      </w:r>
      <w:r w:rsidRPr="00330CF1">
        <w:rPr>
          <w:rFonts w:ascii="Arial" w:hAnsi="Arial" w:cs="Arial"/>
          <w:noProof/>
        </w:rPr>
        <w:tab/>
        <w:t xml:space="preserve">Lubbs, D.C., et al., </w:t>
      </w:r>
      <w:r w:rsidRPr="00330CF1">
        <w:rPr>
          <w:rFonts w:ascii="Arial" w:hAnsi="Arial" w:cs="Arial"/>
          <w:i/>
          <w:noProof/>
        </w:rPr>
        <w:t>Dietary protein concentration affects intestinal microbiota of adult cats: a study using DGGE and qPCR to evaluate differences in microbial populations in the feline gastrointestinal tract.</w:t>
      </w:r>
      <w:r w:rsidRPr="00330CF1">
        <w:rPr>
          <w:rFonts w:ascii="Arial" w:hAnsi="Arial" w:cs="Arial"/>
          <w:noProof/>
        </w:rPr>
        <w:t xml:space="preserve"> Journal of Animal Physiology and Animal Nutrition, 2009. </w:t>
      </w:r>
      <w:r w:rsidRPr="00330CF1">
        <w:rPr>
          <w:rFonts w:ascii="Arial" w:hAnsi="Arial" w:cs="Arial"/>
          <w:b/>
          <w:noProof/>
        </w:rPr>
        <w:t>93</w:t>
      </w:r>
      <w:r w:rsidRPr="00330CF1">
        <w:rPr>
          <w:rFonts w:ascii="Arial" w:hAnsi="Arial" w:cs="Arial"/>
          <w:noProof/>
        </w:rPr>
        <w:t>(1): p. 113-121.</w:t>
      </w:r>
      <w:bookmarkEnd w:id="186"/>
    </w:p>
    <w:p w:rsidR="00330CF1" w:rsidRPr="00330CF1" w:rsidRDefault="00330CF1" w:rsidP="0009286C">
      <w:pPr>
        <w:ind w:left="720" w:hanging="720"/>
        <w:rPr>
          <w:rFonts w:ascii="Arial" w:hAnsi="Arial" w:cs="Arial"/>
          <w:noProof/>
        </w:rPr>
      </w:pPr>
      <w:bookmarkStart w:id="187" w:name="_ENREF_126"/>
      <w:r w:rsidRPr="00330CF1">
        <w:rPr>
          <w:rFonts w:ascii="Arial" w:hAnsi="Arial" w:cs="Arial"/>
          <w:noProof/>
        </w:rPr>
        <w:t>126.</w:t>
      </w:r>
      <w:r w:rsidRPr="00330CF1">
        <w:rPr>
          <w:rFonts w:ascii="Arial" w:hAnsi="Arial" w:cs="Arial"/>
          <w:noProof/>
        </w:rPr>
        <w:tab/>
        <w:t xml:space="preserve">Vester, B.M., et al., </w:t>
      </w:r>
      <w:r w:rsidRPr="00330CF1">
        <w:rPr>
          <w:rFonts w:ascii="Arial" w:hAnsi="Arial" w:cs="Arial"/>
          <w:i/>
          <w:noProof/>
        </w:rPr>
        <w:t>Faecal microbial populations of growing kittens fed high- or moderate-protein diets.</w:t>
      </w:r>
      <w:r w:rsidRPr="00330CF1">
        <w:rPr>
          <w:rFonts w:ascii="Arial" w:hAnsi="Arial" w:cs="Arial"/>
          <w:noProof/>
        </w:rPr>
        <w:t xml:space="preserve"> Archives of Animal Nutrition, 2009. </w:t>
      </w:r>
      <w:r w:rsidRPr="00330CF1">
        <w:rPr>
          <w:rFonts w:ascii="Arial" w:hAnsi="Arial" w:cs="Arial"/>
          <w:b/>
          <w:noProof/>
        </w:rPr>
        <w:t>63</w:t>
      </w:r>
      <w:r w:rsidRPr="00330CF1">
        <w:rPr>
          <w:rFonts w:ascii="Arial" w:hAnsi="Arial" w:cs="Arial"/>
          <w:noProof/>
        </w:rPr>
        <w:t>(3): p. 254-265.</w:t>
      </w:r>
      <w:bookmarkEnd w:id="187"/>
    </w:p>
    <w:p w:rsidR="00330CF1" w:rsidRPr="00330CF1" w:rsidRDefault="00330CF1" w:rsidP="0009286C">
      <w:pPr>
        <w:ind w:left="720" w:hanging="720"/>
        <w:rPr>
          <w:rFonts w:ascii="Arial" w:hAnsi="Arial" w:cs="Arial"/>
          <w:noProof/>
        </w:rPr>
      </w:pPr>
      <w:bookmarkStart w:id="188" w:name="_ENREF_127"/>
      <w:r w:rsidRPr="00330CF1">
        <w:rPr>
          <w:rFonts w:ascii="Arial" w:hAnsi="Arial" w:cs="Arial"/>
          <w:noProof/>
        </w:rPr>
        <w:t>127.</w:t>
      </w:r>
      <w:r w:rsidRPr="00330CF1">
        <w:rPr>
          <w:rFonts w:ascii="Arial" w:hAnsi="Arial" w:cs="Arial"/>
          <w:noProof/>
        </w:rPr>
        <w:tab/>
        <w:t xml:space="preserve">Wostmann, B.S., </w:t>
      </w:r>
      <w:r w:rsidRPr="00330CF1">
        <w:rPr>
          <w:rFonts w:ascii="Arial" w:hAnsi="Arial" w:cs="Arial"/>
          <w:i/>
          <w:noProof/>
        </w:rPr>
        <w:t>The germ-free animal in nutritional studies.</w:t>
      </w:r>
      <w:r w:rsidRPr="00330CF1">
        <w:rPr>
          <w:rFonts w:ascii="Arial" w:hAnsi="Arial" w:cs="Arial"/>
          <w:noProof/>
        </w:rPr>
        <w:t xml:space="preserve"> Annual Review of Nutrition, 1981. </w:t>
      </w:r>
      <w:r w:rsidRPr="00330CF1">
        <w:rPr>
          <w:rFonts w:ascii="Arial" w:hAnsi="Arial" w:cs="Arial"/>
          <w:b/>
          <w:noProof/>
        </w:rPr>
        <w:t>1</w:t>
      </w:r>
      <w:r w:rsidRPr="00330CF1">
        <w:rPr>
          <w:rFonts w:ascii="Arial" w:hAnsi="Arial" w:cs="Arial"/>
          <w:noProof/>
        </w:rPr>
        <w:t>: p. 257-279.</w:t>
      </w:r>
      <w:bookmarkEnd w:id="188"/>
    </w:p>
    <w:p w:rsidR="00330CF1" w:rsidRPr="00330CF1" w:rsidRDefault="00330CF1" w:rsidP="0009286C">
      <w:pPr>
        <w:ind w:left="720" w:hanging="720"/>
        <w:rPr>
          <w:rFonts w:ascii="Arial" w:hAnsi="Arial" w:cs="Arial"/>
          <w:noProof/>
        </w:rPr>
      </w:pPr>
      <w:bookmarkStart w:id="189" w:name="_ENREF_128"/>
      <w:r w:rsidRPr="00330CF1">
        <w:rPr>
          <w:rFonts w:ascii="Arial" w:hAnsi="Arial" w:cs="Arial"/>
          <w:noProof/>
        </w:rPr>
        <w:t>128.</w:t>
      </w:r>
      <w:r w:rsidRPr="00330CF1">
        <w:rPr>
          <w:rFonts w:ascii="Arial" w:hAnsi="Arial" w:cs="Arial"/>
          <w:noProof/>
        </w:rPr>
        <w:tab/>
        <w:t xml:space="preserve">Metges, C.C., </w:t>
      </w:r>
      <w:r w:rsidRPr="00330CF1">
        <w:rPr>
          <w:rFonts w:ascii="Arial" w:hAnsi="Arial" w:cs="Arial"/>
          <w:i/>
          <w:noProof/>
        </w:rPr>
        <w:t>Contribution of microbial amino acids to amino acid homeostasis of the host.</w:t>
      </w:r>
      <w:r w:rsidRPr="00330CF1">
        <w:rPr>
          <w:rFonts w:ascii="Arial" w:hAnsi="Arial" w:cs="Arial"/>
          <w:noProof/>
        </w:rPr>
        <w:t xml:space="preserve"> Journal of Nutrition, 2000. </w:t>
      </w:r>
      <w:r w:rsidRPr="00330CF1">
        <w:rPr>
          <w:rFonts w:ascii="Arial" w:hAnsi="Arial" w:cs="Arial"/>
          <w:b/>
          <w:noProof/>
        </w:rPr>
        <w:t>130</w:t>
      </w:r>
      <w:r w:rsidRPr="00330CF1">
        <w:rPr>
          <w:rFonts w:ascii="Arial" w:hAnsi="Arial" w:cs="Arial"/>
          <w:noProof/>
        </w:rPr>
        <w:t>(7): p. 1857S-1864S.</w:t>
      </w:r>
      <w:bookmarkEnd w:id="189"/>
    </w:p>
    <w:p w:rsidR="00330CF1" w:rsidRPr="00330CF1" w:rsidRDefault="00330CF1" w:rsidP="0009286C">
      <w:pPr>
        <w:ind w:left="720" w:hanging="720"/>
        <w:rPr>
          <w:rFonts w:ascii="Arial" w:hAnsi="Arial" w:cs="Arial"/>
          <w:noProof/>
        </w:rPr>
      </w:pPr>
      <w:bookmarkStart w:id="190" w:name="_ENREF_129"/>
      <w:r w:rsidRPr="00330CF1">
        <w:rPr>
          <w:rFonts w:ascii="Arial" w:hAnsi="Arial" w:cs="Arial"/>
          <w:noProof/>
        </w:rPr>
        <w:t>129.</w:t>
      </w:r>
      <w:r w:rsidRPr="00330CF1">
        <w:rPr>
          <w:rFonts w:ascii="Arial" w:hAnsi="Arial" w:cs="Arial"/>
          <w:noProof/>
        </w:rPr>
        <w:tab/>
        <w:t xml:space="preserve">Hooper, L.V., et al., </w:t>
      </w:r>
      <w:r w:rsidRPr="00330CF1">
        <w:rPr>
          <w:rFonts w:ascii="Arial" w:hAnsi="Arial" w:cs="Arial"/>
          <w:i/>
          <w:noProof/>
        </w:rPr>
        <w:t>Molecular analysis of commensal host-microbial relationships in the intestine.</w:t>
      </w:r>
      <w:r w:rsidRPr="00330CF1">
        <w:rPr>
          <w:rFonts w:ascii="Arial" w:hAnsi="Arial" w:cs="Arial"/>
          <w:noProof/>
        </w:rPr>
        <w:t xml:space="preserve"> Science, 2001. </w:t>
      </w:r>
      <w:r w:rsidRPr="00330CF1">
        <w:rPr>
          <w:rFonts w:ascii="Arial" w:hAnsi="Arial" w:cs="Arial"/>
          <w:b/>
          <w:noProof/>
        </w:rPr>
        <w:t>291</w:t>
      </w:r>
      <w:r w:rsidRPr="00330CF1">
        <w:rPr>
          <w:rFonts w:ascii="Arial" w:hAnsi="Arial" w:cs="Arial"/>
          <w:noProof/>
        </w:rPr>
        <w:t>(5505): p. 881-884.</w:t>
      </w:r>
      <w:bookmarkEnd w:id="190"/>
    </w:p>
    <w:p w:rsidR="00330CF1" w:rsidRPr="00330CF1" w:rsidRDefault="00330CF1" w:rsidP="0009286C">
      <w:pPr>
        <w:ind w:left="720" w:hanging="720"/>
        <w:rPr>
          <w:rFonts w:ascii="Arial" w:hAnsi="Arial" w:cs="Arial"/>
          <w:noProof/>
        </w:rPr>
      </w:pPr>
      <w:bookmarkStart w:id="191" w:name="_ENREF_130"/>
      <w:r w:rsidRPr="00330CF1">
        <w:rPr>
          <w:rFonts w:ascii="Arial" w:hAnsi="Arial" w:cs="Arial"/>
          <w:noProof/>
        </w:rPr>
        <w:t>130.</w:t>
      </w:r>
      <w:r w:rsidRPr="00330CF1">
        <w:rPr>
          <w:rFonts w:ascii="Arial" w:hAnsi="Arial" w:cs="Arial"/>
          <w:noProof/>
        </w:rPr>
        <w:tab/>
        <w:t xml:space="preserve">Backhed, F., et al., </w:t>
      </w:r>
      <w:r w:rsidRPr="00330CF1">
        <w:rPr>
          <w:rFonts w:ascii="Arial" w:hAnsi="Arial" w:cs="Arial"/>
          <w:i/>
          <w:noProof/>
        </w:rPr>
        <w:t>The gut microbiota as an environmental factor that regulates fat storage.</w:t>
      </w:r>
      <w:r w:rsidRPr="00330CF1">
        <w:rPr>
          <w:rFonts w:ascii="Arial" w:hAnsi="Arial" w:cs="Arial"/>
          <w:noProof/>
        </w:rPr>
        <w:t xml:space="preserve"> Proceedings of the National Academy of Sciences of the United States of America, 2004. </w:t>
      </w:r>
      <w:r w:rsidRPr="00330CF1">
        <w:rPr>
          <w:rFonts w:ascii="Arial" w:hAnsi="Arial" w:cs="Arial"/>
          <w:b/>
          <w:noProof/>
        </w:rPr>
        <w:t>101</w:t>
      </w:r>
      <w:r w:rsidRPr="00330CF1">
        <w:rPr>
          <w:rFonts w:ascii="Arial" w:hAnsi="Arial" w:cs="Arial"/>
          <w:noProof/>
        </w:rPr>
        <w:t>(44): p. 15718-15723.</w:t>
      </w:r>
      <w:bookmarkEnd w:id="191"/>
    </w:p>
    <w:p w:rsidR="00330CF1" w:rsidRPr="00330CF1" w:rsidRDefault="00330CF1" w:rsidP="0009286C">
      <w:pPr>
        <w:ind w:left="720" w:hanging="720"/>
        <w:rPr>
          <w:rFonts w:ascii="Arial" w:hAnsi="Arial" w:cs="Arial"/>
          <w:noProof/>
        </w:rPr>
      </w:pPr>
      <w:bookmarkStart w:id="192" w:name="_ENREF_131"/>
      <w:r w:rsidRPr="00330CF1">
        <w:rPr>
          <w:rFonts w:ascii="Arial" w:hAnsi="Arial" w:cs="Arial"/>
          <w:noProof/>
        </w:rPr>
        <w:t>131.</w:t>
      </w:r>
      <w:r w:rsidRPr="00330CF1">
        <w:rPr>
          <w:rFonts w:ascii="Arial" w:hAnsi="Arial" w:cs="Arial"/>
          <w:noProof/>
        </w:rPr>
        <w:tab/>
        <w:t xml:space="preserve">Savage, D.C., et al., </w:t>
      </w:r>
      <w:r w:rsidRPr="00330CF1">
        <w:rPr>
          <w:rFonts w:ascii="Arial" w:hAnsi="Arial" w:cs="Arial"/>
          <w:i/>
          <w:noProof/>
        </w:rPr>
        <w:t>Transit-time of epithelial-cells in the small-intestines of germ-free mice and ex-germfree mice associationed with indigenous microorganisms.  .</w:t>
      </w:r>
      <w:r w:rsidRPr="00330CF1">
        <w:rPr>
          <w:rFonts w:ascii="Arial" w:hAnsi="Arial" w:cs="Arial"/>
          <w:noProof/>
        </w:rPr>
        <w:t xml:space="preserve"> Applied and Environmental Microbiology, 1981. </w:t>
      </w:r>
      <w:r w:rsidRPr="00330CF1">
        <w:rPr>
          <w:rFonts w:ascii="Arial" w:hAnsi="Arial" w:cs="Arial"/>
          <w:b/>
          <w:noProof/>
        </w:rPr>
        <w:t>42</w:t>
      </w:r>
      <w:r w:rsidRPr="00330CF1">
        <w:rPr>
          <w:rFonts w:ascii="Arial" w:hAnsi="Arial" w:cs="Arial"/>
          <w:noProof/>
        </w:rPr>
        <w:t>(6): p. 996-1001.</w:t>
      </w:r>
      <w:bookmarkEnd w:id="192"/>
    </w:p>
    <w:p w:rsidR="00330CF1" w:rsidRPr="00330CF1" w:rsidRDefault="00330CF1" w:rsidP="0009286C">
      <w:pPr>
        <w:ind w:left="720" w:hanging="720"/>
        <w:rPr>
          <w:rFonts w:ascii="Arial" w:hAnsi="Arial" w:cs="Arial"/>
          <w:noProof/>
        </w:rPr>
      </w:pPr>
      <w:bookmarkStart w:id="193" w:name="_ENREF_132"/>
      <w:r w:rsidRPr="00330CF1">
        <w:rPr>
          <w:rFonts w:ascii="Arial" w:hAnsi="Arial" w:cs="Arial"/>
          <w:noProof/>
        </w:rPr>
        <w:t>132.</w:t>
      </w:r>
      <w:r w:rsidRPr="00330CF1">
        <w:rPr>
          <w:rFonts w:ascii="Arial" w:hAnsi="Arial" w:cs="Arial"/>
          <w:noProof/>
        </w:rPr>
        <w:tab/>
        <w:t xml:space="preserve">Stappenbeck, T.S., L.V. Hooper, and J.I. Gordon, </w:t>
      </w:r>
      <w:r w:rsidRPr="00330CF1">
        <w:rPr>
          <w:rFonts w:ascii="Arial" w:hAnsi="Arial" w:cs="Arial"/>
          <w:i/>
          <w:noProof/>
        </w:rPr>
        <w:t>Developmental regulation of intestinal angiogenesis by indigenous microbes via Paneth cells.</w:t>
      </w:r>
      <w:r w:rsidRPr="00330CF1">
        <w:rPr>
          <w:rFonts w:ascii="Arial" w:hAnsi="Arial" w:cs="Arial"/>
          <w:noProof/>
        </w:rPr>
        <w:t xml:space="preserve"> Proceedings of the National Academy of Sciences of the United States of America, 2002. </w:t>
      </w:r>
      <w:r w:rsidRPr="00330CF1">
        <w:rPr>
          <w:rFonts w:ascii="Arial" w:hAnsi="Arial" w:cs="Arial"/>
          <w:b/>
          <w:noProof/>
        </w:rPr>
        <w:t>99</w:t>
      </w:r>
      <w:r w:rsidRPr="00330CF1">
        <w:rPr>
          <w:rFonts w:ascii="Arial" w:hAnsi="Arial" w:cs="Arial"/>
          <w:noProof/>
        </w:rPr>
        <w:t>(24): p. 15451-15455.</w:t>
      </w:r>
      <w:bookmarkEnd w:id="193"/>
    </w:p>
    <w:p w:rsidR="00330CF1" w:rsidRPr="00330CF1" w:rsidRDefault="00330CF1" w:rsidP="0009286C">
      <w:pPr>
        <w:ind w:left="720" w:hanging="720"/>
        <w:rPr>
          <w:rFonts w:ascii="Arial" w:hAnsi="Arial" w:cs="Arial"/>
          <w:noProof/>
        </w:rPr>
      </w:pPr>
      <w:bookmarkStart w:id="194" w:name="_ENREF_133"/>
      <w:r w:rsidRPr="00330CF1">
        <w:rPr>
          <w:rFonts w:ascii="Arial" w:hAnsi="Arial" w:cs="Arial"/>
          <w:noProof/>
        </w:rPr>
        <w:t>133.</w:t>
      </w:r>
      <w:r w:rsidRPr="00330CF1">
        <w:rPr>
          <w:rFonts w:ascii="Arial" w:hAnsi="Arial" w:cs="Arial"/>
          <w:noProof/>
        </w:rPr>
        <w:tab/>
        <w:t xml:space="preserve">Szentkuti, L. and M.L. Enss, </w:t>
      </w:r>
      <w:r w:rsidRPr="00330CF1">
        <w:rPr>
          <w:rFonts w:ascii="Arial" w:hAnsi="Arial" w:cs="Arial"/>
          <w:i/>
          <w:noProof/>
        </w:rPr>
        <w:t>Comparative lectin-histochemistry on the pre-epithelial mucus layer in the distal colon of conventional and germ-free rats.</w:t>
      </w:r>
      <w:r w:rsidRPr="00330CF1">
        <w:rPr>
          <w:rFonts w:ascii="Arial" w:hAnsi="Arial" w:cs="Arial"/>
          <w:noProof/>
        </w:rPr>
        <w:t xml:space="preserve"> </w:t>
      </w:r>
      <w:r w:rsidRPr="00330CF1">
        <w:rPr>
          <w:rFonts w:ascii="Arial" w:hAnsi="Arial" w:cs="Arial"/>
          <w:noProof/>
        </w:rPr>
        <w:lastRenderedPageBreak/>
        <w:t xml:space="preserve">Comparative Biochemistry and Physiology a-Molecular &amp; Integrative Physiology, 1998. </w:t>
      </w:r>
      <w:r w:rsidRPr="00330CF1">
        <w:rPr>
          <w:rFonts w:ascii="Arial" w:hAnsi="Arial" w:cs="Arial"/>
          <w:b/>
          <w:noProof/>
        </w:rPr>
        <w:t>119</w:t>
      </w:r>
      <w:r w:rsidRPr="00330CF1">
        <w:rPr>
          <w:rFonts w:ascii="Arial" w:hAnsi="Arial" w:cs="Arial"/>
          <w:noProof/>
        </w:rPr>
        <w:t>(1): p. 379-386.</w:t>
      </w:r>
      <w:bookmarkEnd w:id="194"/>
    </w:p>
    <w:p w:rsidR="00330CF1" w:rsidRPr="00330CF1" w:rsidRDefault="00330CF1" w:rsidP="0009286C">
      <w:pPr>
        <w:ind w:left="720" w:hanging="720"/>
        <w:rPr>
          <w:rFonts w:ascii="Arial" w:hAnsi="Arial" w:cs="Arial"/>
          <w:noProof/>
        </w:rPr>
      </w:pPr>
      <w:bookmarkStart w:id="195" w:name="_ENREF_134"/>
      <w:r w:rsidRPr="00330CF1">
        <w:rPr>
          <w:rFonts w:ascii="Arial" w:hAnsi="Arial" w:cs="Arial"/>
          <w:noProof/>
        </w:rPr>
        <w:t>134.</w:t>
      </w:r>
      <w:r w:rsidRPr="00330CF1">
        <w:rPr>
          <w:rFonts w:ascii="Arial" w:hAnsi="Arial" w:cs="Arial"/>
          <w:noProof/>
        </w:rPr>
        <w:tab/>
        <w:t xml:space="preserve">Hooper, L.V., </w:t>
      </w:r>
      <w:r w:rsidRPr="00330CF1">
        <w:rPr>
          <w:rFonts w:ascii="Arial" w:hAnsi="Arial" w:cs="Arial"/>
          <w:i/>
          <w:noProof/>
        </w:rPr>
        <w:t>Bacterial contributions to mammalian gut development.</w:t>
      </w:r>
      <w:r w:rsidRPr="00330CF1">
        <w:rPr>
          <w:rFonts w:ascii="Arial" w:hAnsi="Arial" w:cs="Arial"/>
          <w:noProof/>
        </w:rPr>
        <w:t xml:space="preserve"> Trends in Microbiology, 2004. </w:t>
      </w:r>
      <w:r w:rsidRPr="00330CF1">
        <w:rPr>
          <w:rFonts w:ascii="Arial" w:hAnsi="Arial" w:cs="Arial"/>
          <w:b/>
          <w:noProof/>
        </w:rPr>
        <w:t>12</w:t>
      </w:r>
      <w:r w:rsidRPr="00330CF1">
        <w:rPr>
          <w:rFonts w:ascii="Arial" w:hAnsi="Arial" w:cs="Arial"/>
          <w:noProof/>
        </w:rPr>
        <w:t>(3): p. 129-134.</w:t>
      </w:r>
      <w:bookmarkEnd w:id="195"/>
    </w:p>
    <w:p w:rsidR="00330CF1" w:rsidRPr="00330CF1" w:rsidRDefault="00330CF1" w:rsidP="0009286C">
      <w:pPr>
        <w:ind w:left="720" w:hanging="720"/>
        <w:rPr>
          <w:rFonts w:ascii="Arial" w:hAnsi="Arial" w:cs="Arial"/>
          <w:noProof/>
        </w:rPr>
      </w:pPr>
      <w:bookmarkStart w:id="196" w:name="_ENREF_135"/>
      <w:r w:rsidRPr="00330CF1">
        <w:rPr>
          <w:rFonts w:ascii="Arial" w:hAnsi="Arial" w:cs="Arial"/>
          <w:noProof/>
        </w:rPr>
        <w:t>135.</w:t>
      </w:r>
      <w:r w:rsidRPr="00330CF1">
        <w:rPr>
          <w:rFonts w:ascii="Arial" w:hAnsi="Arial" w:cs="Arial"/>
          <w:noProof/>
        </w:rPr>
        <w:tab/>
        <w:t xml:space="preserve">Artis, D., </w:t>
      </w:r>
      <w:r w:rsidRPr="00330CF1">
        <w:rPr>
          <w:rFonts w:ascii="Arial" w:hAnsi="Arial" w:cs="Arial"/>
          <w:i/>
          <w:noProof/>
        </w:rPr>
        <w:t>Epithelial-cell recognition of commensal bacteria and maintenance of immune homeostasis in the gut.</w:t>
      </w:r>
      <w:r w:rsidRPr="00330CF1">
        <w:rPr>
          <w:rFonts w:ascii="Arial" w:hAnsi="Arial" w:cs="Arial"/>
          <w:noProof/>
        </w:rPr>
        <w:t xml:space="preserve"> Nature Reviews Immunology, 2008. </w:t>
      </w:r>
      <w:r w:rsidRPr="00330CF1">
        <w:rPr>
          <w:rFonts w:ascii="Arial" w:hAnsi="Arial" w:cs="Arial"/>
          <w:b/>
          <w:noProof/>
        </w:rPr>
        <w:t>8</w:t>
      </w:r>
      <w:r w:rsidRPr="00330CF1">
        <w:rPr>
          <w:rFonts w:ascii="Arial" w:hAnsi="Arial" w:cs="Arial"/>
          <w:noProof/>
        </w:rPr>
        <w:t>: p. 411-420.</w:t>
      </w:r>
      <w:bookmarkEnd w:id="196"/>
    </w:p>
    <w:p w:rsidR="00330CF1" w:rsidRPr="00330CF1" w:rsidRDefault="00330CF1" w:rsidP="0009286C">
      <w:pPr>
        <w:ind w:left="720" w:hanging="720"/>
        <w:rPr>
          <w:rFonts w:ascii="Arial" w:hAnsi="Arial" w:cs="Arial"/>
          <w:noProof/>
        </w:rPr>
      </w:pPr>
      <w:bookmarkStart w:id="197" w:name="_ENREF_136"/>
      <w:r w:rsidRPr="00330CF1">
        <w:rPr>
          <w:rFonts w:ascii="Arial" w:hAnsi="Arial" w:cs="Arial"/>
          <w:noProof/>
        </w:rPr>
        <w:t>136.</w:t>
      </w:r>
      <w:r w:rsidRPr="00330CF1">
        <w:rPr>
          <w:rFonts w:ascii="Arial" w:hAnsi="Arial" w:cs="Arial"/>
          <w:noProof/>
        </w:rPr>
        <w:tab/>
        <w:t xml:space="preserve">Mazmanian, S.K. and D.L. Kasper, </w:t>
      </w:r>
      <w:r w:rsidRPr="00330CF1">
        <w:rPr>
          <w:rFonts w:ascii="Arial" w:hAnsi="Arial" w:cs="Arial"/>
          <w:i/>
          <w:noProof/>
        </w:rPr>
        <w:t>The love-hate relationship between bacterial polysaccharides and the host immune system.</w:t>
      </w:r>
      <w:r w:rsidRPr="00330CF1">
        <w:rPr>
          <w:rFonts w:ascii="Arial" w:hAnsi="Arial" w:cs="Arial"/>
          <w:noProof/>
        </w:rPr>
        <w:t xml:space="preserve"> Nature Reviews Immunology, 2006. </w:t>
      </w:r>
      <w:r w:rsidRPr="00330CF1">
        <w:rPr>
          <w:rFonts w:ascii="Arial" w:hAnsi="Arial" w:cs="Arial"/>
          <w:b/>
          <w:noProof/>
        </w:rPr>
        <w:t>6</w:t>
      </w:r>
      <w:r w:rsidRPr="00330CF1">
        <w:rPr>
          <w:rFonts w:ascii="Arial" w:hAnsi="Arial" w:cs="Arial"/>
          <w:noProof/>
        </w:rPr>
        <w:t>(11): p. 849-858.</w:t>
      </w:r>
      <w:bookmarkEnd w:id="197"/>
    </w:p>
    <w:p w:rsidR="00330CF1" w:rsidRPr="00330CF1" w:rsidRDefault="00330CF1" w:rsidP="0009286C">
      <w:pPr>
        <w:ind w:left="720" w:hanging="720"/>
        <w:rPr>
          <w:rFonts w:ascii="Arial" w:hAnsi="Arial" w:cs="Arial"/>
          <w:noProof/>
        </w:rPr>
      </w:pPr>
      <w:bookmarkStart w:id="198" w:name="_ENREF_137"/>
      <w:r w:rsidRPr="00330CF1">
        <w:rPr>
          <w:rFonts w:ascii="Arial" w:hAnsi="Arial" w:cs="Arial"/>
          <w:noProof/>
        </w:rPr>
        <w:t>137.</w:t>
      </w:r>
      <w:r w:rsidRPr="00330CF1">
        <w:rPr>
          <w:rFonts w:ascii="Arial" w:hAnsi="Arial" w:cs="Arial"/>
          <w:noProof/>
        </w:rPr>
        <w:tab/>
        <w:t xml:space="preserve">Bauer, E., et al., </w:t>
      </w:r>
      <w:r w:rsidRPr="00330CF1">
        <w:rPr>
          <w:rFonts w:ascii="Arial" w:hAnsi="Arial" w:cs="Arial"/>
          <w:i/>
          <w:noProof/>
        </w:rPr>
        <w:t>Influence of the gastrointestinal microbiota on development of the immune system in young animals.</w:t>
      </w:r>
      <w:r w:rsidRPr="00330CF1">
        <w:rPr>
          <w:rFonts w:ascii="Arial" w:hAnsi="Arial" w:cs="Arial"/>
          <w:noProof/>
        </w:rPr>
        <w:t xml:space="preserve"> Current Issues in Intestinal Microbiology, 2006. </w:t>
      </w:r>
      <w:r w:rsidRPr="00330CF1">
        <w:rPr>
          <w:rFonts w:ascii="Arial" w:hAnsi="Arial" w:cs="Arial"/>
          <w:b/>
          <w:noProof/>
        </w:rPr>
        <w:t>7</w:t>
      </w:r>
      <w:r w:rsidRPr="00330CF1">
        <w:rPr>
          <w:rFonts w:ascii="Arial" w:hAnsi="Arial" w:cs="Arial"/>
          <w:noProof/>
        </w:rPr>
        <w:t>(2): p. 35-51.</w:t>
      </w:r>
      <w:bookmarkEnd w:id="198"/>
    </w:p>
    <w:p w:rsidR="00330CF1" w:rsidRPr="00330CF1" w:rsidRDefault="00330CF1" w:rsidP="0009286C">
      <w:pPr>
        <w:ind w:left="720" w:hanging="720"/>
        <w:rPr>
          <w:rFonts w:ascii="Arial" w:hAnsi="Arial" w:cs="Arial"/>
          <w:noProof/>
        </w:rPr>
      </w:pPr>
      <w:bookmarkStart w:id="199" w:name="_ENREF_138"/>
      <w:r w:rsidRPr="00330CF1">
        <w:rPr>
          <w:rFonts w:ascii="Arial" w:hAnsi="Arial" w:cs="Arial"/>
          <w:noProof/>
        </w:rPr>
        <w:t>138.</w:t>
      </w:r>
      <w:r w:rsidRPr="00330CF1">
        <w:rPr>
          <w:rFonts w:ascii="Arial" w:hAnsi="Arial" w:cs="Arial"/>
          <w:noProof/>
        </w:rPr>
        <w:tab/>
        <w:t xml:space="preserve">Valko, M., et al., </w:t>
      </w:r>
      <w:r w:rsidRPr="00330CF1">
        <w:rPr>
          <w:rFonts w:ascii="Arial" w:hAnsi="Arial" w:cs="Arial"/>
          <w:i/>
          <w:noProof/>
        </w:rPr>
        <w:t>Free radicals and antioxidants in normal physiological functions and human disease.</w:t>
      </w:r>
      <w:r w:rsidRPr="00330CF1">
        <w:rPr>
          <w:rFonts w:ascii="Arial" w:hAnsi="Arial" w:cs="Arial"/>
          <w:noProof/>
        </w:rPr>
        <w:t xml:space="preserve"> International Journal of Biochemistry &amp; Cell Biology, 2007. </w:t>
      </w:r>
      <w:r w:rsidRPr="00330CF1">
        <w:rPr>
          <w:rFonts w:ascii="Arial" w:hAnsi="Arial" w:cs="Arial"/>
          <w:b/>
          <w:noProof/>
        </w:rPr>
        <w:t>39</w:t>
      </w:r>
      <w:r w:rsidRPr="00330CF1">
        <w:rPr>
          <w:rFonts w:ascii="Arial" w:hAnsi="Arial" w:cs="Arial"/>
          <w:noProof/>
        </w:rPr>
        <w:t>(1): p. 44-84.</w:t>
      </w:r>
      <w:bookmarkEnd w:id="199"/>
    </w:p>
    <w:p w:rsidR="00330CF1" w:rsidRPr="00330CF1" w:rsidRDefault="00330CF1" w:rsidP="0009286C">
      <w:pPr>
        <w:ind w:left="720" w:hanging="720"/>
        <w:rPr>
          <w:rFonts w:ascii="Arial" w:hAnsi="Arial" w:cs="Arial"/>
          <w:noProof/>
        </w:rPr>
      </w:pPr>
      <w:bookmarkStart w:id="200" w:name="_ENREF_139"/>
      <w:r w:rsidRPr="00330CF1">
        <w:rPr>
          <w:rFonts w:ascii="Arial" w:hAnsi="Arial" w:cs="Arial"/>
          <w:noProof/>
        </w:rPr>
        <w:t>139.</w:t>
      </w:r>
      <w:r w:rsidRPr="00330CF1">
        <w:rPr>
          <w:rFonts w:ascii="Arial" w:hAnsi="Arial" w:cs="Arial"/>
          <w:noProof/>
        </w:rPr>
        <w:tab/>
        <w:t xml:space="preserve">Vajdovich, P., </w:t>
      </w:r>
      <w:r w:rsidRPr="00330CF1">
        <w:rPr>
          <w:rFonts w:ascii="Arial" w:hAnsi="Arial" w:cs="Arial"/>
          <w:i/>
          <w:noProof/>
        </w:rPr>
        <w:t>Free radicals and antioxidants in inflammatory processes and ischemia-reperfusion injury.</w:t>
      </w:r>
      <w:r w:rsidRPr="00330CF1">
        <w:rPr>
          <w:rFonts w:ascii="Arial" w:hAnsi="Arial" w:cs="Arial"/>
          <w:noProof/>
        </w:rPr>
        <w:t xml:space="preserve"> Veterinary Clinics of North America-Small Animal Practice, 2008. </w:t>
      </w:r>
      <w:r w:rsidRPr="00330CF1">
        <w:rPr>
          <w:rFonts w:ascii="Arial" w:hAnsi="Arial" w:cs="Arial"/>
          <w:b/>
          <w:noProof/>
        </w:rPr>
        <w:t>38</w:t>
      </w:r>
      <w:r w:rsidRPr="00330CF1">
        <w:rPr>
          <w:rFonts w:ascii="Arial" w:hAnsi="Arial" w:cs="Arial"/>
          <w:noProof/>
        </w:rPr>
        <w:t>(1): p. 31-123.</w:t>
      </w:r>
      <w:bookmarkEnd w:id="200"/>
    </w:p>
    <w:p w:rsidR="00330CF1" w:rsidRPr="00330CF1" w:rsidRDefault="00330CF1" w:rsidP="0009286C">
      <w:pPr>
        <w:ind w:left="720" w:hanging="720"/>
        <w:rPr>
          <w:rFonts w:ascii="Arial" w:hAnsi="Arial" w:cs="Arial"/>
          <w:noProof/>
        </w:rPr>
      </w:pPr>
      <w:bookmarkStart w:id="201" w:name="_ENREF_140"/>
      <w:r w:rsidRPr="00330CF1">
        <w:rPr>
          <w:rFonts w:ascii="Arial" w:hAnsi="Arial" w:cs="Arial"/>
          <w:noProof/>
        </w:rPr>
        <w:t>140.</w:t>
      </w:r>
      <w:r w:rsidRPr="00330CF1">
        <w:rPr>
          <w:rFonts w:ascii="Arial" w:hAnsi="Arial" w:cs="Arial"/>
          <w:noProof/>
        </w:rPr>
        <w:tab/>
        <w:t xml:space="preserve">Borregaard, N., </w:t>
      </w:r>
      <w:r w:rsidRPr="00330CF1">
        <w:rPr>
          <w:rFonts w:ascii="Arial" w:hAnsi="Arial" w:cs="Arial"/>
          <w:i/>
          <w:noProof/>
        </w:rPr>
        <w:t>The respiratory burst of phagocytosis - biochemistry and subcellular-localization. .</w:t>
      </w:r>
      <w:r w:rsidRPr="00330CF1">
        <w:rPr>
          <w:rFonts w:ascii="Arial" w:hAnsi="Arial" w:cs="Arial"/>
          <w:noProof/>
        </w:rPr>
        <w:t xml:space="preserve"> Immunology Letters, 1985. </w:t>
      </w:r>
      <w:r w:rsidRPr="00330CF1">
        <w:rPr>
          <w:rFonts w:ascii="Arial" w:hAnsi="Arial" w:cs="Arial"/>
          <w:b/>
          <w:noProof/>
        </w:rPr>
        <w:t>11</w:t>
      </w:r>
      <w:r w:rsidRPr="00330CF1">
        <w:rPr>
          <w:rFonts w:ascii="Arial" w:hAnsi="Arial" w:cs="Arial"/>
          <w:noProof/>
        </w:rPr>
        <w:t>(3-4): p. 165-171.</w:t>
      </w:r>
      <w:bookmarkEnd w:id="201"/>
    </w:p>
    <w:p w:rsidR="00330CF1" w:rsidRPr="00330CF1" w:rsidRDefault="00330CF1" w:rsidP="0009286C">
      <w:pPr>
        <w:ind w:left="720" w:hanging="720"/>
        <w:rPr>
          <w:rFonts w:ascii="Arial" w:hAnsi="Arial" w:cs="Arial"/>
          <w:noProof/>
        </w:rPr>
      </w:pPr>
      <w:bookmarkStart w:id="202" w:name="_ENREF_141"/>
      <w:r w:rsidRPr="00330CF1">
        <w:rPr>
          <w:rFonts w:ascii="Arial" w:hAnsi="Arial" w:cs="Arial"/>
          <w:noProof/>
        </w:rPr>
        <w:t>141.</w:t>
      </w:r>
      <w:r w:rsidRPr="00330CF1">
        <w:rPr>
          <w:rFonts w:ascii="Arial" w:hAnsi="Arial" w:cs="Arial"/>
          <w:noProof/>
        </w:rPr>
        <w:tab/>
        <w:t xml:space="preserve">Hogg, N., et al., </w:t>
      </w:r>
      <w:r w:rsidRPr="00330CF1">
        <w:rPr>
          <w:rFonts w:ascii="Arial" w:hAnsi="Arial" w:cs="Arial"/>
          <w:i/>
          <w:noProof/>
        </w:rPr>
        <w:t>Production of hydroxyl radicals from the simultaneous generation of superoxide and nitric-oxide. .</w:t>
      </w:r>
      <w:r w:rsidRPr="00330CF1">
        <w:rPr>
          <w:rFonts w:ascii="Arial" w:hAnsi="Arial" w:cs="Arial"/>
          <w:noProof/>
        </w:rPr>
        <w:t xml:space="preserve"> Biochemical Journal, 1992. </w:t>
      </w:r>
      <w:r w:rsidRPr="00330CF1">
        <w:rPr>
          <w:rFonts w:ascii="Arial" w:hAnsi="Arial" w:cs="Arial"/>
          <w:b/>
          <w:noProof/>
        </w:rPr>
        <w:t>281</w:t>
      </w:r>
      <w:r w:rsidRPr="00330CF1">
        <w:rPr>
          <w:rFonts w:ascii="Arial" w:hAnsi="Arial" w:cs="Arial"/>
          <w:noProof/>
        </w:rPr>
        <w:t>: p. 419-424.</w:t>
      </w:r>
      <w:bookmarkEnd w:id="202"/>
    </w:p>
    <w:p w:rsidR="00330CF1" w:rsidRPr="00330CF1" w:rsidRDefault="00330CF1" w:rsidP="0009286C">
      <w:pPr>
        <w:ind w:left="720" w:hanging="720"/>
        <w:rPr>
          <w:rFonts w:ascii="Arial" w:hAnsi="Arial" w:cs="Arial"/>
          <w:noProof/>
        </w:rPr>
      </w:pPr>
      <w:bookmarkStart w:id="203" w:name="_ENREF_142"/>
      <w:r w:rsidRPr="00330CF1">
        <w:rPr>
          <w:rFonts w:ascii="Arial" w:hAnsi="Arial" w:cs="Arial"/>
          <w:noProof/>
        </w:rPr>
        <w:t>142.</w:t>
      </w:r>
      <w:r w:rsidRPr="00330CF1">
        <w:rPr>
          <w:rFonts w:ascii="Arial" w:hAnsi="Arial" w:cs="Arial"/>
          <w:noProof/>
        </w:rPr>
        <w:tab/>
        <w:t xml:space="preserve">Marnett, L.J., </w:t>
      </w:r>
      <w:r w:rsidRPr="00330CF1">
        <w:rPr>
          <w:rFonts w:ascii="Arial" w:hAnsi="Arial" w:cs="Arial"/>
          <w:i/>
          <w:noProof/>
        </w:rPr>
        <w:t>Lipid peroxidation - DNA damage by malondialdehyde.</w:t>
      </w:r>
      <w:r w:rsidRPr="00330CF1">
        <w:rPr>
          <w:rFonts w:ascii="Arial" w:hAnsi="Arial" w:cs="Arial"/>
          <w:noProof/>
        </w:rPr>
        <w:t xml:space="preserve"> Mutation Research-Fundamental and Molecular Mechanisms of Mutagenesis, 1999. </w:t>
      </w:r>
      <w:r w:rsidRPr="00330CF1">
        <w:rPr>
          <w:rFonts w:ascii="Arial" w:hAnsi="Arial" w:cs="Arial"/>
          <w:b/>
          <w:noProof/>
        </w:rPr>
        <w:t>424</w:t>
      </w:r>
      <w:r w:rsidRPr="00330CF1">
        <w:rPr>
          <w:rFonts w:ascii="Arial" w:hAnsi="Arial" w:cs="Arial"/>
          <w:noProof/>
        </w:rPr>
        <w:t>(1-2): p. 83-95.</w:t>
      </w:r>
      <w:bookmarkEnd w:id="203"/>
    </w:p>
    <w:p w:rsidR="00330CF1" w:rsidRPr="00330CF1" w:rsidRDefault="00330CF1" w:rsidP="0009286C">
      <w:pPr>
        <w:ind w:left="720" w:hanging="720"/>
        <w:rPr>
          <w:rFonts w:ascii="Arial" w:hAnsi="Arial" w:cs="Arial"/>
          <w:noProof/>
        </w:rPr>
      </w:pPr>
      <w:bookmarkStart w:id="204" w:name="_ENREF_143"/>
      <w:r w:rsidRPr="00330CF1">
        <w:rPr>
          <w:rFonts w:ascii="Arial" w:hAnsi="Arial" w:cs="Arial"/>
          <w:noProof/>
        </w:rPr>
        <w:t>143.</w:t>
      </w:r>
      <w:r w:rsidRPr="00330CF1">
        <w:rPr>
          <w:rFonts w:ascii="Arial" w:hAnsi="Arial" w:cs="Arial"/>
          <w:noProof/>
        </w:rPr>
        <w:tab/>
        <w:t xml:space="preserve">McMichael, M.A., </w:t>
      </w:r>
      <w:r w:rsidRPr="00330CF1">
        <w:rPr>
          <w:rFonts w:ascii="Arial" w:hAnsi="Arial" w:cs="Arial"/>
          <w:i/>
          <w:noProof/>
        </w:rPr>
        <w:t>Oxidative stress, antioxidants, and assessment of oxidative stress in dogs and cats.</w:t>
      </w:r>
      <w:r w:rsidRPr="00330CF1">
        <w:rPr>
          <w:rFonts w:ascii="Arial" w:hAnsi="Arial" w:cs="Arial"/>
          <w:noProof/>
        </w:rPr>
        <w:t xml:space="preserve"> Javma-Journal of the American Veterinary Medical Association, 2007. </w:t>
      </w:r>
      <w:r w:rsidRPr="00330CF1">
        <w:rPr>
          <w:rFonts w:ascii="Arial" w:hAnsi="Arial" w:cs="Arial"/>
          <w:b/>
          <w:noProof/>
        </w:rPr>
        <w:t>231</w:t>
      </w:r>
      <w:r w:rsidRPr="00330CF1">
        <w:rPr>
          <w:rFonts w:ascii="Arial" w:hAnsi="Arial" w:cs="Arial"/>
          <w:noProof/>
        </w:rPr>
        <w:t>(5): p. 714-720.</w:t>
      </w:r>
      <w:bookmarkEnd w:id="204"/>
    </w:p>
    <w:p w:rsidR="00330CF1" w:rsidRPr="00330CF1" w:rsidRDefault="00330CF1" w:rsidP="0009286C">
      <w:pPr>
        <w:ind w:left="720" w:hanging="720"/>
        <w:rPr>
          <w:rFonts w:ascii="Arial" w:hAnsi="Arial" w:cs="Arial"/>
          <w:noProof/>
        </w:rPr>
      </w:pPr>
      <w:bookmarkStart w:id="205" w:name="_ENREF_144"/>
      <w:r w:rsidRPr="00330CF1">
        <w:rPr>
          <w:rFonts w:ascii="Arial" w:hAnsi="Arial" w:cs="Arial"/>
          <w:noProof/>
        </w:rPr>
        <w:t>144.</w:t>
      </w:r>
      <w:r w:rsidRPr="00330CF1">
        <w:rPr>
          <w:rFonts w:ascii="Arial" w:hAnsi="Arial" w:cs="Arial"/>
          <w:noProof/>
        </w:rPr>
        <w:tab/>
        <w:t xml:space="preserve">Collins, A.R., </w:t>
      </w:r>
      <w:r w:rsidRPr="00330CF1">
        <w:rPr>
          <w:rFonts w:ascii="Arial" w:hAnsi="Arial" w:cs="Arial"/>
          <w:i/>
          <w:noProof/>
        </w:rPr>
        <w:t>The comet assay for DNA damage and repair - Principles, applications, and limitations.</w:t>
      </w:r>
      <w:r w:rsidRPr="00330CF1">
        <w:rPr>
          <w:rFonts w:ascii="Arial" w:hAnsi="Arial" w:cs="Arial"/>
          <w:noProof/>
        </w:rPr>
        <w:t xml:space="preserve"> Molecular Biotechnology, 2004. </w:t>
      </w:r>
      <w:r w:rsidRPr="00330CF1">
        <w:rPr>
          <w:rFonts w:ascii="Arial" w:hAnsi="Arial" w:cs="Arial"/>
          <w:b/>
          <w:noProof/>
        </w:rPr>
        <w:t>26</w:t>
      </w:r>
      <w:r w:rsidRPr="00330CF1">
        <w:rPr>
          <w:rFonts w:ascii="Arial" w:hAnsi="Arial" w:cs="Arial"/>
          <w:noProof/>
        </w:rPr>
        <w:t>(3): p. 249-261.</w:t>
      </w:r>
      <w:bookmarkEnd w:id="205"/>
    </w:p>
    <w:p w:rsidR="00330CF1" w:rsidRPr="00330CF1" w:rsidRDefault="00330CF1" w:rsidP="0009286C">
      <w:pPr>
        <w:ind w:left="720" w:hanging="720"/>
        <w:rPr>
          <w:rFonts w:ascii="Arial" w:hAnsi="Arial" w:cs="Arial"/>
          <w:noProof/>
        </w:rPr>
      </w:pPr>
      <w:bookmarkStart w:id="206" w:name="_ENREF_145"/>
      <w:r w:rsidRPr="00330CF1">
        <w:rPr>
          <w:rFonts w:ascii="Arial" w:hAnsi="Arial" w:cs="Arial"/>
          <w:noProof/>
        </w:rPr>
        <w:t>145.</w:t>
      </w:r>
      <w:r w:rsidRPr="00330CF1">
        <w:rPr>
          <w:rFonts w:ascii="Arial" w:hAnsi="Arial" w:cs="Arial"/>
          <w:noProof/>
        </w:rPr>
        <w:tab/>
        <w:t xml:space="preserve">Collins, A.R., et al., </w:t>
      </w:r>
      <w:r w:rsidRPr="00330CF1">
        <w:rPr>
          <w:rFonts w:ascii="Arial" w:hAnsi="Arial" w:cs="Arial"/>
          <w:i/>
          <w:noProof/>
        </w:rPr>
        <w:t>The comet assay: topical issues.</w:t>
      </w:r>
      <w:r w:rsidRPr="00330CF1">
        <w:rPr>
          <w:rFonts w:ascii="Arial" w:hAnsi="Arial" w:cs="Arial"/>
          <w:noProof/>
        </w:rPr>
        <w:t xml:space="preserve"> Mutagenesis, 2008. </w:t>
      </w:r>
      <w:r w:rsidRPr="00330CF1">
        <w:rPr>
          <w:rFonts w:ascii="Arial" w:hAnsi="Arial" w:cs="Arial"/>
          <w:b/>
          <w:noProof/>
        </w:rPr>
        <w:t>23</w:t>
      </w:r>
      <w:r w:rsidRPr="00330CF1">
        <w:rPr>
          <w:rFonts w:ascii="Arial" w:hAnsi="Arial" w:cs="Arial"/>
          <w:noProof/>
        </w:rPr>
        <w:t>(3): p. 143-151.</w:t>
      </w:r>
      <w:bookmarkEnd w:id="206"/>
    </w:p>
    <w:p w:rsidR="00330CF1" w:rsidRPr="00330CF1" w:rsidRDefault="00330CF1" w:rsidP="0009286C">
      <w:pPr>
        <w:ind w:left="720" w:hanging="720"/>
        <w:rPr>
          <w:rFonts w:ascii="Arial" w:hAnsi="Arial" w:cs="Arial"/>
          <w:noProof/>
        </w:rPr>
      </w:pPr>
      <w:bookmarkStart w:id="207" w:name="_ENREF_146"/>
      <w:r w:rsidRPr="00330CF1">
        <w:rPr>
          <w:rFonts w:ascii="Arial" w:hAnsi="Arial" w:cs="Arial"/>
          <w:noProof/>
        </w:rPr>
        <w:t>146.</w:t>
      </w:r>
      <w:r w:rsidRPr="00330CF1">
        <w:rPr>
          <w:rFonts w:ascii="Arial" w:hAnsi="Arial" w:cs="Arial"/>
          <w:noProof/>
        </w:rPr>
        <w:tab/>
        <w:t xml:space="preserve">Montuschi, P., P. Barnes, and L.J. Roberts, </w:t>
      </w:r>
      <w:r w:rsidRPr="00330CF1">
        <w:rPr>
          <w:rFonts w:ascii="Arial" w:hAnsi="Arial" w:cs="Arial"/>
          <w:i/>
          <w:noProof/>
        </w:rPr>
        <w:t>Insights into oxidative stress: The isoprostanes.</w:t>
      </w:r>
      <w:r w:rsidRPr="00330CF1">
        <w:rPr>
          <w:rFonts w:ascii="Arial" w:hAnsi="Arial" w:cs="Arial"/>
          <w:noProof/>
        </w:rPr>
        <w:t xml:space="preserve"> Current Medicinal Chemistry, 2007. </w:t>
      </w:r>
      <w:r w:rsidRPr="00330CF1">
        <w:rPr>
          <w:rFonts w:ascii="Arial" w:hAnsi="Arial" w:cs="Arial"/>
          <w:b/>
          <w:noProof/>
        </w:rPr>
        <w:t>14</w:t>
      </w:r>
      <w:r w:rsidRPr="00330CF1">
        <w:rPr>
          <w:rFonts w:ascii="Arial" w:hAnsi="Arial" w:cs="Arial"/>
          <w:noProof/>
        </w:rPr>
        <w:t>(6): p. 703-717.</w:t>
      </w:r>
      <w:bookmarkEnd w:id="207"/>
    </w:p>
    <w:p w:rsidR="00330CF1" w:rsidRPr="00330CF1" w:rsidRDefault="00330CF1" w:rsidP="0009286C">
      <w:pPr>
        <w:ind w:left="720" w:hanging="720"/>
        <w:rPr>
          <w:rFonts w:ascii="Arial" w:hAnsi="Arial" w:cs="Arial"/>
          <w:noProof/>
        </w:rPr>
      </w:pPr>
      <w:bookmarkStart w:id="208" w:name="_ENREF_147"/>
      <w:r w:rsidRPr="00330CF1">
        <w:rPr>
          <w:rFonts w:ascii="Arial" w:hAnsi="Arial" w:cs="Arial"/>
          <w:noProof/>
        </w:rPr>
        <w:t>147.</w:t>
      </w:r>
      <w:r w:rsidRPr="00330CF1">
        <w:rPr>
          <w:rFonts w:ascii="Arial" w:hAnsi="Arial" w:cs="Arial"/>
          <w:noProof/>
        </w:rPr>
        <w:tab/>
        <w:t xml:space="preserve">Kadiiska, M.B., et al., </w:t>
      </w:r>
      <w:r w:rsidRPr="00330CF1">
        <w:rPr>
          <w:rFonts w:ascii="Arial" w:hAnsi="Arial" w:cs="Arial"/>
          <w:i/>
          <w:noProof/>
        </w:rPr>
        <w:t>Biomarkers of oxidative stress study II. Are oxidation products of lipids, proteins, and DNA markers of CCl4 poisoning?</w:t>
      </w:r>
      <w:r w:rsidRPr="00330CF1">
        <w:rPr>
          <w:rFonts w:ascii="Arial" w:hAnsi="Arial" w:cs="Arial"/>
          <w:noProof/>
        </w:rPr>
        <w:t xml:space="preserve"> Free Radical Biology and Medicine, 2005. </w:t>
      </w:r>
      <w:r w:rsidRPr="00330CF1">
        <w:rPr>
          <w:rFonts w:ascii="Arial" w:hAnsi="Arial" w:cs="Arial"/>
          <w:b/>
          <w:noProof/>
        </w:rPr>
        <w:t>38</w:t>
      </w:r>
      <w:r w:rsidRPr="00330CF1">
        <w:rPr>
          <w:rFonts w:ascii="Arial" w:hAnsi="Arial" w:cs="Arial"/>
          <w:noProof/>
        </w:rPr>
        <w:t>(6): p. 698-710.</w:t>
      </w:r>
      <w:bookmarkEnd w:id="208"/>
    </w:p>
    <w:p w:rsidR="00330CF1" w:rsidRPr="00330CF1" w:rsidRDefault="00330CF1" w:rsidP="0009286C">
      <w:pPr>
        <w:ind w:left="720" w:hanging="720"/>
        <w:rPr>
          <w:rFonts w:ascii="Arial" w:hAnsi="Arial" w:cs="Arial"/>
          <w:noProof/>
        </w:rPr>
      </w:pPr>
      <w:bookmarkStart w:id="209" w:name="_ENREF_148"/>
      <w:r w:rsidRPr="00330CF1">
        <w:rPr>
          <w:rFonts w:ascii="Arial" w:hAnsi="Arial" w:cs="Arial"/>
          <w:noProof/>
        </w:rPr>
        <w:t>148.</w:t>
      </w:r>
      <w:r w:rsidRPr="00330CF1">
        <w:rPr>
          <w:rFonts w:ascii="Arial" w:hAnsi="Arial" w:cs="Arial"/>
          <w:noProof/>
        </w:rPr>
        <w:tab/>
        <w:t xml:space="preserve">Milne, G.L., et al., </w:t>
      </w:r>
      <w:r w:rsidRPr="00330CF1">
        <w:rPr>
          <w:rFonts w:ascii="Arial" w:hAnsi="Arial" w:cs="Arial"/>
          <w:i/>
          <w:noProof/>
        </w:rPr>
        <w:t>Quantification of F-2-isoprostanes as a biomarker of oxidative stress.</w:t>
      </w:r>
      <w:r w:rsidRPr="00330CF1">
        <w:rPr>
          <w:rFonts w:ascii="Arial" w:hAnsi="Arial" w:cs="Arial"/>
          <w:noProof/>
        </w:rPr>
        <w:t xml:space="preserve"> Nature Protocols, 2007. </w:t>
      </w:r>
      <w:r w:rsidRPr="00330CF1">
        <w:rPr>
          <w:rFonts w:ascii="Arial" w:hAnsi="Arial" w:cs="Arial"/>
          <w:b/>
          <w:noProof/>
        </w:rPr>
        <w:t>2</w:t>
      </w:r>
      <w:r w:rsidRPr="00330CF1">
        <w:rPr>
          <w:rFonts w:ascii="Arial" w:hAnsi="Arial" w:cs="Arial"/>
          <w:noProof/>
        </w:rPr>
        <w:t>(1): p. 221-226.</w:t>
      </w:r>
      <w:bookmarkEnd w:id="209"/>
    </w:p>
    <w:p w:rsidR="00330CF1" w:rsidRPr="00330CF1" w:rsidRDefault="00330CF1" w:rsidP="0009286C">
      <w:pPr>
        <w:ind w:left="720" w:hanging="720"/>
        <w:rPr>
          <w:rFonts w:ascii="Arial" w:hAnsi="Arial" w:cs="Arial"/>
          <w:noProof/>
        </w:rPr>
      </w:pPr>
      <w:bookmarkStart w:id="210" w:name="_ENREF_149"/>
      <w:r w:rsidRPr="00330CF1">
        <w:rPr>
          <w:rFonts w:ascii="Arial" w:hAnsi="Arial" w:cs="Arial"/>
          <w:noProof/>
        </w:rPr>
        <w:t>149.</w:t>
      </w:r>
      <w:r w:rsidRPr="00330CF1">
        <w:rPr>
          <w:rFonts w:ascii="Arial" w:hAnsi="Arial" w:cs="Arial"/>
          <w:noProof/>
        </w:rPr>
        <w:tab/>
        <w:t xml:space="preserve">Furukawa, S., et al., </w:t>
      </w:r>
      <w:r w:rsidRPr="00330CF1">
        <w:rPr>
          <w:rFonts w:ascii="Arial" w:hAnsi="Arial" w:cs="Arial"/>
          <w:i/>
          <w:noProof/>
        </w:rPr>
        <w:t>Increased oxidative stress in obesity and its impact on metabolic syndrome.</w:t>
      </w:r>
      <w:r w:rsidRPr="00330CF1">
        <w:rPr>
          <w:rFonts w:ascii="Arial" w:hAnsi="Arial" w:cs="Arial"/>
          <w:noProof/>
        </w:rPr>
        <w:t xml:space="preserve"> Journal of Clinical Investigation, 2004. </w:t>
      </w:r>
      <w:r w:rsidRPr="00330CF1">
        <w:rPr>
          <w:rFonts w:ascii="Arial" w:hAnsi="Arial" w:cs="Arial"/>
          <w:b/>
          <w:noProof/>
        </w:rPr>
        <w:t>114</w:t>
      </w:r>
      <w:r w:rsidRPr="00330CF1">
        <w:rPr>
          <w:rFonts w:ascii="Arial" w:hAnsi="Arial" w:cs="Arial"/>
          <w:noProof/>
        </w:rPr>
        <w:t>(12): p. 1752-1761.</w:t>
      </w:r>
      <w:bookmarkEnd w:id="210"/>
    </w:p>
    <w:p w:rsidR="00330CF1" w:rsidRPr="00330CF1" w:rsidRDefault="00330CF1" w:rsidP="0009286C">
      <w:pPr>
        <w:ind w:left="720" w:hanging="720"/>
        <w:rPr>
          <w:rFonts w:ascii="Arial" w:hAnsi="Arial" w:cs="Arial"/>
          <w:noProof/>
        </w:rPr>
      </w:pPr>
      <w:bookmarkStart w:id="211" w:name="_ENREF_150"/>
      <w:r w:rsidRPr="00330CF1">
        <w:rPr>
          <w:rFonts w:ascii="Arial" w:hAnsi="Arial" w:cs="Arial"/>
          <w:noProof/>
        </w:rPr>
        <w:lastRenderedPageBreak/>
        <w:t>150.</w:t>
      </w:r>
      <w:r w:rsidRPr="00330CF1">
        <w:rPr>
          <w:rFonts w:ascii="Arial" w:hAnsi="Arial" w:cs="Arial"/>
          <w:noProof/>
        </w:rPr>
        <w:tab/>
        <w:t xml:space="preserve">Jeusette, I., et al., </w:t>
      </w:r>
      <w:r w:rsidRPr="00330CF1">
        <w:rPr>
          <w:rFonts w:ascii="Arial" w:hAnsi="Arial" w:cs="Arial"/>
          <w:i/>
          <w:noProof/>
        </w:rPr>
        <w:t>Increased urinary F2-isoprostane concentration as an indicator of oxidative stress in overweight cats.</w:t>
      </w:r>
      <w:r w:rsidRPr="00330CF1">
        <w:rPr>
          <w:rFonts w:ascii="Arial" w:hAnsi="Arial" w:cs="Arial"/>
          <w:noProof/>
        </w:rPr>
        <w:t xml:space="preserve"> International Journal of Applied Research in Veterinary Medicine, 2009. </w:t>
      </w:r>
      <w:r w:rsidRPr="00330CF1">
        <w:rPr>
          <w:rFonts w:ascii="Arial" w:hAnsi="Arial" w:cs="Arial"/>
          <w:b/>
          <w:noProof/>
        </w:rPr>
        <w:t>7</w:t>
      </w:r>
      <w:r w:rsidRPr="00330CF1">
        <w:rPr>
          <w:rFonts w:ascii="Arial" w:hAnsi="Arial" w:cs="Arial"/>
          <w:noProof/>
        </w:rPr>
        <w:t>(1/2): p. 36-42.</w:t>
      </w:r>
      <w:bookmarkEnd w:id="211"/>
    </w:p>
    <w:p w:rsidR="00330CF1" w:rsidRPr="00330CF1" w:rsidRDefault="00330CF1" w:rsidP="0009286C">
      <w:pPr>
        <w:ind w:left="720" w:hanging="720"/>
        <w:rPr>
          <w:rFonts w:ascii="Arial" w:hAnsi="Arial" w:cs="Arial"/>
          <w:noProof/>
        </w:rPr>
      </w:pPr>
      <w:bookmarkStart w:id="212" w:name="_ENREF_151"/>
      <w:r w:rsidRPr="00330CF1">
        <w:rPr>
          <w:rFonts w:ascii="Arial" w:hAnsi="Arial" w:cs="Arial"/>
          <w:noProof/>
        </w:rPr>
        <w:t>151.</w:t>
      </w:r>
      <w:r w:rsidRPr="00330CF1">
        <w:rPr>
          <w:rFonts w:ascii="Arial" w:hAnsi="Arial" w:cs="Arial"/>
          <w:noProof/>
        </w:rPr>
        <w:tab/>
        <w:t xml:space="preserve">Center, S.A., K.L. Warner, and H.N. Erb, </w:t>
      </w:r>
      <w:r w:rsidRPr="00330CF1">
        <w:rPr>
          <w:rFonts w:ascii="Arial" w:hAnsi="Arial" w:cs="Arial"/>
          <w:i/>
          <w:noProof/>
        </w:rPr>
        <w:t>Liver glutathione concentrations in dogs and cats with naturally occurring liver disease.</w:t>
      </w:r>
      <w:r w:rsidRPr="00330CF1">
        <w:rPr>
          <w:rFonts w:ascii="Arial" w:hAnsi="Arial" w:cs="Arial"/>
          <w:noProof/>
        </w:rPr>
        <w:t xml:space="preserve"> American Journal of Veterinary Research, 2002. </w:t>
      </w:r>
      <w:r w:rsidRPr="00330CF1">
        <w:rPr>
          <w:rFonts w:ascii="Arial" w:hAnsi="Arial" w:cs="Arial"/>
          <w:b/>
          <w:noProof/>
        </w:rPr>
        <w:t>63</w:t>
      </w:r>
      <w:r w:rsidRPr="00330CF1">
        <w:rPr>
          <w:rFonts w:ascii="Arial" w:hAnsi="Arial" w:cs="Arial"/>
          <w:noProof/>
        </w:rPr>
        <w:t>(8): p. 1187-1197.</w:t>
      </w:r>
      <w:bookmarkEnd w:id="212"/>
    </w:p>
    <w:p w:rsidR="00330CF1" w:rsidRPr="00330CF1" w:rsidRDefault="00330CF1" w:rsidP="0009286C">
      <w:pPr>
        <w:ind w:left="720" w:hanging="720"/>
        <w:rPr>
          <w:rFonts w:ascii="Arial" w:hAnsi="Arial" w:cs="Arial"/>
          <w:noProof/>
        </w:rPr>
      </w:pPr>
      <w:bookmarkStart w:id="213" w:name="_ENREF_152"/>
      <w:r w:rsidRPr="00330CF1">
        <w:rPr>
          <w:rFonts w:ascii="Arial" w:hAnsi="Arial" w:cs="Arial"/>
          <w:noProof/>
        </w:rPr>
        <w:t>152.</w:t>
      </w:r>
      <w:r w:rsidRPr="00330CF1">
        <w:rPr>
          <w:rFonts w:ascii="Arial" w:hAnsi="Arial" w:cs="Arial"/>
          <w:noProof/>
        </w:rPr>
        <w:tab/>
        <w:t xml:space="preserve">Freeman, L.M. and K.E. Michel, </w:t>
      </w:r>
      <w:r w:rsidRPr="00330CF1">
        <w:rPr>
          <w:rFonts w:ascii="Arial" w:hAnsi="Arial" w:cs="Arial"/>
          <w:i/>
          <w:noProof/>
        </w:rPr>
        <w:t>Evaluation of raw food diets for dogs.</w:t>
      </w:r>
      <w:r w:rsidRPr="00330CF1">
        <w:rPr>
          <w:rFonts w:ascii="Arial" w:hAnsi="Arial" w:cs="Arial"/>
          <w:noProof/>
        </w:rPr>
        <w:t xml:space="preserve"> Journal American Veterinary Medical Association, 2001. </w:t>
      </w:r>
      <w:r w:rsidRPr="00330CF1">
        <w:rPr>
          <w:rFonts w:ascii="Arial" w:hAnsi="Arial" w:cs="Arial"/>
          <w:b/>
          <w:noProof/>
        </w:rPr>
        <w:t>218</w:t>
      </w:r>
      <w:r w:rsidRPr="00330CF1">
        <w:rPr>
          <w:rFonts w:ascii="Arial" w:hAnsi="Arial" w:cs="Arial"/>
          <w:noProof/>
        </w:rPr>
        <w:t>(5): p. 705-709.</w:t>
      </w:r>
      <w:bookmarkEnd w:id="213"/>
    </w:p>
    <w:p w:rsidR="00330CF1" w:rsidRPr="00330CF1" w:rsidRDefault="00330CF1" w:rsidP="0009286C">
      <w:pPr>
        <w:ind w:left="720" w:hanging="720"/>
        <w:rPr>
          <w:rFonts w:ascii="Arial" w:hAnsi="Arial" w:cs="Arial"/>
          <w:noProof/>
        </w:rPr>
      </w:pPr>
      <w:bookmarkStart w:id="214" w:name="_ENREF_153"/>
      <w:r w:rsidRPr="00330CF1">
        <w:rPr>
          <w:rFonts w:ascii="Arial" w:hAnsi="Arial" w:cs="Arial"/>
          <w:noProof/>
        </w:rPr>
        <w:t>153.</w:t>
      </w:r>
      <w:r w:rsidRPr="00330CF1">
        <w:rPr>
          <w:rFonts w:ascii="Arial" w:hAnsi="Arial" w:cs="Arial"/>
          <w:noProof/>
        </w:rPr>
        <w:tab/>
        <w:t xml:space="preserve">Billinghurst, I., </w:t>
      </w:r>
      <w:r w:rsidRPr="00330CF1">
        <w:rPr>
          <w:rFonts w:ascii="Arial" w:hAnsi="Arial" w:cs="Arial"/>
          <w:i/>
          <w:noProof/>
        </w:rPr>
        <w:t>The Barf diet : raw feeding for dogs and cats using evolutionary principles</w:t>
      </w:r>
      <w:r w:rsidRPr="00330CF1">
        <w:rPr>
          <w:rFonts w:ascii="Arial" w:hAnsi="Arial" w:cs="Arial"/>
          <w:noProof/>
        </w:rPr>
        <w:t xml:space="preserve"> 2001, N.S.W. Australia: Ian Billinghurst.</w:t>
      </w:r>
      <w:bookmarkEnd w:id="214"/>
    </w:p>
    <w:p w:rsidR="00330CF1" w:rsidRPr="00330CF1" w:rsidRDefault="00330CF1" w:rsidP="0009286C">
      <w:pPr>
        <w:ind w:left="720" w:hanging="720"/>
        <w:rPr>
          <w:rFonts w:ascii="Arial" w:hAnsi="Arial" w:cs="Arial"/>
          <w:noProof/>
        </w:rPr>
      </w:pPr>
      <w:bookmarkStart w:id="215" w:name="_ENREF_154"/>
      <w:r w:rsidRPr="00330CF1">
        <w:rPr>
          <w:rFonts w:ascii="Arial" w:hAnsi="Arial" w:cs="Arial"/>
          <w:noProof/>
        </w:rPr>
        <w:t>154.</w:t>
      </w:r>
      <w:r w:rsidRPr="00330CF1">
        <w:rPr>
          <w:rFonts w:ascii="Arial" w:hAnsi="Arial" w:cs="Arial"/>
          <w:noProof/>
        </w:rPr>
        <w:tab/>
        <w:t xml:space="preserve">Volhard, W. and K.L. Brown, </w:t>
      </w:r>
      <w:r w:rsidRPr="00330CF1">
        <w:rPr>
          <w:rFonts w:ascii="Arial" w:hAnsi="Arial" w:cs="Arial"/>
          <w:i/>
          <w:noProof/>
        </w:rPr>
        <w:t>The holistic guide for a healthy dog</w:t>
      </w:r>
      <w:r w:rsidRPr="00330CF1">
        <w:rPr>
          <w:rFonts w:ascii="Arial" w:hAnsi="Arial" w:cs="Arial"/>
          <w:noProof/>
        </w:rPr>
        <w:t xml:space="preserve"> 1995, New York: Howell Book House.</w:t>
      </w:r>
      <w:bookmarkEnd w:id="215"/>
    </w:p>
    <w:p w:rsidR="00330CF1" w:rsidRPr="00330CF1" w:rsidRDefault="00330CF1" w:rsidP="0009286C">
      <w:pPr>
        <w:ind w:left="720" w:hanging="720"/>
        <w:rPr>
          <w:rFonts w:ascii="Arial" w:hAnsi="Arial" w:cs="Arial"/>
          <w:noProof/>
        </w:rPr>
      </w:pPr>
      <w:bookmarkStart w:id="216" w:name="_ENREF_155"/>
      <w:r w:rsidRPr="00330CF1">
        <w:rPr>
          <w:rFonts w:ascii="Arial" w:hAnsi="Arial" w:cs="Arial"/>
          <w:noProof/>
        </w:rPr>
        <w:t>155.</w:t>
      </w:r>
      <w:r w:rsidRPr="00330CF1">
        <w:rPr>
          <w:rFonts w:ascii="Arial" w:hAnsi="Arial" w:cs="Arial"/>
          <w:noProof/>
        </w:rPr>
        <w:tab/>
        <w:t xml:space="preserve">Richardson, D.C., et al., </w:t>
      </w:r>
      <w:r w:rsidRPr="00330CF1">
        <w:rPr>
          <w:rFonts w:ascii="Arial" w:hAnsi="Arial" w:cs="Arial"/>
          <w:i/>
          <w:noProof/>
        </w:rPr>
        <w:t>Developmental Orthopedic Disease of Dogs</w:t>
      </w:r>
      <w:r w:rsidRPr="00330CF1">
        <w:rPr>
          <w:rFonts w:ascii="Arial" w:hAnsi="Arial" w:cs="Arial"/>
          <w:noProof/>
        </w:rPr>
        <w:t xml:space="preserve">, in </w:t>
      </w:r>
      <w:r w:rsidRPr="00330CF1">
        <w:rPr>
          <w:rFonts w:ascii="Arial" w:hAnsi="Arial" w:cs="Arial"/>
          <w:i/>
          <w:noProof/>
        </w:rPr>
        <w:t>Small Animal Clinical Nutrition 4th Edition</w:t>
      </w:r>
      <w:r w:rsidRPr="00330CF1">
        <w:rPr>
          <w:rFonts w:ascii="Arial" w:hAnsi="Arial" w:cs="Arial"/>
          <w:noProof/>
        </w:rPr>
        <w:t>, M.S. Hand, et al., Editors. 2000, Mark Morris Institute: Topeka, KS. p. 505-524.</w:t>
      </w:r>
      <w:bookmarkEnd w:id="216"/>
    </w:p>
    <w:p w:rsidR="00330CF1" w:rsidRPr="00330CF1" w:rsidRDefault="00330CF1" w:rsidP="0009286C">
      <w:pPr>
        <w:ind w:left="720" w:hanging="720"/>
        <w:rPr>
          <w:rFonts w:ascii="Arial" w:hAnsi="Arial" w:cs="Arial"/>
          <w:noProof/>
        </w:rPr>
      </w:pPr>
      <w:bookmarkStart w:id="217" w:name="_ENREF_156"/>
      <w:r w:rsidRPr="00330CF1">
        <w:rPr>
          <w:rFonts w:ascii="Arial" w:hAnsi="Arial" w:cs="Arial"/>
          <w:noProof/>
        </w:rPr>
        <w:t>156.</w:t>
      </w:r>
      <w:r w:rsidRPr="00330CF1">
        <w:rPr>
          <w:rFonts w:ascii="Arial" w:hAnsi="Arial" w:cs="Arial"/>
          <w:noProof/>
        </w:rPr>
        <w:tab/>
        <w:t xml:space="preserve">Grider, A., </w:t>
      </w:r>
      <w:r w:rsidRPr="00330CF1">
        <w:rPr>
          <w:rFonts w:ascii="Arial" w:hAnsi="Arial" w:cs="Arial"/>
          <w:i/>
          <w:noProof/>
        </w:rPr>
        <w:t>Zinc, Copper, and Manganese</w:t>
      </w:r>
      <w:r w:rsidRPr="00330CF1">
        <w:rPr>
          <w:rFonts w:ascii="Arial" w:hAnsi="Arial" w:cs="Arial"/>
          <w:noProof/>
        </w:rPr>
        <w:t xml:space="preserve">, in </w:t>
      </w:r>
      <w:r w:rsidRPr="00330CF1">
        <w:rPr>
          <w:rFonts w:ascii="Arial" w:hAnsi="Arial" w:cs="Arial"/>
          <w:i/>
          <w:noProof/>
        </w:rPr>
        <w:t>Biochemical, Physiological, &amp; Molecular Aspects of Human Nutrition</w:t>
      </w:r>
      <w:r w:rsidRPr="00330CF1">
        <w:rPr>
          <w:rFonts w:ascii="Arial" w:hAnsi="Arial" w:cs="Arial"/>
          <w:noProof/>
        </w:rPr>
        <w:t>, M.H. Stipanuk, Editor 2006, Saunders Elsevier: St. Louis, MO. p. 1043-1067.</w:t>
      </w:r>
      <w:bookmarkEnd w:id="217"/>
    </w:p>
    <w:p w:rsidR="00330CF1" w:rsidRPr="00330CF1" w:rsidRDefault="00330CF1" w:rsidP="0009286C">
      <w:pPr>
        <w:ind w:left="720" w:hanging="720"/>
        <w:rPr>
          <w:rFonts w:ascii="Arial" w:hAnsi="Arial" w:cs="Arial"/>
          <w:noProof/>
        </w:rPr>
      </w:pPr>
      <w:bookmarkStart w:id="218" w:name="_ENREF_157"/>
      <w:r w:rsidRPr="00330CF1">
        <w:rPr>
          <w:rFonts w:ascii="Arial" w:hAnsi="Arial" w:cs="Arial"/>
          <w:noProof/>
        </w:rPr>
        <w:t>157.</w:t>
      </w:r>
      <w:r w:rsidRPr="00330CF1">
        <w:rPr>
          <w:rFonts w:ascii="Arial" w:hAnsi="Arial" w:cs="Arial"/>
          <w:noProof/>
        </w:rPr>
        <w:tab/>
        <w:t xml:space="preserve">USDA Food and Drug Administration Center for Veterinary Medicine. </w:t>
      </w:r>
      <w:r w:rsidRPr="00330CF1">
        <w:rPr>
          <w:rFonts w:ascii="Arial" w:hAnsi="Arial" w:cs="Arial"/>
          <w:i/>
          <w:noProof/>
        </w:rPr>
        <w:t>Guidance for Industry #122 Manufacture and Labeling of Raw Meat Foods for Companion and Captive Noncompanion Carnivores and Omnivores</w:t>
      </w:r>
      <w:r w:rsidRPr="00330CF1">
        <w:rPr>
          <w:rFonts w:ascii="Arial" w:hAnsi="Arial" w:cs="Arial"/>
          <w:noProof/>
        </w:rPr>
        <w:t>. 2004  [Accessed: April 15, 2010]; Available from: http://www.fda.gov/downloads/animalveterinary/guidancecomplianceenforcement/guidanceforindustry/ucm052662.pdf.</w:t>
      </w:r>
      <w:bookmarkEnd w:id="218"/>
    </w:p>
    <w:p w:rsidR="00330CF1" w:rsidRPr="00330CF1" w:rsidRDefault="00330CF1" w:rsidP="0009286C">
      <w:pPr>
        <w:ind w:left="720" w:hanging="720"/>
        <w:rPr>
          <w:rFonts w:ascii="Arial" w:hAnsi="Arial" w:cs="Arial"/>
          <w:noProof/>
        </w:rPr>
      </w:pPr>
      <w:bookmarkStart w:id="219" w:name="_ENREF_158"/>
      <w:r w:rsidRPr="00330CF1">
        <w:rPr>
          <w:rFonts w:ascii="Arial" w:hAnsi="Arial" w:cs="Arial"/>
          <w:noProof/>
        </w:rPr>
        <w:t>158.</w:t>
      </w:r>
      <w:r w:rsidRPr="00330CF1">
        <w:rPr>
          <w:rFonts w:ascii="Arial" w:hAnsi="Arial" w:cs="Arial"/>
          <w:noProof/>
        </w:rPr>
        <w:tab/>
        <w:t xml:space="preserve">Mead, P.S., et al., </w:t>
      </w:r>
      <w:r w:rsidRPr="00330CF1">
        <w:rPr>
          <w:rFonts w:ascii="Arial" w:hAnsi="Arial" w:cs="Arial"/>
          <w:i/>
          <w:noProof/>
        </w:rPr>
        <w:t>Food-related illness and death in the United States.</w:t>
      </w:r>
      <w:r w:rsidRPr="00330CF1">
        <w:rPr>
          <w:rFonts w:ascii="Arial" w:hAnsi="Arial" w:cs="Arial"/>
          <w:noProof/>
        </w:rPr>
        <w:t xml:space="preserve"> Emerging Infectious Diseases, 1999. </w:t>
      </w:r>
      <w:r w:rsidRPr="00330CF1">
        <w:rPr>
          <w:rFonts w:ascii="Arial" w:hAnsi="Arial" w:cs="Arial"/>
          <w:b/>
          <w:noProof/>
        </w:rPr>
        <w:t>5</w:t>
      </w:r>
      <w:r w:rsidRPr="00330CF1">
        <w:rPr>
          <w:rFonts w:ascii="Arial" w:hAnsi="Arial" w:cs="Arial"/>
          <w:noProof/>
        </w:rPr>
        <w:t>(5): p. 607-625.</w:t>
      </w:r>
      <w:bookmarkEnd w:id="219"/>
    </w:p>
    <w:p w:rsidR="00330CF1" w:rsidRPr="00330CF1" w:rsidRDefault="00330CF1" w:rsidP="0009286C">
      <w:pPr>
        <w:ind w:left="720" w:hanging="720"/>
        <w:rPr>
          <w:rFonts w:ascii="Arial" w:hAnsi="Arial" w:cs="Arial"/>
          <w:noProof/>
        </w:rPr>
      </w:pPr>
      <w:bookmarkStart w:id="220" w:name="_ENREF_159"/>
      <w:r w:rsidRPr="00330CF1">
        <w:rPr>
          <w:rFonts w:ascii="Arial" w:hAnsi="Arial" w:cs="Arial"/>
          <w:noProof/>
        </w:rPr>
        <w:t>159.</w:t>
      </w:r>
      <w:r w:rsidRPr="00330CF1">
        <w:rPr>
          <w:rFonts w:ascii="Arial" w:hAnsi="Arial" w:cs="Arial"/>
          <w:noProof/>
        </w:rPr>
        <w:tab/>
        <w:t xml:space="preserve">U.S. Food and Drug Administration Center for Veterinary Medicine, </w:t>
      </w:r>
      <w:r w:rsidRPr="00330CF1">
        <w:rPr>
          <w:rFonts w:ascii="Arial" w:hAnsi="Arial" w:cs="Arial"/>
          <w:i/>
          <w:noProof/>
        </w:rPr>
        <w:t>National Antimicrobial Resistance Monitoring System--Enteric Bacteria.</w:t>
      </w:r>
      <w:r w:rsidRPr="00330CF1">
        <w:rPr>
          <w:rFonts w:ascii="Arial" w:hAnsi="Arial" w:cs="Arial"/>
          <w:noProof/>
        </w:rPr>
        <w:t xml:space="preserve"> NARMS retail meat annual report, 2004.</w:t>
      </w:r>
      <w:bookmarkEnd w:id="220"/>
    </w:p>
    <w:p w:rsidR="00330CF1" w:rsidRPr="00330CF1" w:rsidRDefault="00330CF1" w:rsidP="0009286C">
      <w:pPr>
        <w:ind w:left="720" w:hanging="720"/>
        <w:rPr>
          <w:rFonts w:ascii="Arial" w:hAnsi="Arial" w:cs="Arial"/>
          <w:noProof/>
        </w:rPr>
      </w:pPr>
      <w:bookmarkStart w:id="221" w:name="_ENREF_160"/>
      <w:r w:rsidRPr="00330CF1">
        <w:rPr>
          <w:rFonts w:ascii="Arial" w:hAnsi="Arial" w:cs="Arial"/>
          <w:noProof/>
        </w:rPr>
        <w:t>160.</w:t>
      </w:r>
      <w:r w:rsidRPr="00330CF1">
        <w:rPr>
          <w:rFonts w:ascii="Arial" w:hAnsi="Arial" w:cs="Arial"/>
          <w:noProof/>
        </w:rPr>
        <w:tab/>
        <w:t xml:space="preserve">Rhoades, J.R., G. Duffy, and K. Koutsoumanis, </w:t>
      </w:r>
      <w:r w:rsidRPr="00330CF1">
        <w:rPr>
          <w:rFonts w:ascii="Arial" w:hAnsi="Arial" w:cs="Arial"/>
          <w:i/>
          <w:noProof/>
        </w:rPr>
        <w:t>Prevalence and concentration of verocytotoxigenic Escherichia coli, Salmonella enterica and Listeria monocytogenes in the beef production chain: A review.</w:t>
      </w:r>
      <w:r w:rsidRPr="00330CF1">
        <w:rPr>
          <w:rFonts w:ascii="Arial" w:hAnsi="Arial" w:cs="Arial"/>
          <w:noProof/>
        </w:rPr>
        <w:t xml:space="preserve"> Food Microbiology, 2009. </w:t>
      </w:r>
      <w:r w:rsidRPr="00330CF1">
        <w:rPr>
          <w:rFonts w:ascii="Arial" w:hAnsi="Arial" w:cs="Arial"/>
          <w:b/>
          <w:noProof/>
        </w:rPr>
        <w:t>26</w:t>
      </w:r>
      <w:r w:rsidRPr="00330CF1">
        <w:rPr>
          <w:rFonts w:ascii="Arial" w:hAnsi="Arial" w:cs="Arial"/>
          <w:noProof/>
        </w:rPr>
        <w:t>(4): p. 357-376.</w:t>
      </w:r>
      <w:bookmarkEnd w:id="221"/>
    </w:p>
    <w:p w:rsidR="00330CF1" w:rsidRPr="00330CF1" w:rsidRDefault="00330CF1" w:rsidP="0009286C">
      <w:pPr>
        <w:ind w:left="720" w:hanging="720"/>
        <w:rPr>
          <w:rFonts w:ascii="Arial" w:hAnsi="Arial" w:cs="Arial"/>
          <w:noProof/>
        </w:rPr>
      </w:pPr>
      <w:bookmarkStart w:id="222" w:name="_ENREF_161"/>
      <w:r w:rsidRPr="00330CF1">
        <w:rPr>
          <w:rFonts w:ascii="Arial" w:hAnsi="Arial" w:cs="Arial"/>
          <w:noProof/>
        </w:rPr>
        <w:t>161.</w:t>
      </w:r>
      <w:r w:rsidRPr="00330CF1">
        <w:rPr>
          <w:rFonts w:ascii="Arial" w:hAnsi="Arial" w:cs="Arial"/>
          <w:noProof/>
        </w:rPr>
        <w:tab/>
        <w:t xml:space="preserve">Sanchez, S., et al., </w:t>
      </w:r>
      <w:r w:rsidRPr="00330CF1">
        <w:rPr>
          <w:rFonts w:ascii="Arial" w:hAnsi="Arial" w:cs="Arial"/>
          <w:i/>
          <w:noProof/>
        </w:rPr>
        <w:t>Zoonosis update - Animal issues associated with Escherichia coli O157 : H7.</w:t>
      </w:r>
      <w:r w:rsidRPr="00330CF1">
        <w:rPr>
          <w:rFonts w:ascii="Arial" w:hAnsi="Arial" w:cs="Arial"/>
          <w:noProof/>
        </w:rPr>
        <w:t xml:space="preserve"> Journal of the American Veterinary Medical Association, 2002. </w:t>
      </w:r>
      <w:r w:rsidRPr="00330CF1">
        <w:rPr>
          <w:rFonts w:ascii="Arial" w:hAnsi="Arial" w:cs="Arial"/>
          <w:b/>
          <w:noProof/>
        </w:rPr>
        <w:t>221</w:t>
      </w:r>
      <w:r w:rsidRPr="00330CF1">
        <w:rPr>
          <w:rFonts w:ascii="Arial" w:hAnsi="Arial" w:cs="Arial"/>
          <w:noProof/>
        </w:rPr>
        <w:t>(8): p. 1122-1126.</w:t>
      </w:r>
      <w:bookmarkEnd w:id="222"/>
    </w:p>
    <w:p w:rsidR="00330CF1" w:rsidRPr="00330CF1" w:rsidRDefault="00330CF1" w:rsidP="0009286C">
      <w:pPr>
        <w:ind w:left="720" w:hanging="720"/>
        <w:rPr>
          <w:rFonts w:ascii="Arial" w:hAnsi="Arial" w:cs="Arial"/>
          <w:noProof/>
        </w:rPr>
      </w:pPr>
      <w:bookmarkStart w:id="223" w:name="_ENREF_162"/>
      <w:r w:rsidRPr="00330CF1">
        <w:rPr>
          <w:rFonts w:ascii="Arial" w:hAnsi="Arial" w:cs="Arial"/>
          <w:noProof/>
        </w:rPr>
        <w:t>162.</w:t>
      </w:r>
      <w:r w:rsidRPr="00330CF1">
        <w:rPr>
          <w:rFonts w:ascii="Arial" w:hAnsi="Arial" w:cs="Arial"/>
          <w:noProof/>
        </w:rPr>
        <w:tab/>
        <w:t xml:space="preserve">Aslam, M., et al., </w:t>
      </w:r>
      <w:r w:rsidRPr="00330CF1">
        <w:rPr>
          <w:rFonts w:ascii="Arial" w:hAnsi="Arial" w:cs="Arial"/>
          <w:i/>
          <w:noProof/>
        </w:rPr>
        <w:t>Origin of contamination and genetic diversity of Escherichia coli in beef cattle.</w:t>
      </w:r>
      <w:r w:rsidRPr="00330CF1">
        <w:rPr>
          <w:rFonts w:ascii="Arial" w:hAnsi="Arial" w:cs="Arial"/>
          <w:noProof/>
        </w:rPr>
        <w:t xml:space="preserve"> Applied and Environmental Microbiology, 2003. </w:t>
      </w:r>
      <w:r w:rsidRPr="00330CF1">
        <w:rPr>
          <w:rFonts w:ascii="Arial" w:hAnsi="Arial" w:cs="Arial"/>
          <w:b/>
          <w:noProof/>
        </w:rPr>
        <w:t>69</w:t>
      </w:r>
      <w:r w:rsidRPr="00330CF1">
        <w:rPr>
          <w:rFonts w:ascii="Arial" w:hAnsi="Arial" w:cs="Arial"/>
          <w:noProof/>
        </w:rPr>
        <w:t>(5): p. 2794-2799.</w:t>
      </w:r>
      <w:bookmarkEnd w:id="223"/>
    </w:p>
    <w:p w:rsidR="00330CF1" w:rsidRPr="00330CF1" w:rsidRDefault="00330CF1" w:rsidP="0009286C">
      <w:pPr>
        <w:ind w:left="720" w:hanging="720"/>
        <w:rPr>
          <w:rFonts w:ascii="Arial" w:hAnsi="Arial" w:cs="Arial"/>
          <w:noProof/>
        </w:rPr>
      </w:pPr>
      <w:bookmarkStart w:id="224" w:name="_ENREF_163"/>
      <w:r w:rsidRPr="00330CF1">
        <w:rPr>
          <w:rFonts w:ascii="Arial" w:hAnsi="Arial" w:cs="Arial"/>
          <w:noProof/>
        </w:rPr>
        <w:t>163.</w:t>
      </w:r>
      <w:r w:rsidRPr="00330CF1">
        <w:rPr>
          <w:rFonts w:ascii="Arial" w:hAnsi="Arial" w:cs="Arial"/>
          <w:noProof/>
        </w:rPr>
        <w:tab/>
        <w:t xml:space="preserve">Greene, C.E., et al., </w:t>
      </w:r>
      <w:r w:rsidRPr="00330CF1">
        <w:rPr>
          <w:rFonts w:ascii="Arial" w:hAnsi="Arial" w:cs="Arial"/>
          <w:i/>
          <w:noProof/>
        </w:rPr>
        <w:t>Enteric Bacterial Infections</w:t>
      </w:r>
      <w:r w:rsidRPr="00330CF1">
        <w:rPr>
          <w:rFonts w:ascii="Arial" w:hAnsi="Arial" w:cs="Arial"/>
          <w:noProof/>
        </w:rPr>
        <w:t xml:space="preserve">, in </w:t>
      </w:r>
      <w:r w:rsidRPr="00330CF1">
        <w:rPr>
          <w:rFonts w:ascii="Arial" w:hAnsi="Arial" w:cs="Arial"/>
          <w:i/>
          <w:noProof/>
        </w:rPr>
        <w:t>Infectious Diseases of the Dog and Cat</w:t>
      </w:r>
      <w:r w:rsidRPr="00330CF1">
        <w:rPr>
          <w:rFonts w:ascii="Arial" w:hAnsi="Arial" w:cs="Arial"/>
          <w:noProof/>
        </w:rPr>
        <w:t>, C.E. Greene, Editor 2006, Saunders Elsevier: St. Louis. p. 339-369.</w:t>
      </w:r>
      <w:bookmarkEnd w:id="224"/>
    </w:p>
    <w:p w:rsidR="00330CF1" w:rsidRPr="00330CF1" w:rsidRDefault="00330CF1" w:rsidP="0009286C">
      <w:pPr>
        <w:ind w:left="720" w:hanging="720"/>
        <w:rPr>
          <w:rFonts w:ascii="Arial" w:hAnsi="Arial" w:cs="Arial"/>
          <w:noProof/>
        </w:rPr>
      </w:pPr>
      <w:bookmarkStart w:id="225" w:name="_ENREF_164"/>
      <w:r w:rsidRPr="00330CF1">
        <w:rPr>
          <w:rFonts w:ascii="Arial" w:hAnsi="Arial" w:cs="Arial"/>
          <w:noProof/>
        </w:rPr>
        <w:t>164.</w:t>
      </w:r>
      <w:r w:rsidRPr="00330CF1">
        <w:rPr>
          <w:rFonts w:ascii="Arial" w:hAnsi="Arial" w:cs="Arial"/>
          <w:noProof/>
        </w:rPr>
        <w:tab/>
        <w:t xml:space="preserve">Weese, J.S., J. Rousseau, and L. Arroyo, </w:t>
      </w:r>
      <w:r w:rsidRPr="00330CF1">
        <w:rPr>
          <w:rFonts w:ascii="Arial" w:hAnsi="Arial" w:cs="Arial"/>
          <w:i/>
          <w:noProof/>
        </w:rPr>
        <w:t>Bacteriological evaluation of commercial canine and feline raw meat diets.</w:t>
      </w:r>
      <w:r w:rsidRPr="00330CF1">
        <w:rPr>
          <w:rFonts w:ascii="Arial" w:hAnsi="Arial" w:cs="Arial"/>
          <w:noProof/>
        </w:rPr>
        <w:t xml:space="preserve"> Can Vet Journal, 2005. </w:t>
      </w:r>
      <w:r w:rsidRPr="00330CF1">
        <w:rPr>
          <w:rFonts w:ascii="Arial" w:hAnsi="Arial" w:cs="Arial"/>
          <w:b/>
          <w:noProof/>
        </w:rPr>
        <w:t>46</w:t>
      </w:r>
      <w:r w:rsidRPr="00330CF1">
        <w:rPr>
          <w:rFonts w:ascii="Arial" w:hAnsi="Arial" w:cs="Arial"/>
          <w:noProof/>
        </w:rPr>
        <w:t>: p. 513-516.</w:t>
      </w:r>
      <w:bookmarkEnd w:id="225"/>
    </w:p>
    <w:p w:rsidR="00330CF1" w:rsidRPr="00330CF1" w:rsidRDefault="00330CF1" w:rsidP="0009286C">
      <w:pPr>
        <w:ind w:left="720" w:hanging="720"/>
        <w:rPr>
          <w:rFonts w:ascii="Arial" w:hAnsi="Arial" w:cs="Arial"/>
          <w:noProof/>
        </w:rPr>
      </w:pPr>
      <w:bookmarkStart w:id="226" w:name="_ENREF_165"/>
      <w:r w:rsidRPr="00330CF1">
        <w:rPr>
          <w:rFonts w:ascii="Arial" w:hAnsi="Arial" w:cs="Arial"/>
          <w:noProof/>
        </w:rPr>
        <w:lastRenderedPageBreak/>
        <w:t>165.</w:t>
      </w:r>
      <w:r w:rsidRPr="00330CF1">
        <w:rPr>
          <w:rFonts w:ascii="Arial" w:hAnsi="Arial" w:cs="Arial"/>
          <w:noProof/>
        </w:rPr>
        <w:tab/>
        <w:t xml:space="preserve">Strohmeyer, R.A., et al., </w:t>
      </w:r>
      <w:r w:rsidRPr="00330CF1">
        <w:rPr>
          <w:rFonts w:ascii="Arial" w:hAnsi="Arial" w:cs="Arial"/>
          <w:i/>
          <w:noProof/>
        </w:rPr>
        <w:t>Evaluation of bacterial and protozoal contamination of commercially available raw meat diets for dogs.</w:t>
      </w:r>
      <w:r w:rsidRPr="00330CF1">
        <w:rPr>
          <w:rFonts w:ascii="Arial" w:hAnsi="Arial" w:cs="Arial"/>
          <w:noProof/>
        </w:rPr>
        <w:t xml:space="preserve"> Journal American Veterinary Medical Association, 2006. </w:t>
      </w:r>
      <w:r w:rsidRPr="00330CF1">
        <w:rPr>
          <w:rFonts w:ascii="Arial" w:hAnsi="Arial" w:cs="Arial"/>
          <w:b/>
          <w:noProof/>
        </w:rPr>
        <w:t>228</w:t>
      </w:r>
      <w:r w:rsidRPr="00330CF1">
        <w:rPr>
          <w:rFonts w:ascii="Arial" w:hAnsi="Arial" w:cs="Arial"/>
          <w:noProof/>
        </w:rPr>
        <w:t>(4): p. 537-542.</w:t>
      </w:r>
      <w:bookmarkEnd w:id="226"/>
    </w:p>
    <w:p w:rsidR="00330CF1" w:rsidRPr="00330CF1" w:rsidRDefault="00330CF1" w:rsidP="0009286C">
      <w:pPr>
        <w:ind w:left="720" w:hanging="720"/>
        <w:rPr>
          <w:rFonts w:ascii="Arial" w:hAnsi="Arial" w:cs="Arial"/>
          <w:noProof/>
        </w:rPr>
      </w:pPr>
      <w:bookmarkStart w:id="227" w:name="_ENREF_166"/>
      <w:r w:rsidRPr="00330CF1">
        <w:rPr>
          <w:rFonts w:ascii="Arial" w:hAnsi="Arial" w:cs="Arial"/>
          <w:noProof/>
        </w:rPr>
        <w:t>166.</w:t>
      </w:r>
      <w:r w:rsidRPr="00330CF1">
        <w:rPr>
          <w:rFonts w:ascii="Arial" w:hAnsi="Arial" w:cs="Arial"/>
          <w:noProof/>
        </w:rPr>
        <w:tab/>
        <w:t xml:space="preserve">Sato, Y., et al., </w:t>
      </w:r>
      <w:r w:rsidRPr="00330CF1">
        <w:rPr>
          <w:rFonts w:ascii="Arial" w:hAnsi="Arial" w:cs="Arial"/>
          <w:i/>
          <w:noProof/>
        </w:rPr>
        <w:t>Salmonella Virchow infection in an infant transmitted by household dogs.</w:t>
      </w:r>
      <w:r w:rsidRPr="00330CF1">
        <w:rPr>
          <w:rFonts w:ascii="Arial" w:hAnsi="Arial" w:cs="Arial"/>
          <w:noProof/>
        </w:rPr>
        <w:t xml:space="preserve"> Journal of Veterinary Medical Science, 2000. </w:t>
      </w:r>
      <w:r w:rsidRPr="00330CF1">
        <w:rPr>
          <w:rFonts w:ascii="Arial" w:hAnsi="Arial" w:cs="Arial"/>
          <w:b/>
          <w:noProof/>
        </w:rPr>
        <w:t>62</w:t>
      </w:r>
      <w:r w:rsidRPr="00330CF1">
        <w:rPr>
          <w:rFonts w:ascii="Arial" w:hAnsi="Arial" w:cs="Arial"/>
          <w:noProof/>
        </w:rPr>
        <w:t>(7): p. 767-769.</w:t>
      </w:r>
      <w:bookmarkEnd w:id="227"/>
    </w:p>
    <w:p w:rsidR="00330CF1" w:rsidRPr="00330CF1" w:rsidRDefault="00330CF1" w:rsidP="0009286C">
      <w:pPr>
        <w:ind w:left="720" w:hanging="720"/>
        <w:rPr>
          <w:rFonts w:ascii="Arial" w:hAnsi="Arial" w:cs="Arial"/>
          <w:noProof/>
        </w:rPr>
      </w:pPr>
      <w:bookmarkStart w:id="228" w:name="_ENREF_167"/>
      <w:r w:rsidRPr="00330CF1">
        <w:rPr>
          <w:rFonts w:ascii="Arial" w:hAnsi="Arial" w:cs="Arial"/>
          <w:noProof/>
        </w:rPr>
        <w:t>167.</w:t>
      </w:r>
      <w:r w:rsidRPr="00330CF1">
        <w:rPr>
          <w:rFonts w:ascii="Arial" w:hAnsi="Arial" w:cs="Arial"/>
          <w:noProof/>
        </w:rPr>
        <w:tab/>
        <w:t xml:space="preserve">Morse, E.V., et al., </w:t>
      </w:r>
      <w:r w:rsidRPr="00330CF1">
        <w:rPr>
          <w:rFonts w:ascii="Arial" w:hAnsi="Arial" w:cs="Arial"/>
          <w:i/>
          <w:noProof/>
        </w:rPr>
        <w:t>Canine Salmonellosis - review and report of dog to child transmission of Salmonella-enteritidis.</w:t>
      </w:r>
      <w:r w:rsidRPr="00330CF1">
        <w:rPr>
          <w:rFonts w:ascii="Arial" w:hAnsi="Arial" w:cs="Arial"/>
          <w:noProof/>
        </w:rPr>
        <w:t xml:space="preserve"> American Journal of Public Health, 1976. </w:t>
      </w:r>
      <w:r w:rsidRPr="00330CF1">
        <w:rPr>
          <w:rFonts w:ascii="Arial" w:hAnsi="Arial" w:cs="Arial"/>
          <w:b/>
          <w:noProof/>
        </w:rPr>
        <w:t>66</w:t>
      </w:r>
      <w:r w:rsidRPr="00330CF1">
        <w:rPr>
          <w:rFonts w:ascii="Arial" w:hAnsi="Arial" w:cs="Arial"/>
          <w:noProof/>
        </w:rPr>
        <w:t>(1): p. 82-84.</w:t>
      </w:r>
      <w:bookmarkEnd w:id="228"/>
    </w:p>
    <w:p w:rsidR="00330CF1" w:rsidRPr="00330CF1" w:rsidRDefault="00330CF1" w:rsidP="0009286C">
      <w:pPr>
        <w:ind w:left="720" w:hanging="720"/>
        <w:rPr>
          <w:rFonts w:ascii="Arial" w:hAnsi="Arial" w:cs="Arial"/>
          <w:noProof/>
        </w:rPr>
      </w:pPr>
      <w:bookmarkStart w:id="229" w:name="_ENREF_168"/>
      <w:r w:rsidRPr="00330CF1">
        <w:rPr>
          <w:rFonts w:ascii="Arial" w:hAnsi="Arial" w:cs="Arial"/>
          <w:noProof/>
        </w:rPr>
        <w:t>168.</w:t>
      </w:r>
      <w:r w:rsidRPr="00330CF1">
        <w:rPr>
          <w:rFonts w:ascii="Arial" w:hAnsi="Arial" w:cs="Arial"/>
          <w:noProof/>
        </w:rPr>
        <w:tab/>
        <w:t xml:space="preserve">American Veterinary Medical Association. </w:t>
      </w:r>
      <w:r w:rsidRPr="00330CF1">
        <w:rPr>
          <w:rFonts w:ascii="Arial" w:hAnsi="Arial" w:cs="Arial"/>
          <w:i/>
          <w:noProof/>
        </w:rPr>
        <w:t>Animal Health Pet Food Safety Recalls and Alerts</w:t>
      </w:r>
      <w:r w:rsidRPr="00330CF1">
        <w:rPr>
          <w:rFonts w:ascii="Arial" w:hAnsi="Arial" w:cs="Arial"/>
          <w:noProof/>
        </w:rPr>
        <w:t>. 2012  [Accessed: 5/8/2012]; Available from: http://www.avma.org/petfoodssafety/recalls/default.asp.</w:t>
      </w:r>
      <w:bookmarkEnd w:id="229"/>
    </w:p>
    <w:p w:rsidR="00330CF1" w:rsidRPr="00330CF1" w:rsidRDefault="00330CF1" w:rsidP="0009286C">
      <w:pPr>
        <w:ind w:left="720" w:hanging="720"/>
        <w:rPr>
          <w:rFonts w:ascii="Arial" w:hAnsi="Arial" w:cs="Arial"/>
          <w:noProof/>
        </w:rPr>
      </w:pPr>
      <w:bookmarkStart w:id="230" w:name="_ENREF_169"/>
      <w:r w:rsidRPr="00330CF1">
        <w:rPr>
          <w:rFonts w:ascii="Arial" w:hAnsi="Arial" w:cs="Arial"/>
          <w:noProof/>
        </w:rPr>
        <w:t>169.</w:t>
      </w:r>
      <w:r w:rsidRPr="00330CF1">
        <w:rPr>
          <w:rFonts w:ascii="Arial" w:hAnsi="Arial" w:cs="Arial"/>
          <w:noProof/>
        </w:rPr>
        <w:tab/>
        <w:t xml:space="preserve">Centers for Disease Control and Prevention. </w:t>
      </w:r>
      <w:r w:rsidRPr="00330CF1">
        <w:rPr>
          <w:rFonts w:ascii="Arial" w:hAnsi="Arial" w:cs="Arial"/>
          <w:i/>
          <w:noProof/>
        </w:rPr>
        <w:t>Multistate Outbreak of Human Salmonella Infantis Infection linked to Dry Dog Food</w:t>
      </w:r>
      <w:r w:rsidRPr="00330CF1">
        <w:rPr>
          <w:rFonts w:ascii="Arial" w:hAnsi="Arial" w:cs="Arial"/>
          <w:noProof/>
        </w:rPr>
        <w:t>. 2012  [Accessed: 5/8/2012]; Available from: http://www.cdc.gov/salmonella/dog-food-05-12/index.html.</w:t>
      </w:r>
      <w:bookmarkEnd w:id="230"/>
    </w:p>
    <w:p w:rsidR="00330CF1" w:rsidRPr="00330CF1" w:rsidRDefault="00330CF1" w:rsidP="0009286C">
      <w:pPr>
        <w:ind w:left="720" w:hanging="720"/>
        <w:rPr>
          <w:rFonts w:ascii="Arial" w:hAnsi="Arial" w:cs="Arial"/>
          <w:noProof/>
        </w:rPr>
      </w:pPr>
      <w:bookmarkStart w:id="231" w:name="_ENREF_170"/>
      <w:r w:rsidRPr="00330CF1">
        <w:rPr>
          <w:rFonts w:ascii="Arial" w:hAnsi="Arial" w:cs="Arial"/>
          <w:noProof/>
        </w:rPr>
        <w:t>170.</w:t>
      </w:r>
      <w:r w:rsidRPr="00330CF1">
        <w:rPr>
          <w:rFonts w:ascii="Arial" w:hAnsi="Arial" w:cs="Arial"/>
          <w:noProof/>
        </w:rPr>
        <w:tab/>
        <w:t xml:space="preserve">Dawson, D., </w:t>
      </w:r>
      <w:r w:rsidRPr="00330CF1">
        <w:rPr>
          <w:rFonts w:ascii="Arial" w:hAnsi="Arial" w:cs="Arial"/>
          <w:i/>
          <w:noProof/>
        </w:rPr>
        <w:t>Foodborne protozoan parasites.</w:t>
      </w:r>
      <w:r w:rsidRPr="00330CF1">
        <w:rPr>
          <w:rFonts w:ascii="Arial" w:hAnsi="Arial" w:cs="Arial"/>
          <w:noProof/>
        </w:rPr>
        <w:t xml:space="preserve"> International Journal of Food Microbiology, 2005. </w:t>
      </w:r>
      <w:r w:rsidRPr="00330CF1">
        <w:rPr>
          <w:rFonts w:ascii="Arial" w:hAnsi="Arial" w:cs="Arial"/>
          <w:b/>
          <w:noProof/>
        </w:rPr>
        <w:t>103</w:t>
      </w:r>
      <w:r w:rsidRPr="00330CF1">
        <w:rPr>
          <w:rFonts w:ascii="Arial" w:hAnsi="Arial" w:cs="Arial"/>
          <w:noProof/>
        </w:rPr>
        <w:t>(2): p. 207-227.</w:t>
      </w:r>
      <w:bookmarkEnd w:id="231"/>
    </w:p>
    <w:p w:rsidR="00330CF1" w:rsidRPr="00330CF1" w:rsidRDefault="00330CF1" w:rsidP="0009286C">
      <w:pPr>
        <w:ind w:left="720" w:hanging="720"/>
        <w:rPr>
          <w:rFonts w:ascii="Arial" w:hAnsi="Arial" w:cs="Arial"/>
          <w:noProof/>
        </w:rPr>
      </w:pPr>
      <w:bookmarkStart w:id="232" w:name="_ENREF_171"/>
      <w:r w:rsidRPr="00330CF1">
        <w:rPr>
          <w:rFonts w:ascii="Arial" w:hAnsi="Arial" w:cs="Arial"/>
          <w:noProof/>
        </w:rPr>
        <w:t>171.</w:t>
      </w:r>
      <w:r w:rsidRPr="00330CF1">
        <w:rPr>
          <w:rFonts w:ascii="Arial" w:hAnsi="Arial" w:cs="Arial"/>
          <w:noProof/>
        </w:rPr>
        <w:tab/>
        <w:t xml:space="preserve">Ruehlmann, D., et al., </w:t>
      </w:r>
      <w:r w:rsidRPr="00330CF1">
        <w:rPr>
          <w:rFonts w:ascii="Arial" w:hAnsi="Arial" w:cs="Arial"/>
          <w:i/>
          <w:noProof/>
        </w:rPr>
        <w:t>Canine neosporosis - a case-report and literature-review. .</w:t>
      </w:r>
      <w:r w:rsidRPr="00330CF1">
        <w:rPr>
          <w:rFonts w:ascii="Arial" w:hAnsi="Arial" w:cs="Arial"/>
          <w:noProof/>
        </w:rPr>
        <w:t xml:space="preserve"> Journal of the American Animal Hospital Association, 1995. </w:t>
      </w:r>
      <w:r w:rsidRPr="00330CF1">
        <w:rPr>
          <w:rFonts w:ascii="Arial" w:hAnsi="Arial" w:cs="Arial"/>
          <w:b/>
          <w:noProof/>
        </w:rPr>
        <w:t>31</w:t>
      </w:r>
      <w:r w:rsidRPr="00330CF1">
        <w:rPr>
          <w:rFonts w:ascii="Arial" w:hAnsi="Arial" w:cs="Arial"/>
          <w:noProof/>
        </w:rPr>
        <w:t>(2): p. 174-183.</w:t>
      </w:r>
      <w:bookmarkEnd w:id="232"/>
    </w:p>
    <w:p w:rsidR="00330CF1" w:rsidRPr="00330CF1" w:rsidRDefault="00330CF1" w:rsidP="0009286C">
      <w:pPr>
        <w:ind w:left="720" w:hanging="720"/>
        <w:rPr>
          <w:rFonts w:ascii="Arial" w:hAnsi="Arial" w:cs="Arial"/>
          <w:noProof/>
        </w:rPr>
      </w:pPr>
      <w:bookmarkStart w:id="233" w:name="_ENREF_172"/>
      <w:r w:rsidRPr="00330CF1">
        <w:rPr>
          <w:rFonts w:ascii="Arial" w:hAnsi="Arial" w:cs="Arial"/>
          <w:noProof/>
        </w:rPr>
        <w:t>172.</w:t>
      </w:r>
      <w:r w:rsidRPr="00330CF1">
        <w:rPr>
          <w:rFonts w:ascii="Arial" w:hAnsi="Arial" w:cs="Arial"/>
          <w:noProof/>
        </w:rPr>
        <w:tab/>
        <w:t xml:space="preserve">Lappin, M.R. and J.P. Dubey, </w:t>
      </w:r>
      <w:r w:rsidRPr="00330CF1">
        <w:rPr>
          <w:rFonts w:ascii="Arial" w:hAnsi="Arial" w:cs="Arial"/>
          <w:i/>
          <w:noProof/>
        </w:rPr>
        <w:t>Toxoplasmosis and Neosporosis</w:t>
      </w:r>
      <w:r w:rsidRPr="00330CF1">
        <w:rPr>
          <w:rFonts w:ascii="Arial" w:hAnsi="Arial" w:cs="Arial"/>
          <w:noProof/>
        </w:rPr>
        <w:t xml:space="preserve">, in </w:t>
      </w:r>
      <w:r w:rsidRPr="00330CF1">
        <w:rPr>
          <w:rFonts w:ascii="Arial" w:hAnsi="Arial" w:cs="Arial"/>
          <w:i/>
          <w:noProof/>
        </w:rPr>
        <w:t>Infectious Diseases of the Dog and Cat</w:t>
      </w:r>
      <w:r w:rsidRPr="00330CF1">
        <w:rPr>
          <w:rFonts w:ascii="Arial" w:hAnsi="Arial" w:cs="Arial"/>
          <w:noProof/>
        </w:rPr>
        <w:t>, C.E. Greene, Editor 2006, Saunders Elsevier: St. Louis. p. 754-775.</w:t>
      </w:r>
      <w:bookmarkEnd w:id="233"/>
    </w:p>
    <w:p w:rsidR="00330CF1" w:rsidRPr="00330CF1" w:rsidRDefault="00330CF1" w:rsidP="0009286C">
      <w:pPr>
        <w:ind w:left="720" w:hanging="720"/>
        <w:rPr>
          <w:rFonts w:ascii="Arial" w:hAnsi="Arial" w:cs="Arial"/>
          <w:noProof/>
        </w:rPr>
      </w:pPr>
      <w:bookmarkStart w:id="234" w:name="_ENREF_173"/>
      <w:r w:rsidRPr="00330CF1">
        <w:rPr>
          <w:rFonts w:ascii="Arial" w:hAnsi="Arial" w:cs="Arial"/>
          <w:noProof/>
        </w:rPr>
        <w:t>173.</w:t>
      </w:r>
      <w:r w:rsidRPr="00330CF1">
        <w:rPr>
          <w:rFonts w:ascii="Arial" w:hAnsi="Arial" w:cs="Arial"/>
          <w:noProof/>
        </w:rPr>
        <w:tab/>
        <w:t xml:space="preserve">Kramer, L., et al., </w:t>
      </w:r>
      <w:r w:rsidRPr="00330CF1">
        <w:rPr>
          <w:rFonts w:ascii="Arial" w:hAnsi="Arial" w:cs="Arial"/>
          <w:i/>
          <w:noProof/>
        </w:rPr>
        <w:t>Analysis of risk factors associated with seropositivity to Neospora caninum in dogs.</w:t>
      </w:r>
      <w:r w:rsidRPr="00330CF1">
        <w:rPr>
          <w:rFonts w:ascii="Arial" w:hAnsi="Arial" w:cs="Arial"/>
          <w:noProof/>
        </w:rPr>
        <w:t xml:space="preserve"> Veterinary Record, 2004. </w:t>
      </w:r>
      <w:r w:rsidRPr="00330CF1">
        <w:rPr>
          <w:rFonts w:ascii="Arial" w:hAnsi="Arial" w:cs="Arial"/>
          <w:b/>
          <w:noProof/>
        </w:rPr>
        <w:t>154</w:t>
      </w:r>
      <w:r w:rsidRPr="00330CF1">
        <w:rPr>
          <w:rFonts w:ascii="Arial" w:hAnsi="Arial" w:cs="Arial"/>
          <w:noProof/>
        </w:rPr>
        <w:t>(22): p. 692-693.</w:t>
      </w:r>
      <w:bookmarkEnd w:id="234"/>
    </w:p>
    <w:p w:rsidR="00330CF1" w:rsidRPr="00330CF1" w:rsidRDefault="00330CF1" w:rsidP="0009286C">
      <w:pPr>
        <w:ind w:left="720" w:hanging="720"/>
        <w:rPr>
          <w:rFonts w:ascii="Arial" w:hAnsi="Arial" w:cs="Arial"/>
          <w:noProof/>
        </w:rPr>
      </w:pPr>
      <w:bookmarkStart w:id="235" w:name="_ENREF_174"/>
      <w:r w:rsidRPr="00330CF1">
        <w:rPr>
          <w:rFonts w:ascii="Arial" w:hAnsi="Arial" w:cs="Arial"/>
          <w:noProof/>
        </w:rPr>
        <w:t>174.</w:t>
      </w:r>
      <w:r w:rsidRPr="00330CF1">
        <w:rPr>
          <w:rFonts w:ascii="Arial" w:hAnsi="Arial" w:cs="Arial"/>
          <w:noProof/>
        </w:rPr>
        <w:tab/>
        <w:t xml:space="preserve">Dubey, J.P., D.S. Lindsay, and T.P. Lipscomb, </w:t>
      </w:r>
      <w:r w:rsidRPr="00330CF1">
        <w:rPr>
          <w:rFonts w:ascii="Arial" w:hAnsi="Arial" w:cs="Arial"/>
          <w:i/>
          <w:noProof/>
        </w:rPr>
        <w:t>Neosporosis in cats.</w:t>
      </w:r>
      <w:r w:rsidRPr="00330CF1">
        <w:rPr>
          <w:rFonts w:ascii="Arial" w:hAnsi="Arial" w:cs="Arial"/>
          <w:noProof/>
        </w:rPr>
        <w:t xml:space="preserve"> Veterinary Pathology, 1990. </w:t>
      </w:r>
      <w:r w:rsidRPr="00330CF1">
        <w:rPr>
          <w:rFonts w:ascii="Arial" w:hAnsi="Arial" w:cs="Arial"/>
          <w:b/>
          <w:noProof/>
        </w:rPr>
        <w:t>27</w:t>
      </w:r>
      <w:r w:rsidRPr="00330CF1">
        <w:rPr>
          <w:rFonts w:ascii="Arial" w:hAnsi="Arial" w:cs="Arial"/>
          <w:noProof/>
        </w:rPr>
        <w:t>(5): p. 335-339.</w:t>
      </w:r>
      <w:bookmarkEnd w:id="235"/>
    </w:p>
    <w:p w:rsidR="00330CF1" w:rsidRPr="00330CF1" w:rsidRDefault="00330CF1" w:rsidP="0009286C">
      <w:pPr>
        <w:ind w:left="720" w:hanging="720"/>
        <w:rPr>
          <w:rFonts w:ascii="Arial" w:hAnsi="Arial" w:cs="Arial"/>
          <w:noProof/>
        </w:rPr>
      </w:pPr>
      <w:bookmarkStart w:id="236" w:name="_ENREF_175"/>
      <w:r w:rsidRPr="00330CF1">
        <w:rPr>
          <w:rFonts w:ascii="Arial" w:hAnsi="Arial" w:cs="Arial"/>
          <w:noProof/>
        </w:rPr>
        <w:t>175.</w:t>
      </w:r>
      <w:r w:rsidRPr="00330CF1">
        <w:rPr>
          <w:rFonts w:ascii="Arial" w:hAnsi="Arial" w:cs="Arial"/>
          <w:noProof/>
        </w:rPr>
        <w:tab/>
        <w:t xml:space="preserve">Hill, S.L., et al., </w:t>
      </w:r>
      <w:r w:rsidRPr="00330CF1">
        <w:rPr>
          <w:rFonts w:ascii="Arial" w:hAnsi="Arial" w:cs="Arial"/>
          <w:i/>
          <w:noProof/>
        </w:rPr>
        <w:t>Prevalence of enteric zoonotic organisms in cats.</w:t>
      </w:r>
      <w:r w:rsidRPr="00330CF1">
        <w:rPr>
          <w:rFonts w:ascii="Arial" w:hAnsi="Arial" w:cs="Arial"/>
          <w:noProof/>
        </w:rPr>
        <w:t xml:space="preserve"> Journal of the American Veterinary Medical Association, 2000. </w:t>
      </w:r>
      <w:r w:rsidRPr="00330CF1">
        <w:rPr>
          <w:rFonts w:ascii="Arial" w:hAnsi="Arial" w:cs="Arial"/>
          <w:b/>
          <w:noProof/>
        </w:rPr>
        <w:t>216</w:t>
      </w:r>
      <w:r w:rsidRPr="00330CF1">
        <w:rPr>
          <w:rFonts w:ascii="Arial" w:hAnsi="Arial" w:cs="Arial"/>
          <w:noProof/>
        </w:rPr>
        <w:t>(5): p. 687-692.</w:t>
      </w:r>
      <w:bookmarkEnd w:id="236"/>
    </w:p>
    <w:p w:rsidR="00330CF1" w:rsidRPr="00330CF1" w:rsidRDefault="00330CF1" w:rsidP="0009286C">
      <w:pPr>
        <w:ind w:left="720" w:hanging="720"/>
        <w:rPr>
          <w:rFonts w:ascii="Arial" w:hAnsi="Arial" w:cs="Arial"/>
          <w:noProof/>
        </w:rPr>
      </w:pPr>
      <w:bookmarkStart w:id="237" w:name="_ENREF_176"/>
      <w:r w:rsidRPr="00330CF1">
        <w:rPr>
          <w:rFonts w:ascii="Arial" w:hAnsi="Arial" w:cs="Arial"/>
          <w:noProof/>
        </w:rPr>
        <w:t>176.</w:t>
      </w:r>
      <w:r w:rsidRPr="00330CF1">
        <w:rPr>
          <w:rFonts w:ascii="Arial" w:hAnsi="Arial" w:cs="Arial"/>
          <w:noProof/>
        </w:rPr>
        <w:tab/>
        <w:t xml:space="preserve">Chalmers, R.M., et al., </w:t>
      </w:r>
      <w:r w:rsidRPr="00330CF1">
        <w:rPr>
          <w:rFonts w:ascii="Arial" w:hAnsi="Arial" w:cs="Arial"/>
          <w:i/>
          <w:noProof/>
        </w:rPr>
        <w:t>The prevalence of Cryptosporidium parvum and C-muris in Mus domesticus, Apodemus sylvaticus and Clethrionomys glareolus in an agricultural system.</w:t>
      </w:r>
      <w:r w:rsidRPr="00330CF1">
        <w:rPr>
          <w:rFonts w:ascii="Arial" w:hAnsi="Arial" w:cs="Arial"/>
          <w:noProof/>
        </w:rPr>
        <w:t xml:space="preserve"> Parasitology Research, 1997. </w:t>
      </w:r>
      <w:r w:rsidRPr="00330CF1">
        <w:rPr>
          <w:rFonts w:ascii="Arial" w:hAnsi="Arial" w:cs="Arial"/>
          <w:b/>
          <w:noProof/>
        </w:rPr>
        <w:t>83</w:t>
      </w:r>
      <w:r w:rsidRPr="00330CF1">
        <w:rPr>
          <w:rFonts w:ascii="Arial" w:hAnsi="Arial" w:cs="Arial"/>
          <w:noProof/>
        </w:rPr>
        <w:t>(5): p. 478-482.</w:t>
      </w:r>
      <w:bookmarkEnd w:id="237"/>
    </w:p>
    <w:p w:rsidR="00330CF1" w:rsidRPr="00330CF1" w:rsidRDefault="00330CF1" w:rsidP="0009286C">
      <w:pPr>
        <w:ind w:left="720" w:hanging="720"/>
        <w:rPr>
          <w:rFonts w:ascii="Arial" w:hAnsi="Arial" w:cs="Arial"/>
          <w:noProof/>
        </w:rPr>
      </w:pPr>
      <w:bookmarkStart w:id="238" w:name="_ENREF_177"/>
      <w:r w:rsidRPr="00330CF1">
        <w:rPr>
          <w:rFonts w:ascii="Arial" w:hAnsi="Arial" w:cs="Arial"/>
          <w:noProof/>
        </w:rPr>
        <w:t>177.</w:t>
      </w:r>
      <w:r w:rsidRPr="00330CF1">
        <w:rPr>
          <w:rFonts w:ascii="Arial" w:hAnsi="Arial" w:cs="Arial"/>
          <w:noProof/>
        </w:rPr>
        <w:tab/>
        <w:t xml:space="preserve">Graczyk, T.K., et al., </w:t>
      </w:r>
      <w:r w:rsidRPr="00330CF1">
        <w:rPr>
          <w:rFonts w:ascii="Arial" w:hAnsi="Arial" w:cs="Arial"/>
          <w:i/>
          <w:noProof/>
        </w:rPr>
        <w:t>Giardia sp. cysts and infectious Cryptosporidium parvum oocysts in the feces of migratory Canada geese (Branta canadensis).</w:t>
      </w:r>
      <w:r w:rsidRPr="00330CF1">
        <w:rPr>
          <w:rFonts w:ascii="Arial" w:hAnsi="Arial" w:cs="Arial"/>
          <w:noProof/>
        </w:rPr>
        <w:t xml:space="preserve"> Applied and Environmental Microbiology, 1998. </w:t>
      </w:r>
      <w:r w:rsidRPr="00330CF1">
        <w:rPr>
          <w:rFonts w:ascii="Arial" w:hAnsi="Arial" w:cs="Arial"/>
          <w:b/>
          <w:noProof/>
        </w:rPr>
        <w:t>64</w:t>
      </w:r>
      <w:r w:rsidRPr="00330CF1">
        <w:rPr>
          <w:rFonts w:ascii="Arial" w:hAnsi="Arial" w:cs="Arial"/>
          <w:noProof/>
        </w:rPr>
        <w:t>(7): p. 2736-2738.</w:t>
      </w:r>
      <w:bookmarkEnd w:id="238"/>
    </w:p>
    <w:p w:rsidR="00330CF1" w:rsidRPr="00330CF1" w:rsidRDefault="00330CF1" w:rsidP="0009286C">
      <w:pPr>
        <w:ind w:left="720" w:hanging="720"/>
        <w:rPr>
          <w:rFonts w:ascii="Arial" w:hAnsi="Arial" w:cs="Arial"/>
          <w:noProof/>
        </w:rPr>
      </w:pPr>
      <w:bookmarkStart w:id="239" w:name="_ENREF_178"/>
      <w:r w:rsidRPr="00330CF1">
        <w:rPr>
          <w:rFonts w:ascii="Arial" w:hAnsi="Arial" w:cs="Arial"/>
          <w:noProof/>
        </w:rPr>
        <w:t>178.</w:t>
      </w:r>
      <w:r w:rsidRPr="00330CF1">
        <w:rPr>
          <w:rFonts w:ascii="Arial" w:hAnsi="Arial" w:cs="Arial"/>
          <w:noProof/>
        </w:rPr>
        <w:tab/>
        <w:t xml:space="preserve">Many, A. and G. Koren, </w:t>
      </w:r>
      <w:r w:rsidRPr="00330CF1">
        <w:rPr>
          <w:rFonts w:ascii="Arial" w:hAnsi="Arial" w:cs="Arial"/>
          <w:i/>
          <w:noProof/>
        </w:rPr>
        <w:t>Motherisk update - Toxoplasmosis during pregnancy.</w:t>
      </w:r>
      <w:r w:rsidRPr="00330CF1">
        <w:rPr>
          <w:rFonts w:ascii="Arial" w:hAnsi="Arial" w:cs="Arial"/>
          <w:noProof/>
        </w:rPr>
        <w:t xml:space="preserve"> Canadian Family Physician, 2006. </w:t>
      </w:r>
      <w:r w:rsidRPr="00330CF1">
        <w:rPr>
          <w:rFonts w:ascii="Arial" w:hAnsi="Arial" w:cs="Arial"/>
          <w:b/>
          <w:noProof/>
        </w:rPr>
        <w:t>52</w:t>
      </w:r>
      <w:r w:rsidRPr="00330CF1">
        <w:rPr>
          <w:rFonts w:ascii="Arial" w:hAnsi="Arial" w:cs="Arial"/>
          <w:noProof/>
        </w:rPr>
        <w:t>: p. 29-30.</w:t>
      </w:r>
      <w:bookmarkEnd w:id="239"/>
    </w:p>
    <w:p w:rsidR="00330CF1" w:rsidRPr="00330CF1" w:rsidRDefault="00330CF1" w:rsidP="0009286C">
      <w:pPr>
        <w:ind w:left="720" w:hanging="720"/>
        <w:rPr>
          <w:rFonts w:ascii="Arial" w:hAnsi="Arial" w:cs="Arial"/>
          <w:noProof/>
        </w:rPr>
      </w:pPr>
      <w:bookmarkStart w:id="240" w:name="_ENREF_179"/>
      <w:r w:rsidRPr="00330CF1">
        <w:rPr>
          <w:rFonts w:ascii="Arial" w:hAnsi="Arial" w:cs="Arial"/>
          <w:noProof/>
        </w:rPr>
        <w:t>179.</w:t>
      </w:r>
      <w:r w:rsidRPr="00330CF1">
        <w:rPr>
          <w:rFonts w:ascii="Arial" w:hAnsi="Arial" w:cs="Arial"/>
          <w:noProof/>
        </w:rPr>
        <w:tab/>
        <w:t xml:space="preserve">Lopes, A.P., L. Cardoso, and M. Rodrigues, </w:t>
      </w:r>
      <w:r w:rsidRPr="00330CF1">
        <w:rPr>
          <w:rFonts w:ascii="Arial" w:hAnsi="Arial" w:cs="Arial"/>
          <w:i/>
          <w:noProof/>
        </w:rPr>
        <w:t>Serological survey of Toxoplasma gondii infection in domestic cats from northeastern Portugal.</w:t>
      </w:r>
      <w:r w:rsidRPr="00330CF1">
        <w:rPr>
          <w:rFonts w:ascii="Arial" w:hAnsi="Arial" w:cs="Arial"/>
          <w:noProof/>
        </w:rPr>
        <w:t xml:space="preserve"> Veterinary Parasitology, 2008. </w:t>
      </w:r>
      <w:r w:rsidRPr="00330CF1">
        <w:rPr>
          <w:rFonts w:ascii="Arial" w:hAnsi="Arial" w:cs="Arial"/>
          <w:b/>
          <w:noProof/>
        </w:rPr>
        <w:t>155</w:t>
      </w:r>
      <w:r w:rsidRPr="00330CF1">
        <w:rPr>
          <w:rFonts w:ascii="Arial" w:hAnsi="Arial" w:cs="Arial"/>
          <w:noProof/>
        </w:rPr>
        <w:t>(3-4): p. 184-189.</w:t>
      </w:r>
      <w:bookmarkEnd w:id="240"/>
    </w:p>
    <w:p w:rsidR="00330CF1" w:rsidRPr="00330CF1" w:rsidRDefault="00330CF1" w:rsidP="0009286C">
      <w:pPr>
        <w:ind w:left="720" w:hanging="720"/>
        <w:rPr>
          <w:rFonts w:ascii="Arial" w:hAnsi="Arial" w:cs="Arial"/>
          <w:noProof/>
        </w:rPr>
      </w:pPr>
      <w:bookmarkStart w:id="241" w:name="_ENREF_180"/>
      <w:r w:rsidRPr="00330CF1">
        <w:rPr>
          <w:rFonts w:ascii="Arial" w:hAnsi="Arial" w:cs="Arial"/>
          <w:noProof/>
        </w:rPr>
        <w:t>180.</w:t>
      </w:r>
      <w:r w:rsidRPr="00330CF1">
        <w:rPr>
          <w:rFonts w:ascii="Arial" w:hAnsi="Arial" w:cs="Arial"/>
          <w:noProof/>
        </w:rPr>
        <w:tab/>
        <w:t xml:space="preserve">Slifko, T.R., H.V. Smith, and J.B. Rose, </w:t>
      </w:r>
      <w:r w:rsidRPr="00330CF1">
        <w:rPr>
          <w:rFonts w:ascii="Arial" w:hAnsi="Arial" w:cs="Arial"/>
          <w:i/>
          <w:noProof/>
        </w:rPr>
        <w:t>Emerging parasite zoonoses associated with water and food.</w:t>
      </w:r>
      <w:r w:rsidRPr="00330CF1">
        <w:rPr>
          <w:rFonts w:ascii="Arial" w:hAnsi="Arial" w:cs="Arial"/>
          <w:noProof/>
        </w:rPr>
        <w:t xml:space="preserve"> International Journal for Parasitology, 2000. </w:t>
      </w:r>
      <w:r w:rsidRPr="00330CF1">
        <w:rPr>
          <w:rFonts w:ascii="Arial" w:hAnsi="Arial" w:cs="Arial"/>
          <w:b/>
          <w:noProof/>
        </w:rPr>
        <w:t>30</w:t>
      </w:r>
      <w:r w:rsidRPr="00330CF1">
        <w:rPr>
          <w:rFonts w:ascii="Arial" w:hAnsi="Arial" w:cs="Arial"/>
          <w:noProof/>
        </w:rPr>
        <w:t>(12-13): p. 1379-1393.</w:t>
      </w:r>
      <w:bookmarkEnd w:id="241"/>
    </w:p>
    <w:p w:rsidR="00330CF1" w:rsidRPr="00330CF1" w:rsidRDefault="00330CF1" w:rsidP="0009286C">
      <w:pPr>
        <w:ind w:left="720" w:hanging="720"/>
        <w:rPr>
          <w:rFonts w:ascii="Arial" w:hAnsi="Arial" w:cs="Arial"/>
          <w:noProof/>
        </w:rPr>
      </w:pPr>
      <w:bookmarkStart w:id="242" w:name="_ENREF_181"/>
      <w:r w:rsidRPr="00330CF1">
        <w:rPr>
          <w:rFonts w:ascii="Arial" w:hAnsi="Arial" w:cs="Arial"/>
          <w:noProof/>
        </w:rPr>
        <w:t>181.</w:t>
      </w:r>
      <w:r w:rsidRPr="00330CF1">
        <w:rPr>
          <w:rFonts w:ascii="Arial" w:hAnsi="Arial" w:cs="Arial"/>
          <w:noProof/>
        </w:rPr>
        <w:tab/>
        <w:t xml:space="preserve">Bowman, D.D., </w:t>
      </w:r>
      <w:r w:rsidRPr="00330CF1">
        <w:rPr>
          <w:rFonts w:ascii="Arial" w:hAnsi="Arial" w:cs="Arial"/>
          <w:i/>
          <w:noProof/>
        </w:rPr>
        <w:t>Helminths</w:t>
      </w:r>
      <w:r w:rsidRPr="00330CF1">
        <w:rPr>
          <w:rFonts w:ascii="Arial" w:hAnsi="Arial" w:cs="Arial"/>
          <w:noProof/>
        </w:rPr>
        <w:t xml:space="preserve">, in </w:t>
      </w:r>
      <w:r w:rsidRPr="00330CF1">
        <w:rPr>
          <w:rFonts w:ascii="Arial" w:hAnsi="Arial" w:cs="Arial"/>
          <w:i/>
          <w:noProof/>
        </w:rPr>
        <w:t>Georgis' Parasitology for Veterinarians</w:t>
      </w:r>
      <w:r w:rsidRPr="00330CF1">
        <w:rPr>
          <w:rFonts w:ascii="Arial" w:hAnsi="Arial" w:cs="Arial"/>
          <w:noProof/>
        </w:rPr>
        <w:t>, D.D. Bowman, Editor 2009, Saunders Elsevier: St. Louis. p. 222-223.</w:t>
      </w:r>
      <w:bookmarkEnd w:id="242"/>
    </w:p>
    <w:p w:rsidR="00330CF1" w:rsidRPr="00330CF1" w:rsidRDefault="00330CF1" w:rsidP="0009286C">
      <w:pPr>
        <w:ind w:left="720" w:hanging="720"/>
        <w:rPr>
          <w:rFonts w:ascii="Arial" w:hAnsi="Arial" w:cs="Arial"/>
          <w:noProof/>
        </w:rPr>
      </w:pPr>
      <w:bookmarkStart w:id="243" w:name="_ENREF_182"/>
      <w:r w:rsidRPr="00330CF1">
        <w:rPr>
          <w:rFonts w:ascii="Arial" w:hAnsi="Arial" w:cs="Arial"/>
          <w:noProof/>
        </w:rPr>
        <w:t>182.</w:t>
      </w:r>
      <w:r w:rsidRPr="00330CF1">
        <w:rPr>
          <w:rFonts w:ascii="Arial" w:hAnsi="Arial" w:cs="Arial"/>
          <w:noProof/>
        </w:rPr>
        <w:tab/>
        <w:t xml:space="preserve">Clyde, V.L., E.C. Ramsay, and D.A. Bemis, </w:t>
      </w:r>
      <w:r w:rsidRPr="00330CF1">
        <w:rPr>
          <w:rFonts w:ascii="Arial" w:hAnsi="Arial" w:cs="Arial"/>
          <w:i/>
          <w:noProof/>
        </w:rPr>
        <w:t>Fecal shedding of Salmonella in exotic felids.</w:t>
      </w:r>
      <w:r w:rsidRPr="00330CF1">
        <w:rPr>
          <w:rFonts w:ascii="Arial" w:hAnsi="Arial" w:cs="Arial"/>
          <w:noProof/>
        </w:rPr>
        <w:t xml:space="preserve"> Journal of Zoo and Wildlife Medicine, 1997. </w:t>
      </w:r>
      <w:r w:rsidRPr="00330CF1">
        <w:rPr>
          <w:rFonts w:ascii="Arial" w:hAnsi="Arial" w:cs="Arial"/>
          <w:b/>
          <w:noProof/>
        </w:rPr>
        <w:t>28</w:t>
      </w:r>
      <w:r w:rsidRPr="00330CF1">
        <w:rPr>
          <w:rFonts w:ascii="Arial" w:hAnsi="Arial" w:cs="Arial"/>
          <w:noProof/>
        </w:rPr>
        <w:t>(2): p. 148-152.</w:t>
      </w:r>
      <w:bookmarkEnd w:id="243"/>
    </w:p>
    <w:p w:rsidR="00330CF1" w:rsidRPr="00330CF1" w:rsidRDefault="00330CF1" w:rsidP="0009286C">
      <w:pPr>
        <w:ind w:left="720" w:hanging="720"/>
        <w:rPr>
          <w:rFonts w:ascii="Arial" w:hAnsi="Arial" w:cs="Arial"/>
          <w:noProof/>
        </w:rPr>
      </w:pPr>
      <w:bookmarkStart w:id="244" w:name="_ENREF_183"/>
      <w:r w:rsidRPr="00330CF1">
        <w:rPr>
          <w:rFonts w:ascii="Arial" w:hAnsi="Arial" w:cs="Arial"/>
          <w:noProof/>
        </w:rPr>
        <w:lastRenderedPageBreak/>
        <w:t>183.</w:t>
      </w:r>
      <w:r w:rsidRPr="00330CF1">
        <w:rPr>
          <w:rFonts w:ascii="Arial" w:hAnsi="Arial" w:cs="Arial"/>
          <w:noProof/>
        </w:rPr>
        <w:tab/>
        <w:t xml:space="preserve">Stiver, S.L., et al., </w:t>
      </w:r>
      <w:r w:rsidRPr="00330CF1">
        <w:rPr>
          <w:rFonts w:ascii="Arial" w:hAnsi="Arial" w:cs="Arial"/>
          <w:i/>
          <w:noProof/>
        </w:rPr>
        <w:t>Septicemic Salmonellosis in Two Cats Fed A Raw-Meat Diet.</w:t>
      </w:r>
      <w:r w:rsidRPr="00330CF1">
        <w:rPr>
          <w:rFonts w:ascii="Arial" w:hAnsi="Arial" w:cs="Arial"/>
          <w:noProof/>
        </w:rPr>
        <w:t xml:space="preserve"> Journal of the American Animal Hospital Association, 2003. </w:t>
      </w:r>
      <w:r w:rsidRPr="00330CF1">
        <w:rPr>
          <w:rFonts w:ascii="Arial" w:hAnsi="Arial" w:cs="Arial"/>
          <w:b/>
          <w:noProof/>
        </w:rPr>
        <w:t>39</w:t>
      </w:r>
      <w:r w:rsidRPr="00330CF1">
        <w:rPr>
          <w:rFonts w:ascii="Arial" w:hAnsi="Arial" w:cs="Arial"/>
          <w:noProof/>
        </w:rPr>
        <w:t>: p. 538-542.</w:t>
      </w:r>
      <w:bookmarkEnd w:id="244"/>
    </w:p>
    <w:p w:rsidR="00330CF1" w:rsidRPr="00330CF1" w:rsidRDefault="00330CF1" w:rsidP="0009286C">
      <w:pPr>
        <w:ind w:left="720" w:hanging="720"/>
        <w:rPr>
          <w:rFonts w:ascii="Arial" w:hAnsi="Arial" w:cs="Arial"/>
          <w:noProof/>
        </w:rPr>
      </w:pPr>
      <w:bookmarkStart w:id="245" w:name="_ENREF_184"/>
      <w:r w:rsidRPr="00330CF1">
        <w:rPr>
          <w:rFonts w:ascii="Arial" w:hAnsi="Arial" w:cs="Arial"/>
          <w:noProof/>
        </w:rPr>
        <w:t>184.</w:t>
      </w:r>
      <w:r w:rsidRPr="00330CF1">
        <w:rPr>
          <w:rFonts w:ascii="Arial" w:hAnsi="Arial" w:cs="Arial"/>
          <w:noProof/>
        </w:rPr>
        <w:tab/>
        <w:t xml:space="preserve">Shimi, A. and A. Barin, </w:t>
      </w:r>
      <w:r w:rsidRPr="00330CF1">
        <w:rPr>
          <w:rFonts w:ascii="Arial" w:hAnsi="Arial" w:cs="Arial"/>
          <w:i/>
          <w:noProof/>
        </w:rPr>
        <w:t>Salmonella in cats.</w:t>
      </w:r>
      <w:r w:rsidRPr="00330CF1">
        <w:rPr>
          <w:rFonts w:ascii="Arial" w:hAnsi="Arial" w:cs="Arial"/>
          <w:noProof/>
        </w:rPr>
        <w:t xml:space="preserve"> Journal of Comparative Pathology, 1977. </w:t>
      </w:r>
      <w:r w:rsidRPr="00330CF1">
        <w:rPr>
          <w:rFonts w:ascii="Arial" w:hAnsi="Arial" w:cs="Arial"/>
          <w:b/>
          <w:noProof/>
        </w:rPr>
        <w:t>87</w:t>
      </w:r>
      <w:r w:rsidRPr="00330CF1">
        <w:rPr>
          <w:rFonts w:ascii="Arial" w:hAnsi="Arial" w:cs="Arial"/>
          <w:noProof/>
        </w:rPr>
        <w:t>(2): p. 315-318.</w:t>
      </w:r>
      <w:bookmarkEnd w:id="245"/>
    </w:p>
    <w:p w:rsidR="00330CF1" w:rsidRPr="00330CF1" w:rsidRDefault="00330CF1" w:rsidP="0009286C">
      <w:pPr>
        <w:ind w:left="720" w:hanging="720"/>
        <w:rPr>
          <w:rFonts w:ascii="Arial" w:hAnsi="Arial" w:cs="Arial"/>
          <w:noProof/>
        </w:rPr>
      </w:pPr>
      <w:bookmarkStart w:id="246" w:name="_ENREF_185"/>
      <w:r w:rsidRPr="00330CF1">
        <w:rPr>
          <w:rFonts w:ascii="Arial" w:hAnsi="Arial" w:cs="Arial"/>
          <w:noProof/>
        </w:rPr>
        <w:t>185.</w:t>
      </w:r>
      <w:r w:rsidRPr="00330CF1">
        <w:rPr>
          <w:rFonts w:ascii="Arial" w:hAnsi="Arial" w:cs="Arial"/>
          <w:noProof/>
        </w:rPr>
        <w:tab/>
        <w:t xml:space="preserve">Timoney, J.F., </w:t>
      </w:r>
      <w:r w:rsidRPr="00330CF1">
        <w:rPr>
          <w:rFonts w:ascii="Arial" w:hAnsi="Arial" w:cs="Arial"/>
          <w:i/>
          <w:noProof/>
        </w:rPr>
        <w:t>Feline Salmonellosis.</w:t>
      </w:r>
      <w:r w:rsidRPr="00330CF1">
        <w:rPr>
          <w:rFonts w:ascii="Arial" w:hAnsi="Arial" w:cs="Arial"/>
          <w:noProof/>
        </w:rPr>
        <w:t xml:space="preserve"> Veterinary Clinics of North America, Small Animal Practice, 1976. </w:t>
      </w:r>
      <w:r w:rsidRPr="00330CF1">
        <w:rPr>
          <w:rFonts w:ascii="Arial" w:hAnsi="Arial" w:cs="Arial"/>
          <w:b/>
          <w:noProof/>
        </w:rPr>
        <w:t>6</w:t>
      </w:r>
      <w:r w:rsidRPr="00330CF1">
        <w:rPr>
          <w:rFonts w:ascii="Arial" w:hAnsi="Arial" w:cs="Arial"/>
          <w:noProof/>
        </w:rPr>
        <w:t>(3): p. 395-398.</w:t>
      </w:r>
      <w:bookmarkEnd w:id="246"/>
    </w:p>
    <w:p w:rsidR="00330CF1" w:rsidRPr="00330CF1" w:rsidRDefault="00330CF1" w:rsidP="0009286C">
      <w:pPr>
        <w:ind w:left="720" w:hanging="720"/>
        <w:rPr>
          <w:rFonts w:ascii="Arial" w:hAnsi="Arial" w:cs="Arial"/>
          <w:noProof/>
        </w:rPr>
      </w:pPr>
      <w:bookmarkStart w:id="247" w:name="_ENREF_186"/>
      <w:r w:rsidRPr="00330CF1">
        <w:rPr>
          <w:rFonts w:ascii="Arial" w:hAnsi="Arial" w:cs="Arial"/>
          <w:noProof/>
        </w:rPr>
        <w:t>186.</w:t>
      </w:r>
      <w:r w:rsidRPr="00330CF1">
        <w:rPr>
          <w:rFonts w:ascii="Arial" w:hAnsi="Arial" w:cs="Arial"/>
          <w:noProof/>
        </w:rPr>
        <w:tab/>
        <w:t xml:space="preserve">Foley, J.E., et al., </w:t>
      </w:r>
      <w:r w:rsidRPr="00330CF1">
        <w:rPr>
          <w:rFonts w:ascii="Arial" w:hAnsi="Arial" w:cs="Arial"/>
          <w:i/>
          <w:noProof/>
        </w:rPr>
        <w:t>Outbreak of fatal salmonellosis in cats following use of a high-titer modified-live panleukopenia virus vaccine.</w:t>
      </w:r>
      <w:r w:rsidRPr="00330CF1">
        <w:rPr>
          <w:rFonts w:ascii="Arial" w:hAnsi="Arial" w:cs="Arial"/>
          <w:noProof/>
        </w:rPr>
        <w:t xml:space="preserve"> Journal of the American Veterinary Medical Association, 1999. </w:t>
      </w:r>
      <w:r w:rsidRPr="00330CF1">
        <w:rPr>
          <w:rFonts w:ascii="Arial" w:hAnsi="Arial" w:cs="Arial"/>
          <w:b/>
          <w:noProof/>
        </w:rPr>
        <w:t>214</w:t>
      </w:r>
      <w:r w:rsidRPr="00330CF1">
        <w:rPr>
          <w:rFonts w:ascii="Arial" w:hAnsi="Arial" w:cs="Arial"/>
          <w:noProof/>
        </w:rPr>
        <w:t>(1): p. 67-70.</w:t>
      </w:r>
      <w:bookmarkEnd w:id="247"/>
    </w:p>
    <w:p w:rsidR="00330CF1" w:rsidRPr="00330CF1" w:rsidRDefault="00330CF1" w:rsidP="0009286C">
      <w:pPr>
        <w:ind w:left="720" w:hanging="720"/>
        <w:rPr>
          <w:rFonts w:ascii="Arial" w:hAnsi="Arial" w:cs="Arial"/>
          <w:noProof/>
        </w:rPr>
      </w:pPr>
      <w:bookmarkStart w:id="248" w:name="_ENREF_187"/>
      <w:r w:rsidRPr="00330CF1">
        <w:rPr>
          <w:rFonts w:ascii="Arial" w:hAnsi="Arial" w:cs="Arial"/>
          <w:noProof/>
        </w:rPr>
        <w:t>187.</w:t>
      </w:r>
      <w:r w:rsidRPr="00330CF1">
        <w:rPr>
          <w:rFonts w:ascii="Arial" w:hAnsi="Arial" w:cs="Arial"/>
          <w:noProof/>
        </w:rPr>
        <w:tab/>
        <w:t xml:space="preserve">Reilly, G.A.C., et al., </w:t>
      </w:r>
      <w:r w:rsidRPr="00330CF1">
        <w:rPr>
          <w:rFonts w:ascii="Arial" w:hAnsi="Arial" w:cs="Arial"/>
          <w:i/>
          <w:noProof/>
        </w:rPr>
        <w:t>Feline stillbirths associated with mixed Salmonella-typhimurium and Leptospira infection. .</w:t>
      </w:r>
      <w:r w:rsidRPr="00330CF1">
        <w:rPr>
          <w:rFonts w:ascii="Arial" w:hAnsi="Arial" w:cs="Arial"/>
          <w:noProof/>
        </w:rPr>
        <w:t xml:space="preserve"> Veterinary Record, 1994. </w:t>
      </w:r>
      <w:r w:rsidRPr="00330CF1">
        <w:rPr>
          <w:rFonts w:ascii="Arial" w:hAnsi="Arial" w:cs="Arial"/>
          <w:b/>
          <w:noProof/>
        </w:rPr>
        <w:t>135</w:t>
      </w:r>
      <w:r w:rsidRPr="00330CF1">
        <w:rPr>
          <w:rFonts w:ascii="Arial" w:hAnsi="Arial" w:cs="Arial"/>
          <w:noProof/>
        </w:rPr>
        <w:t>(25): p. 608.</w:t>
      </w:r>
      <w:bookmarkEnd w:id="248"/>
    </w:p>
    <w:p w:rsidR="00330CF1" w:rsidRPr="00330CF1" w:rsidRDefault="00330CF1" w:rsidP="0009286C">
      <w:pPr>
        <w:ind w:left="720" w:hanging="720"/>
        <w:rPr>
          <w:rFonts w:ascii="Arial" w:hAnsi="Arial" w:cs="Arial"/>
          <w:noProof/>
        </w:rPr>
      </w:pPr>
      <w:bookmarkStart w:id="249" w:name="_ENREF_188"/>
      <w:r w:rsidRPr="00330CF1">
        <w:rPr>
          <w:rFonts w:ascii="Arial" w:hAnsi="Arial" w:cs="Arial"/>
          <w:noProof/>
        </w:rPr>
        <w:t>188.</w:t>
      </w:r>
      <w:r w:rsidRPr="00330CF1">
        <w:rPr>
          <w:rFonts w:ascii="Arial" w:hAnsi="Arial" w:cs="Arial"/>
          <w:noProof/>
        </w:rPr>
        <w:tab/>
        <w:t xml:space="preserve">Rodriguez, C.O., M.L. Moon, and M.S. Leib, </w:t>
      </w:r>
      <w:r w:rsidRPr="00330CF1">
        <w:rPr>
          <w:rFonts w:ascii="Arial" w:hAnsi="Arial" w:cs="Arial"/>
          <w:i/>
          <w:noProof/>
        </w:rPr>
        <w:t>Salmonella-choleraesuis penumonia in a cat without signs of gastrointestinal-tract disease. .</w:t>
      </w:r>
      <w:r w:rsidRPr="00330CF1">
        <w:rPr>
          <w:rFonts w:ascii="Arial" w:hAnsi="Arial" w:cs="Arial"/>
          <w:noProof/>
        </w:rPr>
        <w:t xml:space="preserve"> Journal of the American Veterinary Medical Association, 1993. </w:t>
      </w:r>
      <w:r w:rsidRPr="00330CF1">
        <w:rPr>
          <w:rFonts w:ascii="Arial" w:hAnsi="Arial" w:cs="Arial"/>
          <w:b/>
          <w:noProof/>
        </w:rPr>
        <w:t>202</w:t>
      </w:r>
      <w:r w:rsidRPr="00330CF1">
        <w:rPr>
          <w:rFonts w:ascii="Arial" w:hAnsi="Arial" w:cs="Arial"/>
          <w:noProof/>
        </w:rPr>
        <w:t>(6): p. 953-955.</w:t>
      </w:r>
      <w:bookmarkEnd w:id="249"/>
    </w:p>
    <w:p w:rsidR="00330CF1" w:rsidRPr="00330CF1" w:rsidRDefault="00330CF1" w:rsidP="0009286C">
      <w:pPr>
        <w:ind w:left="720" w:hanging="720"/>
        <w:rPr>
          <w:rFonts w:ascii="Arial" w:hAnsi="Arial" w:cs="Arial"/>
          <w:noProof/>
        </w:rPr>
      </w:pPr>
      <w:bookmarkStart w:id="250" w:name="_ENREF_189"/>
      <w:r w:rsidRPr="00330CF1">
        <w:rPr>
          <w:rFonts w:ascii="Arial" w:hAnsi="Arial" w:cs="Arial"/>
          <w:noProof/>
        </w:rPr>
        <w:t>189.</w:t>
      </w:r>
      <w:r w:rsidRPr="00330CF1">
        <w:rPr>
          <w:rFonts w:ascii="Arial" w:hAnsi="Arial" w:cs="Arial"/>
          <w:noProof/>
        </w:rPr>
        <w:tab/>
        <w:t xml:space="preserve">Dow, S.W., et al., </w:t>
      </w:r>
      <w:r w:rsidRPr="00330CF1">
        <w:rPr>
          <w:rFonts w:ascii="Arial" w:hAnsi="Arial" w:cs="Arial"/>
          <w:i/>
          <w:noProof/>
        </w:rPr>
        <w:t>Clinical-features of salmonellosis in cats - 6 cases (1981-1986). .</w:t>
      </w:r>
      <w:r w:rsidRPr="00330CF1">
        <w:rPr>
          <w:rFonts w:ascii="Arial" w:hAnsi="Arial" w:cs="Arial"/>
          <w:noProof/>
        </w:rPr>
        <w:t xml:space="preserve"> Journal of the American Veterinary Medical Association, 1989. </w:t>
      </w:r>
      <w:r w:rsidRPr="00330CF1">
        <w:rPr>
          <w:rFonts w:ascii="Arial" w:hAnsi="Arial" w:cs="Arial"/>
          <w:b/>
          <w:noProof/>
        </w:rPr>
        <w:t>194</w:t>
      </w:r>
      <w:r w:rsidRPr="00330CF1">
        <w:rPr>
          <w:rFonts w:ascii="Arial" w:hAnsi="Arial" w:cs="Arial"/>
          <w:noProof/>
        </w:rPr>
        <w:t>(10): p. 1464-1466.</w:t>
      </w:r>
      <w:bookmarkEnd w:id="250"/>
    </w:p>
    <w:p w:rsidR="00330CF1" w:rsidRPr="00330CF1" w:rsidRDefault="00330CF1" w:rsidP="0009286C">
      <w:pPr>
        <w:ind w:left="720" w:hanging="720"/>
        <w:rPr>
          <w:rFonts w:ascii="Arial" w:hAnsi="Arial" w:cs="Arial"/>
          <w:noProof/>
        </w:rPr>
      </w:pPr>
      <w:bookmarkStart w:id="251" w:name="_ENREF_190"/>
      <w:r w:rsidRPr="00330CF1">
        <w:rPr>
          <w:rFonts w:ascii="Arial" w:hAnsi="Arial" w:cs="Arial"/>
          <w:noProof/>
        </w:rPr>
        <w:t>190.</w:t>
      </w:r>
      <w:r w:rsidRPr="00330CF1">
        <w:rPr>
          <w:rFonts w:ascii="Arial" w:hAnsi="Arial" w:cs="Arial"/>
          <w:noProof/>
        </w:rPr>
        <w:tab/>
        <w:t xml:space="preserve">Sanchez, S., et al., </w:t>
      </w:r>
      <w:r w:rsidRPr="00330CF1">
        <w:rPr>
          <w:rFonts w:ascii="Arial" w:hAnsi="Arial" w:cs="Arial"/>
          <w:i/>
          <w:noProof/>
        </w:rPr>
        <w:t>Animal sources of salmonellosis in humans.</w:t>
      </w:r>
      <w:r w:rsidRPr="00330CF1">
        <w:rPr>
          <w:rFonts w:ascii="Arial" w:hAnsi="Arial" w:cs="Arial"/>
          <w:noProof/>
        </w:rPr>
        <w:t xml:space="preserve"> Journal of the American Veterinary Medical Association, 2002. </w:t>
      </w:r>
      <w:r w:rsidRPr="00330CF1">
        <w:rPr>
          <w:rFonts w:ascii="Arial" w:hAnsi="Arial" w:cs="Arial"/>
          <w:b/>
          <w:noProof/>
        </w:rPr>
        <w:t>221</w:t>
      </w:r>
      <w:r w:rsidRPr="00330CF1">
        <w:rPr>
          <w:rFonts w:ascii="Arial" w:hAnsi="Arial" w:cs="Arial"/>
          <w:noProof/>
        </w:rPr>
        <w:t>(4): p. 492-497.</w:t>
      </w:r>
      <w:bookmarkEnd w:id="251"/>
    </w:p>
    <w:p w:rsidR="00330CF1" w:rsidRPr="00330CF1" w:rsidRDefault="00330CF1" w:rsidP="0009286C">
      <w:pPr>
        <w:ind w:left="720" w:hanging="720"/>
        <w:rPr>
          <w:rFonts w:ascii="Arial" w:hAnsi="Arial" w:cs="Arial"/>
          <w:noProof/>
        </w:rPr>
      </w:pPr>
      <w:bookmarkStart w:id="252" w:name="_ENREF_191"/>
      <w:r w:rsidRPr="00330CF1">
        <w:rPr>
          <w:rFonts w:ascii="Arial" w:hAnsi="Arial" w:cs="Arial"/>
          <w:noProof/>
        </w:rPr>
        <w:t>191.</w:t>
      </w:r>
      <w:r w:rsidRPr="00330CF1">
        <w:rPr>
          <w:rFonts w:ascii="Arial" w:hAnsi="Arial" w:cs="Arial"/>
          <w:noProof/>
        </w:rPr>
        <w:tab/>
        <w:t xml:space="preserve">Wall, P.G., et al., </w:t>
      </w:r>
      <w:r w:rsidRPr="00330CF1">
        <w:rPr>
          <w:rFonts w:ascii="Arial" w:hAnsi="Arial" w:cs="Arial"/>
          <w:i/>
          <w:noProof/>
        </w:rPr>
        <w:t>Multiresistant Salmonella typhimurium DT104 in cats: A public health risk.</w:t>
      </w:r>
      <w:r w:rsidRPr="00330CF1">
        <w:rPr>
          <w:rFonts w:ascii="Arial" w:hAnsi="Arial" w:cs="Arial"/>
          <w:noProof/>
        </w:rPr>
        <w:t xml:space="preserve"> Lancet, 1996. </w:t>
      </w:r>
      <w:r w:rsidRPr="00330CF1">
        <w:rPr>
          <w:rFonts w:ascii="Arial" w:hAnsi="Arial" w:cs="Arial"/>
          <w:b/>
          <w:noProof/>
        </w:rPr>
        <w:t>348</w:t>
      </w:r>
      <w:r w:rsidRPr="00330CF1">
        <w:rPr>
          <w:rFonts w:ascii="Arial" w:hAnsi="Arial" w:cs="Arial"/>
          <w:noProof/>
        </w:rPr>
        <w:t>(9025): p. 471-471.</w:t>
      </w:r>
      <w:bookmarkEnd w:id="252"/>
    </w:p>
    <w:p w:rsidR="00330CF1" w:rsidRPr="00330CF1" w:rsidRDefault="00330CF1" w:rsidP="0009286C">
      <w:pPr>
        <w:ind w:left="720" w:hanging="720"/>
        <w:rPr>
          <w:rFonts w:ascii="Arial" w:hAnsi="Arial" w:cs="Arial"/>
          <w:noProof/>
        </w:rPr>
      </w:pPr>
      <w:bookmarkStart w:id="253" w:name="_ENREF_192"/>
      <w:r w:rsidRPr="00330CF1">
        <w:rPr>
          <w:rFonts w:ascii="Arial" w:hAnsi="Arial" w:cs="Arial"/>
          <w:noProof/>
        </w:rPr>
        <w:t>192.</w:t>
      </w:r>
      <w:r w:rsidRPr="00330CF1">
        <w:rPr>
          <w:rFonts w:ascii="Arial" w:hAnsi="Arial" w:cs="Arial"/>
          <w:noProof/>
        </w:rPr>
        <w:tab/>
        <w:t xml:space="preserve">Bolton, L.F., et al., </w:t>
      </w:r>
      <w:r w:rsidRPr="00330CF1">
        <w:rPr>
          <w:rFonts w:ascii="Arial" w:hAnsi="Arial" w:cs="Arial"/>
          <w:i/>
          <w:noProof/>
        </w:rPr>
        <w:t>Detection of multidrug-resistant Salmonella enterica serotype typhimurium DT104 based on a gene which confers cross-resistance to florfenicol and chloramphenicol.</w:t>
      </w:r>
      <w:r w:rsidRPr="00330CF1">
        <w:rPr>
          <w:rFonts w:ascii="Arial" w:hAnsi="Arial" w:cs="Arial"/>
          <w:noProof/>
        </w:rPr>
        <w:t xml:space="preserve"> Journal of Clinical Microbiology, 1999. </w:t>
      </w:r>
      <w:r w:rsidRPr="00330CF1">
        <w:rPr>
          <w:rFonts w:ascii="Arial" w:hAnsi="Arial" w:cs="Arial"/>
          <w:b/>
          <w:noProof/>
        </w:rPr>
        <w:t>37</w:t>
      </w:r>
      <w:r w:rsidRPr="00330CF1">
        <w:rPr>
          <w:rFonts w:ascii="Arial" w:hAnsi="Arial" w:cs="Arial"/>
          <w:noProof/>
        </w:rPr>
        <w:t>(5): p. 1348-1351.</w:t>
      </w:r>
      <w:bookmarkEnd w:id="253"/>
    </w:p>
    <w:p w:rsidR="00330CF1" w:rsidRPr="00330CF1" w:rsidRDefault="00330CF1" w:rsidP="0009286C">
      <w:pPr>
        <w:ind w:left="720" w:hanging="720"/>
        <w:rPr>
          <w:rFonts w:ascii="Arial" w:hAnsi="Arial" w:cs="Arial"/>
          <w:noProof/>
        </w:rPr>
      </w:pPr>
      <w:bookmarkStart w:id="254" w:name="_ENREF_193"/>
      <w:r w:rsidRPr="00330CF1">
        <w:rPr>
          <w:rFonts w:ascii="Arial" w:hAnsi="Arial" w:cs="Arial"/>
          <w:noProof/>
        </w:rPr>
        <w:t>193.</w:t>
      </w:r>
      <w:r w:rsidRPr="00330CF1">
        <w:rPr>
          <w:rFonts w:ascii="Arial" w:hAnsi="Arial" w:cs="Arial"/>
          <w:noProof/>
        </w:rPr>
        <w:tab/>
        <w:t xml:space="preserve">Van Immerseel, F., et al., </w:t>
      </w:r>
      <w:r w:rsidRPr="00330CF1">
        <w:rPr>
          <w:rFonts w:ascii="Arial" w:hAnsi="Arial" w:cs="Arial"/>
          <w:i/>
          <w:noProof/>
        </w:rPr>
        <w:t>Cats as a risk for transmission of antimicrobial drug-resistant Salmonella.</w:t>
      </w:r>
      <w:r w:rsidRPr="00330CF1">
        <w:rPr>
          <w:rFonts w:ascii="Arial" w:hAnsi="Arial" w:cs="Arial"/>
          <w:noProof/>
        </w:rPr>
        <w:t xml:space="preserve"> Emerging Infectious Diseases, 2004. </w:t>
      </w:r>
      <w:r w:rsidRPr="00330CF1">
        <w:rPr>
          <w:rFonts w:ascii="Arial" w:hAnsi="Arial" w:cs="Arial"/>
          <w:b/>
          <w:noProof/>
        </w:rPr>
        <w:t>10</w:t>
      </w:r>
      <w:r w:rsidRPr="00330CF1">
        <w:rPr>
          <w:rFonts w:ascii="Arial" w:hAnsi="Arial" w:cs="Arial"/>
          <w:noProof/>
        </w:rPr>
        <w:t>(12): p. 2169-2174.</w:t>
      </w:r>
      <w:bookmarkEnd w:id="254"/>
    </w:p>
    <w:p w:rsidR="00330CF1" w:rsidRPr="00330CF1" w:rsidRDefault="00330CF1" w:rsidP="0009286C">
      <w:pPr>
        <w:ind w:left="720" w:hanging="720"/>
        <w:rPr>
          <w:rFonts w:ascii="Arial" w:hAnsi="Arial" w:cs="Arial"/>
          <w:noProof/>
        </w:rPr>
      </w:pPr>
      <w:bookmarkStart w:id="255" w:name="_ENREF_194"/>
      <w:r w:rsidRPr="00330CF1">
        <w:rPr>
          <w:rFonts w:ascii="Arial" w:hAnsi="Arial" w:cs="Arial"/>
          <w:noProof/>
        </w:rPr>
        <w:t>194.</w:t>
      </w:r>
      <w:r w:rsidRPr="00330CF1">
        <w:rPr>
          <w:rFonts w:ascii="Arial" w:hAnsi="Arial" w:cs="Arial"/>
          <w:noProof/>
        </w:rPr>
        <w:tab/>
        <w:t xml:space="preserve">Wall, P.G., et al., </w:t>
      </w:r>
      <w:r w:rsidRPr="00330CF1">
        <w:rPr>
          <w:rFonts w:ascii="Arial" w:hAnsi="Arial" w:cs="Arial"/>
          <w:i/>
          <w:noProof/>
        </w:rPr>
        <w:t>Chronic carriage of multidrug-resistant Salmonella-typhimurium in a cat.</w:t>
      </w:r>
      <w:r w:rsidRPr="00330CF1">
        <w:rPr>
          <w:rFonts w:ascii="Arial" w:hAnsi="Arial" w:cs="Arial"/>
          <w:noProof/>
        </w:rPr>
        <w:t xml:space="preserve"> Journal of Small Animal Practice, 1995. </w:t>
      </w:r>
      <w:r w:rsidRPr="00330CF1">
        <w:rPr>
          <w:rFonts w:ascii="Arial" w:hAnsi="Arial" w:cs="Arial"/>
          <w:b/>
          <w:noProof/>
        </w:rPr>
        <w:t>36</w:t>
      </w:r>
      <w:r w:rsidRPr="00330CF1">
        <w:rPr>
          <w:rFonts w:ascii="Arial" w:hAnsi="Arial" w:cs="Arial"/>
          <w:noProof/>
        </w:rPr>
        <w:t>(6): p. 279-281.</w:t>
      </w:r>
      <w:bookmarkEnd w:id="255"/>
    </w:p>
    <w:p w:rsidR="00330CF1" w:rsidRPr="00330CF1" w:rsidRDefault="00330CF1" w:rsidP="0009286C">
      <w:pPr>
        <w:ind w:left="720" w:hanging="720"/>
        <w:rPr>
          <w:rFonts w:ascii="Arial" w:hAnsi="Arial" w:cs="Arial"/>
          <w:noProof/>
        </w:rPr>
      </w:pPr>
      <w:bookmarkStart w:id="256" w:name="_ENREF_195"/>
      <w:r w:rsidRPr="00330CF1">
        <w:rPr>
          <w:rFonts w:ascii="Arial" w:hAnsi="Arial" w:cs="Arial"/>
          <w:noProof/>
        </w:rPr>
        <w:t>195.</w:t>
      </w:r>
      <w:r w:rsidRPr="00330CF1">
        <w:rPr>
          <w:rFonts w:ascii="Arial" w:hAnsi="Arial" w:cs="Arial"/>
          <w:noProof/>
        </w:rPr>
        <w:tab/>
        <w:t xml:space="preserve">Beutin, L., </w:t>
      </w:r>
      <w:r w:rsidRPr="00330CF1">
        <w:rPr>
          <w:rFonts w:ascii="Arial" w:hAnsi="Arial" w:cs="Arial"/>
          <w:i/>
          <w:noProof/>
        </w:rPr>
        <w:t>Escherichia coli as a pathogen in dogs and cats.</w:t>
      </w:r>
      <w:r w:rsidRPr="00330CF1">
        <w:rPr>
          <w:rFonts w:ascii="Arial" w:hAnsi="Arial" w:cs="Arial"/>
          <w:noProof/>
        </w:rPr>
        <w:t xml:space="preserve"> Veterinary Research, 1999. </w:t>
      </w:r>
      <w:r w:rsidRPr="00330CF1">
        <w:rPr>
          <w:rFonts w:ascii="Arial" w:hAnsi="Arial" w:cs="Arial"/>
          <w:b/>
          <w:noProof/>
        </w:rPr>
        <w:t>30</w:t>
      </w:r>
      <w:r w:rsidRPr="00330CF1">
        <w:rPr>
          <w:rFonts w:ascii="Arial" w:hAnsi="Arial" w:cs="Arial"/>
          <w:noProof/>
        </w:rPr>
        <w:t>(2-3): p. 285-298.</w:t>
      </w:r>
      <w:bookmarkEnd w:id="256"/>
    </w:p>
    <w:p w:rsidR="00330CF1" w:rsidRPr="00330CF1" w:rsidRDefault="00330CF1" w:rsidP="0009286C">
      <w:pPr>
        <w:ind w:left="720" w:hanging="720"/>
        <w:rPr>
          <w:rFonts w:ascii="Arial" w:hAnsi="Arial" w:cs="Arial"/>
          <w:noProof/>
        </w:rPr>
      </w:pPr>
      <w:bookmarkStart w:id="257" w:name="_ENREF_196"/>
      <w:r w:rsidRPr="00330CF1">
        <w:rPr>
          <w:rFonts w:ascii="Arial" w:hAnsi="Arial" w:cs="Arial"/>
          <w:noProof/>
        </w:rPr>
        <w:t>196.</w:t>
      </w:r>
      <w:r w:rsidRPr="00330CF1">
        <w:rPr>
          <w:rFonts w:ascii="Arial" w:hAnsi="Arial" w:cs="Arial"/>
          <w:noProof/>
        </w:rPr>
        <w:tab/>
        <w:t xml:space="preserve">Simpson, K.W., et al., </w:t>
      </w:r>
      <w:r w:rsidRPr="00330CF1">
        <w:rPr>
          <w:rFonts w:ascii="Arial" w:hAnsi="Arial" w:cs="Arial"/>
          <w:i/>
          <w:noProof/>
        </w:rPr>
        <w:t>Adherent and invasive Escherichia coli is associated with granulomatous colitis in boxer dogs.</w:t>
      </w:r>
      <w:r w:rsidRPr="00330CF1">
        <w:rPr>
          <w:rFonts w:ascii="Arial" w:hAnsi="Arial" w:cs="Arial"/>
          <w:noProof/>
        </w:rPr>
        <w:t xml:space="preserve"> Infection and Immunity, 2006. </w:t>
      </w:r>
      <w:r w:rsidRPr="00330CF1">
        <w:rPr>
          <w:rFonts w:ascii="Arial" w:hAnsi="Arial" w:cs="Arial"/>
          <w:b/>
          <w:noProof/>
        </w:rPr>
        <w:t>74</w:t>
      </w:r>
      <w:r w:rsidRPr="00330CF1">
        <w:rPr>
          <w:rFonts w:ascii="Arial" w:hAnsi="Arial" w:cs="Arial"/>
          <w:noProof/>
        </w:rPr>
        <w:t>(8): p. 4778-4792.</w:t>
      </w:r>
      <w:bookmarkEnd w:id="257"/>
    </w:p>
    <w:p w:rsidR="00330CF1" w:rsidRPr="00330CF1" w:rsidRDefault="00330CF1" w:rsidP="0009286C">
      <w:pPr>
        <w:ind w:left="720" w:hanging="720"/>
        <w:rPr>
          <w:rFonts w:ascii="Arial" w:hAnsi="Arial" w:cs="Arial"/>
          <w:noProof/>
        </w:rPr>
      </w:pPr>
      <w:bookmarkStart w:id="258" w:name="_ENREF_197"/>
      <w:r w:rsidRPr="00330CF1">
        <w:rPr>
          <w:rFonts w:ascii="Arial" w:hAnsi="Arial" w:cs="Arial"/>
          <w:noProof/>
        </w:rPr>
        <w:t>197.</w:t>
      </w:r>
      <w:r w:rsidRPr="00330CF1">
        <w:rPr>
          <w:rFonts w:ascii="Arial" w:hAnsi="Arial" w:cs="Arial"/>
          <w:noProof/>
        </w:rPr>
        <w:tab/>
        <w:t xml:space="preserve">Janeczko, S., et al., </w:t>
      </w:r>
      <w:r w:rsidRPr="00330CF1">
        <w:rPr>
          <w:rFonts w:ascii="Arial" w:hAnsi="Arial" w:cs="Arial"/>
          <w:i/>
          <w:noProof/>
        </w:rPr>
        <w:t>The relationship of mucosal bacteria to duodenal histopathology, cytokine mRNA, and clinical disease activity in cats with inflammatory bowel disease.</w:t>
      </w:r>
      <w:r w:rsidRPr="00330CF1">
        <w:rPr>
          <w:rFonts w:ascii="Arial" w:hAnsi="Arial" w:cs="Arial"/>
          <w:noProof/>
        </w:rPr>
        <w:t xml:space="preserve"> Veterinary Microbiology, 2008. </w:t>
      </w:r>
      <w:r w:rsidRPr="00330CF1">
        <w:rPr>
          <w:rFonts w:ascii="Arial" w:hAnsi="Arial" w:cs="Arial"/>
          <w:b/>
          <w:noProof/>
        </w:rPr>
        <w:t>128</w:t>
      </w:r>
      <w:r w:rsidRPr="00330CF1">
        <w:rPr>
          <w:rFonts w:ascii="Arial" w:hAnsi="Arial" w:cs="Arial"/>
          <w:noProof/>
        </w:rPr>
        <w:t>(1-2): p. 178-193.</w:t>
      </w:r>
      <w:bookmarkEnd w:id="258"/>
    </w:p>
    <w:p w:rsidR="00330CF1" w:rsidRPr="00330CF1" w:rsidRDefault="00330CF1" w:rsidP="0009286C">
      <w:pPr>
        <w:ind w:left="720" w:hanging="720"/>
        <w:rPr>
          <w:rFonts w:ascii="Arial" w:hAnsi="Arial" w:cs="Arial"/>
          <w:noProof/>
        </w:rPr>
      </w:pPr>
      <w:bookmarkStart w:id="259" w:name="_ENREF_198"/>
      <w:r w:rsidRPr="00330CF1">
        <w:rPr>
          <w:rFonts w:ascii="Arial" w:hAnsi="Arial" w:cs="Arial"/>
          <w:noProof/>
        </w:rPr>
        <w:t>198.</w:t>
      </w:r>
      <w:r w:rsidRPr="00330CF1">
        <w:rPr>
          <w:rFonts w:ascii="Arial" w:hAnsi="Arial" w:cs="Arial"/>
          <w:noProof/>
        </w:rPr>
        <w:tab/>
        <w:t xml:space="preserve">Beutin, L., et al., </w:t>
      </w:r>
      <w:r w:rsidRPr="00330CF1">
        <w:rPr>
          <w:rFonts w:ascii="Arial" w:hAnsi="Arial" w:cs="Arial"/>
          <w:i/>
          <w:noProof/>
        </w:rPr>
        <w:t>Prevalence and some properties of verotoxin (shiga-like toxin) - producing Escherichia-coli in 7 different species of healthy domestic animals. .</w:t>
      </w:r>
      <w:r w:rsidRPr="00330CF1">
        <w:rPr>
          <w:rFonts w:ascii="Arial" w:hAnsi="Arial" w:cs="Arial"/>
          <w:noProof/>
        </w:rPr>
        <w:t xml:space="preserve"> Journal of Clinical Microbiology, 1993. </w:t>
      </w:r>
      <w:r w:rsidRPr="00330CF1">
        <w:rPr>
          <w:rFonts w:ascii="Arial" w:hAnsi="Arial" w:cs="Arial"/>
          <w:b/>
          <w:noProof/>
        </w:rPr>
        <w:t>31</w:t>
      </w:r>
      <w:r w:rsidRPr="00330CF1">
        <w:rPr>
          <w:rFonts w:ascii="Arial" w:hAnsi="Arial" w:cs="Arial"/>
          <w:noProof/>
        </w:rPr>
        <w:t>(9): p. 2483-2488.</w:t>
      </w:r>
      <w:bookmarkEnd w:id="259"/>
    </w:p>
    <w:p w:rsidR="00330CF1" w:rsidRPr="00330CF1" w:rsidRDefault="00330CF1" w:rsidP="0009286C">
      <w:pPr>
        <w:ind w:left="720" w:hanging="720"/>
        <w:rPr>
          <w:rFonts w:ascii="Arial" w:hAnsi="Arial" w:cs="Arial"/>
          <w:noProof/>
        </w:rPr>
      </w:pPr>
      <w:bookmarkStart w:id="260" w:name="_ENREF_199"/>
      <w:r w:rsidRPr="00330CF1">
        <w:rPr>
          <w:rFonts w:ascii="Arial" w:hAnsi="Arial" w:cs="Arial"/>
          <w:noProof/>
        </w:rPr>
        <w:t>199.</w:t>
      </w:r>
      <w:r w:rsidRPr="00330CF1">
        <w:rPr>
          <w:rFonts w:ascii="Arial" w:hAnsi="Arial" w:cs="Arial"/>
          <w:noProof/>
        </w:rPr>
        <w:tab/>
        <w:t xml:space="preserve">Crissey, S.D., et al., </w:t>
      </w:r>
      <w:r w:rsidRPr="00330CF1">
        <w:rPr>
          <w:rFonts w:ascii="Arial" w:hAnsi="Arial" w:cs="Arial"/>
          <w:i/>
          <w:noProof/>
        </w:rPr>
        <w:t>Use of a raw meat-based diet or a dry kibble diet for sand cats (Felis margarita).</w:t>
      </w:r>
      <w:r w:rsidRPr="00330CF1">
        <w:rPr>
          <w:rFonts w:ascii="Arial" w:hAnsi="Arial" w:cs="Arial"/>
          <w:noProof/>
        </w:rPr>
        <w:t xml:space="preserve"> Journal of Animal Science, 1997. </w:t>
      </w:r>
      <w:r w:rsidRPr="00330CF1">
        <w:rPr>
          <w:rFonts w:ascii="Arial" w:hAnsi="Arial" w:cs="Arial"/>
          <w:b/>
          <w:noProof/>
        </w:rPr>
        <w:t>75</w:t>
      </w:r>
      <w:r w:rsidRPr="00330CF1">
        <w:rPr>
          <w:rFonts w:ascii="Arial" w:hAnsi="Arial" w:cs="Arial"/>
          <w:noProof/>
        </w:rPr>
        <w:t>(8): p. 2154-2160.</w:t>
      </w:r>
      <w:bookmarkEnd w:id="260"/>
    </w:p>
    <w:p w:rsidR="00330CF1" w:rsidRPr="00330CF1" w:rsidRDefault="00330CF1" w:rsidP="0009286C">
      <w:pPr>
        <w:ind w:left="720" w:hanging="720"/>
        <w:rPr>
          <w:rFonts w:ascii="Arial" w:hAnsi="Arial" w:cs="Arial"/>
          <w:noProof/>
        </w:rPr>
      </w:pPr>
      <w:bookmarkStart w:id="261" w:name="_ENREF_200"/>
      <w:r w:rsidRPr="00330CF1">
        <w:rPr>
          <w:rFonts w:ascii="Arial" w:hAnsi="Arial" w:cs="Arial"/>
          <w:noProof/>
        </w:rPr>
        <w:t>200.</w:t>
      </w:r>
      <w:r w:rsidRPr="00330CF1">
        <w:rPr>
          <w:rFonts w:ascii="Arial" w:hAnsi="Arial" w:cs="Arial"/>
          <w:noProof/>
        </w:rPr>
        <w:tab/>
        <w:t xml:space="preserve">Hickman, M.A., Q.R. Rogers, and J.G. Morris, </w:t>
      </w:r>
      <w:r w:rsidRPr="00330CF1">
        <w:rPr>
          <w:rFonts w:ascii="Arial" w:hAnsi="Arial" w:cs="Arial"/>
          <w:i/>
          <w:noProof/>
        </w:rPr>
        <w:t>Effect of processing on fate of dietary C-14 taurine in cats. .</w:t>
      </w:r>
      <w:r w:rsidRPr="00330CF1">
        <w:rPr>
          <w:rFonts w:ascii="Arial" w:hAnsi="Arial" w:cs="Arial"/>
          <w:noProof/>
        </w:rPr>
        <w:t xml:space="preserve"> Journal of Nutrition, 1990. </w:t>
      </w:r>
      <w:r w:rsidRPr="00330CF1">
        <w:rPr>
          <w:rFonts w:ascii="Arial" w:hAnsi="Arial" w:cs="Arial"/>
          <w:b/>
          <w:noProof/>
        </w:rPr>
        <w:t>120</w:t>
      </w:r>
      <w:r w:rsidRPr="00330CF1">
        <w:rPr>
          <w:rFonts w:ascii="Arial" w:hAnsi="Arial" w:cs="Arial"/>
          <w:noProof/>
        </w:rPr>
        <w:t>(9): p. 995-1000.</w:t>
      </w:r>
      <w:bookmarkEnd w:id="261"/>
    </w:p>
    <w:p w:rsidR="00330CF1" w:rsidRPr="00330CF1" w:rsidRDefault="00330CF1" w:rsidP="0009286C">
      <w:pPr>
        <w:ind w:left="720" w:hanging="720"/>
        <w:rPr>
          <w:rFonts w:ascii="Arial" w:hAnsi="Arial" w:cs="Arial"/>
          <w:noProof/>
        </w:rPr>
      </w:pPr>
      <w:bookmarkStart w:id="262" w:name="_ENREF_201"/>
      <w:r w:rsidRPr="00330CF1">
        <w:rPr>
          <w:rFonts w:ascii="Arial" w:hAnsi="Arial" w:cs="Arial"/>
          <w:noProof/>
        </w:rPr>
        <w:lastRenderedPageBreak/>
        <w:t>201.</w:t>
      </w:r>
      <w:r w:rsidRPr="00330CF1">
        <w:rPr>
          <w:rFonts w:ascii="Arial" w:hAnsi="Arial" w:cs="Arial"/>
          <w:noProof/>
        </w:rPr>
        <w:tab/>
        <w:t xml:space="preserve">Seungwook, W.K., Q.R. Rogers, and J.G. Morris, </w:t>
      </w:r>
      <w:r w:rsidRPr="00330CF1">
        <w:rPr>
          <w:rFonts w:ascii="Arial" w:hAnsi="Arial" w:cs="Arial"/>
          <w:i/>
          <w:noProof/>
        </w:rPr>
        <w:t>Dietary Antibiotics Decrease Taurine Loss in Cats Fed a Canned Heat-Processed Diet.</w:t>
      </w:r>
      <w:r w:rsidRPr="00330CF1">
        <w:rPr>
          <w:rFonts w:ascii="Arial" w:hAnsi="Arial" w:cs="Arial"/>
          <w:noProof/>
        </w:rPr>
        <w:t xml:space="preserve"> Journal of Nutrition, 1996. </w:t>
      </w:r>
      <w:r w:rsidRPr="00330CF1">
        <w:rPr>
          <w:rFonts w:ascii="Arial" w:hAnsi="Arial" w:cs="Arial"/>
          <w:b/>
          <w:noProof/>
        </w:rPr>
        <w:t>126</w:t>
      </w:r>
      <w:r w:rsidRPr="00330CF1">
        <w:rPr>
          <w:rFonts w:ascii="Arial" w:hAnsi="Arial" w:cs="Arial"/>
          <w:noProof/>
        </w:rPr>
        <w:t>: p. 509-515.</w:t>
      </w:r>
      <w:bookmarkEnd w:id="262"/>
    </w:p>
    <w:p w:rsidR="00330CF1" w:rsidRPr="00330CF1" w:rsidRDefault="00330CF1" w:rsidP="0009286C">
      <w:pPr>
        <w:ind w:left="720" w:hanging="720"/>
        <w:rPr>
          <w:rFonts w:ascii="Arial" w:hAnsi="Arial" w:cs="Arial"/>
          <w:noProof/>
        </w:rPr>
      </w:pPr>
      <w:bookmarkStart w:id="263" w:name="_ENREF_202"/>
      <w:r w:rsidRPr="00330CF1">
        <w:rPr>
          <w:rFonts w:ascii="Arial" w:hAnsi="Arial" w:cs="Arial"/>
          <w:noProof/>
        </w:rPr>
        <w:t>202.</w:t>
      </w:r>
      <w:r w:rsidRPr="00330CF1">
        <w:rPr>
          <w:rFonts w:ascii="Arial" w:hAnsi="Arial" w:cs="Arial"/>
          <w:noProof/>
        </w:rPr>
        <w:tab/>
        <w:t xml:space="preserve">Lambert, I.H., et al., </w:t>
      </w:r>
      <w:r w:rsidRPr="00330CF1">
        <w:rPr>
          <w:rFonts w:ascii="Arial" w:hAnsi="Arial" w:cs="Arial"/>
          <w:i/>
          <w:noProof/>
        </w:rPr>
        <w:t>Cellular model for induction of drip loss in meat.</w:t>
      </w:r>
      <w:r w:rsidRPr="00330CF1">
        <w:rPr>
          <w:rFonts w:ascii="Arial" w:hAnsi="Arial" w:cs="Arial"/>
          <w:noProof/>
        </w:rPr>
        <w:t xml:space="preserve"> Journal of Agricultural and Food Chemistry, 2001. </w:t>
      </w:r>
      <w:r w:rsidRPr="00330CF1">
        <w:rPr>
          <w:rFonts w:ascii="Arial" w:hAnsi="Arial" w:cs="Arial"/>
          <w:b/>
          <w:noProof/>
        </w:rPr>
        <w:t>49</w:t>
      </w:r>
      <w:r w:rsidRPr="00330CF1">
        <w:rPr>
          <w:rFonts w:ascii="Arial" w:hAnsi="Arial" w:cs="Arial"/>
          <w:noProof/>
        </w:rPr>
        <w:t>(10): p. 4876-4883.</w:t>
      </w:r>
      <w:bookmarkEnd w:id="263"/>
    </w:p>
    <w:p w:rsidR="00330CF1" w:rsidRPr="00330CF1" w:rsidRDefault="00330CF1" w:rsidP="0009286C">
      <w:pPr>
        <w:ind w:left="720" w:hanging="720"/>
        <w:rPr>
          <w:rFonts w:ascii="Arial" w:hAnsi="Arial" w:cs="Arial"/>
          <w:noProof/>
        </w:rPr>
      </w:pPr>
      <w:bookmarkStart w:id="264" w:name="_ENREF_203"/>
      <w:r w:rsidRPr="00330CF1">
        <w:rPr>
          <w:rFonts w:ascii="Arial" w:hAnsi="Arial" w:cs="Arial"/>
          <w:noProof/>
        </w:rPr>
        <w:t>203.</w:t>
      </w:r>
      <w:r w:rsidRPr="00330CF1">
        <w:rPr>
          <w:rFonts w:ascii="Arial" w:hAnsi="Arial" w:cs="Arial"/>
          <w:noProof/>
        </w:rPr>
        <w:tab/>
        <w:t xml:space="preserve">Chew, B.P., et al., </w:t>
      </w:r>
      <w:r w:rsidRPr="00330CF1">
        <w:rPr>
          <w:rFonts w:ascii="Arial" w:hAnsi="Arial" w:cs="Arial"/>
          <w:i/>
          <w:noProof/>
        </w:rPr>
        <w:t>Dietary beta-carotene absorption by blood plasma and leukocytes in domestic cats.</w:t>
      </w:r>
      <w:r w:rsidRPr="00330CF1">
        <w:rPr>
          <w:rFonts w:ascii="Arial" w:hAnsi="Arial" w:cs="Arial"/>
          <w:noProof/>
        </w:rPr>
        <w:t xml:space="preserve"> Journal of Nutrition, 2000. </w:t>
      </w:r>
      <w:r w:rsidRPr="00330CF1">
        <w:rPr>
          <w:rFonts w:ascii="Arial" w:hAnsi="Arial" w:cs="Arial"/>
          <w:b/>
          <w:noProof/>
        </w:rPr>
        <w:t>130</w:t>
      </w:r>
      <w:r w:rsidRPr="00330CF1">
        <w:rPr>
          <w:rFonts w:ascii="Arial" w:hAnsi="Arial" w:cs="Arial"/>
          <w:noProof/>
        </w:rPr>
        <w:t>(9): p. 2322-2325.</w:t>
      </w:r>
      <w:bookmarkEnd w:id="264"/>
    </w:p>
    <w:p w:rsidR="00330CF1" w:rsidRPr="00330CF1" w:rsidRDefault="00330CF1" w:rsidP="0009286C">
      <w:pPr>
        <w:ind w:left="720" w:hanging="720"/>
        <w:rPr>
          <w:rFonts w:ascii="Arial" w:hAnsi="Arial" w:cs="Arial"/>
          <w:noProof/>
        </w:rPr>
      </w:pPr>
      <w:bookmarkStart w:id="265" w:name="_ENREF_204"/>
      <w:r w:rsidRPr="00330CF1">
        <w:rPr>
          <w:rFonts w:ascii="Arial" w:hAnsi="Arial" w:cs="Arial"/>
          <w:noProof/>
        </w:rPr>
        <w:t>204.</w:t>
      </w:r>
      <w:r w:rsidRPr="00330CF1">
        <w:rPr>
          <w:rFonts w:ascii="Arial" w:hAnsi="Arial" w:cs="Arial"/>
          <w:noProof/>
        </w:rPr>
        <w:tab/>
        <w:t xml:space="preserve">Chew, B.P. and J.S. Park, </w:t>
      </w:r>
      <w:r w:rsidRPr="00330CF1">
        <w:rPr>
          <w:rFonts w:ascii="Arial" w:hAnsi="Arial" w:cs="Arial"/>
          <w:i/>
          <w:noProof/>
        </w:rPr>
        <w:t>Carotenoid action on the immune response.</w:t>
      </w:r>
      <w:r w:rsidRPr="00330CF1">
        <w:rPr>
          <w:rFonts w:ascii="Arial" w:hAnsi="Arial" w:cs="Arial"/>
          <w:noProof/>
        </w:rPr>
        <w:t xml:space="preserve"> Journal of Nutrition, 2004. </w:t>
      </w:r>
      <w:r w:rsidRPr="00330CF1">
        <w:rPr>
          <w:rFonts w:ascii="Arial" w:hAnsi="Arial" w:cs="Arial"/>
          <w:b/>
          <w:noProof/>
        </w:rPr>
        <w:t>134</w:t>
      </w:r>
      <w:r w:rsidRPr="00330CF1">
        <w:rPr>
          <w:rFonts w:ascii="Arial" w:hAnsi="Arial" w:cs="Arial"/>
          <w:noProof/>
        </w:rPr>
        <w:t>(1): p. 257S-261S.</w:t>
      </w:r>
      <w:bookmarkEnd w:id="265"/>
    </w:p>
    <w:p w:rsidR="00330CF1" w:rsidRPr="00330CF1" w:rsidRDefault="00330CF1" w:rsidP="0009286C">
      <w:pPr>
        <w:ind w:left="720" w:hanging="720"/>
        <w:rPr>
          <w:rFonts w:ascii="Arial" w:hAnsi="Arial" w:cs="Arial"/>
          <w:noProof/>
        </w:rPr>
      </w:pPr>
      <w:bookmarkStart w:id="266" w:name="_ENREF_205"/>
      <w:r w:rsidRPr="00330CF1">
        <w:rPr>
          <w:rFonts w:ascii="Arial" w:hAnsi="Arial" w:cs="Arial"/>
          <w:noProof/>
        </w:rPr>
        <w:t>205.</w:t>
      </w:r>
      <w:r w:rsidRPr="00330CF1">
        <w:rPr>
          <w:rFonts w:ascii="Arial" w:hAnsi="Arial" w:cs="Arial"/>
          <w:noProof/>
        </w:rPr>
        <w:tab/>
        <w:t xml:space="preserve">Vester, B.M., et al., </w:t>
      </w:r>
      <w:r w:rsidRPr="00330CF1">
        <w:rPr>
          <w:rFonts w:ascii="Arial" w:hAnsi="Arial" w:cs="Arial"/>
          <w:i/>
          <w:noProof/>
        </w:rPr>
        <w:t>Influence of Feeding Raw or Extruded Feline Diets on Nutrient Digestibility and Nitrogen Metabolism of African Wildcats (Felis lybica).</w:t>
      </w:r>
      <w:r w:rsidRPr="00330CF1">
        <w:rPr>
          <w:rFonts w:ascii="Arial" w:hAnsi="Arial" w:cs="Arial"/>
          <w:noProof/>
        </w:rPr>
        <w:t xml:space="preserve"> Zoo Biology, 2010. </w:t>
      </w:r>
      <w:r w:rsidRPr="00330CF1">
        <w:rPr>
          <w:rFonts w:ascii="Arial" w:hAnsi="Arial" w:cs="Arial"/>
          <w:b/>
          <w:noProof/>
        </w:rPr>
        <w:t>29</w:t>
      </w:r>
      <w:r w:rsidRPr="00330CF1">
        <w:rPr>
          <w:rFonts w:ascii="Arial" w:hAnsi="Arial" w:cs="Arial"/>
          <w:noProof/>
        </w:rPr>
        <w:t>(6): p. 676-686.</w:t>
      </w:r>
      <w:bookmarkEnd w:id="266"/>
    </w:p>
    <w:p w:rsidR="00330CF1" w:rsidRPr="00330CF1" w:rsidRDefault="00330CF1" w:rsidP="0009286C">
      <w:pPr>
        <w:ind w:left="720" w:hanging="720"/>
        <w:rPr>
          <w:rFonts w:ascii="Arial" w:hAnsi="Arial" w:cs="Arial"/>
          <w:noProof/>
        </w:rPr>
      </w:pPr>
      <w:bookmarkStart w:id="267" w:name="_ENREF_206"/>
      <w:r w:rsidRPr="00330CF1">
        <w:rPr>
          <w:rFonts w:ascii="Arial" w:hAnsi="Arial" w:cs="Arial"/>
          <w:noProof/>
        </w:rPr>
        <w:t>206.</w:t>
      </w:r>
      <w:r w:rsidRPr="00330CF1">
        <w:rPr>
          <w:rFonts w:ascii="Arial" w:hAnsi="Arial" w:cs="Arial"/>
          <w:noProof/>
        </w:rPr>
        <w:tab/>
        <w:t xml:space="preserve">Cramer, K.R., et al., </w:t>
      </w:r>
      <w:r w:rsidRPr="00330CF1">
        <w:rPr>
          <w:rFonts w:ascii="Arial" w:hAnsi="Arial" w:cs="Arial"/>
          <w:i/>
          <w:noProof/>
        </w:rPr>
        <w:t>Protein quality of various raw and rendered by-product meals commonly incorporated into companion animal diets.</w:t>
      </w:r>
      <w:r w:rsidRPr="00330CF1">
        <w:rPr>
          <w:rFonts w:ascii="Arial" w:hAnsi="Arial" w:cs="Arial"/>
          <w:noProof/>
        </w:rPr>
        <w:t xml:space="preserve"> Journal of Animal Science, 2007. </w:t>
      </w:r>
      <w:r w:rsidRPr="00330CF1">
        <w:rPr>
          <w:rFonts w:ascii="Arial" w:hAnsi="Arial" w:cs="Arial"/>
          <w:b/>
          <w:noProof/>
        </w:rPr>
        <w:t>85</w:t>
      </w:r>
      <w:r w:rsidRPr="00330CF1">
        <w:rPr>
          <w:rFonts w:ascii="Arial" w:hAnsi="Arial" w:cs="Arial"/>
          <w:noProof/>
        </w:rPr>
        <w:t>(12): p. 3285-3293.</w:t>
      </w:r>
      <w:bookmarkEnd w:id="267"/>
    </w:p>
    <w:p w:rsidR="00330CF1" w:rsidRPr="00330CF1" w:rsidRDefault="00330CF1" w:rsidP="0009286C">
      <w:pPr>
        <w:ind w:left="720" w:hanging="720"/>
        <w:rPr>
          <w:rFonts w:ascii="Arial" w:hAnsi="Arial" w:cs="Arial"/>
          <w:noProof/>
        </w:rPr>
      </w:pPr>
      <w:bookmarkStart w:id="268" w:name="_ENREF_207"/>
      <w:r w:rsidRPr="00330CF1">
        <w:rPr>
          <w:rFonts w:ascii="Arial" w:hAnsi="Arial" w:cs="Arial"/>
          <w:noProof/>
        </w:rPr>
        <w:t>207.</w:t>
      </w:r>
      <w:r w:rsidRPr="00330CF1">
        <w:rPr>
          <w:rFonts w:ascii="Arial" w:hAnsi="Arial" w:cs="Arial"/>
          <w:noProof/>
        </w:rPr>
        <w:tab/>
        <w:t xml:space="preserve">Hendriks, W.H., et al., </w:t>
      </w:r>
      <w:r w:rsidRPr="00330CF1">
        <w:rPr>
          <w:rFonts w:ascii="Arial" w:hAnsi="Arial" w:cs="Arial"/>
          <w:i/>
          <w:noProof/>
        </w:rPr>
        <w:t>Heat Processing Changes the Protein Quality of Canned Cat Foods as Measure with a Rat Bioassay.</w:t>
      </w:r>
      <w:r w:rsidRPr="00330CF1">
        <w:rPr>
          <w:rFonts w:ascii="Arial" w:hAnsi="Arial" w:cs="Arial"/>
          <w:noProof/>
        </w:rPr>
        <w:t xml:space="preserve"> Journal of Animal Science, 1999. </w:t>
      </w:r>
      <w:r w:rsidRPr="00330CF1">
        <w:rPr>
          <w:rFonts w:ascii="Arial" w:hAnsi="Arial" w:cs="Arial"/>
          <w:b/>
          <w:noProof/>
        </w:rPr>
        <w:t>77</w:t>
      </w:r>
      <w:r w:rsidRPr="00330CF1">
        <w:rPr>
          <w:rFonts w:ascii="Arial" w:hAnsi="Arial" w:cs="Arial"/>
          <w:noProof/>
        </w:rPr>
        <w:t>: p. 669-676.</w:t>
      </w:r>
      <w:bookmarkEnd w:id="268"/>
    </w:p>
    <w:p w:rsidR="00330CF1" w:rsidRPr="00330CF1" w:rsidRDefault="00330CF1" w:rsidP="0009286C">
      <w:pPr>
        <w:ind w:left="720" w:hanging="720"/>
        <w:rPr>
          <w:rFonts w:ascii="Arial" w:hAnsi="Arial" w:cs="Arial"/>
          <w:noProof/>
        </w:rPr>
      </w:pPr>
      <w:bookmarkStart w:id="269" w:name="_ENREF_208"/>
      <w:r w:rsidRPr="00330CF1">
        <w:rPr>
          <w:rFonts w:ascii="Arial" w:hAnsi="Arial" w:cs="Arial"/>
          <w:noProof/>
        </w:rPr>
        <w:t>208.</w:t>
      </w:r>
      <w:r w:rsidRPr="00330CF1">
        <w:rPr>
          <w:rFonts w:ascii="Arial" w:hAnsi="Arial" w:cs="Arial"/>
          <w:noProof/>
        </w:rPr>
        <w:tab/>
        <w:t xml:space="preserve">Rutherfurd, S.M., K.J. Rutherfurd-Markwick, and P.J. Moughan, </w:t>
      </w:r>
      <w:r w:rsidRPr="00330CF1">
        <w:rPr>
          <w:rFonts w:ascii="Arial" w:hAnsi="Arial" w:cs="Arial"/>
          <w:i/>
          <w:noProof/>
        </w:rPr>
        <w:t>Available Lysine in Selected Pet Foods.</w:t>
      </w:r>
      <w:r w:rsidRPr="00330CF1">
        <w:rPr>
          <w:rFonts w:ascii="Arial" w:hAnsi="Arial" w:cs="Arial"/>
          <w:noProof/>
        </w:rPr>
        <w:t xml:space="preserve"> J. Agric. Food Chem., 2007. </w:t>
      </w:r>
      <w:r w:rsidRPr="00330CF1">
        <w:rPr>
          <w:rFonts w:ascii="Arial" w:hAnsi="Arial" w:cs="Arial"/>
          <w:b/>
          <w:noProof/>
        </w:rPr>
        <w:t>55</w:t>
      </w:r>
      <w:r w:rsidRPr="00330CF1">
        <w:rPr>
          <w:rFonts w:ascii="Arial" w:hAnsi="Arial" w:cs="Arial"/>
          <w:noProof/>
        </w:rPr>
        <w:t>: p. 3517-3522.</w:t>
      </w:r>
      <w:bookmarkEnd w:id="269"/>
    </w:p>
    <w:p w:rsidR="00330CF1" w:rsidRPr="00330CF1" w:rsidRDefault="00330CF1" w:rsidP="0009286C">
      <w:pPr>
        <w:ind w:left="720" w:hanging="720"/>
        <w:rPr>
          <w:rFonts w:ascii="Arial" w:hAnsi="Arial" w:cs="Arial"/>
          <w:noProof/>
        </w:rPr>
      </w:pPr>
      <w:bookmarkStart w:id="270" w:name="_ENREF_209"/>
      <w:r w:rsidRPr="00330CF1">
        <w:rPr>
          <w:rFonts w:ascii="Arial" w:hAnsi="Arial" w:cs="Arial"/>
          <w:noProof/>
        </w:rPr>
        <w:t>209.</w:t>
      </w:r>
      <w:r w:rsidRPr="00330CF1">
        <w:rPr>
          <w:rFonts w:ascii="Arial" w:hAnsi="Arial" w:cs="Arial"/>
          <w:noProof/>
        </w:rPr>
        <w:tab/>
        <w:t xml:space="preserve">Larsen, J.A., C.C. Calvert, and Q.R. Rogers, </w:t>
      </w:r>
      <w:r w:rsidRPr="00330CF1">
        <w:rPr>
          <w:rFonts w:ascii="Arial" w:hAnsi="Arial" w:cs="Arial"/>
          <w:i/>
          <w:noProof/>
        </w:rPr>
        <w:t>Processing of dietary casein decreases bioavailability of lysine in growing kittens.</w:t>
      </w:r>
      <w:r w:rsidRPr="00330CF1">
        <w:rPr>
          <w:rFonts w:ascii="Arial" w:hAnsi="Arial" w:cs="Arial"/>
          <w:noProof/>
        </w:rPr>
        <w:t xml:space="preserve"> Journal of Nutrition, 2002. </w:t>
      </w:r>
      <w:r w:rsidRPr="00330CF1">
        <w:rPr>
          <w:rFonts w:ascii="Arial" w:hAnsi="Arial" w:cs="Arial"/>
          <w:b/>
          <w:noProof/>
        </w:rPr>
        <w:t>132</w:t>
      </w:r>
      <w:r w:rsidRPr="00330CF1">
        <w:rPr>
          <w:rFonts w:ascii="Arial" w:hAnsi="Arial" w:cs="Arial"/>
          <w:noProof/>
        </w:rPr>
        <w:t>(6): p. 1748S-1750S.</w:t>
      </w:r>
      <w:bookmarkEnd w:id="270"/>
    </w:p>
    <w:p w:rsidR="00330CF1" w:rsidRPr="00330CF1" w:rsidRDefault="00330CF1" w:rsidP="0009286C">
      <w:pPr>
        <w:ind w:left="720" w:hanging="720"/>
        <w:rPr>
          <w:rFonts w:ascii="Arial" w:hAnsi="Arial" w:cs="Arial"/>
          <w:noProof/>
        </w:rPr>
      </w:pPr>
      <w:bookmarkStart w:id="271" w:name="_ENREF_210"/>
      <w:r w:rsidRPr="00330CF1">
        <w:rPr>
          <w:rFonts w:ascii="Arial" w:hAnsi="Arial" w:cs="Arial"/>
          <w:noProof/>
        </w:rPr>
        <w:t>210.</w:t>
      </w:r>
      <w:r w:rsidRPr="00330CF1">
        <w:rPr>
          <w:rFonts w:ascii="Arial" w:hAnsi="Arial" w:cs="Arial"/>
          <w:noProof/>
        </w:rPr>
        <w:tab/>
        <w:t xml:space="preserve">Wortinger, A. </w:t>
      </w:r>
      <w:r w:rsidRPr="00330CF1">
        <w:rPr>
          <w:rFonts w:ascii="Arial" w:hAnsi="Arial" w:cs="Arial"/>
          <w:i/>
          <w:noProof/>
        </w:rPr>
        <w:t>Raw food diets - fact versus fiction</w:t>
      </w:r>
      <w:r w:rsidRPr="00330CF1">
        <w:rPr>
          <w:rFonts w:ascii="Arial" w:hAnsi="Arial" w:cs="Arial"/>
          <w:noProof/>
        </w:rPr>
        <w:t xml:space="preserve">. in </w:t>
      </w:r>
      <w:r w:rsidRPr="00330CF1">
        <w:rPr>
          <w:rFonts w:ascii="Arial" w:hAnsi="Arial" w:cs="Arial"/>
          <w:i/>
          <w:noProof/>
        </w:rPr>
        <w:t>Veterinary technicians and practice managers. Proceedings of the North American Veterinary Conference, Volume 20, Orlando, Florida, USA, 7-11 January, 2006.</w:t>
      </w:r>
      <w:r w:rsidRPr="00330CF1">
        <w:rPr>
          <w:rFonts w:ascii="Arial" w:hAnsi="Arial" w:cs="Arial"/>
          <w:noProof/>
        </w:rPr>
        <w:t xml:space="preserve"> 2006. The North American Veterinary Conference.</w:t>
      </w:r>
      <w:bookmarkEnd w:id="271"/>
    </w:p>
    <w:p w:rsidR="00330CF1" w:rsidRPr="00330CF1" w:rsidRDefault="00330CF1" w:rsidP="0009286C">
      <w:pPr>
        <w:ind w:left="720" w:hanging="720"/>
        <w:rPr>
          <w:rFonts w:ascii="Arial" w:hAnsi="Arial" w:cs="Arial"/>
          <w:noProof/>
        </w:rPr>
      </w:pPr>
      <w:bookmarkStart w:id="272" w:name="_ENREF_211"/>
      <w:r w:rsidRPr="00330CF1">
        <w:rPr>
          <w:rFonts w:ascii="Arial" w:hAnsi="Arial" w:cs="Arial"/>
          <w:noProof/>
        </w:rPr>
        <w:t>211.</w:t>
      </w:r>
      <w:r w:rsidRPr="00330CF1">
        <w:rPr>
          <w:rFonts w:ascii="Arial" w:hAnsi="Arial" w:cs="Arial"/>
          <w:noProof/>
        </w:rPr>
        <w:tab/>
        <w:t xml:space="preserve">Freeman, L.M. </w:t>
      </w:r>
      <w:r w:rsidRPr="00330CF1">
        <w:rPr>
          <w:rFonts w:ascii="Arial" w:hAnsi="Arial" w:cs="Arial"/>
          <w:i/>
          <w:noProof/>
        </w:rPr>
        <w:t>Top ten myths about raw meat diets</w:t>
      </w:r>
      <w:r w:rsidRPr="00330CF1">
        <w:rPr>
          <w:rFonts w:ascii="Arial" w:hAnsi="Arial" w:cs="Arial"/>
          <w:noProof/>
        </w:rPr>
        <w:t xml:space="preserve">. in </w:t>
      </w:r>
      <w:r w:rsidRPr="00330CF1">
        <w:rPr>
          <w:rFonts w:ascii="Arial" w:hAnsi="Arial" w:cs="Arial"/>
          <w:i/>
          <w:noProof/>
        </w:rPr>
        <w:t>Small animal and exotics. Proceedings of the North American Veterinary Conference, Orlando, Florida, USA, 17-21 January, 2009.</w:t>
      </w:r>
      <w:r w:rsidRPr="00330CF1">
        <w:rPr>
          <w:rFonts w:ascii="Arial" w:hAnsi="Arial" w:cs="Arial"/>
          <w:noProof/>
        </w:rPr>
        <w:t xml:space="preserve"> 2009. The North American Veterinary Conference.</w:t>
      </w:r>
      <w:bookmarkEnd w:id="272"/>
    </w:p>
    <w:p w:rsidR="00330CF1" w:rsidRPr="00330CF1" w:rsidRDefault="00330CF1" w:rsidP="0009286C">
      <w:pPr>
        <w:ind w:left="720" w:hanging="720"/>
        <w:rPr>
          <w:rFonts w:ascii="Arial" w:hAnsi="Arial" w:cs="Arial"/>
          <w:noProof/>
        </w:rPr>
      </w:pPr>
      <w:bookmarkStart w:id="273" w:name="_ENREF_212"/>
      <w:r w:rsidRPr="00330CF1">
        <w:rPr>
          <w:rFonts w:ascii="Arial" w:hAnsi="Arial" w:cs="Arial"/>
          <w:noProof/>
        </w:rPr>
        <w:t>212.</w:t>
      </w:r>
      <w:r w:rsidRPr="00330CF1">
        <w:rPr>
          <w:rFonts w:ascii="Arial" w:hAnsi="Arial" w:cs="Arial"/>
          <w:noProof/>
        </w:rPr>
        <w:tab/>
        <w:t xml:space="preserve">Westermarck, E., </w:t>
      </w:r>
      <w:r w:rsidRPr="00330CF1">
        <w:rPr>
          <w:rFonts w:ascii="Arial" w:hAnsi="Arial" w:cs="Arial"/>
          <w:i/>
          <w:noProof/>
        </w:rPr>
        <w:t>Treatment of pancreatic degenerative atrophy with raw pancreas homogenate and various enzyme preparations. .</w:t>
      </w:r>
      <w:r w:rsidRPr="00330CF1">
        <w:rPr>
          <w:rFonts w:ascii="Arial" w:hAnsi="Arial" w:cs="Arial"/>
          <w:noProof/>
        </w:rPr>
        <w:t xml:space="preserve"> Journal of Veterinary Medicine Series a-Physiology Pathology Clinical Medicine, 1987. </w:t>
      </w:r>
      <w:r w:rsidRPr="00330CF1">
        <w:rPr>
          <w:rFonts w:ascii="Arial" w:hAnsi="Arial" w:cs="Arial"/>
          <w:b/>
          <w:noProof/>
        </w:rPr>
        <w:t>34</w:t>
      </w:r>
      <w:r w:rsidRPr="00330CF1">
        <w:rPr>
          <w:rFonts w:ascii="Arial" w:hAnsi="Arial" w:cs="Arial"/>
          <w:noProof/>
        </w:rPr>
        <w:t>(10): p. 728-733.</w:t>
      </w:r>
      <w:bookmarkEnd w:id="273"/>
    </w:p>
    <w:p w:rsidR="00330CF1" w:rsidRPr="00330CF1" w:rsidRDefault="00330CF1" w:rsidP="0009286C">
      <w:pPr>
        <w:ind w:left="720" w:hanging="720"/>
        <w:rPr>
          <w:rFonts w:ascii="Arial" w:hAnsi="Arial" w:cs="Arial"/>
          <w:noProof/>
        </w:rPr>
      </w:pPr>
      <w:bookmarkStart w:id="274" w:name="_ENREF_213"/>
      <w:r w:rsidRPr="00330CF1">
        <w:rPr>
          <w:rFonts w:ascii="Arial" w:hAnsi="Arial" w:cs="Arial"/>
          <w:noProof/>
        </w:rPr>
        <w:t>213.</w:t>
      </w:r>
      <w:r w:rsidRPr="00330CF1">
        <w:rPr>
          <w:rFonts w:ascii="Arial" w:hAnsi="Arial" w:cs="Arial"/>
          <w:noProof/>
        </w:rPr>
        <w:tab/>
        <w:t xml:space="preserve">Glasgow, A.G., et al. </w:t>
      </w:r>
      <w:r w:rsidRPr="00330CF1">
        <w:rPr>
          <w:rFonts w:ascii="Arial" w:hAnsi="Arial" w:cs="Arial"/>
          <w:i/>
          <w:noProof/>
        </w:rPr>
        <w:t>A Winn Feline Foundation Report on..... Role of diet in the health of the feline intestinal tract and in inflammatory bowel disease</w:t>
      </w:r>
      <w:r w:rsidRPr="00330CF1">
        <w:rPr>
          <w:rFonts w:ascii="Arial" w:hAnsi="Arial" w:cs="Arial"/>
          <w:noProof/>
        </w:rPr>
        <w:t>. Winn Feline Foundation Report  [Accessed:2010]; Available from: http://replay.waybackmachine.org/20080509094234/http://www.cfa.org/articles/health/role-of-diet.html.</w:t>
      </w:r>
      <w:bookmarkEnd w:id="274"/>
    </w:p>
    <w:p w:rsidR="00330CF1" w:rsidRPr="00330CF1" w:rsidRDefault="00330CF1" w:rsidP="0009286C">
      <w:pPr>
        <w:ind w:left="720" w:hanging="720"/>
        <w:rPr>
          <w:rFonts w:ascii="Arial" w:hAnsi="Arial" w:cs="Arial"/>
          <w:noProof/>
        </w:rPr>
      </w:pPr>
      <w:bookmarkStart w:id="275" w:name="_ENREF_214"/>
      <w:r w:rsidRPr="00330CF1">
        <w:rPr>
          <w:rFonts w:ascii="Arial" w:hAnsi="Arial" w:cs="Arial"/>
          <w:noProof/>
        </w:rPr>
        <w:t>214.</w:t>
      </w:r>
      <w:r w:rsidRPr="00330CF1">
        <w:rPr>
          <w:rFonts w:ascii="Arial" w:hAnsi="Arial" w:cs="Arial"/>
          <w:noProof/>
        </w:rPr>
        <w:tab/>
        <w:t xml:space="preserve">Hobbs, S.H. </w:t>
      </w:r>
      <w:r w:rsidRPr="00330CF1">
        <w:rPr>
          <w:rFonts w:ascii="Arial" w:hAnsi="Arial" w:cs="Arial"/>
          <w:i/>
          <w:noProof/>
        </w:rPr>
        <w:t>Raw Food Diets Review of the Literature</w:t>
      </w:r>
      <w:r w:rsidRPr="00330CF1">
        <w:rPr>
          <w:rFonts w:ascii="Arial" w:hAnsi="Arial" w:cs="Arial"/>
          <w:noProof/>
        </w:rPr>
        <w:t>.  [Accessed: November 15, 2010]; Available from: http://www.vrg.org/journal/vj2002issue4/rawfoodsdiet.htm.</w:t>
      </w:r>
      <w:bookmarkEnd w:id="275"/>
    </w:p>
    <w:p w:rsidR="00330CF1" w:rsidRPr="00330CF1" w:rsidRDefault="00330CF1" w:rsidP="0009286C">
      <w:pPr>
        <w:ind w:left="720" w:hanging="720"/>
        <w:rPr>
          <w:rFonts w:ascii="Arial" w:hAnsi="Arial" w:cs="Arial"/>
          <w:noProof/>
        </w:rPr>
      </w:pPr>
      <w:bookmarkStart w:id="276" w:name="_ENREF_215"/>
      <w:r w:rsidRPr="00330CF1">
        <w:rPr>
          <w:rFonts w:ascii="Arial" w:hAnsi="Arial" w:cs="Arial"/>
          <w:noProof/>
        </w:rPr>
        <w:t>215.</w:t>
      </w:r>
      <w:r w:rsidRPr="00330CF1">
        <w:rPr>
          <w:rFonts w:ascii="Arial" w:hAnsi="Arial" w:cs="Arial"/>
          <w:noProof/>
        </w:rPr>
        <w:tab/>
        <w:t xml:space="preserve">Rauma, A.L. and H. Mykkanen, </w:t>
      </w:r>
      <w:r w:rsidRPr="00330CF1">
        <w:rPr>
          <w:rFonts w:ascii="Arial" w:hAnsi="Arial" w:cs="Arial"/>
          <w:i/>
          <w:noProof/>
        </w:rPr>
        <w:t>Antioxidant status in vegetarians versus omnivores.</w:t>
      </w:r>
      <w:r w:rsidRPr="00330CF1">
        <w:rPr>
          <w:rFonts w:ascii="Arial" w:hAnsi="Arial" w:cs="Arial"/>
          <w:noProof/>
        </w:rPr>
        <w:t xml:space="preserve"> Nutrition, 2000. </w:t>
      </w:r>
      <w:r w:rsidRPr="00330CF1">
        <w:rPr>
          <w:rFonts w:ascii="Arial" w:hAnsi="Arial" w:cs="Arial"/>
          <w:b/>
          <w:noProof/>
        </w:rPr>
        <w:t>16</w:t>
      </w:r>
      <w:r w:rsidRPr="00330CF1">
        <w:rPr>
          <w:rFonts w:ascii="Arial" w:hAnsi="Arial" w:cs="Arial"/>
          <w:noProof/>
        </w:rPr>
        <w:t>(2): p. 111-119.</w:t>
      </w:r>
      <w:bookmarkEnd w:id="276"/>
    </w:p>
    <w:p w:rsidR="00330CF1" w:rsidRPr="00330CF1" w:rsidRDefault="00330CF1" w:rsidP="0009286C">
      <w:pPr>
        <w:ind w:left="720" w:hanging="720"/>
        <w:rPr>
          <w:rFonts w:ascii="Arial" w:hAnsi="Arial" w:cs="Arial"/>
          <w:noProof/>
        </w:rPr>
      </w:pPr>
      <w:bookmarkStart w:id="277" w:name="_ENREF_216"/>
      <w:r w:rsidRPr="00330CF1">
        <w:rPr>
          <w:rFonts w:ascii="Arial" w:hAnsi="Arial" w:cs="Arial"/>
          <w:noProof/>
        </w:rPr>
        <w:t>216.</w:t>
      </w:r>
      <w:r w:rsidRPr="00330CF1">
        <w:rPr>
          <w:rFonts w:ascii="Arial" w:hAnsi="Arial" w:cs="Arial"/>
          <w:noProof/>
        </w:rPr>
        <w:tab/>
        <w:t xml:space="preserve">Koebnick, C., et al., </w:t>
      </w:r>
      <w:r w:rsidRPr="00330CF1">
        <w:rPr>
          <w:rFonts w:ascii="Arial" w:hAnsi="Arial" w:cs="Arial"/>
          <w:i/>
          <w:noProof/>
        </w:rPr>
        <w:t xml:space="preserve">Long-term consumption of a raw food diet is associated with favorable serum LDL cholesterol and triglycerides but also with elevated plasma </w:t>
      </w:r>
      <w:r w:rsidRPr="00330CF1">
        <w:rPr>
          <w:rFonts w:ascii="Arial" w:hAnsi="Arial" w:cs="Arial"/>
          <w:i/>
          <w:noProof/>
        </w:rPr>
        <w:lastRenderedPageBreak/>
        <w:t>homocysteine and low serum HDL cholesterol in humans.</w:t>
      </w:r>
      <w:r w:rsidRPr="00330CF1">
        <w:rPr>
          <w:rFonts w:ascii="Arial" w:hAnsi="Arial" w:cs="Arial"/>
          <w:noProof/>
        </w:rPr>
        <w:t xml:space="preserve"> Journal of Nutrition, 2005. </w:t>
      </w:r>
      <w:r w:rsidRPr="00330CF1">
        <w:rPr>
          <w:rFonts w:ascii="Arial" w:hAnsi="Arial" w:cs="Arial"/>
          <w:b/>
          <w:noProof/>
        </w:rPr>
        <w:t>135</w:t>
      </w:r>
      <w:r w:rsidRPr="00330CF1">
        <w:rPr>
          <w:rFonts w:ascii="Arial" w:hAnsi="Arial" w:cs="Arial"/>
          <w:noProof/>
        </w:rPr>
        <w:t>(10): p. 2372-2378.</w:t>
      </w:r>
      <w:bookmarkEnd w:id="277"/>
    </w:p>
    <w:p w:rsidR="00330CF1" w:rsidRPr="00330CF1" w:rsidRDefault="00330CF1" w:rsidP="0009286C">
      <w:pPr>
        <w:ind w:left="720" w:hanging="720"/>
        <w:rPr>
          <w:rFonts w:ascii="Arial" w:hAnsi="Arial" w:cs="Arial"/>
          <w:noProof/>
        </w:rPr>
      </w:pPr>
      <w:bookmarkStart w:id="278" w:name="_ENREF_217"/>
      <w:r w:rsidRPr="00330CF1">
        <w:rPr>
          <w:rFonts w:ascii="Arial" w:hAnsi="Arial" w:cs="Arial"/>
          <w:noProof/>
        </w:rPr>
        <w:t>217.</w:t>
      </w:r>
      <w:r w:rsidRPr="00330CF1">
        <w:rPr>
          <w:rFonts w:ascii="Arial" w:hAnsi="Arial" w:cs="Arial"/>
          <w:noProof/>
        </w:rPr>
        <w:tab/>
        <w:t xml:space="preserve">Kaartinen, K., et al., </w:t>
      </w:r>
      <w:r w:rsidRPr="00330CF1">
        <w:rPr>
          <w:rFonts w:ascii="Arial" w:hAnsi="Arial" w:cs="Arial"/>
          <w:i/>
          <w:noProof/>
        </w:rPr>
        <w:t>Vegan diet alleviates fibromyalgia symptoms.</w:t>
      </w:r>
      <w:r w:rsidRPr="00330CF1">
        <w:rPr>
          <w:rFonts w:ascii="Arial" w:hAnsi="Arial" w:cs="Arial"/>
          <w:noProof/>
        </w:rPr>
        <w:t xml:space="preserve"> Scandinavian Journal of Rheumatology, 2000. </w:t>
      </w:r>
      <w:r w:rsidRPr="00330CF1">
        <w:rPr>
          <w:rFonts w:ascii="Arial" w:hAnsi="Arial" w:cs="Arial"/>
          <w:b/>
          <w:noProof/>
        </w:rPr>
        <w:t>29</w:t>
      </w:r>
      <w:r w:rsidRPr="00330CF1">
        <w:rPr>
          <w:rFonts w:ascii="Arial" w:hAnsi="Arial" w:cs="Arial"/>
          <w:noProof/>
        </w:rPr>
        <w:t>(5): p. 308-313.</w:t>
      </w:r>
      <w:bookmarkEnd w:id="278"/>
    </w:p>
    <w:p w:rsidR="00330CF1" w:rsidRPr="00330CF1" w:rsidRDefault="00330CF1" w:rsidP="0009286C">
      <w:pPr>
        <w:ind w:left="720" w:hanging="720"/>
        <w:rPr>
          <w:rFonts w:ascii="Arial" w:hAnsi="Arial" w:cs="Arial"/>
          <w:noProof/>
        </w:rPr>
      </w:pPr>
      <w:bookmarkStart w:id="279" w:name="_ENREF_218"/>
      <w:r w:rsidRPr="00330CF1">
        <w:rPr>
          <w:rFonts w:ascii="Arial" w:hAnsi="Arial" w:cs="Arial"/>
          <w:noProof/>
        </w:rPr>
        <w:t>218.</w:t>
      </w:r>
      <w:r w:rsidRPr="00330CF1">
        <w:rPr>
          <w:rFonts w:ascii="Arial" w:hAnsi="Arial" w:cs="Arial"/>
          <w:noProof/>
        </w:rPr>
        <w:tab/>
        <w:t xml:space="preserve">Nenonen, M.T., et al., </w:t>
      </w:r>
      <w:r w:rsidRPr="00330CF1">
        <w:rPr>
          <w:rFonts w:ascii="Arial" w:hAnsi="Arial" w:cs="Arial"/>
          <w:i/>
          <w:noProof/>
        </w:rPr>
        <w:t>Uncooked, lactobacilli-rich, vegan food and rheumatoid arthritis.</w:t>
      </w:r>
      <w:r w:rsidRPr="00330CF1">
        <w:rPr>
          <w:rFonts w:ascii="Arial" w:hAnsi="Arial" w:cs="Arial"/>
          <w:noProof/>
        </w:rPr>
        <w:t xml:space="preserve"> British Journal of Rheumatology, 1998. </w:t>
      </w:r>
      <w:r w:rsidRPr="00330CF1">
        <w:rPr>
          <w:rFonts w:ascii="Arial" w:hAnsi="Arial" w:cs="Arial"/>
          <w:b/>
          <w:noProof/>
        </w:rPr>
        <w:t>37</w:t>
      </w:r>
      <w:r w:rsidRPr="00330CF1">
        <w:rPr>
          <w:rFonts w:ascii="Arial" w:hAnsi="Arial" w:cs="Arial"/>
          <w:noProof/>
        </w:rPr>
        <w:t>(3): p. 274-281.</w:t>
      </w:r>
      <w:bookmarkEnd w:id="279"/>
    </w:p>
    <w:p w:rsidR="00330CF1" w:rsidRPr="00330CF1" w:rsidRDefault="00330CF1" w:rsidP="0009286C">
      <w:pPr>
        <w:ind w:left="720" w:hanging="720"/>
        <w:rPr>
          <w:rFonts w:ascii="Arial" w:hAnsi="Arial" w:cs="Arial"/>
          <w:noProof/>
        </w:rPr>
      </w:pPr>
      <w:bookmarkStart w:id="280" w:name="_ENREF_219"/>
      <w:r w:rsidRPr="00330CF1">
        <w:rPr>
          <w:rFonts w:ascii="Arial" w:hAnsi="Arial" w:cs="Arial"/>
          <w:noProof/>
        </w:rPr>
        <w:t>219.</w:t>
      </w:r>
      <w:r w:rsidRPr="00330CF1">
        <w:rPr>
          <w:rFonts w:ascii="Arial" w:hAnsi="Arial" w:cs="Arial"/>
          <w:noProof/>
        </w:rPr>
        <w:tab/>
        <w:t xml:space="preserve">Peltonen, R., et al., </w:t>
      </w:r>
      <w:r w:rsidRPr="00330CF1">
        <w:rPr>
          <w:rFonts w:ascii="Arial" w:hAnsi="Arial" w:cs="Arial"/>
          <w:i/>
          <w:noProof/>
        </w:rPr>
        <w:t>Faecal microbial flora and disease activity in rheumatoid arthritis during a vegan diet.</w:t>
      </w:r>
      <w:r w:rsidRPr="00330CF1">
        <w:rPr>
          <w:rFonts w:ascii="Arial" w:hAnsi="Arial" w:cs="Arial"/>
          <w:noProof/>
        </w:rPr>
        <w:t xml:space="preserve"> British Journal of Rheumatology, 1997. </w:t>
      </w:r>
      <w:r w:rsidRPr="00330CF1">
        <w:rPr>
          <w:rFonts w:ascii="Arial" w:hAnsi="Arial" w:cs="Arial"/>
          <w:b/>
          <w:noProof/>
        </w:rPr>
        <w:t>36</w:t>
      </w:r>
      <w:r w:rsidRPr="00330CF1">
        <w:rPr>
          <w:rFonts w:ascii="Arial" w:hAnsi="Arial" w:cs="Arial"/>
          <w:noProof/>
        </w:rPr>
        <w:t>(1): p. 64-68.</w:t>
      </w:r>
      <w:bookmarkEnd w:id="280"/>
    </w:p>
    <w:p w:rsidR="00330CF1" w:rsidRPr="00330CF1" w:rsidRDefault="00330CF1" w:rsidP="0009286C">
      <w:pPr>
        <w:ind w:left="720" w:hanging="720"/>
        <w:rPr>
          <w:rFonts w:ascii="Arial" w:hAnsi="Arial" w:cs="Arial"/>
          <w:noProof/>
        </w:rPr>
      </w:pPr>
      <w:bookmarkStart w:id="281" w:name="_ENREF_220"/>
      <w:r w:rsidRPr="00330CF1">
        <w:rPr>
          <w:rFonts w:ascii="Arial" w:hAnsi="Arial" w:cs="Arial"/>
          <w:noProof/>
        </w:rPr>
        <w:t>220.</w:t>
      </w:r>
      <w:r w:rsidRPr="00330CF1">
        <w:rPr>
          <w:rFonts w:ascii="Arial" w:hAnsi="Arial" w:cs="Arial"/>
          <w:noProof/>
        </w:rPr>
        <w:tab/>
        <w:t xml:space="preserve">Ling, W.H. and O. Hanninen, </w:t>
      </w:r>
      <w:r w:rsidRPr="00330CF1">
        <w:rPr>
          <w:rFonts w:ascii="Arial" w:hAnsi="Arial" w:cs="Arial"/>
          <w:i/>
          <w:noProof/>
        </w:rPr>
        <w:t>Shifting from a conventional diet to an uncooked vegan diet reversibly alters fecal hydrolytic activities in humans. .</w:t>
      </w:r>
      <w:r w:rsidRPr="00330CF1">
        <w:rPr>
          <w:rFonts w:ascii="Arial" w:hAnsi="Arial" w:cs="Arial"/>
          <w:noProof/>
        </w:rPr>
        <w:t xml:space="preserve"> Journal of Nutrition, 1992. </w:t>
      </w:r>
      <w:r w:rsidRPr="00330CF1">
        <w:rPr>
          <w:rFonts w:ascii="Arial" w:hAnsi="Arial" w:cs="Arial"/>
          <w:b/>
          <w:noProof/>
        </w:rPr>
        <w:t>122</w:t>
      </w:r>
      <w:r w:rsidRPr="00330CF1">
        <w:rPr>
          <w:rFonts w:ascii="Arial" w:hAnsi="Arial" w:cs="Arial"/>
          <w:noProof/>
        </w:rPr>
        <w:t>(4): p. 924-930.</w:t>
      </w:r>
      <w:bookmarkEnd w:id="281"/>
    </w:p>
    <w:p w:rsidR="00330CF1" w:rsidRPr="00330CF1" w:rsidRDefault="00330CF1" w:rsidP="0009286C">
      <w:pPr>
        <w:ind w:left="720" w:hanging="720"/>
        <w:rPr>
          <w:rFonts w:ascii="Arial" w:hAnsi="Arial" w:cs="Arial"/>
          <w:noProof/>
        </w:rPr>
      </w:pPr>
      <w:bookmarkStart w:id="282" w:name="_ENREF_221"/>
      <w:r w:rsidRPr="00330CF1">
        <w:rPr>
          <w:rFonts w:ascii="Arial" w:hAnsi="Arial" w:cs="Arial"/>
          <w:noProof/>
        </w:rPr>
        <w:t>221.</w:t>
      </w:r>
      <w:r w:rsidRPr="00330CF1">
        <w:rPr>
          <w:rFonts w:ascii="Arial" w:hAnsi="Arial" w:cs="Arial"/>
          <w:noProof/>
        </w:rPr>
        <w:tab/>
        <w:t xml:space="preserve">Gilani, G.S., K.A. Cockell, and E. Sepehr, </w:t>
      </w:r>
      <w:r w:rsidRPr="00330CF1">
        <w:rPr>
          <w:rFonts w:ascii="Arial" w:hAnsi="Arial" w:cs="Arial"/>
          <w:i/>
          <w:noProof/>
        </w:rPr>
        <w:t>Effects of antinutritional factors on protein digestibility and amino acid availability in foods.</w:t>
      </w:r>
      <w:r w:rsidRPr="00330CF1">
        <w:rPr>
          <w:rFonts w:ascii="Arial" w:hAnsi="Arial" w:cs="Arial"/>
          <w:noProof/>
        </w:rPr>
        <w:t xml:space="preserve"> Journal of Aoac International, 2005. </w:t>
      </w:r>
      <w:r w:rsidRPr="00330CF1">
        <w:rPr>
          <w:rFonts w:ascii="Arial" w:hAnsi="Arial" w:cs="Arial"/>
          <w:b/>
          <w:noProof/>
        </w:rPr>
        <w:t>88</w:t>
      </w:r>
      <w:r w:rsidRPr="00330CF1">
        <w:rPr>
          <w:rFonts w:ascii="Arial" w:hAnsi="Arial" w:cs="Arial"/>
          <w:noProof/>
        </w:rPr>
        <w:t>(3): p. 967-987.</w:t>
      </w:r>
      <w:bookmarkEnd w:id="282"/>
    </w:p>
    <w:p w:rsidR="00330CF1" w:rsidRPr="00330CF1" w:rsidRDefault="00330CF1" w:rsidP="0009286C">
      <w:pPr>
        <w:ind w:left="720" w:hanging="720"/>
        <w:rPr>
          <w:rFonts w:ascii="Arial" w:hAnsi="Arial" w:cs="Arial"/>
          <w:noProof/>
        </w:rPr>
      </w:pPr>
      <w:bookmarkStart w:id="283" w:name="_ENREF_222"/>
      <w:r w:rsidRPr="00330CF1">
        <w:rPr>
          <w:rFonts w:ascii="Arial" w:hAnsi="Arial" w:cs="Arial"/>
          <w:noProof/>
        </w:rPr>
        <w:t>222.</w:t>
      </w:r>
      <w:r w:rsidRPr="00330CF1">
        <w:rPr>
          <w:rFonts w:ascii="Arial" w:hAnsi="Arial" w:cs="Arial"/>
          <w:noProof/>
        </w:rPr>
        <w:tab/>
        <w:t xml:space="preserve">Damodaran, S., </w:t>
      </w:r>
      <w:r w:rsidRPr="00330CF1">
        <w:rPr>
          <w:rFonts w:ascii="Arial" w:hAnsi="Arial" w:cs="Arial"/>
          <w:i/>
          <w:noProof/>
        </w:rPr>
        <w:t>Amino Acids, Peptides and Proteins</w:t>
      </w:r>
      <w:r w:rsidRPr="00330CF1">
        <w:rPr>
          <w:rFonts w:ascii="Arial" w:hAnsi="Arial" w:cs="Arial"/>
          <w:noProof/>
        </w:rPr>
        <w:t xml:space="preserve">, in </w:t>
      </w:r>
      <w:r w:rsidRPr="00330CF1">
        <w:rPr>
          <w:rFonts w:ascii="Arial" w:hAnsi="Arial" w:cs="Arial"/>
          <w:i/>
          <w:noProof/>
        </w:rPr>
        <w:t>Food Chemistry 3rd Edition</w:t>
      </w:r>
      <w:r w:rsidRPr="00330CF1">
        <w:rPr>
          <w:rFonts w:ascii="Arial" w:hAnsi="Arial" w:cs="Arial"/>
          <w:noProof/>
        </w:rPr>
        <w:t>, O.R. Fennema, Editor 1996, Marcel Dekker, Inc.: New York, NY. p. 321-429.</w:t>
      </w:r>
      <w:bookmarkEnd w:id="283"/>
    </w:p>
    <w:p w:rsidR="00330CF1" w:rsidRPr="00330CF1" w:rsidRDefault="00330CF1" w:rsidP="0009286C">
      <w:pPr>
        <w:ind w:left="720" w:hanging="720"/>
        <w:rPr>
          <w:rFonts w:ascii="Arial" w:hAnsi="Arial" w:cs="Arial"/>
          <w:noProof/>
        </w:rPr>
      </w:pPr>
      <w:bookmarkStart w:id="284" w:name="_ENREF_223"/>
      <w:r w:rsidRPr="00330CF1">
        <w:rPr>
          <w:rFonts w:ascii="Arial" w:hAnsi="Arial" w:cs="Arial"/>
          <w:noProof/>
        </w:rPr>
        <w:t>223.</w:t>
      </w:r>
      <w:r w:rsidRPr="00330CF1">
        <w:rPr>
          <w:rFonts w:ascii="Arial" w:hAnsi="Arial" w:cs="Arial"/>
          <w:noProof/>
        </w:rPr>
        <w:tab/>
        <w:t xml:space="preserve">Maillard, A.C., </w:t>
      </w:r>
      <w:r w:rsidRPr="00330CF1">
        <w:rPr>
          <w:rFonts w:ascii="Arial" w:hAnsi="Arial" w:cs="Arial"/>
          <w:i/>
          <w:noProof/>
        </w:rPr>
        <w:t>Action des acides amines sur les sucres. Formation des melanoidines par voie methodologique.</w:t>
      </w:r>
      <w:r w:rsidRPr="00330CF1">
        <w:rPr>
          <w:rFonts w:ascii="Arial" w:hAnsi="Arial" w:cs="Arial"/>
          <w:noProof/>
        </w:rPr>
        <w:t xml:space="preserve"> C.R. Acad. Sci, 1912. </w:t>
      </w:r>
      <w:r w:rsidRPr="00330CF1">
        <w:rPr>
          <w:rFonts w:ascii="Arial" w:hAnsi="Arial" w:cs="Arial"/>
          <w:b/>
          <w:noProof/>
        </w:rPr>
        <w:t>154</w:t>
      </w:r>
      <w:r w:rsidRPr="00330CF1">
        <w:rPr>
          <w:rFonts w:ascii="Arial" w:hAnsi="Arial" w:cs="Arial"/>
          <w:noProof/>
        </w:rPr>
        <w:t>: p. 66-68.</w:t>
      </w:r>
      <w:bookmarkEnd w:id="284"/>
    </w:p>
    <w:p w:rsidR="00330CF1" w:rsidRPr="00330CF1" w:rsidRDefault="00330CF1" w:rsidP="0009286C">
      <w:pPr>
        <w:ind w:left="720" w:hanging="720"/>
        <w:rPr>
          <w:rFonts w:ascii="Arial" w:hAnsi="Arial" w:cs="Arial"/>
          <w:noProof/>
        </w:rPr>
      </w:pPr>
      <w:bookmarkStart w:id="285" w:name="_ENREF_224"/>
      <w:r w:rsidRPr="00330CF1">
        <w:rPr>
          <w:rFonts w:ascii="Arial" w:hAnsi="Arial" w:cs="Arial"/>
          <w:noProof/>
        </w:rPr>
        <w:t>224.</w:t>
      </w:r>
      <w:r w:rsidRPr="00330CF1">
        <w:rPr>
          <w:rFonts w:ascii="Arial" w:hAnsi="Arial" w:cs="Arial"/>
          <w:noProof/>
        </w:rPr>
        <w:tab/>
        <w:t xml:space="preserve">Friedman, M., </w:t>
      </w:r>
      <w:r w:rsidRPr="00330CF1">
        <w:rPr>
          <w:rFonts w:ascii="Arial" w:hAnsi="Arial" w:cs="Arial"/>
          <w:i/>
          <w:noProof/>
        </w:rPr>
        <w:t>Food browning and its prevention: An overview.</w:t>
      </w:r>
      <w:r w:rsidRPr="00330CF1">
        <w:rPr>
          <w:rFonts w:ascii="Arial" w:hAnsi="Arial" w:cs="Arial"/>
          <w:noProof/>
        </w:rPr>
        <w:t xml:space="preserve"> Journal of Agricultural and Food Chemistry, 1996. </w:t>
      </w:r>
      <w:r w:rsidRPr="00330CF1">
        <w:rPr>
          <w:rFonts w:ascii="Arial" w:hAnsi="Arial" w:cs="Arial"/>
          <w:b/>
          <w:noProof/>
        </w:rPr>
        <w:t>44</w:t>
      </w:r>
      <w:r w:rsidRPr="00330CF1">
        <w:rPr>
          <w:rFonts w:ascii="Arial" w:hAnsi="Arial" w:cs="Arial"/>
          <w:noProof/>
        </w:rPr>
        <w:t>(3): p. 631-653.</w:t>
      </w:r>
      <w:bookmarkEnd w:id="285"/>
    </w:p>
    <w:p w:rsidR="00330CF1" w:rsidRPr="00330CF1" w:rsidRDefault="00330CF1" w:rsidP="0009286C">
      <w:pPr>
        <w:ind w:left="720" w:hanging="720"/>
        <w:rPr>
          <w:rFonts w:ascii="Arial" w:hAnsi="Arial" w:cs="Arial"/>
          <w:noProof/>
        </w:rPr>
      </w:pPr>
      <w:bookmarkStart w:id="286" w:name="_ENREF_225"/>
      <w:r w:rsidRPr="00330CF1">
        <w:rPr>
          <w:rFonts w:ascii="Arial" w:hAnsi="Arial" w:cs="Arial"/>
          <w:noProof/>
        </w:rPr>
        <w:t>225.</w:t>
      </w:r>
      <w:r w:rsidRPr="00330CF1">
        <w:rPr>
          <w:rFonts w:ascii="Arial" w:hAnsi="Arial" w:cs="Arial"/>
          <w:noProof/>
        </w:rPr>
        <w:tab/>
        <w:t xml:space="preserve">Bengmark, S., </w:t>
      </w:r>
      <w:r w:rsidRPr="00330CF1">
        <w:rPr>
          <w:rFonts w:ascii="Arial" w:hAnsi="Arial" w:cs="Arial"/>
          <w:i/>
          <w:noProof/>
        </w:rPr>
        <w:t>Advanced Glycation and Lipoxidation End Products Amplifiers of Inflammation: The Role of Food.</w:t>
      </w:r>
      <w:r w:rsidRPr="00330CF1">
        <w:rPr>
          <w:rFonts w:ascii="Arial" w:hAnsi="Arial" w:cs="Arial"/>
          <w:noProof/>
        </w:rPr>
        <w:t xml:space="preserve"> JPEN J Parenter Enteral Nutr, 2007. </w:t>
      </w:r>
      <w:r w:rsidRPr="00330CF1">
        <w:rPr>
          <w:rFonts w:ascii="Arial" w:hAnsi="Arial" w:cs="Arial"/>
          <w:b/>
          <w:noProof/>
        </w:rPr>
        <w:t>31</w:t>
      </w:r>
      <w:r w:rsidRPr="00330CF1">
        <w:rPr>
          <w:rFonts w:ascii="Arial" w:hAnsi="Arial" w:cs="Arial"/>
          <w:noProof/>
        </w:rPr>
        <w:t>(5): p. 430-440.</w:t>
      </w:r>
      <w:bookmarkEnd w:id="286"/>
    </w:p>
    <w:p w:rsidR="00330CF1" w:rsidRPr="00330CF1" w:rsidRDefault="00330CF1" w:rsidP="0009286C">
      <w:pPr>
        <w:ind w:left="720" w:hanging="720"/>
        <w:rPr>
          <w:rFonts w:ascii="Arial" w:hAnsi="Arial" w:cs="Arial"/>
          <w:noProof/>
        </w:rPr>
      </w:pPr>
      <w:bookmarkStart w:id="287" w:name="_ENREF_226"/>
      <w:r w:rsidRPr="00330CF1">
        <w:rPr>
          <w:rFonts w:ascii="Arial" w:hAnsi="Arial" w:cs="Arial"/>
          <w:noProof/>
        </w:rPr>
        <w:t>226.</w:t>
      </w:r>
      <w:r w:rsidRPr="00330CF1">
        <w:rPr>
          <w:rFonts w:ascii="Arial" w:hAnsi="Arial" w:cs="Arial"/>
          <w:noProof/>
        </w:rPr>
        <w:tab/>
        <w:t xml:space="preserve">Baynes, J.W. and S.R. Thorpe, </w:t>
      </w:r>
      <w:r w:rsidRPr="00330CF1">
        <w:rPr>
          <w:rFonts w:ascii="Arial" w:hAnsi="Arial" w:cs="Arial"/>
          <w:i/>
          <w:noProof/>
        </w:rPr>
        <w:t>Glycoxidation and lipoxidation in atherogenesis.</w:t>
      </w:r>
      <w:r w:rsidRPr="00330CF1">
        <w:rPr>
          <w:rFonts w:ascii="Arial" w:hAnsi="Arial" w:cs="Arial"/>
          <w:noProof/>
        </w:rPr>
        <w:t xml:space="preserve"> Free Radical Biology and Medicine, 2000. </w:t>
      </w:r>
      <w:r w:rsidRPr="00330CF1">
        <w:rPr>
          <w:rFonts w:ascii="Arial" w:hAnsi="Arial" w:cs="Arial"/>
          <w:b/>
          <w:noProof/>
        </w:rPr>
        <w:t>28</w:t>
      </w:r>
      <w:r w:rsidRPr="00330CF1">
        <w:rPr>
          <w:rFonts w:ascii="Arial" w:hAnsi="Arial" w:cs="Arial"/>
          <w:noProof/>
        </w:rPr>
        <w:t>(12): p. 1708-1716.</w:t>
      </w:r>
      <w:bookmarkEnd w:id="287"/>
    </w:p>
    <w:p w:rsidR="00330CF1" w:rsidRPr="00330CF1" w:rsidRDefault="00330CF1" w:rsidP="0009286C">
      <w:pPr>
        <w:ind w:left="720" w:hanging="720"/>
        <w:rPr>
          <w:rFonts w:ascii="Arial" w:hAnsi="Arial" w:cs="Arial"/>
          <w:noProof/>
        </w:rPr>
      </w:pPr>
      <w:bookmarkStart w:id="288" w:name="_ENREF_227"/>
      <w:r w:rsidRPr="00330CF1">
        <w:rPr>
          <w:rFonts w:ascii="Arial" w:hAnsi="Arial" w:cs="Arial"/>
          <w:noProof/>
        </w:rPr>
        <w:t>227.</w:t>
      </w:r>
      <w:r w:rsidRPr="00330CF1">
        <w:rPr>
          <w:rFonts w:ascii="Arial" w:hAnsi="Arial" w:cs="Arial"/>
          <w:noProof/>
        </w:rPr>
        <w:tab/>
        <w:t xml:space="preserve">Semba, R.D., E.J. Nicklett, and L. Ferrucci, </w:t>
      </w:r>
      <w:r w:rsidRPr="00330CF1">
        <w:rPr>
          <w:rFonts w:ascii="Arial" w:hAnsi="Arial" w:cs="Arial"/>
          <w:i/>
          <w:noProof/>
        </w:rPr>
        <w:t>Does Accumulation of Advanced Glycation End Products Contribute to the Aging Phenotype?</w:t>
      </w:r>
      <w:r w:rsidRPr="00330CF1">
        <w:rPr>
          <w:rFonts w:ascii="Arial" w:hAnsi="Arial" w:cs="Arial"/>
          <w:noProof/>
        </w:rPr>
        <w:t xml:space="preserve"> Journals of Gerontology Series a-Biological Sciences and Medical Sciences, 2010. </w:t>
      </w:r>
      <w:r w:rsidRPr="00330CF1">
        <w:rPr>
          <w:rFonts w:ascii="Arial" w:hAnsi="Arial" w:cs="Arial"/>
          <w:b/>
          <w:noProof/>
        </w:rPr>
        <w:t>65</w:t>
      </w:r>
      <w:r w:rsidRPr="00330CF1">
        <w:rPr>
          <w:rFonts w:ascii="Arial" w:hAnsi="Arial" w:cs="Arial"/>
          <w:noProof/>
        </w:rPr>
        <w:t>(9): p. 963-975.</w:t>
      </w:r>
      <w:bookmarkEnd w:id="288"/>
    </w:p>
    <w:p w:rsidR="00330CF1" w:rsidRPr="00330CF1" w:rsidRDefault="00330CF1" w:rsidP="0009286C">
      <w:pPr>
        <w:ind w:left="720" w:hanging="720"/>
        <w:rPr>
          <w:rFonts w:ascii="Arial" w:hAnsi="Arial" w:cs="Arial"/>
          <w:noProof/>
        </w:rPr>
      </w:pPr>
      <w:bookmarkStart w:id="289" w:name="_ENREF_228"/>
      <w:r w:rsidRPr="00330CF1">
        <w:rPr>
          <w:rFonts w:ascii="Arial" w:hAnsi="Arial" w:cs="Arial"/>
          <w:noProof/>
        </w:rPr>
        <w:t>228.</w:t>
      </w:r>
      <w:r w:rsidRPr="00330CF1">
        <w:rPr>
          <w:rFonts w:ascii="Arial" w:hAnsi="Arial" w:cs="Arial"/>
          <w:noProof/>
        </w:rPr>
        <w:tab/>
        <w:t xml:space="preserve">Van Nguyen, C., </w:t>
      </w:r>
      <w:r w:rsidRPr="00330CF1">
        <w:rPr>
          <w:rFonts w:ascii="Arial" w:hAnsi="Arial" w:cs="Arial"/>
          <w:i/>
          <w:noProof/>
        </w:rPr>
        <w:t>Toxicity of the AGEs generated from the Maillard reaction: On the relationship of food-AGEs and biological-AGEs.</w:t>
      </w:r>
      <w:r w:rsidRPr="00330CF1">
        <w:rPr>
          <w:rFonts w:ascii="Arial" w:hAnsi="Arial" w:cs="Arial"/>
          <w:noProof/>
        </w:rPr>
        <w:t xml:space="preserve"> Molecular Nutrition &amp; Food Research, 2006. </w:t>
      </w:r>
      <w:r w:rsidRPr="00330CF1">
        <w:rPr>
          <w:rFonts w:ascii="Arial" w:hAnsi="Arial" w:cs="Arial"/>
          <w:b/>
          <w:noProof/>
        </w:rPr>
        <w:t>50</w:t>
      </w:r>
      <w:r w:rsidRPr="00330CF1">
        <w:rPr>
          <w:rFonts w:ascii="Arial" w:hAnsi="Arial" w:cs="Arial"/>
          <w:noProof/>
        </w:rPr>
        <w:t>(12): p. 1140-1149.</w:t>
      </w:r>
      <w:bookmarkEnd w:id="289"/>
    </w:p>
    <w:p w:rsidR="00330CF1" w:rsidRPr="00330CF1" w:rsidRDefault="00330CF1" w:rsidP="0009286C">
      <w:pPr>
        <w:ind w:left="720" w:hanging="720"/>
        <w:rPr>
          <w:rFonts w:ascii="Arial" w:hAnsi="Arial" w:cs="Arial"/>
          <w:noProof/>
        </w:rPr>
      </w:pPr>
      <w:bookmarkStart w:id="290" w:name="_ENREF_229"/>
      <w:r w:rsidRPr="00330CF1">
        <w:rPr>
          <w:rFonts w:ascii="Arial" w:hAnsi="Arial" w:cs="Arial"/>
          <w:noProof/>
        </w:rPr>
        <w:t>229.</w:t>
      </w:r>
      <w:r w:rsidRPr="00330CF1">
        <w:rPr>
          <w:rFonts w:ascii="Arial" w:hAnsi="Arial" w:cs="Arial"/>
          <w:noProof/>
        </w:rPr>
        <w:tab/>
        <w:t xml:space="preserve">Friedman, M., </w:t>
      </w:r>
      <w:r w:rsidRPr="00330CF1">
        <w:rPr>
          <w:rFonts w:ascii="Arial" w:hAnsi="Arial" w:cs="Arial"/>
          <w:i/>
          <w:noProof/>
        </w:rPr>
        <w:t>Origin, Microbiology, Nutrition, and Pharmacology of D-Amino Acids.</w:t>
      </w:r>
      <w:r w:rsidRPr="00330CF1">
        <w:rPr>
          <w:rFonts w:ascii="Arial" w:hAnsi="Arial" w:cs="Arial"/>
          <w:noProof/>
        </w:rPr>
        <w:t xml:space="preserve"> Chemistry &amp; Biodiversity, 2010. </w:t>
      </w:r>
      <w:r w:rsidRPr="00330CF1">
        <w:rPr>
          <w:rFonts w:ascii="Arial" w:hAnsi="Arial" w:cs="Arial"/>
          <w:b/>
          <w:noProof/>
        </w:rPr>
        <w:t>7</w:t>
      </w:r>
      <w:r w:rsidRPr="00330CF1">
        <w:rPr>
          <w:rFonts w:ascii="Arial" w:hAnsi="Arial" w:cs="Arial"/>
          <w:noProof/>
        </w:rPr>
        <w:t>(6): p. 1491-1530.</w:t>
      </w:r>
      <w:bookmarkEnd w:id="290"/>
    </w:p>
    <w:p w:rsidR="00330CF1" w:rsidRPr="00330CF1" w:rsidRDefault="00330CF1" w:rsidP="0009286C">
      <w:pPr>
        <w:ind w:left="720" w:hanging="720"/>
        <w:rPr>
          <w:rFonts w:ascii="Arial" w:hAnsi="Arial" w:cs="Arial"/>
          <w:noProof/>
        </w:rPr>
      </w:pPr>
      <w:bookmarkStart w:id="291" w:name="_ENREF_230"/>
      <w:r w:rsidRPr="00330CF1">
        <w:rPr>
          <w:rFonts w:ascii="Arial" w:hAnsi="Arial" w:cs="Arial"/>
          <w:noProof/>
        </w:rPr>
        <w:t>230.</w:t>
      </w:r>
      <w:r w:rsidRPr="00330CF1">
        <w:rPr>
          <w:rFonts w:ascii="Arial" w:hAnsi="Arial" w:cs="Arial"/>
          <w:noProof/>
        </w:rPr>
        <w:tab/>
        <w:t xml:space="preserve">Friedman, M., </w:t>
      </w:r>
      <w:r w:rsidRPr="00330CF1">
        <w:rPr>
          <w:rFonts w:ascii="Arial" w:hAnsi="Arial" w:cs="Arial"/>
          <w:i/>
          <w:noProof/>
        </w:rPr>
        <w:t>Chemistry, biochemistry, nutrition, and microbiology of lysinoalanine, lanthionine, and histidinoalanine in food and other proteins.</w:t>
      </w:r>
      <w:r w:rsidRPr="00330CF1">
        <w:rPr>
          <w:rFonts w:ascii="Arial" w:hAnsi="Arial" w:cs="Arial"/>
          <w:noProof/>
        </w:rPr>
        <w:t xml:space="preserve"> Journal of Agricultural and Food Chemistry, 1999. </w:t>
      </w:r>
      <w:r w:rsidRPr="00330CF1">
        <w:rPr>
          <w:rFonts w:ascii="Arial" w:hAnsi="Arial" w:cs="Arial"/>
          <w:b/>
          <w:noProof/>
        </w:rPr>
        <w:t>47</w:t>
      </w:r>
      <w:r w:rsidRPr="00330CF1">
        <w:rPr>
          <w:rFonts w:ascii="Arial" w:hAnsi="Arial" w:cs="Arial"/>
          <w:noProof/>
        </w:rPr>
        <w:t>(4): p. 1295-1319.</w:t>
      </w:r>
      <w:bookmarkEnd w:id="291"/>
    </w:p>
    <w:p w:rsidR="00330CF1" w:rsidRPr="00330CF1" w:rsidRDefault="00330CF1" w:rsidP="0009286C">
      <w:pPr>
        <w:ind w:left="720" w:hanging="720"/>
        <w:rPr>
          <w:rFonts w:ascii="Arial" w:hAnsi="Arial" w:cs="Arial"/>
          <w:noProof/>
        </w:rPr>
      </w:pPr>
      <w:bookmarkStart w:id="292" w:name="_ENREF_231"/>
      <w:r w:rsidRPr="00330CF1">
        <w:rPr>
          <w:rFonts w:ascii="Arial" w:hAnsi="Arial" w:cs="Arial"/>
          <w:noProof/>
        </w:rPr>
        <w:t>231.</w:t>
      </w:r>
      <w:r w:rsidRPr="00330CF1">
        <w:rPr>
          <w:rFonts w:ascii="Arial" w:hAnsi="Arial" w:cs="Arial"/>
          <w:noProof/>
        </w:rPr>
        <w:tab/>
        <w:t xml:space="preserve">Woodard, J.C. and D.D. Short, </w:t>
      </w:r>
      <w:r w:rsidRPr="00330CF1">
        <w:rPr>
          <w:rFonts w:ascii="Arial" w:hAnsi="Arial" w:cs="Arial"/>
          <w:i/>
          <w:noProof/>
        </w:rPr>
        <w:t>Renal toxicity of NE-(DL-2-amino-2-carboxyethyl)-L-lysine (lysinoalanine) in rats. .</w:t>
      </w:r>
      <w:r w:rsidRPr="00330CF1">
        <w:rPr>
          <w:rFonts w:ascii="Arial" w:hAnsi="Arial" w:cs="Arial"/>
          <w:noProof/>
        </w:rPr>
        <w:t xml:space="preserve"> Federation Proceedings, 1975. </w:t>
      </w:r>
      <w:r w:rsidRPr="00330CF1">
        <w:rPr>
          <w:rFonts w:ascii="Arial" w:hAnsi="Arial" w:cs="Arial"/>
          <w:b/>
          <w:noProof/>
        </w:rPr>
        <w:t>34</w:t>
      </w:r>
      <w:r w:rsidRPr="00330CF1">
        <w:rPr>
          <w:rFonts w:ascii="Arial" w:hAnsi="Arial" w:cs="Arial"/>
          <w:noProof/>
        </w:rPr>
        <w:t>(3): p. 929-929.</w:t>
      </w:r>
      <w:bookmarkEnd w:id="292"/>
    </w:p>
    <w:p w:rsidR="00330CF1" w:rsidRPr="00330CF1" w:rsidRDefault="00330CF1" w:rsidP="0009286C">
      <w:pPr>
        <w:ind w:left="720" w:hanging="720"/>
        <w:rPr>
          <w:rFonts w:ascii="Arial" w:hAnsi="Arial" w:cs="Arial"/>
          <w:noProof/>
        </w:rPr>
      </w:pPr>
      <w:bookmarkStart w:id="293" w:name="_ENREF_232"/>
      <w:r w:rsidRPr="00330CF1">
        <w:rPr>
          <w:rFonts w:ascii="Arial" w:hAnsi="Arial" w:cs="Arial"/>
          <w:noProof/>
        </w:rPr>
        <w:t>232.</w:t>
      </w:r>
      <w:r w:rsidRPr="00330CF1">
        <w:rPr>
          <w:rFonts w:ascii="Arial" w:hAnsi="Arial" w:cs="Arial"/>
          <w:noProof/>
        </w:rPr>
        <w:tab/>
        <w:t xml:space="preserve">Deshpande, S.S., </w:t>
      </w:r>
      <w:r w:rsidRPr="00330CF1">
        <w:rPr>
          <w:rFonts w:ascii="Arial" w:hAnsi="Arial" w:cs="Arial"/>
          <w:i/>
          <w:noProof/>
        </w:rPr>
        <w:t>Handbook of food toxicology</w:t>
      </w:r>
      <w:r w:rsidRPr="00330CF1">
        <w:rPr>
          <w:rFonts w:ascii="Arial" w:hAnsi="Arial" w:cs="Arial"/>
          <w:noProof/>
        </w:rPr>
        <w:t xml:space="preserve"> 2002, New York: Marcel Dekker.</w:t>
      </w:r>
      <w:bookmarkEnd w:id="293"/>
    </w:p>
    <w:p w:rsidR="00330CF1" w:rsidRPr="00330CF1" w:rsidRDefault="00330CF1" w:rsidP="0009286C">
      <w:pPr>
        <w:ind w:left="720" w:hanging="720"/>
        <w:rPr>
          <w:rFonts w:ascii="Arial" w:hAnsi="Arial" w:cs="Arial"/>
          <w:noProof/>
        </w:rPr>
      </w:pPr>
      <w:bookmarkStart w:id="294" w:name="_ENREF_233"/>
      <w:r w:rsidRPr="00330CF1">
        <w:rPr>
          <w:rFonts w:ascii="Arial" w:hAnsi="Arial" w:cs="Arial"/>
          <w:noProof/>
        </w:rPr>
        <w:lastRenderedPageBreak/>
        <w:t>233.</w:t>
      </w:r>
      <w:r w:rsidRPr="00330CF1">
        <w:rPr>
          <w:rFonts w:ascii="Arial" w:hAnsi="Arial" w:cs="Arial"/>
          <w:noProof/>
        </w:rPr>
        <w:tab/>
        <w:t xml:space="preserve">Stavric, B., </w:t>
      </w:r>
      <w:r w:rsidRPr="00330CF1">
        <w:rPr>
          <w:rFonts w:ascii="Arial" w:hAnsi="Arial" w:cs="Arial"/>
          <w:i/>
          <w:noProof/>
        </w:rPr>
        <w:t>Biological Significance of Trace Levels of Mutagenic Heterocyclic Aromatic-Amines in Human Diet - A Critical Review.</w:t>
      </w:r>
      <w:r w:rsidRPr="00330CF1">
        <w:rPr>
          <w:rFonts w:ascii="Arial" w:hAnsi="Arial" w:cs="Arial"/>
          <w:noProof/>
        </w:rPr>
        <w:t xml:space="preserve"> Food and Chemical Toxicology, 1994. </w:t>
      </w:r>
      <w:r w:rsidRPr="00330CF1">
        <w:rPr>
          <w:rFonts w:ascii="Arial" w:hAnsi="Arial" w:cs="Arial"/>
          <w:b/>
          <w:noProof/>
        </w:rPr>
        <w:t>32</w:t>
      </w:r>
      <w:r w:rsidRPr="00330CF1">
        <w:rPr>
          <w:rFonts w:ascii="Arial" w:hAnsi="Arial" w:cs="Arial"/>
          <w:noProof/>
        </w:rPr>
        <w:t>(10): p. 977-994.</w:t>
      </w:r>
      <w:bookmarkEnd w:id="294"/>
    </w:p>
    <w:p w:rsidR="00330CF1" w:rsidRPr="00330CF1" w:rsidRDefault="00330CF1" w:rsidP="0009286C">
      <w:pPr>
        <w:ind w:left="720" w:hanging="720"/>
        <w:rPr>
          <w:rFonts w:ascii="Arial" w:hAnsi="Arial" w:cs="Arial"/>
          <w:noProof/>
        </w:rPr>
      </w:pPr>
      <w:bookmarkStart w:id="295" w:name="_ENREF_234"/>
      <w:r w:rsidRPr="00330CF1">
        <w:rPr>
          <w:rFonts w:ascii="Arial" w:hAnsi="Arial" w:cs="Arial"/>
          <w:noProof/>
        </w:rPr>
        <w:t>234.</w:t>
      </w:r>
      <w:r w:rsidRPr="00330CF1">
        <w:rPr>
          <w:rFonts w:ascii="Arial" w:hAnsi="Arial" w:cs="Arial"/>
          <w:noProof/>
        </w:rPr>
        <w:tab/>
        <w:t xml:space="preserve">Cowell, C.S., et al., </w:t>
      </w:r>
      <w:r w:rsidRPr="00330CF1">
        <w:rPr>
          <w:rFonts w:ascii="Arial" w:hAnsi="Arial" w:cs="Arial"/>
          <w:i/>
          <w:noProof/>
        </w:rPr>
        <w:t>Making Commercial Pet Foods</w:t>
      </w:r>
      <w:r w:rsidRPr="00330CF1">
        <w:rPr>
          <w:rFonts w:ascii="Arial" w:hAnsi="Arial" w:cs="Arial"/>
          <w:noProof/>
        </w:rPr>
        <w:t xml:space="preserve">, in </w:t>
      </w:r>
      <w:r w:rsidRPr="00330CF1">
        <w:rPr>
          <w:rFonts w:ascii="Arial" w:hAnsi="Arial" w:cs="Arial"/>
          <w:i/>
          <w:noProof/>
        </w:rPr>
        <w:t>Small Animal Clinical Nutrition 4th Edition</w:t>
      </w:r>
      <w:r w:rsidRPr="00330CF1">
        <w:rPr>
          <w:rFonts w:ascii="Arial" w:hAnsi="Arial" w:cs="Arial"/>
          <w:noProof/>
        </w:rPr>
        <w:t>, M.S. Hand, et al., Editors. 2000, Mark Morris Institute: Topeka, KS. p. 127-146.</w:t>
      </w:r>
      <w:bookmarkEnd w:id="295"/>
    </w:p>
    <w:p w:rsidR="00330CF1" w:rsidRPr="00330CF1" w:rsidRDefault="00330CF1" w:rsidP="0009286C">
      <w:pPr>
        <w:ind w:left="720" w:hanging="720"/>
        <w:rPr>
          <w:rFonts w:ascii="Arial" w:hAnsi="Arial" w:cs="Arial"/>
          <w:noProof/>
        </w:rPr>
      </w:pPr>
      <w:bookmarkStart w:id="296" w:name="_ENREF_235"/>
      <w:r w:rsidRPr="00330CF1">
        <w:rPr>
          <w:rFonts w:ascii="Arial" w:hAnsi="Arial" w:cs="Arial"/>
          <w:noProof/>
        </w:rPr>
        <w:t>235.</w:t>
      </w:r>
      <w:r w:rsidRPr="00330CF1">
        <w:rPr>
          <w:rFonts w:ascii="Arial" w:hAnsi="Arial" w:cs="Arial"/>
          <w:noProof/>
        </w:rPr>
        <w:tab/>
        <w:t xml:space="preserve">Friedman, M. and J.L. Cuq, </w:t>
      </w:r>
      <w:r w:rsidRPr="00330CF1">
        <w:rPr>
          <w:rFonts w:ascii="Arial" w:hAnsi="Arial" w:cs="Arial"/>
          <w:i/>
          <w:noProof/>
        </w:rPr>
        <w:t>Chemistry, analysis, nutritional-value, and toxicology of tryptophan in food - a review. .</w:t>
      </w:r>
      <w:r w:rsidRPr="00330CF1">
        <w:rPr>
          <w:rFonts w:ascii="Arial" w:hAnsi="Arial" w:cs="Arial"/>
          <w:noProof/>
        </w:rPr>
        <w:t xml:space="preserve"> Journal of Agricultural and Food Chemistry, 1988. </w:t>
      </w:r>
      <w:r w:rsidRPr="00330CF1">
        <w:rPr>
          <w:rFonts w:ascii="Arial" w:hAnsi="Arial" w:cs="Arial"/>
          <w:b/>
          <w:noProof/>
        </w:rPr>
        <w:t>36</w:t>
      </w:r>
      <w:r w:rsidRPr="00330CF1">
        <w:rPr>
          <w:rFonts w:ascii="Arial" w:hAnsi="Arial" w:cs="Arial"/>
          <w:noProof/>
        </w:rPr>
        <w:t>(5): p. 1079-1093.</w:t>
      </w:r>
      <w:bookmarkEnd w:id="296"/>
    </w:p>
    <w:p w:rsidR="00330CF1" w:rsidRPr="00330CF1" w:rsidRDefault="00330CF1" w:rsidP="0009286C">
      <w:pPr>
        <w:ind w:left="720" w:hanging="720"/>
        <w:rPr>
          <w:rFonts w:ascii="Arial" w:hAnsi="Arial" w:cs="Arial"/>
          <w:noProof/>
        </w:rPr>
      </w:pPr>
      <w:bookmarkStart w:id="297" w:name="_ENREF_236"/>
      <w:r w:rsidRPr="00330CF1">
        <w:rPr>
          <w:rFonts w:ascii="Arial" w:hAnsi="Arial" w:cs="Arial"/>
          <w:noProof/>
        </w:rPr>
        <w:t>236.</w:t>
      </w:r>
      <w:r w:rsidRPr="00330CF1">
        <w:rPr>
          <w:rFonts w:ascii="Arial" w:hAnsi="Arial" w:cs="Arial"/>
          <w:noProof/>
        </w:rPr>
        <w:tab/>
        <w:t xml:space="preserve">Williams, P.A., et al., </w:t>
      </w:r>
      <w:r w:rsidRPr="00330CF1">
        <w:rPr>
          <w:rFonts w:ascii="Arial" w:hAnsi="Arial" w:cs="Arial"/>
          <w:i/>
          <w:noProof/>
        </w:rPr>
        <w:t>Lysine Content in Canine Diets Can Be Severely Heat Damaged.</w:t>
      </w:r>
      <w:r w:rsidRPr="00330CF1">
        <w:rPr>
          <w:rFonts w:ascii="Arial" w:hAnsi="Arial" w:cs="Arial"/>
          <w:noProof/>
        </w:rPr>
        <w:t xml:space="preserve"> J. Nutr., 2006. </w:t>
      </w:r>
      <w:r w:rsidRPr="00330CF1">
        <w:rPr>
          <w:rFonts w:ascii="Arial" w:hAnsi="Arial" w:cs="Arial"/>
          <w:b/>
          <w:noProof/>
        </w:rPr>
        <w:t>136</w:t>
      </w:r>
      <w:r w:rsidRPr="00330CF1">
        <w:rPr>
          <w:rFonts w:ascii="Arial" w:hAnsi="Arial" w:cs="Arial"/>
          <w:noProof/>
        </w:rPr>
        <w:t>(7): p. 1998S-2000.</w:t>
      </w:r>
      <w:bookmarkEnd w:id="297"/>
    </w:p>
    <w:p w:rsidR="00330CF1" w:rsidRPr="00330CF1" w:rsidRDefault="00330CF1" w:rsidP="0009286C">
      <w:pPr>
        <w:ind w:left="720" w:hanging="720"/>
        <w:rPr>
          <w:rFonts w:ascii="Arial" w:hAnsi="Arial" w:cs="Arial"/>
          <w:noProof/>
        </w:rPr>
      </w:pPr>
      <w:bookmarkStart w:id="298" w:name="_ENREF_237"/>
      <w:r w:rsidRPr="00330CF1">
        <w:rPr>
          <w:rFonts w:ascii="Arial" w:hAnsi="Arial" w:cs="Arial"/>
          <w:noProof/>
        </w:rPr>
        <w:t>237.</w:t>
      </w:r>
      <w:r w:rsidRPr="00330CF1">
        <w:rPr>
          <w:rFonts w:ascii="Arial" w:hAnsi="Arial" w:cs="Arial"/>
          <w:noProof/>
        </w:rPr>
        <w:tab/>
        <w:t xml:space="preserve">Larsen, J., C. Calvert, and Q. Rogers, </w:t>
      </w:r>
      <w:r w:rsidRPr="00330CF1">
        <w:rPr>
          <w:rFonts w:ascii="Arial" w:hAnsi="Arial" w:cs="Arial"/>
          <w:i/>
          <w:noProof/>
        </w:rPr>
        <w:t>Processing of dietary protein decreases methionine bioavailability in growing kittens.</w:t>
      </w:r>
      <w:r w:rsidRPr="00330CF1">
        <w:rPr>
          <w:rFonts w:ascii="Arial" w:hAnsi="Arial" w:cs="Arial"/>
          <w:noProof/>
        </w:rPr>
        <w:t xml:space="preserve"> Compendium on Continuing Education for the Practicing Veterinarian 2003. </w:t>
      </w:r>
      <w:r w:rsidRPr="00330CF1">
        <w:rPr>
          <w:rFonts w:ascii="Arial" w:hAnsi="Arial" w:cs="Arial"/>
          <w:b/>
          <w:noProof/>
        </w:rPr>
        <w:t>24</w:t>
      </w:r>
      <w:r w:rsidRPr="00330CF1">
        <w:rPr>
          <w:rFonts w:ascii="Arial" w:hAnsi="Arial" w:cs="Arial"/>
          <w:noProof/>
        </w:rPr>
        <w:t>(9; SUPP/A): p. 85.</w:t>
      </w:r>
      <w:bookmarkEnd w:id="298"/>
    </w:p>
    <w:p w:rsidR="00330CF1" w:rsidRPr="00330CF1" w:rsidRDefault="00330CF1" w:rsidP="0009286C">
      <w:pPr>
        <w:ind w:left="720" w:hanging="720"/>
        <w:rPr>
          <w:rFonts w:ascii="Arial" w:hAnsi="Arial" w:cs="Arial"/>
          <w:noProof/>
        </w:rPr>
      </w:pPr>
      <w:bookmarkStart w:id="299" w:name="_ENREF_238"/>
      <w:r w:rsidRPr="00330CF1">
        <w:rPr>
          <w:rFonts w:ascii="Arial" w:hAnsi="Arial" w:cs="Arial"/>
          <w:noProof/>
        </w:rPr>
        <w:t>238.</w:t>
      </w:r>
      <w:r w:rsidRPr="00330CF1">
        <w:rPr>
          <w:rFonts w:ascii="Arial" w:hAnsi="Arial" w:cs="Arial"/>
          <w:noProof/>
        </w:rPr>
        <w:tab/>
        <w:t xml:space="preserve">Spitze, A.R., et al., </w:t>
      </w:r>
      <w:r w:rsidRPr="00330CF1">
        <w:rPr>
          <w:rFonts w:ascii="Arial" w:hAnsi="Arial" w:cs="Arial"/>
          <w:i/>
          <w:noProof/>
        </w:rPr>
        <w:t>Taurine concentrations in animal feed ingredients; cooking influences taurine content.</w:t>
      </w:r>
      <w:r w:rsidRPr="00330CF1">
        <w:rPr>
          <w:rFonts w:ascii="Arial" w:hAnsi="Arial" w:cs="Arial"/>
          <w:noProof/>
        </w:rPr>
        <w:t xml:space="preserve"> Journal of Animal Physiology and Animal Nutrition, 2003. </w:t>
      </w:r>
      <w:r w:rsidRPr="00330CF1">
        <w:rPr>
          <w:rFonts w:ascii="Arial" w:hAnsi="Arial" w:cs="Arial"/>
          <w:b/>
          <w:noProof/>
        </w:rPr>
        <w:t>87</w:t>
      </w:r>
      <w:r w:rsidRPr="00330CF1">
        <w:rPr>
          <w:rFonts w:ascii="Arial" w:hAnsi="Arial" w:cs="Arial"/>
          <w:noProof/>
        </w:rPr>
        <w:t>(7-8): p. 251-262.</w:t>
      </w:r>
      <w:bookmarkEnd w:id="299"/>
    </w:p>
    <w:p w:rsidR="00330CF1" w:rsidRPr="00330CF1" w:rsidRDefault="00330CF1" w:rsidP="0009286C">
      <w:pPr>
        <w:ind w:left="720" w:hanging="720"/>
        <w:rPr>
          <w:rFonts w:ascii="Arial" w:hAnsi="Arial" w:cs="Arial"/>
          <w:noProof/>
        </w:rPr>
      </w:pPr>
      <w:bookmarkStart w:id="300" w:name="_ENREF_239"/>
      <w:r w:rsidRPr="00330CF1">
        <w:rPr>
          <w:rFonts w:ascii="Arial" w:hAnsi="Arial" w:cs="Arial"/>
          <w:noProof/>
        </w:rPr>
        <w:t>239.</w:t>
      </w:r>
      <w:r w:rsidRPr="00330CF1">
        <w:rPr>
          <w:rFonts w:ascii="Arial" w:hAnsi="Arial" w:cs="Arial"/>
          <w:noProof/>
        </w:rPr>
        <w:tab/>
        <w:t xml:space="preserve">Seungwook, W.K., Q.R. Rogers, and J.G. Morris, </w:t>
      </w:r>
      <w:r w:rsidRPr="00330CF1">
        <w:rPr>
          <w:rFonts w:ascii="Arial" w:hAnsi="Arial" w:cs="Arial"/>
          <w:i/>
          <w:noProof/>
        </w:rPr>
        <w:t>Maillard Reaction Products in Purified Diets Induce Taurine Depletion in Cats Which Is Reversed by Antibiotics.</w:t>
      </w:r>
      <w:r w:rsidRPr="00330CF1">
        <w:rPr>
          <w:rFonts w:ascii="Arial" w:hAnsi="Arial" w:cs="Arial"/>
          <w:noProof/>
        </w:rPr>
        <w:t xml:space="preserve"> Journal of Nutrition, 1996. </w:t>
      </w:r>
      <w:r w:rsidRPr="00330CF1">
        <w:rPr>
          <w:rFonts w:ascii="Arial" w:hAnsi="Arial" w:cs="Arial"/>
          <w:b/>
          <w:noProof/>
        </w:rPr>
        <w:t>126</w:t>
      </w:r>
      <w:r w:rsidRPr="00330CF1">
        <w:rPr>
          <w:rFonts w:ascii="Arial" w:hAnsi="Arial" w:cs="Arial"/>
          <w:noProof/>
        </w:rPr>
        <w:t>(195-201).</w:t>
      </w:r>
      <w:bookmarkEnd w:id="300"/>
    </w:p>
    <w:p w:rsidR="00330CF1" w:rsidRPr="00330CF1" w:rsidRDefault="00330CF1" w:rsidP="0009286C">
      <w:pPr>
        <w:ind w:left="720" w:hanging="720"/>
        <w:rPr>
          <w:rFonts w:ascii="Arial" w:hAnsi="Arial" w:cs="Arial"/>
          <w:noProof/>
        </w:rPr>
      </w:pPr>
      <w:bookmarkStart w:id="301" w:name="_ENREF_240"/>
      <w:r w:rsidRPr="00330CF1">
        <w:rPr>
          <w:rFonts w:ascii="Arial" w:hAnsi="Arial" w:cs="Arial"/>
          <w:noProof/>
        </w:rPr>
        <w:t>240.</w:t>
      </w:r>
      <w:r w:rsidRPr="00330CF1">
        <w:rPr>
          <w:rFonts w:ascii="Arial" w:hAnsi="Arial" w:cs="Arial"/>
          <w:noProof/>
        </w:rPr>
        <w:tab/>
        <w:t xml:space="preserve">Gregory, J.F., </w:t>
      </w:r>
      <w:r w:rsidRPr="00330CF1">
        <w:rPr>
          <w:rFonts w:ascii="Arial" w:hAnsi="Arial" w:cs="Arial"/>
          <w:i/>
          <w:noProof/>
        </w:rPr>
        <w:t>Vitamins</w:t>
      </w:r>
      <w:r w:rsidRPr="00330CF1">
        <w:rPr>
          <w:rFonts w:ascii="Arial" w:hAnsi="Arial" w:cs="Arial"/>
          <w:noProof/>
        </w:rPr>
        <w:t xml:space="preserve">, in </w:t>
      </w:r>
      <w:r w:rsidRPr="00330CF1">
        <w:rPr>
          <w:rFonts w:ascii="Arial" w:hAnsi="Arial" w:cs="Arial"/>
          <w:i/>
          <w:noProof/>
        </w:rPr>
        <w:t>Food Chemistry 3rd Edition</w:t>
      </w:r>
      <w:r w:rsidRPr="00330CF1">
        <w:rPr>
          <w:rFonts w:ascii="Arial" w:hAnsi="Arial" w:cs="Arial"/>
          <w:noProof/>
        </w:rPr>
        <w:t>, O.R. Fennema, Editor 1996, Marcel Dekker, Inc.: New York, NY. p. 531-616.</w:t>
      </w:r>
      <w:bookmarkEnd w:id="301"/>
    </w:p>
    <w:p w:rsidR="00330CF1" w:rsidRPr="00330CF1" w:rsidRDefault="00330CF1" w:rsidP="0009286C">
      <w:pPr>
        <w:ind w:left="720" w:hanging="720"/>
        <w:rPr>
          <w:rFonts w:ascii="Arial" w:hAnsi="Arial" w:cs="Arial"/>
          <w:noProof/>
        </w:rPr>
      </w:pPr>
      <w:bookmarkStart w:id="302" w:name="_ENREF_241"/>
      <w:r w:rsidRPr="00330CF1">
        <w:rPr>
          <w:rFonts w:ascii="Arial" w:hAnsi="Arial" w:cs="Arial"/>
          <w:noProof/>
        </w:rPr>
        <w:t>241.</w:t>
      </w:r>
      <w:r w:rsidRPr="00330CF1">
        <w:rPr>
          <w:rFonts w:ascii="Arial" w:hAnsi="Arial" w:cs="Arial"/>
          <w:noProof/>
        </w:rPr>
        <w:tab/>
        <w:t xml:space="preserve">Ottaway, P.B., </w:t>
      </w:r>
      <w:r w:rsidRPr="00330CF1">
        <w:rPr>
          <w:rFonts w:ascii="Arial" w:hAnsi="Arial" w:cs="Arial"/>
          <w:i/>
          <w:noProof/>
        </w:rPr>
        <w:t>The stability of vitamins during food processing</w:t>
      </w:r>
      <w:r w:rsidRPr="00330CF1">
        <w:rPr>
          <w:rFonts w:ascii="Arial" w:hAnsi="Arial" w:cs="Arial"/>
          <w:noProof/>
        </w:rPr>
        <w:t xml:space="preserve">, in </w:t>
      </w:r>
      <w:r w:rsidRPr="00330CF1">
        <w:rPr>
          <w:rFonts w:ascii="Arial" w:hAnsi="Arial" w:cs="Arial"/>
          <w:i/>
          <w:noProof/>
        </w:rPr>
        <w:t>Nutrition Handbook for Food Processors</w:t>
      </w:r>
      <w:r w:rsidRPr="00330CF1">
        <w:rPr>
          <w:rFonts w:ascii="Arial" w:hAnsi="Arial" w:cs="Arial"/>
          <w:noProof/>
        </w:rPr>
        <w:t>, C.J.K. Henry and C. Chapman, Editors. 2002, Woodhead Publishing: Cambridge. p. 247-264.</w:t>
      </w:r>
      <w:bookmarkEnd w:id="302"/>
    </w:p>
    <w:p w:rsidR="00330CF1" w:rsidRPr="00330CF1" w:rsidRDefault="00330CF1" w:rsidP="0009286C">
      <w:pPr>
        <w:ind w:left="720" w:hanging="720"/>
        <w:rPr>
          <w:rFonts w:ascii="Arial" w:hAnsi="Arial" w:cs="Arial"/>
          <w:noProof/>
        </w:rPr>
      </w:pPr>
      <w:bookmarkStart w:id="303" w:name="_ENREF_242"/>
      <w:r w:rsidRPr="00330CF1">
        <w:rPr>
          <w:rFonts w:ascii="Arial" w:hAnsi="Arial" w:cs="Arial"/>
          <w:noProof/>
        </w:rPr>
        <w:t>242.</w:t>
      </w:r>
      <w:r w:rsidRPr="00330CF1">
        <w:rPr>
          <w:rFonts w:ascii="Arial" w:hAnsi="Arial" w:cs="Arial"/>
          <w:noProof/>
        </w:rPr>
        <w:tab/>
        <w:t xml:space="preserve">Sungpuag, P., et al., </w:t>
      </w:r>
      <w:r w:rsidRPr="00330CF1">
        <w:rPr>
          <w:rFonts w:ascii="Arial" w:hAnsi="Arial" w:cs="Arial"/>
          <w:i/>
          <w:noProof/>
        </w:rPr>
        <w:t>Retinol and beta carotene content of indigenous raw and home-prepared foods in Northeast Thailand.</w:t>
      </w:r>
      <w:r w:rsidRPr="00330CF1">
        <w:rPr>
          <w:rFonts w:ascii="Arial" w:hAnsi="Arial" w:cs="Arial"/>
          <w:noProof/>
        </w:rPr>
        <w:t xml:space="preserve"> Food Chemistry, 1999. </w:t>
      </w:r>
      <w:r w:rsidRPr="00330CF1">
        <w:rPr>
          <w:rFonts w:ascii="Arial" w:hAnsi="Arial" w:cs="Arial"/>
          <w:b/>
          <w:noProof/>
        </w:rPr>
        <w:t>64</w:t>
      </w:r>
      <w:r w:rsidRPr="00330CF1">
        <w:rPr>
          <w:rFonts w:ascii="Arial" w:hAnsi="Arial" w:cs="Arial"/>
          <w:noProof/>
        </w:rPr>
        <w:t>(2): p. 163-167.</w:t>
      </w:r>
      <w:bookmarkEnd w:id="303"/>
    </w:p>
    <w:p w:rsidR="00330CF1" w:rsidRPr="00330CF1" w:rsidRDefault="00330CF1" w:rsidP="0009286C">
      <w:pPr>
        <w:ind w:left="720" w:hanging="720"/>
        <w:rPr>
          <w:rFonts w:ascii="Arial" w:hAnsi="Arial" w:cs="Arial"/>
          <w:noProof/>
        </w:rPr>
      </w:pPr>
      <w:bookmarkStart w:id="304" w:name="_ENREF_243"/>
      <w:r w:rsidRPr="00330CF1">
        <w:rPr>
          <w:rFonts w:ascii="Arial" w:hAnsi="Arial" w:cs="Arial"/>
          <w:noProof/>
        </w:rPr>
        <w:t>243.</w:t>
      </w:r>
      <w:r w:rsidRPr="00330CF1">
        <w:rPr>
          <w:rFonts w:ascii="Arial" w:hAnsi="Arial" w:cs="Arial"/>
          <w:noProof/>
        </w:rPr>
        <w:tab/>
        <w:t xml:space="preserve">Leskova, E., et al., </w:t>
      </w:r>
      <w:r w:rsidRPr="00330CF1">
        <w:rPr>
          <w:rFonts w:ascii="Arial" w:hAnsi="Arial" w:cs="Arial"/>
          <w:i/>
          <w:noProof/>
        </w:rPr>
        <w:t>Vitamin losses: Retention during heat treatment and continual changes expressed by mathematical models.</w:t>
      </w:r>
      <w:r w:rsidRPr="00330CF1">
        <w:rPr>
          <w:rFonts w:ascii="Arial" w:hAnsi="Arial" w:cs="Arial"/>
          <w:noProof/>
        </w:rPr>
        <w:t xml:space="preserve"> Journal of Food Composition and Analysis, 2006. </w:t>
      </w:r>
      <w:r w:rsidRPr="00330CF1">
        <w:rPr>
          <w:rFonts w:ascii="Arial" w:hAnsi="Arial" w:cs="Arial"/>
          <w:b/>
          <w:noProof/>
        </w:rPr>
        <w:t>19</w:t>
      </w:r>
      <w:r w:rsidRPr="00330CF1">
        <w:rPr>
          <w:rFonts w:ascii="Arial" w:hAnsi="Arial" w:cs="Arial"/>
          <w:noProof/>
        </w:rPr>
        <w:t>(4): p. 252-276.</w:t>
      </w:r>
      <w:bookmarkEnd w:id="304"/>
    </w:p>
    <w:p w:rsidR="00330CF1" w:rsidRPr="00330CF1" w:rsidRDefault="00330CF1" w:rsidP="0009286C">
      <w:pPr>
        <w:ind w:left="720" w:hanging="720"/>
        <w:rPr>
          <w:rFonts w:ascii="Arial" w:hAnsi="Arial" w:cs="Arial"/>
          <w:noProof/>
        </w:rPr>
      </w:pPr>
      <w:bookmarkStart w:id="305" w:name="_ENREF_244"/>
      <w:r w:rsidRPr="00330CF1">
        <w:rPr>
          <w:rFonts w:ascii="Arial" w:hAnsi="Arial" w:cs="Arial"/>
          <w:noProof/>
        </w:rPr>
        <w:t>244.</w:t>
      </w:r>
      <w:r w:rsidRPr="00330CF1">
        <w:rPr>
          <w:rFonts w:ascii="Arial" w:hAnsi="Arial" w:cs="Arial"/>
          <w:noProof/>
        </w:rPr>
        <w:tab/>
        <w:t xml:space="preserve">Nagra, S.A. and S. Khan, </w:t>
      </w:r>
      <w:r w:rsidRPr="00330CF1">
        <w:rPr>
          <w:rFonts w:ascii="Arial" w:hAnsi="Arial" w:cs="Arial"/>
          <w:i/>
          <w:noProof/>
        </w:rPr>
        <w:t>Vitamin A (beta-carotene) losses in pakistani cooking.</w:t>
      </w:r>
      <w:r w:rsidRPr="00330CF1">
        <w:rPr>
          <w:rFonts w:ascii="Arial" w:hAnsi="Arial" w:cs="Arial"/>
          <w:noProof/>
        </w:rPr>
        <w:t xml:space="preserve"> Journal of the Science of Food and Agriculture, 1989. </w:t>
      </w:r>
      <w:r w:rsidRPr="00330CF1">
        <w:rPr>
          <w:rFonts w:ascii="Arial" w:hAnsi="Arial" w:cs="Arial"/>
          <w:b/>
          <w:noProof/>
        </w:rPr>
        <w:t>46</w:t>
      </w:r>
      <w:r w:rsidRPr="00330CF1">
        <w:rPr>
          <w:rFonts w:ascii="Arial" w:hAnsi="Arial" w:cs="Arial"/>
          <w:noProof/>
        </w:rPr>
        <w:t>(2): p. 249-251.</w:t>
      </w:r>
      <w:bookmarkEnd w:id="305"/>
    </w:p>
    <w:p w:rsidR="00330CF1" w:rsidRPr="00330CF1" w:rsidRDefault="00330CF1" w:rsidP="0009286C">
      <w:pPr>
        <w:ind w:left="720" w:hanging="720"/>
        <w:rPr>
          <w:rFonts w:ascii="Arial" w:hAnsi="Arial" w:cs="Arial"/>
          <w:noProof/>
        </w:rPr>
      </w:pPr>
      <w:bookmarkStart w:id="306" w:name="_ENREF_245"/>
      <w:r w:rsidRPr="00330CF1">
        <w:rPr>
          <w:rFonts w:ascii="Arial" w:hAnsi="Arial" w:cs="Arial"/>
          <w:noProof/>
        </w:rPr>
        <w:t>245.</w:t>
      </w:r>
      <w:r w:rsidRPr="00330CF1">
        <w:rPr>
          <w:rFonts w:ascii="Arial" w:hAnsi="Arial" w:cs="Arial"/>
          <w:noProof/>
        </w:rPr>
        <w:tab/>
        <w:t xml:space="preserve">Bennink, M.R. and K. Ono, </w:t>
      </w:r>
      <w:r w:rsidRPr="00330CF1">
        <w:rPr>
          <w:rFonts w:ascii="Arial" w:hAnsi="Arial" w:cs="Arial"/>
          <w:i/>
          <w:noProof/>
        </w:rPr>
        <w:t>Vitamin B-12, Vitamin E and Vitamin D content of raw and cooked beef.</w:t>
      </w:r>
      <w:r w:rsidRPr="00330CF1">
        <w:rPr>
          <w:rFonts w:ascii="Arial" w:hAnsi="Arial" w:cs="Arial"/>
          <w:noProof/>
        </w:rPr>
        <w:t xml:space="preserve"> Journal of Food Science, 1982. </w:t>
      </w:r>
      <w:r w:rsidRPr="00330CF1">
        <w:rPr>
          <w:rFonts w:ascii="Arial" w:hAnsi="Arial" w:cs="Arial"/>
          <w:b/>
          <w:noProof/>
        </w:rPr>
        <w:t>47</w:t>
      </w:r>
      <w:r w:rsidRPr="00330CF1">
        <w:rPr>
          <w:rFonts w:ascii="Arial" w:hAnsi="Arial" w:cs="Arial"/>
          <w:noProof/>
        </w:rPr>
        <w:t>(6): p. 1786-1792.</w:t>
      </w:r>
      <w:bookmarkEnd w:id="306"/>
    </w:p>
    <w:p w:rsidR="00330CF1" w:rsidRPr="00330CF1" w:rsidRDefault="00330CF1" w:rsidP="0009286C">
      <w:pPr>
        <w:ind w:left="720" w:hanging="720"/>
        <w:rPr>
          <w:rFonts w:ascii="Arial" w:hAnsi="Arial" w:cs="Arial"/>
          <w:noProof/>
        </w:rPr>
      </w:pPr>
      <w:bookmarkStart w:id="307" w:name="_ENREF_246"/>
      <w:r w:rsidRPr="00330CF1">
        <w:rPr>
          <w:rFonts w:ascii="Arial" w:hAnsi="Arial" w:cs="Arial"/>
          <w:noProof/>
        </w:rPr>
        <w:t>246.</w:t>
      </w:r>
      <w:r w:rsidRPr="00330CF1">
        <w:rPr>
          <w:rFonts w:ascii="Arial" w:hAnsi="Arial" w:cs="Arial"/>
          <w:noProof/>
        </w:rPr>
        <w:tab/>
        <w:t xml:space="preserve">Murcia, M.A., et al., </w:t>
      </w:r>
      <w:r w:rsidRPr="00330CF1">
        <w:rPr>
          <w:rFonts w:ascii="Arial" w:hAnsi="Arial" w:cs="Arial"/>
          <w:i/>
          <w:noProof/>
        </w:rPr>
        <w:t>Proximate composition and vitamin E levels in egg yolk: losses by cooking in a microwave oven.</w:t>
      </w:r>
      <w:r w:rsidRPr="00330CF1">
        <w:rPr>
          <w:rFonts w:ascii="Arial" w:hAnsi="Arial" w:cs="Arial"/>
          <w:noProof/>
        </w:rPr>
        <w:t xml:space="preserve"> Journal of the Science of Food and Agriculture, 1999. </w:t>
      </w:r>
      <w:r w:rsidRPr="00330CF1">
        <w:rPr>
          <w:rFonts w:ascii="Arial" w:hAnsi="Arial" w:cs="Arial"/>
          <w:b/>
          <w:noProof/>
        </w:rPr>
        <w:t>79</w:t>
      </w:r>
      <w:r w:rsidRPr="00330CF1">
        <w:rPr>
          <w:rFonts w:ascii="Arial" w:hAnsi="Arial" w:cs="Arial"/>
          <w:noProof/>
        </w:rPr>
        <w:t>(12): p. 1550-1556.</w:t>
      </w:r>
      <w:bookmarkEnd w:id="307"/>
    </w:p>
    <w:p w:rsidR="00330CF1" w:rsidRPr="00330CF1" w:rsidRDefault="00330CF1" w:rsidP="0009286C">
      <w:pPr>
        <w:ind w:left="720" w:hanging="720"/>
        <w:rPr>
          <w:rFonts w:ascii="Arial" w:hAnsi="Arial" w:cs="Arial"/>
          <w:noProof/>
        </w:rPr>
      </w:pPr>
      <w:bookmarkStart w:id="308" w:name="_ENREF_247"/>
      <w:r w:rsidRPr="00330CF1">
        <w:rPr>
          <w:rFonts w:ascii="Arial" w:hAnsi="Arial" w:cs="Arial"/>
          <w:noProof/>
        </w:rPr>
        <w:t>247.</w:t>
      </w:r>
      <w:r w:rsidRPr="00330CF1">
        <w:rPr>
          <w:rFonts w:ascii="Arial" w:hAnsi="Arial" w:cs="Arial"/>
          <w:noProof/>
        </w:rPr>
        <w:tab/>
        <w:t xml:space="preserve">Dwivedi, B.K. and R.G. Arnold, </w:t>
      </w:r>
      <w:r w:rsidRPr="00330CF1">
        <w:rPr>
          <w:rFonts w:ascii="Arial" w:hAnsi="Arial" w:cs="Arial"/>
          <w:i/>
          <w:noProof/>
        </w:rPr>
        <w:t>Chemistry of thiamine degradation in food products and model systems - review. .</w:t>
      </w:r>
      <w:r w:rsidRPr="00330CF1">
        <w:rPr>
          <w:rFonts w:ascii="Arial" w:hAnsi="Arial" w:cs="Arial"/>
          <w:noProof/>
        </w:rPr>
        <w:t xml:space="preserve"> Journal of Agricultural and Food Chemistry, 1973. </w:t>
      </w:r>
      <w:r w:rsidRPr="00330CF1">
        <w:rPr>
          <w:rFonts w:ascii="Arial" w:hAnsi="Arial" w:cs="Arial"/>
          <w:b/>
          <w:noProof/>
        </w:rPr>
        <w:t>21</w:t>
      </w:r>
      <w:r w:rsidRPr="00330CF1">
        <w:rPr>
          <w:rFonts w:ascii="Arial" w:hAnsi="Arial" w:cs="Arial"/>
          <w:noProof/>
        </w:rPr>
        <w:t>(1): p. 54-60.</w:t>
      </w:r>
      <w:bookmarkEnd w:id="308"/>
    </w:p>
    <w:p w:rsidR="00330CF1" w:rsidRPr="00330CF1" w:rsidRDefault="00330CF1" w:rsidP="0009286C">
      <w:pPr>
        <w:ind w:left="720" w:hanging="720"/>
        <w:rPr>
          <w:rFonts w:ascii="Arial" w:hAnsi="Arial" w:cs="Arial"/>
          <w:noProof/>
        </w:rPr>
      </w:pPr>
      <w:bookmarkStart w:id="309" w:name="_ENREF_248"/>
      <w:r w:rsidRPr="00330CF1">
        <w:rPr>
          <w:rFonts w:ascii="Arial" w:hAnsi="Arial" w:cs="Arial"/>
          <w:noProof/>
        </w:rPr>
        <w:t>248.</w:t>
      </w:r>
      <w:r w:rsidRPr="00330CF1">
        <w:rPr>
          <w:rFonts w:ascii="Arial" w:hAnsi="Arial" w:cs="Arial"/>
          <w:noProof/>
        </w:rPr>
        <w:tab/>
        <w:t xml:space="preserve">Rhee, K.S., H.A. Griffith-Bradle, and Y.A. Ziprin, </w:t>
      </w:r>
      <w:r w:rsidRPr="00330CF1">
        <w:rPr>
          <w:rFonts w:ascii="Arial" w:hAnsi="Arial" w:cs="Arial"/>
          <w:i/>
          <w:noProof/>
        </w:rPr>
        <w:t>Nutrient composition and retention in browned ground beef, lamb, and pork.</w:t>
      </w:r>
      <w:r w:rsidRPr="00330CF1">
        <w:rPr>
          <w:rFonts w:ascii="Arial" w:hAnsi="Arial" w:cs="Arial"/>
          <w:noProof/>
        </w:rPr>
        <w:t xml:space="preserve"> Journal of Food Composition and Analysis: 6 (3) 268-277, 1993. </w:t>
      </w:r>
      <w:r w:rsidRPr="00330CF1">
        <w:rPr>
          <w:rFonts w:ascii="Arial" w:hAnsi="Arial" w:cs="Arial"/>
          <w:b/>
          <w:noProof/>
        </w:rPr>
        <w:t>6</w:t>
      </w:r>
      <w:r w:rsidRPr="00330CF1">
        <w:rPr>
          <w:rFonts w:ascii="Arial" w:hAnsi="Arial" w:cs="Arial"/>
          <w:noProof/>
        </w:rPr>
        <w:t>(3): p. 268-277.</w:t>
      </w:r>
      <w:bookmarkEnd w:id="309"/>
    </w:p>
    <w:p w:rsidR="00330CF1" w:rsidRPr="00330CF1" w:rsidRDefault="00330CF1" w:rsidP="0009286C">
      <w:pPr>
        <w:ind w:left="720" w:hanging="720"/>
        <w:rPr>
          <w:rFonts w:ascii="Arial" w:hAnsi="Arial" w:cs="Arial"/>
          <w:noProof/>
        </w:rPr>
      </w:pPr>
      <w:bookmarkStart w:id="310" w:name="_ENREF_249"/>
      <w:r w:rsidRPr="00330CF1">
        <w:rPr>
          <w:rFonts w:ascii="Arial" w:hAnsi="Arial" w:cs="Arial"/>
          <w:noProof/>
        </w:rPr>
        <w:lastRenderedPageBreak/>
        <w:t>249.</w:t>
      </w:r>
      <w:r w:rsidRPr="00330CF1">
        <w:rPr>
          <w:rFonts w:ascii="Arial" w:hAnsi="Arial" w:cs="Arial"/>
          <w:noProof/>
        </w:rPr>
        <w:tab/>
        <w:t xml:space="preserve">McCormick, D.B., </w:t>
      </w:r>
      <w:r w:rsidRPr="00330CF1">
        <w:rPr>
          <w:rFonts w:ascii="Arial" w:hAnsi="Arial" w:cs="Arial"/>
          <w:i/>
          <w:noProof/>
        </w:rPr>
        <w:t>Niacin, Riboflavin, and Thiamin</w:t>
      </w:r>
      <w:r w:rsidRPr="00330CF1">
        <w:rPr>
          <w:rFonts w:ascii="Arial" w:hAnsi="Arial" w:cs="Arial"/>
          <w:noProof/>
        </w:rPr>
        <w:t xml:space="preserve">, in </w:t>
      </w:r>
      <w:r w:rsidRPr="00330CF1">
        <w:rPr>
          <w:rFonts w:ascii="Arial" w:hAnsi="Arial" w:cs="Arial"/>
          <w:i/>
          <w:noProof/>
        </w:rPr>
        <w:t>Biochemical, Physiological, Molecular Aspects of Human Nutrition</w:t>
      </w:r>
      <w:r w:rsidRPr="00330CF1">
        <w:rPr>
          <w:rFonts w:ascii="Arial" w:hAnsi="Arial" w:cs="Arial"/>
          <w:noProof/>
        </w:rPr>
        <w:t>, M.H. Stipanuk, Editor 2006, Saunders Elsevier: St. Louis, MO. p. 665-692.</w:t>
      </w:r>
      <w:bookmarkEnd w:id="310"/>
    </w:p>
    <w:p w:rsidR="00330CF1" w:rsidRPr="00330CF1" w:rsidRDefault="00330CF1" w:rsidP="0009286C">
      <w:pPr>
        <w:ind w:left="720" w:hanging="720"/>
        <w:rPr>
          <w:rFonts w:ascii="Arial" w:hAnsi="Arial" w:cs="Arial"/>
          <w:noProof/>
        </w:rPr>
      </w:pPr>
      <w:bookmarkStart w:id="311" w:name="_ENREF_250"/>
      <w:r w:rsidRPr="00330CF1">
        <w:rPr>
          <w:rFonts w:ascii="Arial" w:hAnsi="Arial" w:cs="Arial"/>
          <w:noProof/>
        </w:rPr>
        <w:t>250.</w:t>
      </w:r>
      <w:r w:rsidRPr="00330CF1">
        <w:rPr>
          <w:rFonts w:ascii="Arial" w:hAnsi="Arial" w:cs="Arial"/>
          <w:noProof/>
        </w:rPr>
        <w:tab/>
        <w:t xml:space="preserve">Woodcock, E.A., J.J. Warthesen, and T.P. Labuza, </w:t>
      </w:r>
      <w:r w:rsidRPr="00330CF1">
        <w:rPr>
          <w:rFonts w:ascii="Arial" w:hAnsi="Arial" w:cs="Arial"/>
          <w:i/>
          <w:noProof/>
        </w:rPr>
        <w:t>Riboflavin Photochemical Degradation in Pasta Measured by High-Performance Liquid-Chromatography.</w:t>
      </w:r>
      <w:r w:rsidRPr="00330CF1">
        <w:rPr>
          <w:rFonts w:ascii="Arial" w:hAnsi="Arial" w:cs="Arial"/>
          <w:noProof/>
        </w:rPr>
        <w:t xml:space="preserve"> Journal of Food Science, 1982. </w:t>
      </w:r>
      <w:r w:rsidRPr="00330CF1">
        <w:rPr>
          <w:rFonts w:ascii="Arial" w:hAnsi="Arial" w:cs="Arial"/>
          <w:b/>
          <w:noProof/>
        </w:rPr>
        <w:t>47</w:t>
      </w:r>
      <w:r w:rsidRPr="00330CF1">
        <w:rPr>
          <w:rFonts w:ascii="Arial" w:hAnsi="Arial" w:cs="Arial"/>
          <w:noProof/>
        </w:rPr>
        <w:t>(2): p. 545-549.</w:t>
      </w:r>
      <w:bookmarkEnd w:id="311"/>
    </w:p>
    <w:p w:rsidR="00330CF1" w:rsidRPr="00330CF1" w:rsidRDefault="00330CF1" w:rsidP="0009286C">
      <w:pPr>
        <w:ind w:left="720" w:hanging="720"/>
        <w:rPr>
          <w:rFonts w:ascii="Arial" w:hAnsi="Arial" w:cs="Arial"/>
          <w:noProof/>
        </w:rPr>
      </w:pPr>
      <w:bookmarkStart w:id="312" w:name="_ENREF_251"/>
      <w:r w:rsidRPr="00330CF1">
        <w:rPr>
          <w:rFonts w:ascii="Arial" w:hAnsi="Arial" w:cs="Arial"/>
          <w:noProof/>
        </w:rPr>
        <w:t>251.</w:t>
      </w:r>
      <w:r w:rsidRPr="00330CF1">
        <w:rPr>
          <w:rFonts w:ascii="Arial" w:hAnsi="Arial" w:cs="Arial"/>
          <w:noProof/>
        </w:rPr>
        <w:tab/>
        <w:t xml:space="preserve">Schroede.Ha, </w:t>
      </w:r>
      <w:r w:rsidRPr="00330CF1">
        <w:rPr>
          <w:rFonts w:ascii="Arial" w:hAnsi="Arial" w:cs="Arial"/>
          <w:i/>
          <w:noProof/>
        </w:rPr>
        <w:t>Losses of vitamins and trace minerals resulting from processing and preservation of foods. .</w:t>
      </w:r>
      <w:r w:rsidRPr="00330CF1">
        <w:rPr>
          <w:rFonts w:ascii="Arial" w:hAnsi="Arial" w:cs="Arial"/>
          <w:noProof/>
        </w:rPr>
        <w:t xml:space="preserve"> American Journal of Clinical Nutrition, 1971. </w:t>
      </w:r>
      <w:r w:rsidRPr="00330CF1">
        <w:rPr>
          <w:rFonts w:ascii="Arial" w:hAnsi="Arial" w:cs="Arial"/>
          <w:b/>
          <w:noProof/>
        </w:rPr>
        <w:t>24</w:t>
      </w:r>
      <w:r w:rsidRPr="00330CF1">
        <w:rPr>
          <w:rFonts w:ascii="Arial" w:hAnsi="Arial" w:cs="Arial"/>
          <w:noProof/>
        </w:rPr>
        <w:t>(5): p. 562-573.</w:t>
      </w:r>
      <w:bookmarkEnd w:id="312"/>
    </w:p>
    <w:p w:rsidR="00330CF1" w:rsidRPr="00330CF1" w:rsidRDefault="00330CF1" w:rsidP="0009286C">
      <w:pPr>
        <w:ind w:left="720" w:hanging="720"/>
        <w:rPr>
          <w:rFonts w:ascii="Arial" w:hAnsi="Arial" w:cs="Arial"/>
          <w:noProof/>
        </w:rPr>
      </w:pPr>
      <w:bookmarkStart w:id="313" w:name="_ENREF_252"/>
      <w:r w:rsidRPr="00330CF1">
        <w:rPr>
          <w:rFonts w:ascii="Arial" w:hAnsi="Arial" w:cs="Arial"/>
          <w:noProof/>
        </w:rPr>
        <w:t>252.</w:t>
      </w:r>
      <w:r w:rsidRPr="00330CF1">
        <w:rPr>
          <w:rFonts w:ascii="Arial" w:hAnsi="Arial" w:cs="Arial"/>
          <w:noProof/>
        </w:rPr>
        <w:tab/>
        <w:t xml:space="preserve">Gregory, J.F. and M.E. Hiner, </w:t>
      </w:r>
      <w:r w:rsidRPr="00330CF1">
        <w:rPr>
          <w:rFonts w:ascii="Arial" w:hAnsi="Arial" w:cs="Arial"/>
          <w:i/>
          <w:noProof/>
        </w:rPr>
        <w:t>Thermal-stability of vitamin B-6 compounds in liquid model food systems. .</w:t>
      </w:r>
      <w:r w:rsidRPr="00330CF1">
        <w:rPr>
          <w:rFonts w:ascii="Arial" w:hAnsi="Arial" w:cs="Arial"/>
          <w:noProof/>
        </w:rPr>
        <w:t xml:space="preserve"> Journal of Food Science, 1983. </w:t>
      </w:r>
      <w:r w:rsidRPr="00330CF1">
        <w:rPr>
          <w:rFonts w:ascii="Arial" w:hAnsi="Arial" w:cs="Arial"/>
          <w:b/>
          <w:noProof/>
        </w:rPr>
        <w:t>48</w:t>
      </w:r>
      <w:r w:rsidRPr="00330CF1">
        <w:rPr>
          <w:rFonts w:ascii="Arial" w:hAnsi="Arial" w:cs="Arial"/>
          <w:noProof/>
        </w:rPr>
        <w:t>(4): p. 1323-1327.</w:t>
      </w:r>
      <w:bookmarkEnd w:id="313"/>
    </w:p>
    <w:p w:rsidR="00330CF1" w:rsidRPr="00330CF1" w:rsidRDefault="00330CF1" w:rsidP="0009286C">
      <w:pPr>
        <w:ind w:left="720" w:hanging="720"/>
        <w:rPr>
          <w:rFonts w:ascii="Arial" w:hAnsi="Arial" w:cs="Arial"/>
          <w:noProof/>
        </w:rPr>
      </w:pPr>
      <w:bookmarkStart w:id="314" w:name="_ENREF_253"/>
      <w:r w:rsidRPr="00330CF1">
        <w:rPr>
          <w:rFonts w:ascii="Arial" w:hAnsi="Arial" w:cs="Arial"/>
          <w:noProof/>
        </w:rPr>
        <w:t>253.</w:t>
      </w:r>
      <w:r w:rsidRPr="00330CF1">
        <w:rPr>
          <w:rFonts w:ascii="Arial" w:hAnsi="Arial" w:cs="Arial"/>
          <w:noProof/>
        </w:rPr>
        <w:tab/>
        <w:t xml:space="preserve">McKillop, D.J., et al., </w:t>
      </w:r>
      <w:r w:rsidRPr="00330CF1">
        <w:rPr>
          <w:rFonts w:ascii="Arial" w:hAnsi="Arial" w:cs="Arial"/>
          <w:i/>
          <w:noProof/>
        </w:rPr>
        <w:t>The effect of different cooking methods on folate retention in various foods that are amongst the major contributors to folate intake in the UK diet.</w:t>
      </w:r>
      <w:r w:rsidRPr="00330CF1">
        <w:rPr>
          <w:rFonts w:ascii="Arial" w:hAnsi="Arial" w:cs="Arial"/>
          <w:noProof/>
        </w:rPr>
        <w:t xml:space="preserve"> British Journal of Nutrition, 2002. </w:t>
      </w:r>
      <w:r w:rsidRPr="00330CF1">
        <w:rPr>
          <w:rFonts w:ascii="Arial" w:hAnsi="Arial" w:cs="Arial"/>
          <w:b/>
          <w:noProof/>
        </w:rPr>
        <w:t>88</w:t>
      </w:r>
      <w:r w:rsidRPr="00330CF1">
        <w:rPr>
          <w:rFonts w:ascii="Arial" w:hAnsi="Arial" w:cs="Arial"/>
          <w:noProof/>
        </w:rPr>
        <w:t>(6): p. 681-688.</w:t>
      </w:r>
      <w:bookmarkEnd w:id="314"/>
    </w:p>
    <w:p w:rsidR="00330CF1" w:rsidRPr="00330CF1" w:rsidRDefault="00330CF1" w:rsidP="0009286C">
      <w:pPr>
        <w:ind w:left="720" w:hanging="720"/>
        <w:rPr>
          <w:rFonts w:ascii="Arial" w:hAnsi="Arial" w:cs="Arial"/>
          <w:noProof/>
        </w:rPr>
      </w:pPr>
      <w:bookmarkStart w:id="315" w:name="_ENREF_254"/>
      <w:r w:rsidRPr="00330CF1">
        <w:rPr>
          <w:rFonts w:ascii="Arial" w:hAnsi="Arial" w:cs="Arial"/>
          <w:noProof/>
        </w:rPr>
        <w:t>254.</w:t>
      </w:r>
      <w:r w:rsidRPr="00330CF1">
        <w:rPr>
          <w:rFonts w:ascii="Arial" w:hAnsi="Arial" w:cs="Arial"/>
          <w:noProof/>
        </w:rPr>
        <w:tab/>
        <w:t xml:space="preserve">Everett, G.M., </w:t>
      </w:r>
      <w:r w:rsidRPr="00330CF1">
        <w:rPr>
          <w:rFonts w:ascii="Arial" w:hAnsi="Arial" w:cs="Arial"/>
          <w:i/>
          <w:noProof/>
        </w:rPr>
        <w:t>Observations on the behavior and neurophysiology of acute thiamin deficient cats.</w:t>
      </w:r>
      <w:r w:rsidRPr="00330CF1">
        <w:rPr>
          <w:rFonts w:ascii="Arial" w:hAnsi="Arial" w:cs="Arial"/>
          <w:noProof/>
        </w:rPr>
        <w:t xml:space="preserve"> American Journal of Physiology, 1944. </w:t>
      </w:r>
      <w:r w:rsidRPr="00330CF1">
        <w:rPr>
          <w:rFonts w:ascii="Arial" w:hAnsi="Arial" w:cs="Arial"/>
          <w:b/>
          <w:noProof/>
        </w:rPr>
        <w:t>141</w:t>
      </w:r>
      <w:r w:rsidRPr="00330CF1">
        <w:rPr>
          <w:rFonts w:ascii="Arial" w:hAnsi="Arial" w:cs="Arial"/>
          <w:noProof/>
        </w:rPr>
        <w:t>(4): p. 0439-0448.</w:t>
      </w:r>
      <w:bookmarkEnd w:id="315"/>
    </w:p>
    <w:p w:rsidR="00330CF1" w:rsidRPr="00330CF1" w:rsidRDefault="00330CF1" w:rsidP="0009286C">
      <w:pPr>
        <w:ind w:left="720" w:hanging="720"/>
        <w:rPr>
          <w:rFonts w:ascii="Arial" w:hAnsi="Arial" w:cs="Arial"/>
          <w:noProof/>
        </w:rPr>
      </w:pPr>
      <w:bookmarkStart w:id="316" w:name="_ENREF_255"/>
      <w:r w:rsidRPr="00330CF1">
        <w:rPr>
          <w:rFonts w:ascii="Arial" w:hAnsi="Arial" w:cs="Arial"/>
          <w:noProof/>
        </w:rPr>
        <w:t>255.</w:t>
      </w:r>
      <w:r w:rsidRPr="00330CF1">
        <w:rPr>
          <w:rFonts w:ascii="Arial" w:hAnsi="Arial" w:cs="Arial"/>
          <w:noProof/>
        </w:rPr>
        <w:tab/>
        <w:t xml:space="preserve">Penderis, J., J.F. McConnell, and J. Calvin, </w:t>
      </w:r>
      <w:r w:rsidRPr="00330CF1">
        <w:rPr>
          <w:rFonts w:ascii="Arial" w:hAnsi="Arial" w:cs="Arial"/>
          <w:i/>
          <w:noProof/>
        </w:rPr>
        <w:t>Magnetic resonance imaging features of thiamine deficiency in a cat.</w:t>
      </w:r>
      <w:r w:rsidRPr="00330CF1">
        <w:rPr>
          <w:rFonts w:ascii="Arial" w:hAnsi="Arial" w:cs="Arial"/>
          <w:noProof/>
        </w:rPr>
        <w:t xml:space="preserve"> Veterinary Record, 2007. </w:t>
      </w:r>
      <w:r w:rsidRPr="00330CF1">
        <w:rPr>
          <w:rFonts w:ascii="Arial" w:hAnsi="Arial" w:cs="Arial"/>
          <w:b/>
          <w:noProof/>
        </w:rPr>
        <w:t>160</w:t>
      </w:r>
      <w:r w:rsidRPr="00330CF1">
        <w:rPr>
          <w:rFonts w:ascii="Arial" w:hAnsi="Arial" w:cs="Arial"/>
          <w:noProof/>
        </w:rPr>
        <w:t>(8): p. 270-272.</w:t>
      </w:r>
      <w:bookmarkEnd w:id="316"/>
    </w:p>
    <w:p w:rsidR="00330CF1" w:rsidRPr="00330CF1" w:rsidRDefault="00330CF1" w:rsidP="0009286C">
      <w:pPr>
        <w:ind w:left="720" w:hanging="720"/>
        <w:rPr>
          <w:rFonts w:ascii="Arial" w:hAnsi="Arial" w:cs="Arial"/>
          <w:noProof/>
        </w:rPr>
      </w:pPr>
      <w:bookmarkStart w:id="317" w:name="_ENREF_256"/>
      <w:r w:rsidRPr="00330CF1">
        <w:rPr>
          <w:rFonts w:ascii="Arial" w:hAnsi="Arial" w:cs="Arial"/>
          <w:noProof/>
        </w:rPr>
        <w:t>256.</w:t>
      </w:r>
      <w:r w:rsidRPr="00330CF1">
        <w:rPr>
          <w:rFonts w:ascii="Arial" w:hAnsi="Arial" w:cs="Arial"/>
          <w:noProof/>
        </w:rPr>
        <w:tab/>
        <w:t xml:space="preserve">Studdert, V.P. and R.H. Labuc, </w:t>
      </w:r>
      <w:r w:rsidRPr="00330CF1">
        <w:rPr>
          <w:rFonts w:ascii="Arial" w:hAnsi="Arial" w:cs="Arial"/>
          <w:i/>
          <w:noProof/>
        </w:rPr>
        <w:t>Thiamin deficiency in cats and dogs associated with feeding meat preserved with sulfur-dioxide. .</w:t>
      </w:r>
      <w:r w:rsidRPr="00330CF1">
        <w:rPr>
          <w:rFonts w:ascii="Arial" w:hAnsi="Arial" w:cs="Arial"/>
          <w:noProof/>
        </w:rPr>
        <w:t xml:space="preserve"> Australian Veterinary Journal, 1991. </w:t>
      </w:r>
      <w:r w:rsidRPr="00330CF1">
        <w:rPr>
          <w:rFonts w:ascii="Arial" w:hAnsi="Arial" w:cs="Arial"/>
          <w:b/>
          <w:noProof/>
        </w:rPr>
        <w:t>68</w:t>
      </w:r>
      <w:r w:rsidRPr="00330CF1">
        <w:rPr>
          <w:rFonts w:ascii="Arial" w:hAnsi="Arial" w:cs="Arial"/>
          <w:noProof/>
        </w:rPr>
        <w:t>(2): p. 54-57.</w:t>
      </w:r>
      <w:bookmarkEnd w:id="317"/>
    </w:p>
    <w:p w:rsidR="00330CF1" w:rsidRPr="00330CF1" w:rsidRDefault="00330CF1" w:rsidP="0009286C">
      <w:pPr>
        <w:ind w:left="720" w:hanging="720"/>
        <w:rPr>
          <w:rFonts w:ascii="Arial" w:hAnsi="Arial" w:cs="Arial"/>
          <w:noProof/>
        </w:rPr>
      </w:pPr>
      <w:bookmarkStart w:id="318" w:name="_ENREF_257"/>
      <w:r w:rsidRPr="00330CF1">
        <w:rPr>
          <w:rFonts w:ascii="Arial" w:hAnsi="Arial" w:cs="Arial"/>
          <w:noProof/>
        </w:rPr>
        <w:t>257.</w:t>
      </w:r>
      <w:r w:rsidRPr="00330CF1">
        <w:rPr>
          <w:rFonts w:ascii="Arial" w:hAnsi="Arial" w:cs="Arial"/>
          <w:noProof/>
        </w:rPr>
        <w:tab/>
        <w:t xml:space="preserve">Loew, F.M., et al., </w:t>
      </w:r>
      <w:r w:rsidRPr="00330CF1">
        <w:rPr>
          <w:rFonts w:ascii="Arial" w:hAnsi="Arial" w:cs="Arial"/>
          <w:i/>
          <w:noProof/>
        </w:rPr>
        <w:t>Naturally-occurring and experimental thiamin deficiency in cats receiving commercial cat food. .</w:t>
      </w:r>
      <w:r w:rsidRPr="00330CF1">
        <w:rPr>
          <w:rFonts w:ascii="Arial" w:hAnsi="Arial" w:cs="Arial"/>
          <w:noProof/>
        </w:rPr>
        <w:t xml:space="preserve"> Canadian Veterinary Journal, 1970. </w:t>
      </w:r>
      <w:r w:rsidRPr="00330CF1">
        <w:rPr>
          <w:rFonts w:ascii="Arial" w:hAnsi="Arial" w:cs="Arial"/>
          <w:b/>
          <w:noProof/>
        </w:rPr>
        <w:t>11</w:t>
      </w:r>
      <w:r w:rsidRPr="00330CF1">
        <w:rPr>
          <w:rFonts w:ascii="Arial" w:hAnsi="Arial" w:cs="Arial"/>
          <w:noProof/>
        </w:rPr>
        <w:t>(6): p. 109-113.</w:t>
      </w:r>
      <w:bookmarkEnd w:id="318"/>
    </w:p>
    <w:p w:rsidR="00330CF1" w:rsidRPr="00330CF1" w:rsidRDefault="00330CF1" w:rsidP="0009286C">
      <w:pPr>
        <w:ind w:left="720" w:hanging="720"/>
        <w:rPr>
          <w:rFonts w:ascii="Arial" w:hAnsi="Arial" w:cs="Arial"/>
          <w:noProof/>
        </w:rPr>
      </w:pPr>
      <w:bookmarkStart w:id="319" w:name="_ENREF_258"/>
      <w:r w:rsidRPr="00330CF1">
        <w:rPr>
          <w:rFonts w:ascii="Arial" w:hAnsi="Arial" w:cs="Arial"/>
          <w:noProof/>
        </w:rPr>
        <w:t>258.</w:t>
      </w:r>
      <w:r w:rsidRPr="00330CF1">
        <w:rPr>
          <w:rFonts w:ascii="Arial" w:hAnsi="Arial" w:cs="Arial"/>
          <w:noProof/>
        </w:rPr>
        <w:tab/>
        <w:t xml:space="preserve">Marteau, P., P. Seksik, and R. Jian, </w:t>
      </w:r>
      <w:r w:rsidRPr="00330CF1">
        <w:rPr>
          <w:rFonts w:ascii="Arial" w:hAnsi="Arial" w:cs="Arial"/>
          <w:i/>
          <w:noProof/>
        </w:rPr>
        <w:t>Probiotics and intestinal health effects: a clinical perspective.</w:t>
      </w:r>
      <w:r w:rsidRPr="00330CF1">
        <w:rPr>
          <w:rFonts w:ascii="Arial" w:hAnsi="Arial" w:cs="Arial"/>
          <w:noProof/>
        </w:rPr>
        <w:t xml:space="preserve"> British Journal of Nutrition, 2002. </w:t>
      </w:r>
      <w:r w:rsidRPr="00330CF1">
        <w:rPr>
          <w:rFonts w:ascii="Arial" w:hAnsi="Arial" w:cs="Arial"/>
          <w:b/>
          <w:noProof/>
        </w:rPr>
        <w:t>88</w:t>
      </w:r>
      <w:r w:rsidRPr="00330CF1">
        <w:rPr>
          <w:rFonts w:ascii="Arial" w:hAnsi="Arial" w:cs="Arial"/>
          <w:noProof/>
        </w:rPr>
        <w:t>: p. S51-S57.</w:t>
      </w:r>
      <w:bookmarkEnd w:id="319"/>
    </w:p>
    <w:p w:rsidR="00330CF1" w:rsidRPr="00330CF1" w:rsidRDefault="00330CF1" w:rsidP="0009286C">
      <w:pPr>
        <w:ind w:left="720" w:hanging="720"/>
        <w:rPr>
          <w:rFonts w:ascii="Arial" w:hAnsi="Arial" w:cs="Arial"/>
          <w:noProof/>
        </w:rPr>
      </w:pPr>
      <w:bookmarkStart w:id="320" w:name="_ENREF_259"/>
      <w:r w:rsidRPr="00330CF1">
        <w:rPr>
          <w:rFonts w:ascii="Arial" w:hAnsi="Arial" w:cs="Arial"/>
          <w:noProof/>
        </w:rPr>
        <w:t>259.</w:t>
      </w:r>
      <w:r w:rsidRPr="00330CF1">
        <w:rPr>
          <w:rFonts w:ascii="Arial" w:hAnsi="Arial" w:cs="Arial"/>
          <w:noProof/>
        </w:rPr>
        <w:tab/>
        <w:t xml:space="preserve">Walker, W.A., et al., </w:t>
      </w:r>
      <w:r w:rsidRPr="00330CF1">
        <w:rPr>
          <w:rFonts w:ascii="Arial" w:hAnsi="Arial" w:cs="Arial"/>
          <w:i/>
          <w:noProof/>
        </w:rPr>
        <w:t>Progress in the science of probiotics: from cellular microbiology and applied immunology to clinical nutrition.</w:t>
      </w:r>
      <w:r w:rsidRPr="00330CF1">
        <w:rPr>
          <w:rFonts w:ascii="Arial" w:hAnsi="Arial" w:cs="Arial"/>
          <w:noProof/>
        </w:rPr>
        <w:t xml:space="preserve"> European Journal of Nutrition, 2006. </w:t>
      </w:r>
      <w:r w:rsidRPr="00330CF1">
        <w:rPr>
          <w:rFonts w:ascii="Arial" w:hAnsi="Arial" w:cs="Arial"/>
          <w:b/>
          <w:noProof/>
        </w:rPr>
        <w:t>45</w:t>
      </w:r>
      <w:r w:rsidRPr="00330CF1">
        <w:rPr>
          <w:rFonts w:ascii="Arial" w:hAnsi="Arial" w:cs="Arial"/>
          <w:noProof/>
        </w:rPr>
        <w:t>(Supplement 1): p. 1-18.</w:t>
      </w:r>
      <w:bookmarkEnd w:id="320"/>
    </w:p>
    <w:p w:rsidR="00330CF1" w:rsidRPr="00330CF1" w:rsidRDefault="00330CF1" w:rsidP="0009286C">
      <w:pPr>
        <w:ind w:left="720" w:hanging="720"/>
        <w:rPr>
          <w:rFonts w:ascii="Arial" w:hAnsi="Arial" w:cs="Arial"/>
          <w:noProof/>
        </w:rPr>
      </w:pPr>
      <w:bookmarkStart w:id="321" w:name="_ENREF_260"/>
      <w:r w:rsidRPr="00330CF1">
        <w:rPr>
          <w:rFonts w:ascii="Arial" w:hAnsi="Arial" w:cs="Arial"/>
          <w:noProof/>
        </w:rPr>
        <w:t>260.</w:t>
      </w:r>
      <w:r w:rsidRPr="00330CF1">
        <w:rPr>
          <w:rFonts w:ascii="Arial" w:hAnsi="Arial" w:cs="Arial"/>
          <w:noProof/>
        </w:rPr>
        <w:tab/>
        <w:t xml:space="preserve">Borchers, A.T., et al., </w:t>
      </w:r>
      <w:r w:rsidRPr="00330CF1">
        <w:rPr>
          <w:rFonts w:ascii="Arial" w:hAnsi="Arial" w:cs="Arial"/>
          <w:i/>
          <w:noProof/>
        </w:rPr>
        <w:t>Probiotics and immunity.</w:t>
      </w:r>
      <w:r w:rsidRPr="00330CF1">
        <w:rPr>
          <w:rFonts w:ascii="Arial" w:hAnsi="Arial" w:cs="Arial"/>
          <w:noProof/>
        </w:rPr>
        <w:t xml:space="preserve"> Journal of Gastroenterology, 2009. </w:t>
      </w:r>
      <w:r w:rsidRPr="00330CF1">
        <w:rPr>
          <w:rFonts w:ascii="Arial" w:hAnsi="Arial" w:cs="Arial"/>
          <w:b/>
          <w:noProof/>
        </w:rPr>
        <w:t>44</w:t>
      </w:r>
      <w:r w:rsidRPr="00330CF1">
        <w:rPr>
          <w:rFonts w:ascii="Arial" w:hAnsi="Arial" w:cs="Arial"/>
          <w:noProof/>
        </w:rPr>
        <w:t>(1): p. 26-46.</w:t>
      </w:r>
      <w:bookmarkEnd w:id="321"/>
    </w:p>
    <w:p w:rsidR="00330CF1" w:rsidRPr="00330CF1" w:rsidRDefault="00330CF1" w:rsidP="0009286C">
      <w:pPr>
        <w:ind w:left="720" w:hanging="720"/>
        <w:rPr>
          <w:rFonts w:ascii="Arial" w:hAnsi="Arial" w:cs="Arial"/>
          <w:noProof/>
        </w:rPr>
      </w:pPr>
      <w:bookmarkStart w:id="322" w:name="_ENREF_261"/>
      <w:r w:rsidRPr="00330CF1">
        <w:rPr>
          <w:rFonts w:ascii="Arial" w:hAnsi="Arial" w:cs="Arial"/>
          <w:noProof/>
        </w:rPr>
        <w:t>261.</w:t>
      </w:r>
      <w:r w:rsidRPr="00330CF1">
        <w:rPr>
          <w:rFonts w:ascii="Arial" w:hAnsi="Arial" w:cs="Arial"/>
          <w:noProof/>
        </w:rPr>
        <w:tab/>
        <w:t xml:space="preserve">Eckburg, P.B., et al., </w:t>
      </w:r>
      <w:r w:rsidRPr="00330CF1">
        <w:rPr>
          <w:rFonts w:ascii="Arial" w:hAnsi="Arial" w:cs="Arial"/>
          <w:i/>
          <w:noProof/>
        </w:rPr>
        <w:t>Diversity of the human intestinal microbial flora.</w:t>
      </w:r>
      <w:r w:rsidRPr="00330CF1">
        <w:rPr>
          <w:rFonts w:ascii="Arial" w:hAnsi="Arial" w:cs="Arial"/>
          <w:noProof/>
        </w:rPr>
        <w:t xml:space="preserve"> Science, 2005. </w:t>
      </w:r>
      <w:r w:rsidRPr="00330CF1">
        <w:rPr>
          <w:rFonts w:ascii="Arial" w:hAnsi="Arial" w:cs="Arial"/>
          <w:b/>
          <w:noProof/>
        </w:rPr>
        <w:t>308</w:t>
      </w:r>
      <w:r w:rsidRPr="00330CF1">
        <w:rPr>
          <w:rFonts w:ascii="Arial" w:hAnsi="Arial" w:cs="Arial"/>
          <w:noProof/>
        </w:rPr>
        <w:t>(5728): p. 1635-1638.</w:t>
      </w:r>
      <w:bookmarkEnd w:id="322"/>
    </w:p>
    <w:p w:rsidR="00330CF1" w:rsidRPr="00330CF1" w:rsidRDefault="00330CF1" w:rsidP="0009286C">
      <w:pPr>
        <w:ind w:left="720" w:hanging="720"/>
        <w:rPr>
          <w:rFonts w:ascii="Arial" w:hAnsi="Arial" w:cs="Arial"/>
          <w:noProof/>
        </w:rPr>
      </w:pPr>
      <w:bookmarkStart w:id="323" w:name="_ENREF_262"/>
      <w:r w:rsidRPr="00330CF1">
        <w:rPr>
          <w:rFonts w:ascii="Arial" w:hAnsi="Arial" w:cs="Arial"/>
          <w:noProof/>
        </w:rPr>
        <w:t>262.</w:t>
      </w:r>
      <w:r w:rsidRPr="00330CF1">
        <w:rPr>
          <w:rFonts w:ascii="Arial" w:hAnsi="Arial" w:cs="Arial"/>
          <w:noProof/>
        </w:rPr>
        <w:tab/>
        <w:t xml:space="preserve">Makras, L., et al., </w:t>
      </w:r>
      <w:r w:rsidRPr="00330CF1">
        <w:rPr>
          <w:rFonts w:ascii="Arial" w:hAnsi="Arial" w:cs="Arial"/>
          <w:i/>
          <w:noProof/>
        </w:rPr>
        <w:t>Kinetic analysis of the antibacterial activity of probiotic lactobacilli towards Salmonella enterica serovar Typhimurium reveals a role for lactic acid and other inhibitory compounds.</w:t>
      </w:r>
      <w:r w:rsidRPr="00330CF1">
        <w:rPr>
          <w:rFonts w:ascii="Arial" w:hAnsi="Arial" w:cs="Arial"/>
          <w:noProof/>
        </w:rPr>
        <w:t xml:space="preserve"> Research in Microbiology, 2006. </w:t>
      </w:r>
      <w:r w:rsidRPr="00330CF1">
        <w:rPr>
          <w:rFonts w:ascii="Arial" w:hAnsi="Arial" w:cs="Arial"/>
          <w:b/>
          <w:noProof/>
        </w:rPr>
        <w:t>157</w:t>
      </w:r>
      <w:r w:rsidRPr="00330CF1">
        <w:rPr>
          <w:rFonts w:ascii="Arial" w:hAnsi="Arial" w:cs="Arial"/>
          <w:noProof/>
        </w:rPr>
        <w:t>(3): p. 241-247.</w:t>
      </w:r>
      <w:bookmarkEnd w:id="323"/>
    </w:p>
    <w:p w:rsidR="00330CF1" w:rsidRPr="00330CF1" w:rsidRDefault="00330CF1" w:rsidP="0009286C">
      <w:pPr>
        <w:ind w:left="720" w:hanging="720"/>
        <w:rPr>
          <w:rFonts w:ascii="Arial" w:hAnsi="Arial" w:cs="Arial"/>
          <w:noProof/>
        </w:rPr>
      </w:pPr>
      <w:bookmarkStart w:id="324" w:name="_ENREF_263"/>
      <w:r w:rsidRPr="00330CF1">
        <w:rPr>
          <w:rFonts w:ascii="Arial" w:hAnsi="Arial" w:cs="Arial"/>
          <w:noProof/>
        </w:rPr>
        <w:t>263.</w:t>
      </w:r>
      <w:r w:rsidRPr="00330CF1">
        <w:rPr>
          <w:rFonts w:ascii="Arial" w:hAnsi="Arial" w:cs="Arial"/>
          <w:noProof/>
        </w:rPr>
        <w:tab/>
        <w:t xml:space="preserve">Ouwehand, A.C., et al., </w:t>
      </w:r>
      <w:r w:rsidRPr="00330CF1">
        <w:rPr>
          <w:rFonts w:ascii="Arial" w:hAnsi="Arial" w:cs="Arial"/>
          <w:i/>
          <w:noProof/>
        </w:rPr>
        <w:t>Differences in Bifidobacterium flora composition in allergic and healthy infants.</w:t>
      </w:r>
      <w:r w:rsidRPr="00330CF1">
        <w:rPr>
          <w:rFonts w:ascii="Arial" w:hAnsi="Arial" w:cs="Arial"/>
          <w:noProof/>
        </w:rPr>
        <w:t xml:space="preserve"> Journal of Allergy and Clinical Immunology, 2001. </w:t>
      </w:r>
      <w:r w:rsidRPr="00330CF1">
        <w:rPr>
          <w:rFonts w:ascii="Arial" w:hAnsi="Arial" w:cs="Arial"/>
          <w:b/>
          <w:noProof/>
        </w:rPr>
        <w:t>108</w:t>
      </w:r>
      <w:r w:rsidRPr="00330CF1">
        <w:rPr>
          <w:rFonts w:ascii="Arial" w:hAnsi="Arial" w:cs="Arial"/>
          <w:noProof/>
        </w:rPr>
        <w:t>(1): p. 144-145.</w:t>
      </w:r>
      <w:bookmarkEnd w:id="324"/>
    </w:p>
    <w:p w:rsidR="00330CF1" w:rsidRPr="00330CF1" w:rsidRDefault="00330CF1" w:rsidP="0009286C">
      <w:pPr>
        <w:ind w:left="720" w:hanging="720"/>
        <w:rPr>
          <w:rFonts w:ascii="Arial" w:hAnsi="Arial" w:cs="Arial"/>
          <w:noProof/>
        </w:rPr>
      </w:pPr>
      <w:bookmarkStart w:id="325" w:name="_ENREF_264"/>
      <w:r w:rsidRPr="00330CF1">
        <w:rPr>
          <w:rFonts w:ascii="Arial" w:hAnsi="Arial" w:cs="Arial"/>
          <w:noProof/>
        </w:rPr>
        <w:t>264.</w:t>
      </w:r>
      <w:r w:rsidRPr="00330CF1">
        <w:rPr>
          <w:rFonts w:ascii="Arial" w:hAnsi="Arial" w:cs="Arial"/>
          <w:noProof/>
        </w:rPr>
        <w:tab/>
        <w:t xml:space="preserve">Mah, K.W., et al., </w:t>
      </w:r>
      <w:r w:rsidRPr="00330CF1">
        <w:rPr>
          <w:rFonts w:ascii="Arial" w:hAnsi="Arial" w:cs="Arial"/>
          <w:i/>
          <w:noProof/>
        </w:rPr>
        <w:t>Distinct pattern of commensal gut microbiota in toddlers with eczema.</w:t>
      </w:r>
      <w:r w:rsidRPr="00330CF1">
        <w:rPr>
          <w:rFonts w:ascii="Arial" w:hAnsi="Arial" w:cs="Arial"/>
          <w:noProof/>
        </w:rPr>
        <w:t xml:space="preserve"> International Archives of Allergy and Immunology, 2006. </w:t>
      </w:r>
      <w:r w:rsidRPr="00330CF1">
        <w:rPr>
          <w:rFonts w:ascii="Arial" w:hAnsi="Arial" w:cs="Arial"/>
          <w:b/>
          <w:noProof/>
        </w:rPr>
        <w:t>140</w:t>
      </w:r>
      <w:r w:rsidRPr="00330CF1">
        <w:rPr>
          <w:rFonts w:ascii="Arial" w:hAnsi="Arial" w:cs="Arial"/>
          <w:noProof/>
        </w:rPr>
        <w:t>(2): p. 157-163.</w:t>
      </w:r>
      <w:bookmarkEnd w:id="325"/>
    </w:p>
    <w:p w:rsidR="00330CF1" w:rsidRPr="00330CF1" w:rsidRDefault="00330CF1" w:rsidP="0009286C">
      <w:pPr>
        <w:ind w:left="720" w:hanging="720"/>
        <w:rPr>
          <w:rFonts w:ascii="Arial" w:hAnsi="Arial" w:cs="Arial"/>
          <w:noProof/>
        </w:rPr>
      </w:pPr>
      <w:bookmarkStart w:id="326" w:name="_ENREF_265"/>
      <w:r w:rsidRPr="00330CF1">
        <w:rPr>
          <w:rFonts w:ascii="Arial" w:hAnsi="Arial" w:cs="Arial"/>
          <w:noProof/>
        </w:rPr>
        <w:lastRenderedPageBreak/>
        <w:t>265.</w:t>
      </w:r>
      <w:r w:rsidRPr="00330CF1">
        <w:rPr>
          <w:rFonts w:ascii="Arial" w:hAnsi="Arial" w:cs="Arial"/>
          <w:noProof/>
        </w:rPr>
        <w:tab/>
        <w:t xml:space="preserve">Yan, F. and D.B. Polk, </w:t>
      </w:r>
      <w:r w:rsidRPr="00330CF1">
        <w:rPr>
          <w:rFonts w:ascii="Arial" w:hAnsi="Arial" w:cs="Arial"/>
          <w:i/>
          <w:noProof/>
        </w:rPr>
        <w:t>Mechanisms of Probiotic Regulation of Host Homeostasis</w:t>
      </w:r>
      <w:r w:rsidRPr="00330CF1">
        <w:rPr>
          <w:rFonts w:ascii="Arial" w:hAnsi="Arial" w:cs="Arial"/>
          <w:noProof/>
        </w:rPr>
        <w:t xml:space="preserve">, in </w:t>
      </w:r>
      <w:r w:rsidRPr="00330CF1">
        <w:rPr>
          <w:rFonts w:ascii="Arial" w:hAnsi="Arial" w:cs="Arial"/>
          <w:i/>
          <w:noProof/>
        </w:rPr>
        <w:t>Probiotics in Pediatric Medicine</w:t>
      </w:r>
      <w:r w:rsidRPr="00330CF1">
        <w:rPr>
          <w:rFonts w:ascii="Arial" w:hAnsi="Arial" w:cs="Arial"/>
          <w:noProof/>
        </w:rPr>
        <w:t>, S. Michail and P. Sherman, Editors. 2009, Humana Press: New York. p. 53-68.</w:t>
      </w:r>
      <w:bookmarkEnd w:id="326"/>
    </w:p>
    <w:p w:rsidR="00330CF1" w:rsidRPr="00330CF1" w:rsidRDefault="00330CF1" w:rsidP="0009286C">
      <w:pPr>
        <w:ind w:left="720" w:hanging="720"/>
        <w:rPr>
          <w:rFonts w:ascii="Arial" w:hAnsi="Arial" w:cs="Arial"/>
          <w:noProof/>
        </w:rPr>
      </w:pPr>
      <w:bookmarkStart w:id="327" w:name="_ENREF_266"/>
      <w:r w:rsidRPr="00330CF1">
        <w:rPr>
          <w:rFonts w:ascii="Arial" w:hAnsi="Arial" w:cs="Arial"/>
          <w:noProof/>
        </w:rPr>
        <w:t>266.</w:t>
      </w:r>
      <w:r w:rsidRPr="00330CF1">
        <w:rPr>
          <w:rFonts w:ascii="Arial" w:hAnsi="Arial" w:cs="Arial"/>
          <w:noProof/>
        </w:rPr>
        <w:tab/>
        <w:t xml:space="preserve">Yan, F. and D.B. Polk, </w:t>
      </w:r>
      <w:r w:rsidRPr="00330CF1">
        <w:rPr>
          <w:rFonts w:ascii="Arial" w:hAnsi="Arial" w:cs="Arial"/>
          <w:i/>
          <w:noProof/>
        </w:rPr>
        <w:t>Probiotics as functional food in the treatment of diarrhea.</w:t>
      </w:r>
      <w:r w:rsidRPr="00330CF1">
        <w:rPr>
          <w:rFonts w:ascii="Arial" w:hAnsi="Arial" w:cs="Arial"/>
          <w:noProof/>
        </w:rPr>
        <w:t xml:space="preserve"> Current Opinion in Clinical Nutrition and Metabolic Care, 2006. </w:t>
      </w:r>
      <w:r w:rsidRPr="00330CF1">
        <w:rPr>
          <w:rFonts w:ascii="Arial" w:hAnsi="Arial" w:cs="Arial"/>
          <w:b/>
          <w:noProof/>
        </w:rPr>
        <w:t>9</w:t>
      </w:r>
      <w:r w:rsidRPr="00330CF1">
        <w:rPr>
          <w:rFonts w:ascii="Arial" w:hAnsi="Arial" w:cs="Arial"/>
          <w:noProof/>
        </w:rPr>
        <w:t>(6): p. 717-721.</w:t>
      </w:r>
      <w:bookmarkEnd w:id="327"/>
    </w:p>
    <w:p w:rsidR="00330CF1" w:rsidRPr="00330CF1" w:rsidRDefault="00330CF1" w:rsidP="0009286C">
      <w:pPr>
        <w:ind w:left="720" w:hanging="720"/>
        <w:rPr>
          <w:rFonts w:ascii="Arial" w:hAnsi="Arial" w:cs="Arial"/>
          <w:noProof/>
        </w:rPr>
      </w:pPr>
      <w:bookmarkStart w:id="328" w:name="_ENREF_267"/>
      <w:r w:rsidRPr="00330CF1">
        <w:rPr>
          <w:rFonts w:ascii="Arial" w:hAnsi="Arial" w:cs="Arial"/>
          <w:noProof/>
        </w:rPr>
        <w:t>267.</w:t>
      </w:r>
      <w:r w:rsidRPr="00330CF1">
        <w:rPr>
          <w:rFonts w:ascii="Arial" w:hAnsi="Arial" w:cs="Arial"/>
          <w:noProof/>
        </w:rPr>
        <w:tab/>
        <w:t xml:space="preserve">Makarova, K., et al., </w:t>
      </w:r>
      <w:r w:rsidRPr="00330CF1">
        <w:rPr>
          <w:rFonts w:ascii="Arial" w:hAnsi="Arial" w:cs="Arial"/>
          <w:i/>
          <w:noProof/>
        </w:rPr>
        <w:t>Comparative genomics of the lactic acid bacteria.</w:t>
      </w:r>
      <w:r w:rsidRPr="00330CF1">
        <w:rPr>
          <w:rFonts w:ascii="Arial" w:hAnsi="Arial" w:cs="Arial"/>
          <w:noProof/>
        </w:rPr>
        <w:t xml:space="preserve"> Proceedings of the National Academy of Sciences of the United States of America, 2006. </w:t>
      </w:r>
      <w:r w:rsidRPr="00330CF1">
        <w:rPr>
          <w:rFonts w:ascii="Arial" w:hAnsi="Arial" w:cs="Arial"/>
          <w:b/>
          <w:noProof/>
        </w:rPr>
        <w:t>103</w:t>
      </w:r>
      <w:r w:rsidRPr="00330CF1">
        <w:rPr>
          <w:rFonts w:ascii="Arial" w:hAnsi="Arial" w:cs="Arial"/>
          <w:noProof/>
        </w:rPr>
        <w:t>(42): p. 15611-15616.</w:t>
      </w:r>
      <w:bookmarkEnd w:id="328"/>
    </w:p>
    <w:p w:rsidR="00330CF1" w:rsidRPr="00330CF1" w:rsidRDefault="00330CF1" w:rsidP="0009286C">
      <w:pPr>
        <w:ind w:left="720" w:hanging="720"/>
        <w:rPr>
          <w:rFonts w:ascii="Arial" w:hAnsi="Arial" w:cs="Arial"/>
          <w:noProof/>
        </w:rPr>
      </w:pPr>
      <w:bookmarkStart w:id="329" w:name="_ENREF_268"/>
      <w:r w:rsidRPr="00330CF1">
        <w:rPr>
          <w:rFonts w:ascii="Arial" w:hAnsi="Arial" w:cs="Arial"/>
          <w:noProof/>
        </w:rPr>
        <w:t>268.</w:t>
      </w:r>
      <w:r w:rsidRPr="00330CF1">
        <w:rPr>
          <w:rFonts w:ascii="Arial" w:hAnsi="Arial" w:cs="Arial"/>
          <w:noProof/>
        </w:rPr>
        <w:tab/>
        <w:t xml:space="preserve">Collado, M.C., M. Hernandez, and Y. Sanz, </w:t>
      </w:r>
      <w:r w:rsidRPr="00330CF1">
        <w:rPr>
          <w:rFonts w:ascii="Arial" w:hAnsi="Arial" w:cs="Arial"/>
          <w:i/>
          <w:noProof/>
        </w:rPr>
        <w:t>Production of bacteriocin-like inhibitory compounds by human fecal Bifidobacterium strains.</w:t>
      </w:r>
      <w:r w:rsidRPr="00330CF1">
        <w:rPr>
          <w:rFonts w:ascii="Arial" w:hAnsi="Arial" w:cs="Arial"/>
          <w:noProof/>
        </w:rPr>
        <w:t xml:space="preserve"> Journal of Food Protection, 2005. </w:t>
      </w:r>
      <w:r w:rsidRPr="00330CF1">
        <w:rPr>
          <w:rFonts w:ascii="Arial" w:hAnsi="Arial" w:cs="Arial"/>
          <w:b/>
          <w:noProof/>
        </w:rPr>
        <w:t>68</w:t>
      </w:r>
      <w:r w:rsidRPr="00330CF1">
        <w:rPr>
          <w:rFonts w:ascii="Arial" w:hAnsi="Arial" w:cs="Arial"/>
          <w:noProof/>
        </w:rPr>
        <w:t>(5): p. 1034-1040.</w:t>
      </w:r>
      <w:bookmarkEnd w:id="329"/>
    </w:p>
    <w:p w:rsidR="00330CF1" w:rsidRPr="00330CF1" w:rsidRDefault="00330CF1" w:rsidP="0009286C">
      <w:pPr>
        <w:ind w:left="720" w:hanging="720"/>
        <w:rPr>
          <w:rFonts w:ascii="Arial" w:hAnsi="Arial" w:cs="Arial"/>
          <w:noProof/>
        </w:rPr>
      </w:pPr>
      <w:bookmarkStart w:id="330" w:name="_ENREF_269"/>
      <w:r w:rsidRPr="00330CF1">
        <w:rPr>
          <w:rFonts w:ascii="Arial" w:hAnsi="Arial" w:cs="Arial"/>
          <w:noProof/>
        </w:rPr>
        <w:t>269.</w:t>
      </w:r>
      <w:r w:rsidRPr="00330CF1">
        <w:rPr>
          <w:rFonts w:ascii="Arial" w:hAnsi="Arial" w:cs="Arial"/>
          <w:noProof/>
        </w:rPr>
        <w:tab/>
        <w:t xml:space="preserve">Alakomi, H.L., et al., </w:t>
      </w:r>
      <w:r w:rsidRPr="00330CF1">
        <w:rPr>
          <w:rFonts w:ascii="Arial" w:hAnsi="Arial" w:cs="Arial"/>
          <w:i/>
          <w:noProof/>
        </w:rPr>
        <w:t>Lactic acid permeabilizes gram-negative bacteria by disrupting the outer membrane.</w:t>
      </w:r>
      <w:r w:rsidRPr="00330CF1">
        <w:rPr>
          <w:rFonts w:ascii="Arial" w:hAnsi="Arial" w:cs="Arial"/>
          <w:noProof/>
        </w:rPr>
        <w:t xml:space="preserve"> Applied and Environmental Microbiology, 2000. </w:t>
      </w:r>
      <w:r w:rsidRPr="00330CF1">
        <w:rPr>
          <w:rFonts w:ascii="Arial" w:hAnsi="Arial" w:cs="Arial"/>
          <w:b/>
          <w:noProof/>
        </w:rPr>
        <w:t>66</w:t>
      </w:r>
      <w:r w:rsidRPr="00330CF1">
        <w:rPr>
          <w:rFonts w:ascii="Arial" w:hAnsi="Arial" w:cs="Arial"/>
          <w:noProof/>
        </w:rPr>
        <w:t>(5): p. 2001-2005.</w:t>
      </w:r>
      <w:bookmarkEnd w:id="330"/>
    </w:p>
    <w:p w:rsidR="00330CF1" w:rsidRPr="00330CF1" w:rsidRDefault="00330CF1" w:rsidP="0009286C">
      <w:pPr>
        <w:ind w:left="720" w:hanging="720"/>
        <w:rPr>
          <w:rFonts w:ascii="Arial" w:hAnsi="Arial" w:cs="Arial"/>
          <w:noProof/>
        </w:rPr>
      </w:pPr>
      <w:bookmarkStart w:id="331" w:name="_ENREF_270"/>
      <w:r w:rsidRPr="00330CF1">
        <w:rPr>
          <w:rFonts w:ascii="Arial" w:hAnsi="Arial" w:cs="Arial"/>
          <w:noProof/>
        </w:rPr>
        <w:t>270.</w:t>
      </w:r>
      <w:r w:rsidRPr="00330CF1">
        <w:rPr>
          <w:rFonts w:ascii="Arial" w:hAnsi="Arial" w:cs="Arial"/>
          <w:noProof/>
        </w:rPr>
        <w:tab/>
        <w:t xml:space="preserve">Mukai, T., et al., </w:t>
      </w:r>
      <w:r w:rsidRPr="00330CF1">
        <w:rPr>
          <w:rFonts w:ascii="Arial" w:hAnsi="Arial" w:cs="Arial"/>
          <w:i/>
          <w:noProof/>
        </w:rPr>
        <w:t>Binding of Bifidobacterium bifidum and Lactobacillus reuteri to the carbohydrate moieties of intestinal glycolipids recognized by peanut agglutinin.</w:t>
      </w:r>
      <w:r w:rsidRPr="00330CF1">
        <w:rPr>
          <w:rFonts w:ascii="Arial" w:hAnsi="Arial" w:cs="Arial"/>
          <w:noProof/>
        </w:rPr>
        <w:t xml:space="preserve"> International Journal of Food Microbiology, 2004. </w:t>
      </w:r>
      <w:r w:rsidRPr="00330CF1">
        <w:rPr>
          <w:rFonts w:ascii="Arial" w:hAnsi="Arial" w:cs="Arial"/>
          <w:b/>
          <w:noProof/>
        </w:rPr>
        <w:t>90</w:t>
      </w:r>
      <w:r w:rsidRPr="00330CF1">
        <w:rPr>
          <w:rFonts w:ascii="Arial" w:hAnsi="Arial" w:cs="Arial"/>
          <w:noProof/>
        </w:rPr>
        <w:t>(3): p. 357-362.</w:t>
      </w:r>
      <w:bookmarkEnd w:id="331"/>
    </w:p>
    <w:p w:rsidR="00330CF1" w:rsidRPr="00330CF1" w:rsidRDefault="00330CF1" w:rsidP="0009286C">
      <w:pPr>
        <w:ind w:left="720" w:hanging="720"/>
        <w:rPr>
          <w:rFonts w:ascii="Arial" w:hAnsi="Arial" w:cs="Arial"/>
          <w:noProof/>
        </w:rPr>
      </w:pPr>
      <w:bookmarkStart w:id="332" w:name="_ENREF_271"/>
      <w:r w:rsidRPr="00330CF1">
        <w:rPr>
          <w:rFonts w:ascii="Arial" w:hAnsi="Arial" w:cs="Arial"/>
          <w:noProof/>
        </w:rPr>
        <w:t>271.</w:t>
      </w:r>
      <w:r w:rsidRPr="00330CF1">
        <w:rPr>
          <w:rFonts w:ascii="Arial" w:hAnsi="Arial" w:cs="Arial"/>
          <w:noProof/>
        </w:rPr>
        <w:tab/>
        <w:t xml:space="preserve">Sun, J., et al., </w:t>
      </w:r>
      <w:r w:rsidRPr="00330CF1">
        <w:rPr>
          <w:rFonts w:ascii="Arial" w:hAnsi="Arial" w:cs="Arial"/>
          <w:i/>
          <w:noProof/>
        </w:rPr>
        <w:t>Factors involved in binding of Lactobacillus plantarum Lp6 to rat small intestinal mucus.</w:t>
      </w:r>
      <w:r w:rsidRPr="00330CF1">
        <w:rPr>
          <w:rFonts w:ascii="Arial" w:hAnsi="Arial" w:cs="Arial"/>
          <w:noProof/>
        </w:rPr>
        <w:t xml:space="preserve"> Letters in Applied Microbiology, 2007. </w:t>
      </w:r>
      <w:r w:rsidRPr="00330CF1">
        <w:rPr>
          <w:rFonts w:ascii="Arial" w:hAnsi="Arial" w:cs="Arial"/>
          <w:b/>
          <w:noProof/>
        </w:rPr>
        <w:t>44</w:t>
      </w:r>
      <w:r w:rsidRPr="00330CF1">
        <w:rPr>
          <w:rFonts w:ascii="Arial" w:hAnsi="Arial" w:cs="Arial"/>
          <w:noProof/>
        </w:rPr>
        <w:t>(1): p. 79-85.</w:t>
      </w:r>
      <w:bookmarkEnd w:id="332"/>
    </w:p>
    <w:p w:rsidR="00330CF1" w:rsidRPr="00330CF1" w:rsidRDefault="00330CF1" w:rsidP="0009286C">
      <w:pPr>
        <w:ind w:left="720" w:hanging="720"/>
        <w:rPr>
          <w:rFonts w:ascii="Arial" w:hAnsi="Arial" w:cs="Arial"/>
          <w:noProof/>
        </w:rPr>
      </w:pPr>
      <w:bookmarkStart w:id="333" w:name="_ENREF_272"/>
      <w:r w:rsidRPr="00330CF1">
        <w:rPr>
          <w:rFonts w:ascii="Arial" w:hAnsi="Arial" w:cs="Arial"/>
          <w:noProof/>
        </w:rPr>
        <w:t>272.</w:t>
      </w:r>
      <w:r w:rsidRPr="00330CF1">
        <w:rPr>
          <w:rFonts w:ascii="Arial" w:hAnsi="Arial" w:cs="Arial"/>
          <w:noProof/>
        </w:rPr>
        <w:tab/>
        <w:t xml:space="preserve">Paton, A.W., et al., </w:t>
      </w:r>
      <w:r w:rsidRPr="00330CF1">
        <w:rPr>
          <w:rFonts w:ascii="Arial" w:hAnsi="Arial" w:cs="Arial"/>
          <w:i/>
          <w:noProof/>
        </w:rPr>
        <w:t>Recombinant probiotics for treatment and prevention of enterotoxigenic Escherichia coli diarrhea.</w:t>
      </w:r>
      <w:r w:rsidRPr="00330CF1">
        <w:rPr>
          <w:rFonts w:ascii="Arial" w:hAnsi="Arial" w:cs="Arial"/>
          <w:noProof/>
        </w:rPr>
        <w:t xml:space="preserve"> Gastroenterology, 2005. </w:t>
      </w:r>
      <w:r w:rsidRPr="00330CF1">
        <w:rPr>
          <w:rFonts w:ascii="Arial" w:hAnsi="Arial" w:cs="Arial"/>
          <w:b/>
          <w:noProof/>
        </w:rPr>
        <w:t>128</w:t>
      </w:r>
      <w:r w:rsidRPr="00330CF1">
        <w:rPr>
          <w:rFonts w:ascii="Arial" w:hAnsi="Arial" w:cs="Arial"/>
          <w:noProof/>
        </w:rPr>
        <w:t>(5): p. 1219-1228.</w:t>
      </w:r>
      <w:bookmarkEnd w:id="333"/>
    </w:p>
    <w:p w:rsidR="00330CF1" w:rsidRPr="00330CF1" w:rsidRDefault="00330CF1" w:rsidP="0009286C">
      <w:pPr>
        <w:ind w:left="720" w:hanging="720"/>
        <w:rPr>
          <w:rFonts w:ascii="Arial" w:hAnsi="Arial" w:cs="Arial"/>
          <w:noProof/>
        </w:rPr>
      </w:pPr>
      <w:bookmarkStart w:id="334" w:name="_ENREF_273"/>
      <w:r w:rsidRPr="00330CF1">
        <w:rPr>
          <w:rFonts w:ascii="Arial" w:hAnsi="Arial" w:cs="Arial"/>
          <w:noProof/>
        </w:rPr>
        <w:t>273.</w:t>
      </w:r>
      <w:r w:rsidRPr="00330CF1">
        <w:rPr>
          <w:rFonts w:ascii="Arial" w:hAnsi="Arial" w:cs="Arial"/>
          <w:noProof/>
        </w:rPr>
        <w:tab/>
        <w:t xml:space="preserve">Focareta, A., et al., </w:t>
      </w:r>
      <w:r w:rsidRPr="00330CF1">
        <w:rPr>
          <w:rFonts w:ascii="Arial" w:hAnsi="Arial" w:cs="Arial"/>
          <w:i/>
          <w:noProof/>
        </w:rPr>
        <w:t>A recombinant probiotic for treatment and prevention of cholera.</w:t>
      </w:r>
      <w:r w:rsidRPr="00330CF1">
        <w:rPr>
          <w:rFonts w:ascii="Arial" w:hAnsi="Arial" w:cs="Arial"/>
          <w:noProof/>
        </w:rPr>
        <w:t xml:space="preserve"> Gastroenterology, 2006. </w:t>
      </w:r>
      <w:r w:rsidRPr="00330CF1">
        <w:rPr>
          <w:rFonts w:ascii="Arial" w:hAnsi="Arial" w:cs="Arial"/>
          <w:b/>
          <w:noProof/>
        </w:rPr>
        <w:t>130</w:t>
      </w:r>
      <w:r w:rsidRPr="00330CF1">
        <w:rPr>
          <w:rFonts w:ascii="Arial" w:hAnsi="Arial" w:cs="Arial"/>
          <w:noProof/>
        </w:rPr>
        <w:t>(6): p. 1688-1695.</w:t>
      </w:r>
      <w:bookmarkEnd w:id="334"/>
    </w:p>
    <w:p w:rsidR="00330CF1" w:rsidRPr="00330CF1" w:rsidRDefault="00330CF1" w:rsidP="0009286C">
      <w:pPr>
        <w:ind w:left="720" w:hanging="720"/>
        <w:rPr>
          <w:rFonts w:ascii="Arial" w:hAnsi="Arial" w:cs="Arial"/>
          <w:noProof/>
        </w:rPr>
      </w:pPr>
      <w:bookmarkStart w:id="335" w:name="_ENREF_274"/>
      <w:r w:rsidRPr="00330CF1">
        <w:rPr>
          <w:rFonts w:ascii="Arial" w:hAnsi="Arial" w:cs="Arial"/>
          <w:noProof/>
        </w:rPr>
        <w:t>274.</w:t>
      </w:r>
      <w:r w:rsidRPr="00330CF1">
        <w:rPr>
          <w:rFonts w:ascii="Arial" w:hAnsi="Arial" w:cs="Arial"/>
          <w:noProof/>
        </w:rPr>
        <w:tab/>
        <w:t xml:space="preserve">Bakker-Zierikzee, A.M., et al., </w:t>
      </w:r>
      <w:r w:rsidRPr="00330CF1">
        <w:rPr>
          <w:rFonts w:ascii="Arial" w:hAnsi="Arial" w:cs="Arial"/>
          <w:i/>
          <w:noProof/>
        </w:rPr>
        <w:t>Faecal SIgA secretion in infants fed on pre- or probiotic infant formula.</w:t>
      </w:r>
      <w:r w:rsidRPr="00330CF1">
        <w:rPr>
          <w:rFonts w:ascii="Arial" w:hAnsi="Arial" w:cs="Arial"/>
          <w:noProof/>
        </w:rPr>
        <w:t xml:space="preserve"> Pediatric Allergy and Immunology, 2006. </w:t>
      </w:r>
      <w:r w:rsidRPr="00330CF1">
        <w:rPr>
          <w:rFonts w:ascii="Arial" w:hAnsi="Arial" w:cs="Arial"/>
          <w:b/>
          <w:noProof/>
        </w:rPr>
        <w:t>17</w:t>
      </w:r>
      <w:r w:rsidRPr="00330CF1">
        <w:rPr>
          <w:rFonts w:ascii="Arial" w:hAnsi="Arial" w:cs="Arial"/>
          <w:noProof/>
        </w:rPr>
        <w:t>(2): p. 134-140.</w:t>
      </w:r>
      <w:bookmarkEnd w:id="335"/>
    </w:p>
    <w:p w:rsidR="00330CF1" w:rsidRPr="00330CF1" w:rsidRDefault="00330CF1" w:rsidP="0009286C">
      <w:pPr>
        <w:ind w:left="720" w:hanging="720"/>
        <w:rPr>
          <w:rFonts w:ascii="Arial" w:hAnsi="Arial" w:cs="Arial"/>
          <w:noProof/>
        </w:rPr>
      </w:pPr>
      <w:bookmarkStart w:id="336" w:name="_ENREF_275"/>
      <w:r w:rsidRPr="00330CF1">
        <w:rPr>
          <w:rFonts w:ascii="Arial" w:hAnsi="Arial" w:cs="Arial"/>
          <w:noProof/>
        </w:rPr>
        <w:t>275.</w:t>
      </w:r>
      <w:r w:rsidRPr="00330CF1">
        <w:rPr>
          <w:rFonts w:ascii="Arial" w:hAnsi="Arial" w:cs="Arial"/>
          <w:noProof/>
        </w:rPr>
        <w:tab/>
        <w:t xml:space="preserve">Hendrick, J.P. and F.U. Hartl, </w:t>
      </w:r>
      <w:r w:rsidRPr="00330CF1">
        <w:rPr>
          <w:rFonts w:ascii="Arial" w:hAnsi="Arial" w:cs="Arial"/>
          <w:i/>
          <w:noProof/>
        </w:rPr>
        <w:t>Molecular chaperone functions of heat-shock proteins.</w:t>
      </w:r>
      <w:r w:rsidRPr="00330CF1">
        <w:rPr>
          <w:rFonts w:ascii="Arial" w:hAnsi="Arial" w:cs="Arial"/>
          <w:noProof/>
        </w:rPr>
        <w:t xml:space="preserve"> Annual Review of Biochemistry, 1993. </w:t>
      </w:r>
      <w:r w:rsidRPr="00330CF1">
        <w:rPr>
          <w:rFonts w:ascii="Arial" w:hAnsi="Arial" w:cs="Arial"/>
          <w:b/>
          <w:noProof/>
        </w:rPr>
        <w:t>62</w:t>
      </w:r>
      <w:r w:rsidRPr="00330CF1">
        <w:rPr>
          <w:rFonts w:ascii="Arial" w:hAnsi="Arial" w:cs="Arial"/>
          <w:noProof/>
        </w:rPr>
        <w:t>: p. 349-384.</w:t>
      </w:r>
      <w:bookmarkEnd w:id="336"/>
    </w:p>
    <w:p w:rsidR="00330CF1" w:rsidRPr="00330CF1" w:rsidRDefault="00330CF1" w:rsidP="0009286C">
      <w:pPr>
        <w:ind w:left="720" w:hanging="720"/>
        <w:rPr>
          <w:rFonts w:ascii="Arial" w:hAnsi="Arial" w:cs="Arial"/>
          <w:noProof/>
        </w:rPr>
      </w:pPr>
      <w:bookmarkStart w:id="337" w:name="_ENREF_276"/>
      <w:r w:rsidRPr="00330CF1">
        <w:rPr>
          <w:rFonts w:ascii="Arial" w:hAnsi="Arial" w:cs="Arial"/>
          <w:noProof/>
        </w:rPr>
        <w:t>276.</w:t>
      </w:r>
      <w:r w:rsidRPr="00330CF1">
        <w:rPr>
          <w:rFonts w:ascii="Arial" w:hAnsi="Arial" w:cs="Arial"/>
          <w:noProof/>
        </w:rPr>
        <w:tab/>
        <w:t xml:space="preserve">Tao, Y., et al., </w:t>
      </w:r>
      <w:r w:rsidRPr="00330CF1">
        <w:rPr>
          <w:rFonts w:ascii="Arial" w:hAnsi="Arial" w:cs="Arial"/>
          <w:i/>
          <w:noProof/>
        </w:rPr>
        <w:t>Soluble factors from Lactobacillus GG activate MAPKs and induce cytoprotective heat shock proteins in intestinal epithelial cells (vol 290, pg C1018, 2006).</w:t>
      </w:r>
      <w:r w:rsidRPr="00330CF1">
        <w:rPr>
          <w:rFonts w:ascii="Arial" w:hAnsi="Arial" w:cs="Arial"/>
          <w:noProof/>
        </w:rPr>
        <w:t xml:space="preserve"> American Journal of Physiology-Cell Physiology, 2006. </w:t>
      </w:r>
      <w:r w:rsidRPr="00330CF1">
        <w:rPr>
          <w:rFonts w:ascii="Arial" w:hAnsi="Arial" w:cs="Arial"/>
          <w:b/>
          <w:noProof/>
        </w:rPr>
        <w:t>291</w:t>
      </w:r>
      <w:r w:rsidRPr="00330CF1">
        <w:rPr>
          <w:rFonts w:ascii="Arial" w:hAnsi="Arial" w:cs="Arial"/>
          <w:noProof/>
        </w:rPr>
        <w:t>(1): p. C194-C194.</w:t>
      </w:r>
      <w:bookmarkEnd w:id="337"/>
    </w:p>
    <w:p w:rsidR="00330CF1" w:rsidRPr="00330CF1" w:rsidRDefault="00330CF1" w:rsidP="0009286C">
      <w:pPr>
        <w:ind w:left="720" w:hanging="720"/>
        <w:rPr>
          <w:rFonts w:ascii="Arial" w:hAnsi="Arial" w:cs="Arial"/>
          <w:noProof/>
        </w:rPr>
      </w:pPr>
      <w:bookmarkStart w:id="338" w:name="_ENREF_277"/>
      <w:r w:rsidRPr="00330CF1">
        <w:rPr>
          <w:rFonts w:ascii="Arial" w:hAnsi="Arial" w:cs="Arial"/>
          <w:noProof/>
        </w:rPr>
        <w:t>277.</w:t>
      </w:r>
      <w:r w:rsidRPr="00330CF1">
        <w:rPr>
          <w:rFonts w:ascii="Arial" w:hAnsi="Arial" w:cs="Arial"/>
          <w:noProof/>
        </w:rPr>
        <w:tab/>
        <w:t xml:space="preserve">Schreiber, S., S. Nikolaus, and J. Hampe, </w:t>
      </w:r>
      <w:r w:rsidRPr="00330CF1">
        <w:rPr>
          <w:rFonts w:ascii="Arial" w:hAnsi="Arial" w:cs="Arial"/>
          <w:i/>
          <w:noProof/>
        </w:rPr>
        <w:t>Activation of nuclear factor kappa B in inflammatory bowel disease.</w:t>
      </w:r>
      <w:r w:rsidRPr="00330CF1">
        <w:rPr>
          <w:rFonts w:ascii="Arial" w:hAnsi="Arial" w:cs="Arial"/>
          <w:noProof/>
        </w:rPr>
        <w:t xml:space="preserve"> Gut, 1998. </w:t>
      </w:r>
      <w:r w:rsidRPr="00330CF1">
        <w:rPr>
          <w:rFonts w:ascii="Arial" w:hAnsi="Arial" w:cs="Arial"/>
          <w:b/>
          <w:noProof/>
        </w:rPr>
        <w:t>42</w:t>
      </w:r>
      <w:r w:rsidRPr="00330CF1">
        <w:rPr>
          <w:rFonts w:ascii="Arial" w:hAnsi="Arial" w:cs="Arial"/>
          <w:noProof/>
        </w:rPr>
        <w:t>(4): p. 477-484.</w:t>
      </w:r>
      <w:bookmarkEnd w:id="338"/>
    </w:p>
    <w:p w:rsidR="00330CF1" w:rsidRPr="00330CF1" w:rsidRDefault="00330CF1" w:rsidP="0009286C">
      <w:pPr>
        <w:ind w:left="720" w:hanging="720"/>
        <w:rPr>
          <w:rFonts w:ascii="Arial" w:hAnsi="Arial" w:cs="Arial"/>
          <w:noProof/>
        </w:rPr>
      </w:pPr>
      <w:bookmarkStart w:id="339" w:name="_ENREF_278"/>
      <w:r w:rsidRPr="00330CF1">
        <w:rPr>
          <w:rFonts w:ascii="Arial" w:hAnsi="Arial" w:cs="Arial"/>
          <w:noProof/>
        </w:rPr>
        <w:t>278.</w:t>
      </w:r>
      <w:r w:rsidRPr="00330CF1">
        <w:rPr>
          <w:rFonts w:ascii="Arial" w:hAnsi="Arial" w:cs="Arial"/>
          <w:noProof/>
        </w:rPr>
        <w:tab/>
        <w:t xml:space="preserve">Jijon, H., et al., </w:t>
      </w:r>
      <w:r w:rsidRPr="00330CF1">
        <w:rPr>
          <w:rFonts w:ascii="Arial" w:hAnsi="Arial" w:cs="Arial"/>
          <w:i/>
          <w:noProof/>
        </w:rPr>
        <w:t>DNA from probiotic bacteria modulates murine and human epithelial and immune function.</w:t>
      </w:r>
      <w:r w:rsidRPr="00330CF1">
        <w:rPr>
          <w:rFonts w:ascii="Arial" w:hAnsi="Arial" w:cs="Arial"/>
          <w:noProof/>
        </w:rPr>
        <w:t xml:space="preserve"> Gastroenterology, 2004. </w:t>
      </w:r>
      <w:r w:rsidRPr="00330CF1">
        <w:rPr>
          <w:rFonts w:ascii="Arial" w:hAnsi="Arial" w:cs="Arial"/>
          <w:b/>
          <w:noProof/>
        </w:rPr>
        <w:t>126</w:t>
      </w:r>
      <w:r w:rsidRPr="00330CF1">
        <w:rPr>
          <w:rFonts w:ascii="Arial" w:hAnsi="Arial" w:cs="Arial"/>
          <w:noProof/>
        </w:rPr>
        <w:t>(5): p. 1358-1373.</w:t>
      </w:r>
      <w:bookmarkEnd w:id="339"/>
    </w:p>
    <w:p w:rsidR="00330CF1" w:rsidRPr="00330CF1" w:rsidRDefault="00330CF1" w:rsidP="0009286C">
      <w:pPr>
        <w:ind w:left="720" w:hanging="720"/>
        <w:rPr>
          <w:rFonts w:ascii="Arial" w:hAnsi="Arial" w:cs="Arial"/>
          <w:noProof/>
        </w:rPr>
      </w:pPr>
      <w:bookmarkStart w:id="340" w:name="_ENREF_279"/>
      <w:r w:rsidRPr="00330CF1">
        <w:rPr>
          <w:rFonts w:ascii="Arial" w:hAnsi="Arial" w:cs="Arial"/>
          <w:noProof/>
        </w:rPr>
        <w:t>279.</w:t>
      </w:r>
      <w:r w:rsidRPr="00330CF1">
        <w:rPr>
          <w:rFonts w:ascii="Arial" w:hAnsi="Arial" w:cs="Arial"/>
          <w:noProof/>
        </w:rPr>
        <w:tab/>
        <w:t xml:space="preserve">Smits, H.H., et al., </w:t>
      </w:r>
      <w:r w:rsidRPr="00330CF1">
        <w:rPr>
          <w:rFonts w:ascii="Arial" w:hAnsi="Arial" w:cs="Arial"/>
          <w:i/>
          <w:noProof/>
        </w:rPr>
        <w:t>Selective probiotic bacteria induce IL-10-producing regulatory T cells in vitro by modulating dendritic cell function through dendritic cell-specific intercellular adhesion molecule 3-grabbing nonintegrin.</w:t>
      </w:r>
      <w:r w:rsidRPr="00330CF1">
        <w:rPr>
          <w:rFonts w:ascii="Arial" w:hAnsi="Arial" w:cs="Arial"/>
          <w:noProof/>
        </w:rPr>
        <w:t xml:space="preserve"> Journal of Allergy and Clinical Immunology, 2005. </w:t>
      </w:r>
      <w:r w:rsidRPr="00330CF1">
        <w:rPr>
          <w:rFonts w:ascii="Arial" w:hAnsi="Arial" w:cs="Arial"/>
          <w:b/>
          <w:noProof/>
        </w:rPr>
        <w:t>115</w:t>
      </w:r>
      <w:r w:rsidRPr="00330CF1">
        <w:rPr>
          <w:rFonts w:ascii="Arial" w:hAnsi="Arial" w:cs="Arial"/>
          <w:noProof/>
        </w:rPr>
        <w:t>(6): p. 1260-1267.</w:t>
      </w:r>
      <w:bookmarkEnd w:id="340"/>
    </w:p>
    <w:p w:rsidR="00330CF1" w:rsidRPr="00330CF1" w:rsidRDefault="00330CF1" w:rsidP="0009286C">
      <w:pPr>
        <w:ind w:left="720" w:hanging="720"/>
        <w:rPr>
          <w:rFonts w:ascii="Arial" w:hAnsi="Arial" w:cs="Arial"/>
          <w:noProof/>
        </w:rPr>
      </w:pPr>
      <w:bookmarkStart w:id="341" w:name="_ENREF_280"/>
      <w:r w:rsidRPr="00330CF1">
        <w:rPr>
          <w:rFonts w:ascii="Arial" w:hAnsi="Arial" w:cs="Arial"/>
          <w:noProof/>
        </w:rPr>
        <w:t>280.</w:t>
      </w:r>
      <w:r w:rsidRPr="00330CF1">
        <w:rPr>
          <w:rFonts w:ascii="Arial" w:hAnsi="Arial" w:cs="Arial"/>
          <w:noProof/>
        </w:rPr>
        <w:tab/>
        <w:t xml:space="preserve">Takeda, K., T. Kaisho, and S. Akira, </w:t>
      </w:r>
      <w:r w:rsidRPr="00330CF1">
        <w:rPr>
          <w:rFonts w:ascii="Arial" w:hAnsi="Arial" w:cs="Arial"/>
          <w:i/>
          <w:noProof/>
        </w:rPr>
        <w:t>Toll-like receptors.</w:t>
      </w:r>
      <w:r w:rsidRPr="00330CF1">
        <w:rPr>
          <w:rFonts w:ascii="Arial" w:hAnsi="Arial" w:cs="Arial"/>
          <w:noProof/>
        </w:rPr>
        <w:t xml:space="preserve"> Annual Review of Immunology, 2003. </w:t>
      </w:r>
      <w:r w:rsidRPr="00330CF1">
        <w:rPr>
          <w:rFonts w:ascii="Arial" w:hAnsi="Arial" w:cs="Arial"/>
          <w:b/>
          <w:noProof/>
        </w:rPr>
        <w:t>21</w:t>
      </w:r>
      <w:r w:rsidRPr="00330CF1">
        <w:rPr>
          <w:rFonts w:ascii="Arial" w:hAnsi="Arial" w:cs="Arial"/>
          <w:noProof/>
        </w:rPr>
        <w:t>: p. 335-376.</w:t>
      </w:r>
      <w:bookmarkEnd w:id="341"/>
    </w:p>
    <w:p w:rsidR="00330CF1" w:rsidRPr="00330CF1" w:rsidRDefault="00330CF1" w:rsidP="0009286C">
      <w:pPr>
        <w:ind w:left="720" w:hanging="720"/>
        <w:rPr>
          <w:rFonts w:ascii="Arial" w:hAnsi="Arial" w:cs="Arial"/>
          <w:noProof/>
        </w:rPr>
      </w:pPr>
      <w:bookmarkStart w:id="342" w:name="_ENREF_281"/>
      <w:r w:rsidRPr="00330CF1">
        <w:rPr>
          <w:rFonts w:ascii="Arial" w:hAnsi="Arial" w:cs="Arial"/>
          <w:noProof/>
        </w:rPr>
        <w:t>281.</w:t>
      </w:r>
      <w:r w:rsidRPr="00330CF1">
        <w:rPr>
          <w:rFonts w:ascii="Arial" w:hAnsi="Arial" w:cs="Arial"/>
          <w:noProof/>
        </w:rPr>
        <w:tab/>
        <w:t xml:space="preserve">Fritz, J.H., et al., </w:t>
      </w:r>
      <w:r w:rsidRPr="00330CF1">
        <w:rPr>
          <w:rFonts w:ascii="Arial" w:hAnsi="Arial" w:cs="Arial"/>
          <w:i/>
          <w:noProof/>
        </w:rPr>
        <w:t>Nod-like proteins in immunity, inflammation and disease.</w:t>
      </w:r>
      <w:r w:rsidRPr="00330CF1">
        <w:rPr>
          <w:rFonts w:ascii="Arial" w:hAnsi="Arial" w:cs="Arial"/>
          <w:noProof/>
        </w:rPr>
        <w:t xml:space="preserve"> Nature Immunology, 2006. </w:t>
      </w:r>
      <w:r w:rsidRPr="00330CF1">
        <w:rPr>
          <w:rFonts w:ascii="Arial" w:hAnsi="Arial" w:cs="Arial"/>
          <w:b/>
          <w:noProof/>
        </w:rPr>
        <w:t>7</w:t>
      </w:r>
      <w:r w:rsidRPr="00330CF1">
        <w:rPr>
          <w:rFonts w:ascii="Arial" w:hAnsi="Arial" w:cs="Arial"/>
          <w:noProof/>
        </w:rPr>
        <w:t>(12): p. 1250-1257.</w:t>
      </w:r>
      <w:bookmarkEnd w:id="342"/>
    </w:p>
    <w:p w:rsidR="00330CF1" w:rsidRPr="00330CF1" w:rsidRDefault="00330CF1" w:rsidP="0009286C">
      <w:pPr>
        <w:ind w:left="720" w:hanging="720"/>
        <w:rPr>
          <w:rFonts w:ascii="Arial" w:hAnsi="Arial" w:cs="Arial"/>
          <w:noProof/>
        </w:rPr>
      </w:pPr>
      <w:bookmarkStart w:id="343" w:name="_ENREF_282"/>
      <w:r w:rsidRPr="00330CF1">
        <w:rPr>
          <w:rFonts w:ascii="Arial" w:hAnsi="Arial" w:cs="Arial"/>
          <w:noProof/>
        </w:rPr>
        <w:lastRenderedPageBreak/>
        <w:t>282.</w:t>
      </w:r>
      <w:r w:rsidRPr="00330CF1">
        <w:rPr>
          <w:rFonts w:ascii="Arial" w:hAnsi="Arial" w:cs="Arial"/>
          <w:noProof/>
        </w:rPr>
        <w:tab/>
        <w:t xml:space="preserve">Lee, J., et al., </w:t>
      </w:r>
      <w:r w:rsidRPr="00330CF1">
        <w:rPr>
          <w:rFonts w:ascii="Arial" w:hAnsi="Arial" w:cs="Arial"/>
          <w:i/>
          <w:noProof/>
        </w:rPr>
        <w:t>Maintenance of colonic homeostasis by distinctive apical TLR9 signalling in intestinal epithelial cells.</w:t>
      </w:r>
      <w:r w:rsidRPr="00330CF1">
        <w:rPr>
          <w:rFonts w:ascii="Arial" w:hAnsi="Arial" w:cs="Arial"/>
          <w:noProof/>
        </w:rPr>
        <w:t xml:space="preserve"> Nature Cell Biology, 2006. </w:t>
      </w:r>
      <w:r w:rsidRPr="00330CF1">
        <w:rPr>
          <w:rFonts w:ascii="Arial" w:hAnsi="Arial" w:cs="Arial"/>
          <w:b/>
          <w:noProof/>
        </w:rPr>
        <w:t>8</w:t>
      </w:r>
      <w:r w:rsidRPr="00330CF1">
        <w:rPr>
          <w:rFonts w:ascii="Arial" w:hAnsi="Arial" w:cs="Arial"/>
          <w:noProof/>
        </w:rPr>
        <w:t>(12): p. 1327-U7.</w:t>
      </w:r>
      <w:bookmarkEnd w:id="343"/>
    </w:p>
    <w:p w:rsidR="00330CF1" w:rsidRPr="00330CF1" w:rsidRDefault="00330CF1" w:rsidP="0009286C">
      <w:pPr>
        <w:ind w:left="720" w:hanging="720"/>
        <w:rPr>
          <w:rFonts w:ascii="Arial" w:hAnsi="Arial" w:cs="Arial"/>
          <w:noProof/>
        </w:rPr>
      </w:pPr>
      <w:bookmarkStart w:id="344" w:name="_ENREF_283"/>
      <w:r w:rsidRPr="00330CF1">
        <w:rPr>
          <w:rFonts w:ascii="Arial" w:hAnsi="Arial" w:cs="Arial"/>
          <w:noProof/>
        </w:rPr>
        <w:t>283.</w:t>
      </w:r>
      <w:r w:rsidRPr="00330CF1">
        <w:rPr>
          <w:rFonts w:ascii="Arial" w:hAnsi="Arial" w:cs="Arial"/>
          <w:noProof/>
        </w:rPr>
        <w:tab/>
        <w:t xml:space="preserve">Hajjar, A.M., et al., </w:t>
      </w:r>
      <w:r w:rsidRPr="00330CF1">
        <w:rPr>
          <w:rFonts w:ascii="Arial" w:hAnsi="Arial" w:cs="Arial"/>
          <w:i/>
          <w:noProof/>
        </w:rPr>
        <w:t>Human Toll-like receptor 4 recognizes host-specific LPS modifications.</w:t>
      </w:r>
      <w:r w:rsidRPr="00330CF1">
        <w:rPr>
          <w:rFonts w:ascii="Arial" w:hAnsi="Arial" w:cs="Arial"/>
          <w:noProof/>
        </w:rPr>
        <w:t xml:space="preserve"> Nature Immunology, 2002. </w:t>
      </w:r>
      <w:r w:rsidRPr="00330CF1">
        <w:rPr>
          <w:rFonts w:ascii="Arial" w:hAnsi="Arial" w:cs="Arial"/>
          <w:b/>
          <w:noProof/>
        </w:rPr>
        <w:t>3</w:t>
      </w:r>
      <w:r w:rsidRPr="00330CF1">
        <w:rPr>
          <w:rFonts w:ascii="Arial" w:hAnsi="Arial" w:cs="Arial"/>
          <w:noProof/>
        </w:rPr>
        <w:t>(4): p. 354-359.</w:t>
      </w:r>
      <w:bookmarkEnd w:id="344"/>
    </w:p>
    <w:p w:rsidR="00330CF1" w:rsidRPr="00330CF1" w:rsidRDefault="00330CF1" w:rsidP="0009286C">
      <w:pPr>
        <w:ind w:left="720" w:hanging="720"/>
        <w:rPr>
          <w:rFonts w:ascii="Arial" w:hAnsi="Arial" w:cs="Arial"/>
          <w:noProof/>
        </w:rPr>
      </w:pPr>
      <w:bookmarkStart w:id="345" w:name="_ENREF_284"/>
      <w:r w:rsidRPr="00330CF1">
        <w:rPr>
          <w:rFonts w:ascii="Arial" w:hAnsi="Arial" w:cs="Arial"/>
          <w:noProof/>
        </w:rPr>
        <w:t>284.</w:t>
      </w:r>
      <w:r w:rsidRPr="00330CF1">
        <w:rPr>
          <w:rFonts w:ascii="Arial" w:hAnsi="Arial" w:cs="Arial"/>
          <w:noProof/>
        </w:rPr>
        <w:tab/>
        <w:t xml:space="preserve">van Heel, D.A., et al., </w:t>
      </w:r>
      <w:r w:rsidRPr="00330CF1">
        <w:rPr>
          <w:rFonts w:ascii="Arial" w:hAnsi="Arial" w:cs="Arial"/>
          <w:i/>
          <w:noProof/>
        </w:rPr>
        <w:t>Synergistic enhancement of Toll-like receptor responses by NOD1 activation.</w:t>
      </w:r>
      <w:r w:rsidRPr="00330CF1">
        <w:rPr>
          <w:rFonts w:ascii="Arial" w:hAnsi="Arial" w:cs="Arial"/>
          <w:noProof/>
        </w:rPr>
        <w:t xml:space="preserve"> European Journal of Immunology, 2005. </w:t>
      </w:r>
      <w:r w:rsidRPr="00330CF1">
        <w:rPr>
          <w:rFonts w:ascii="Arial" w:hAnsi="Arial" w:cs="Arial"/>
          <w:b/>
          <w:noProof/>
        </w:rPr>
        <w:t>35</w:t>
      </w:r>
      <w:r w:rsidRPr="00330CF1">
        <w:rPr>
          <w:rFonts w:ascii="Arial" w:hAnsi="Arial" w:cs="Arial"/>
          <w:noProof/>
        </w:rPr>
        <w:t>(8): p. 2471-2476.</w:t>
      </w:r>
      <w:bookmarkEnd w:id="345"/>
    </w:p>
    <w:p w:rsidR="00330CF1" w:rsidRPr="00330CF1" w:rsidRDefault="00330CF1" w:rsidP="0009286C">
      <w:pPr>
        <w:ind w:left="720" w:hanging="720"/>
        <w:rPr>
          <w:rFonts w:ascii="Arial" w:hAnsi="Arial" w:cs="Arial"/>
          <w:noProof/>
        </w:rPr>
      </w:pPr>
      <w:bookmarkStart w:id="346" w:name="_ENREF_285"/>
      <w:r w:rsidRPr="00330CF1">
        <w:rPr>
          <w:rFonts w:ascii="Arial" w:hAnsi="Arial" w:cs="Arial"/>
          <w:noProof/>
        </w:rPr>
        <w:t>285.</w:t>
      </w:r>
      <w:r w:rsidRPr="00330CF1">
        <w:rPr>
          <w:rFonts w:ascii="Arial" w:hAnsi="Arial" w:cs="Arial"/>
          <w:noProof/>
        </w:rPr>
        <w:tab/>
        <w:t xml:space="preserve">Baillon, M.L.A., Z.V. Marshall-Jones, and R.F. Butterwick, </w:t>
      </w:r>
      <w:r w:rsidRPr="00330CF1">
        <w:rPr>
          <w:rFonts w:ascii="Arial" w:hAnsi="Arial" w:cs="Arial"/>
          <w:i/>
          <w:noProof/>
        </w:rPr>
        <w:t>Effects of probiotic Lactobacillus acidophilus strain DSM13241 in healthy adult dogs.</w:t>
      </w:r>
      <w:r w:rsidRPr="00330CF1">
        <w:rPr>
          <w:rFonts w:ascii="Arial" w:hAnsi="Arial" w:cs="Arial"/>
          <w:noProof/>
        </w:rPr>
        <w:t xml:space="preserve"> American Journal of Veterinary Research, 2004. </w:t>
      </w:r>
      <w:r w:rsidRPr="00330CF1">
        <w:rPr>
          <w:rFonts w:ascii="Arial" w:hAnsi="Arial" w:cs="Arial"/>
          <w:b/>
          <w:noProof/>
        </w:rPr>
        <w:t>65</w:t>
      </w:r>
      <w:r w:rsidRPr="00330CF1">
        <w:rPr>
          <w:rFonts w:ascii="Arial" w:hAnsi="Arial" w:cs="Arial"/>
          <w:noProof/>
        </w:rPr>
        <w:t>(3): p. 338-343.</w:t>
      </w:r>
      <w:bookmarkEnd w:id="346"/>
    </w:p>
    <w:p w:rsidR="00330CF1" w:rsidRPr="00330CF1" w:rsidRDefault="00330CF1" w:rsidP="0009286C">
      <w:pPr>
        <w:ind w:left="720" w:hanging="720"/>
        <w:rPr>
          <w:rFonts w:ascii="Arial" w:hAnsi="Arial" w:cs="Arial"/>
          <w:noProof/>
        </w:rPr>
      </w:pPr>
      <w:bookmarkStart w:id="347" w:name="_ENREF_286"/>
      <w:r w:rsidRPr="00330CF1">
        <w:rPr>
          <w:rFonts w:ascii="Arial" w:hAnsi="Arial" w:cs="Arial"/>
          <w:noProof/>
        </w:rPr>
        <w:t>286.</w:t>
      </w:r>
      <w:r w:rsidRPr="00330CF1">
        <w:rPr>
          <w:rFonts w:ascii="Arial" w:hAnsi="Arial" w:cs="Arial"/>
          <w:noProof/>
        </w:rPr>
        <w:tab/>
        <w:t xml:space="preserve">Benyacoub, J., et al., </w:t>
      </w:r>
      <w:r w:rsidRPr="00330CF1">
        <w:rPr>
          <w:rFonts w:ascii="Arial" w:hAnsi="Arial" w:cs="Arial"/>
          <w:i/>
          <w:noProof/>
        </w:rPr>
        <w:t>Supplementation of food with Enterococcus faecium (SF68) stimulates immune functions in young dogs.</w:t>
      </w:r>
      <w:r w:rsidRPr="00330CF1">
        <w:rPr>
          <w:rFonts w:ascii="Arial" w:hAnsi="Arial" w:cs="Arial"/>
          <w:noProof/>
        </w:rPr>
        <w:t xml:space="preserve"> Journal of Nutrition, 2003. </w:t>
      </w:r>
      <w:r w:rsidRPr="00330CF1">
        <w:rPr>
          <w:rFonts w:ascii="Arial" w:hAnsi="Arial" w:cs="Arial"/>
          <w:b/>
          <w:noProof/>
        </w:rPr>
        <w:t>133</w:t>
      </w:r>
      <w:r w:rsidRPr="00330CF1">
        <w:rPr>
          <w:rFonts w:ascii="Arial" w:hAnsi="Arial" w:cs="Arial"/>
          <w:noProof/>
        </w:rPr>
        <w:t>(4): p. 1158-1162.</w:t>
      </w:r>
      <w:bookmarkEnd w:id="347"/>
    </w:p>
    <w:p w:rsidR="00330CF1" w:rsidRPr="00330CF1" w:rsidRDefault="00330CF1" w:rsidP="0009286C">
      <w:pPr>
        <w:ind w:left="720" w:hanging="720"/>
        <w:rPr>
          <w:rFonts w:ascii="Arial" w:hAnsi="Arial" w:cs="Arial"/>
          <w:noProof/>
        </w:rPr>
      </w:pPr>
      <w:bookmarkStart w:id="348" w:name="_ENREF_287"/>
      <w:r w:rsidRPr="00330CF1">
        <w:rPr>
          <w:rFonts w:ascii="Arial" w:hAnsi="Arial" w:cs="Arial"/>
          <w:noProof/>
        </w:rPr>
        <w:t>287.</w:t>
      </w:r>
      <w:r w:rsidRPr="00330CF1">
        <w:rPr>
          <w:rFonts w:ascii="Arial" w:hAnsi="Arial" w:cs="Arial"/>
          <w:noProof/>
        </w:rPr>
        <w:tab/>
        <w:t xml:space="preserve">Marshall-Jones, Z.V., et al., </w:t>
      </w:r>
      <w:r w:rsidRPr="00330CF1">
        <w:rPr>
          <w:rFonts w:ascii="Arial" w:hAnsi="Arial" w:cs="Arial"/>
          <w:i/>
          <w:noProof/>
        </w:rPr>
        <w:t>Effects of Lactobacillus acidophilus DSM13241 as a probiotic in healthy adult cats.</w:t>
      </w:r>
      <w:r w:rsidRPr="00330CF1">
        <w:rPr>
          <w:rFonts w:ascii="Arial" w:hAnsi="Arial" w:cs="Arial"/>
          <w:noProof/>
        </w:rPr>
        <w:t xml:space="preserve"> American Journal of Veterinary Research, 2006. </w:t>
      </w:r>
      <w:r w:rsidRPr="00330CF1">
        <w:rPr>
          <w:rFonts w:ascii="Arial" w:hAnsi="Arial" w:cs="Arial"/>
          <w:b/>
          <w:noProof/>
        </w:rPr>
        <w:t>67</w:t>
      </w:r>
      <w:r w:rsidRPr="00330CF1">
        <w:rPr>
          <w:rFonts w:ascii="Arial" w:hAnsi="Arial" w:cs="Arial"/>
          <w:noProof/>
        </w:rPr>
        <w:t>(6): p. 1005-1012.</w:t>
      </w:r>
      <w:bookmarkEnd w:id="348"/>
    </w:p>
    <w:p w:rsidR="00330CF1" w:rsidRPr="00330CF1" w:rsidRDefault="00330CF1" w:rsidP="0009286C">
      <w:pPr>
        <w:ind w:left="720" w:hanging="720"/>
        <w:rPr>
          <w:rFonts w:ascii="Arial" w:hAnsi="Arial" w:cs="Arial"/>
          <w:noProof/>
        </w:rPr>
      </w:pPr>
      <w:bookmarkStart w:id="349" w:name="_ENREF_288"/>
      <w:r w:rsidRPr="00330CF1">
        <w:rPr>
          <w:rFonts w:ascii="Arial" w:hAnsi="Arial" w:cs="Arial"/>
          <w:noProof/>
        </w:rPr>
        <w:t>288.</w:t>
      </w:r>
      <w:r w:rsidRPr="00330CF1">
        <w:rPr>
          <w:rFonts w:ascii="Arial" w:hAnsi="Arial" w:cs="Arial"/>
          <w:noProof/>
        </w:rPr>
        <w:tab/>
        <w:t xml:space="preserve">Lappin, M.R., et al., </w:t>
      </w:r>
      <w:r w:rsidRPr="00330CF1">
        <w:rPr>
          <w:rFonts w:ascii="Arial" w:hAnsi="Arial" w:cs="Arial"/>
          <w:i/>
          <w:noProof/>
        </w:rPr>
        <w:t>Pilot study to evaluate the effect of oral supplementation of Enterococcus faecium SF68 on cats with latent feline herpesvirus 1.</w:t>
      </w:r>
      <w:r w:rsidRPr="00330CF1">
        <w:rPr>
          <w:rFonts w:ascii="Arial" w:hAnsi="Arial" w:cs="Arial"/>
          <w:noProof/>
        </w:rPr>
        <w:t xml:space="preserve"> Journal of Feline Medicine and Surgery, 2009. </w:t>
      </w:r>
      <w:r w:rsidRPr="00330CF1">
        <w:rPr>
          <w:rFonts w:ascii="Arial" w:hAnsi="Arial" w:cs="Arial"/>
          <w:b/>
          <w:noProof/>
        </w:rPr>
        <w:t>11</w:t>
      </w:r>
      <w:r w:rsidRPr="00330CF1">
        <w:rPr>
          <w:rFonts w:ascii="Arial" w:hAnsi="Arial" w:cs="Arial"/>
          <w:noProof/>
        </w:rPr>
        <w:t>(8): p. 650-654.</w:t>
      </w:r>
      <w:bookmarkEnd w:id="349"/>
    </w:p>
    <w:p w:rsidR="00330CF1" w:rsidRPr="00330CF1" w:rsidRDefault="00330CF1" w:rsidP="0009286C">
      <w:pPr>
        <w:ind w:left="720" w:hanging="720"/>
        <w:rPr>
          <w:rFonts w:ascii="Arial" w:hAnsi="Arial" w:cs="Arial"/>
          <w:noProof/>
        </w:rPr>
      </w:pPr>
      <w:bookmarkStart w:id="350" w:name="_ENREF_289"/>
      <w:r w:rsidRPr="00330CF1">
        <w:rPr>
          <w:rFonts w:ascii="Arial" w:hAnsi="Arial" w:cs="Arial"/>
          <w:noProof/>
        </w:rPr>
        <w:t>289.</w:t>
      </w:r>
      <w:r w:rsidRPr="00330CF1">
        <w:rPr>
          <w:rFonts w:ascii="Arial" w:hAnsi="Arial" w:cs="Arial"/>
          <w:noProof/>
        </w:rPr>
        <w:tab/>
        <w:t xml:space="preserve">Veir, J.K., et al., </w:t>
      </w:r>
      <w:r w:rsidRPr="00330CF1">
        <w:rPr>
          <w:rFonts w:ascii="Arial" w:hAnsi="Arial" w:cs="Arial"/>
          <w:i/>
          <w:noProof/>
        </w:rPr>
        <w:t>Effect of supplementation with Enterococcus faecium (SF68) on immune functions in cats.</w:t>
      </w:r>
      <w:r w:rsidRPr="00330CF1">
        <w:rPr>
          <w:rFonts w:ascii="Arial" w:hAnsi="Arial" w:cs="Arial"/>
          <w:noProof/>
        </w:rPr>
        <w:t xml:space="preserve"> Veterinary Therapeutics, 2007. </w:t>
      </w:r>
      <w:r w:rsidRPr="00330CF1">
        <w:rPr>
          <w:rFonts w:ascii="Arial" w:hAnsi="Arial" w:cs="Arial"/>
          <w:b/>
          <w:noProof/>
        </w:rPr>
        <w:t>8</w:t>
      </w:r>
      <w:r w:rsidRPr="00330CF1">
        <w:rPr>
          <w:rFonts w:ascii="Arial" w:hAnsi="Arial" w:cs="Arial"/>
          <w:noProof/>
        </w:rPr>
        <w:t>(4): p. 229-238.</w:t>
      </w:r>
      <w:bookmarkEnd w:id="350"/>
    </w:p>
    <w:p w:rsidR="00330CF1" w:rsidRPr="00330CF1" w:rsidRDefault="00330CF1" w:rsidP="0009286C">
      <w:pPr>
        <w:ind w:left="720" w:hanging="720"/>
        <w:rPr>
          <w:rFonts w:ascii="Arial" w:hAnsi="Arial" w:cs="Arial"/>
          <w:noProof/>
        </w:rPr>
      </w:pPr>
      <w:bookmarkStart w:id="351" w:name="_ENREF_290"/>
      <w:r w:rsidRPr="00330CF1">
        <w:rPr>
          <w:rFonts w:ascii="Arial" w:hAnsi="Arial" w:cs="Arial"/>
          <w:noProof/>
        </w:rPr>
        <w:t>290.</w:t>
      </w:r>
      <w:r w:rsidRPr="00330CF1">
        <w:rPr>
          <w:rFonts w:ascii="Arial" w:hAnsi="Arial" w:cs="Arial"/>
          <w:noProof/>
        </w:rPr>
        <w:tab/>
        <w:t xml:space="preserve">Guarner, F., et al., </w:t>
      </w:r>
      <w:r w:rsidRPr="00330CF1">
        <w:rPr>
          <w:rFonts w:ascii="Arial" w:hAnsi="Arial" w:cs="Arial"/>
          <w:i/>
          <w:noProof/>
        </w:rPr>
        <w:t>Mechanisms of disease: the hygiene hypothesis revisited.</w:t>
      </w:r>
      <w:r w:rsidRPr="00330CF1">
        <w:rPr>
          <w:rFonts w:ascii="Arial" w:hAnsi="Arial" w:cs="Arial"/>
          <w:noProof/>
        </w:rPr>
        <w:t xml:space="preserve"> Nature Clinical Practice Gastroenterology &amp; Hepatology, 2006. </w:t>
      </w:r>
      <w:r w:rsidRPr="00330CF1">
        <w:rPr>
          <w:rFonts w:ascii="Arial" w:hAnsi="Arial" w:cs="Arial"/>
          <w:b/>
          <w:noProof/>
        </w:rPr>
        <w:t>3</w:t>
      </w:r>
      <w:r w:rsidRPr="00330CF1">
        <w:rPr>
          <w:rFonts w:ascii="Arial" w:hAnsi="Arial" w:cs="Arial"/>
          <w:noProof/>
        </w:rPr>
        <w:t>(5): p. 275-284.</w:t>
      </w:r>
      <w:bookmarkEnd w:id="351"/>
    </w:p>
    <w:p w:rsidR="00330CF1" w:rsidRPr="00330CF1" w:rsidRDefault="00330CF1" w:rsidP="0009286C">
      <w:pPr>
        <w:ind w:left="720" w:hanging="720"/>
        <w:rPr>
          <w:rFonts w:ascii="Arial" w:hAnsi="Arial" w:cs="Arial"/>
          <w:noProof/>
        </w:rPr>
      </w:pPr>
      <w:bookmarkStart w:id="352" w:name="_ENREF_291"/>
      <w:r w:rsidRPr="00330CF1">
        <w:rPr>
          <w:rFonts w:ascii="Arial" w:hAnsi="Arial" w:cs="Arial"/>
          <w:noProof/>
        </w:rPr>
        <w:t>291.</w:t>
      </w:r>
      <w:r w:rsidRPr="00330CF1">
        <w:rPr>
          <w:rFonts w:ascii="Arial" w:hAnsi="Arial" w:cs="Arial"/>
          <w:noProof/>
        </w:rPr>
        <w:tab/>
        <w:t xml:space="preserve">Leibowit.U, et al., </w:t>
      </w:r>
      <w:r w:rsidRPr="00330CF1">
        <w:rPr>
          <w:rFonts w:ascii="Arial" w:hAnsi="Arial" w:cs="Arial"/>
          <w:i/>
          <w:noProof/>
        </w:rPr>
        <w:t>Epidemiological study of multiple sclerosis in Israel. 2. Multiple sclerosis and level of sanitation.</w:t>
      </w:r>
      <w:r w:rsidRPr="00330CF1">
        <w:rPr>
          <w:rFonts w:ascii="Arial" w:hAnsi="Arial" w:cs="Arial"/>
          <w:noProof/>
        </w:rPr>
        <w:t xml:space="preserve"> Journal of Neurology Neurosurgery and Psychiatry, 1966. </w:t>
      </w:r>
      <w:r w:rsidRPr="00330CF1">
        <w:rPr>
          <w:rFonts w:ascii="Arial" w:hAnsi="Arial" w:cs="Arial"/>
          <w:b/>
          <w:noProof/>
        </w:rPr>
        <w:t>29</w:t>
      </w:r>
      <w:r w:rsidRPr="00330CF1">
        <w:rPr>
          <w:rFonts w:ascii="Arial" w:hAnsi="Arial" w:cs="Arial"/>
          <w:noProof/>
        </w:rPr>
        <w:t>(1): p. 60-68.</w:t>
      </w:r>
      <w:bookmarkEnd w:id="352"/>
    </w:p>
    <w:p w:rsidR="00330CF1" w:rsidRPr="00330CF1" w:rsidRDefault="00330CF1" w:rsidP="0009286C">
      <w:pPr>
        <w:ind w:left="720" w:hanging="720"/>
        <w:rPr>
          <w:rFonts w:ascii="Arial" w:hAnsi="Arial" w:cs="Arial"/>
          <w:noProof/>
        </w:rPr>
      </w:pPr>
      <w:bookmarkStart w:id="353" w:name="_ENREF_292"/>
      <w:r w:rsidRPr="00330CF1">
        <w:rPr>
          <w:rFonts w:ascii="Arial" w:hAnsi="Arial" w:cs="Arial"/>
          <w:noProof/>
        </w:rPr>
        <w:t>292.</w:t>
      </w:r>
      <w:r w:rsidRPr="00330CF1">
        <w:rPr>
          <w:rFonts w:ascii="Arial" w:hAnsi="Arial" w:cs="Arial"/>
          <w:noProof/>
        </w:rPr>
        <w:tab/>
        <w:t xml:space="preserve">Bach, J.F., </w:t>
      </w:r>
      <w:r w:rsidRPr="00330CF1">
        <w:rPr>
          <w:rFonts w:ascii="Arial" w:hAnsi="Arial" w:cs="Arial"/>
          <w:i/>
          <w:noProof/>
        </w:rPr>
        <w:t>Mechanisms of disease: The effect of infections on susceptibility to autoimmune and allergic diseases.</w:t>
      </w:r>
      <w:r w:rsidRPr="00330CF1">
        <w:rPr>
          <w:rFonts w:ascii="Arial" w:hAnsi="Arial" w:cs="Arial"/>
          <w:noProof/>
        </w:rPr>
        <w:t xml:space="preserve"> New England Journal of Medicine, 2002. </w:t>
      </w:r>
      <w:r w:rsidRPr="00330CF1">
        <w:rPr>
          <w:rFonts w:ascii="Arial" w:hAnsi="Arial" w:cs="Arial"/>
          <w:b/>
          <w:noProof/>
        </w:rPr>
        <w:t>347</w:t>
      </w:r>
      <w:r w:rsidRPr="00330CF1">
        <w:rPr>
          <w:rFonts w:ascii="Arial" w:hAnsi="Arial" w:cs="Arial"/>
          <w:noProof/>
        </w:rPr>
        <w:t>(12): p. 911-920.</w:t>
      </w:r>
      <w:bookmarkEnd w:id="353"/>
    </w:p>
    <w:p w:rsidR="00330CF1" w:rsidRPr="00330CF1" w:rsidRDefault="00330CF1" w:rsidP="0009286C">
      <w:pPr>
        <w:ind w:left="720" w:hanging="720"/>
        <w:rPr>
          <w:rFonts w:ascii="Arial" w:hAnsi="Arial" w:cs="Arial"/>
          <w:noProof/>
        </w:rPr>
      </w:pPr>
      <w:bookmarkStart w:id="354" w:name="_ENREF_293"/>
      <w:r w:rsidRPr="00330CF1">
        <w:rPr>
          <w:rFonts w:ascii="Arial" w:hAnsi="Arial" w:cs="Arial"/>
          <w:noProof/>
        </w:rPr>
        <w:t>293.</w:t>
      </w:r>
      <w:r w:rsidRPr="00330CF1">
        <w:rPr>
          <w:rFonts w:ascii="Arial" w:hAnsi="Arial" w:cs="Arial"/>
          <w:noProof/>
        </w:rPr>
        <w:tab/>
        <w:t xml:space="preserve">Strachan, D.P., </w:t>
      </w:r>
      <w:r w:rsidRPr="00330CF1">
        <w:rPr>
          <w:rFonts w:ascii="Arial" w:hAnsi="Arial" w:cs="Arial"/>
          <w:i/>
          <w:noProof/>
        </w:rPr>
        <w:t>Hay-fever, hygiene and household size. .</w:t>
      </w:r>
      <w:r w:rsidRPr="00330CF1">
        <w:rPr>
          <w:rFonts w:ascii="Arial" w:hAnsi="Arial" w:cs="Arial"/>
          <w:noProof/>
        </w:rPr>
        <w:t xml:space="preserve"> British Medical Journal, 1989. </w:t>
      </w:r>
      <w:r w:rsidRPr="00330CF1">
        <w:rPr>
          <w:rFonts w:ascii="Arial" w:hAnsi="Arial" w:cs="Arial"/>
          <w:b/>
          <w:noProof/>
        </w:rPr>
        <w:t>299</w:t>
      </w:r>
      <w:r w:rsidRPr="00330CF1">
        <w:rPr>
          <w:rFonts w:ascii="Arial" w:hAnsi="Arial" w:cs="Arial"/>
          <w:noProof/>
        </w:rPr>
        <w:t>(6710): p. 1259-1260.</w:t>
      </w:r>
      <w:bookmarkEnd w:id="354"/>
    </w:p>
    <w:p w:rsidR="00330CF1" w:rsidRPr="00330CF1" w:rsidRDefault="00330CF1" w:rsidP="0009286C">
      <w:pPr>
        <w:ind w:left="720" w:hanging="720"/>
        <w:rPr>
          <w:rFonts w:ascii="Arial" w:hAnsi="Arial" w:cs="Arial"/>
          <w:noProof/>
        </w:rPr>
      </w:pPr>
      <w:bookmarkStart w:id="355" w:name="_ENREF_294"/>
      <w:r w:rsidRPr="00330CF1">
        <w:rPr>
          <w:rFonts w:ascii="Arial" w:hAnsi="Arial" w:cs="Arial"/>
          <w:noProof/>
        </w:rPr>
        <w:t>294.</w:t>
      </w:r>
      <w:r w:rsidRPr="00330CF1">
        <w:rPr>
          <w:rFonts w:ascii="Arial" w:hAnsi="Arial" w:cs="Arial"/>
          <w:noProof/>
        </w:rPr>
        <w:tab/>
        <w:t xml:space="preserve">Vercelli, D., </w:t>
      </w:r>
      <w:r w:rsidRPr="00330CF1">
        <w:rPr>
          <w:rFonts w:ascii="Arial" w:hAnsi="Arial" w:cs="Arial"/>
          <w:i/>
          <w:noProof/>
        </w:rPr>
        <w:t>Mechanisms of the hygiene hypothesis - molecular and otherwise.</w:t>
      </w:r>
      <w:r w:rsidRPr="00330CF1">
        <w:rPr>
          <w:rFonts w:ascii="Arial" w:hAnsi="Arial" w:cs="Arial"/>
          <w:noProof/>
        </w:rPr>
        <w:t xml:space="preserve"> Current Opinion in Immunology, 2006. </w:t>
      </w:r>
      <w:r w:rsidRPr="00330CF1">
        <w:rPr>
          <w:rFonts w:ascii="Arial" w:hAnsi="Arial" w:cs="Arial"/>
          <w:b/>
          <w:noProof/>
        </w:rPr>
        <w:t>18</w:t>
      </w:r>
      <w:r w:rsidRPr="00330CF1">
        <w:rPr>
          <w:rFonts w:ascii="Arial" w:hAnsi="Arial" w:cs="Arial"/>
          <w:noProof/>
        </w:rPr>
        <w:t>(6): p. 733-737.</w:t>
      </w:r>
      <w:bookmarkEnd w:id="355"/>
    </w:p>
    <w:p w:rsidR="00330CF1" w:rsidRPr="00330CF1" w:rsidRDefault="00330CF1" w:rsidP="0009286C">
      <w:pPr>
        <w:ind w:left="720" w:hanging="720"/>
        <w:rPr>
          <w:rFonts w:ascii="Arial" w:hAnsi="Arial" w:cs="Arial"/>
          <w:noProof/>
        </w:rPr>
      </w:pPr>
      <w:bookmarkStart w:id="356" w:name="_ENREF_295"/>
      <w:r w:rsidRPr="00330CF1">
        <w:rPr>
          <w:rFonts w:ascii="Arial" w:hAnsi="Arial" w:cs="Arial"/>
          <w:noProof/>
        </w:rPr>
        <w:t>295.</w:t>
      </w:r>
      <w:r w:rsidRPr="00330CF1">
        <w:rPr>
          <w:rFonts w:ascii="Arial" w:hAnsi="Arial" w:cs="Arial"/>
          <w:noProof/>
        </w:rPr>
        <w:tab/>
        <w:t xml:space="preserve">Garn, H. and H. Renz, </w:t>
      </w:r>
      <w:r w:rsidRPr="00330CF1">
        <w:rPr>
          <w:rFonts w:ascii="Arial" w:hAnsi="Arial" w:cs="Arial"/>
          <w:i/>
          <w:noProof/>
        </w:rPr>
        <w:t>Epidemiological and immunological evidence for the hygiene hypothesis.</w:t>
      </w:r>
      <w:r w:rsidRPr="00330CF1">
        <w:rPr>
          <w:rFonts w:ascii="Arial" w:hAnsi="Arial" w:cs="Arial"/>
          <w:noProof/>
        </w:rPr>
        <w:t xml:space="preserve"> Immunobiology, 2007. </w:t>
      </w:r>
      <w:r w:rsidRPr="00330CF1">
        <w:rPr>
          <w:rFonts w:ascii="Arial" w:hAnsi="Arial" w:cs="Arial"/>
          <w:b/>
          <w:noProof/>
        </w:rPr>
        <w:t>212</w:t>
      </w:r>
      <w:r w:rsidRPr="00330CF1">
        <w:rPr>
          <w:rFonts w:ascii="Arial" w:hAnsi="Arial" w:cs="Arial"/>
          <w:noProof/>
        </w:rPr>
        <w:t>(6): p. 441-452.</w:t>
      </w:r>
      <w:bookmarkEnd w:id="356"/>
    </w:p>
    <w:p w:rsidR="00330CF1" w:rsidRPr="00330CF1" w:rsidRDefault="00330CF1" w:rsidP="0009286C">
      <w:pPr>
        <w:ind w:left="720" w:hanging="720"/>
        <w:rPr>
          <w:rFonts w:ascii="Arial" w:hAnsi="Arial" w:cs="Arial"/>
          <w:noProof/>
        </w:rPr>
      </w:pPr>
      <w:bookmarkStart w:id="357" w:name="_ENREF_296"/>
      <w:r w:rsidRPr="00330CF1">
        <w:rPr>
          <w:rFonts w:ascii="Arial" w:hAnsi="Arial" w:cs="Arial"/>
          <w:noProof/>
        </w:rPr>
        <w:t>296.</w:t>
      </w:r>
      <w:r w:rsidRPr="00330CF1">
        <w:rPr>
          <w:rFonts w:ascii="Arial" w:hAnsi="Arial" w:cs="Arial"/>
          <w:noProof/>
        </w:rPr>
        <w:tab/>
        <w:t xml:space="preserve">Rook, G.A.W., </w:t>
      </w:r>
      <w:r w:rsidRPr="00330CF1">
        <w:rPr>
          <w:rFonts w:ascii="Arial" w:hAnsi="Arial" w:cs="Arial"/>
          <w:i/>
          <w:noProof/>
        </w:rPr>
        <w:t>Review series on helminths, immune modulation and the hygiene hypothesis: The broader implications of the hygiene hypothesis.</w:t>
      </w:r>
      <w:r w:rsidRPr="00330CF1">
        <w:rPr>
          <w:rFonts w:ascii="Arial" w:hAnsi="Arial" w:cs="Arial"/>
          <w:noProof/>
        </w:rPr>
        <w:t xml:space="preserve"> Immunology, 2009. </w:t>
      </w:r>
      <w:r w:rsidRPr="00330CF1">
        <w:rPr>
          <w:rFonts w:ascii="Arial" w:hAnsi="Arial" w:cs="Arial"/>
          <w:b/>
          <w:noProof/>
        </w:rPr>
        <w:t>126</w:t>
      </w:r>
      <w:r w:rsidRPr="00330CF1">
        <w:rPr>
          <w:rFonts w:ascii="Arial" w:hAnsi="Arial" w:cs="Arial"/>
          <w:noProof/>
        </w:rPr>
        <w:t>(1): p. 3-11.</w:t>
      </w:r>
      <w:bookmarkEnd w:id="357"/>
    </w:p>
    <w:p w:rsidR="00330CF1" w:rsidRPr="00330CF1" w:rsidRDefault="00330CF1" w:rsidP="0009286C">
      <w:pPr>
        <w:ind w:left="720" w:hanging="720"/>
        <w:rPr>
          <w:rFonts w:ascii="Arial" w:hAnsi="Arial" w:cs="Arial"/>
          <w:noProof/>
        </w:rPr>
      </w:pPr>
      <w:bookmarkStart w:id="358" w:name="_ENREF_297"/>
      <w:r w:rsidRPr="00330CF1">
        <w:rPr>
          <w:rFonts w:ascii="Arial" w:hAnsi="Arial" w:cs="Arial"/>
          <w:noProof/>
        </w:rPr>
        <w:t>297.</w:t>
      </w:r>
      <w:r w:rsidRPr="00330CF1">
        <w:rPr>
          <w:rFonts w:ascii="Arial" w:hAnsi="Arial" w:cs="Arial"/>
          <w:noProof/>
        </w:rPr>
        <w:tab/>
        <w:t xml:space="preserve">Sakaguchi, S., et al., </w:t>
      </w:r>
      <w:r w:rsidRPr="00330CF1">
        <w:rPr>
          <w:rFonts w:ascii="Arial" w:hAnsi="Arial" w:cs="Arial"/>
          <w:i/>
          <w:noProof/>
        </w:rPr>
        <w:t>Regulatory T cells: how do they suppress immune responses?</w:t>
      </w:r>
      <w:r w:rsidRPr="00330CF1">
        <w:rPr>
          <w:rFonts w:ascii="Arial" w:hAnsi="Arial" w:cs="Arial"/>
          <w:noProof/>
        </w:rPr>
        <w:t xml:space="preserve"> International Immunology, 2009. </w:t>
      </w:r>
      <w:r w:rsidRPr="00330CF1">
        <w:rPr>
          <w:rFonts w:ascii="Arial" w:hAnsi="Arial" w:cs="Arial"/>
          <w:b/>
          <w:noProof/>
        </w:rPr>
        <w:t>21</w:t>
      </w:r>
      <w:r w:rsidRPr="00330CF1">
        <w:rPr>
          <w:rFonts w:ascii="Arial" w:hAnsi="Arial" w:cs="Arial"/>
          <w:noProof/>
        </w:rPr>
        <w:t>(10): p. 1105-1111.</w:t>
      </w:r>
      <w:bookmarkEnd w:id="358"/>
    </w:p>
    <w:p w:rsidR="00330CF1" w:rsidRPr="00330CF1" w:rsidRDefault="00330CF1" w:rsidP="0009286C">
      <w:pPr>
        <w:ind w:left="720" w:hanging="720"/>
        <w:rPr>
          <w:rFonts w:ascii="Arial" w:hAnsi="Arial" w:cs="Arial"/>
          <w:noProof/>
        </w:rPr>
      </w:pPr>
      <w:bookmarkStart w:id="359" w:name="_ENREF_298"/>
      <w:r w:rsidRPr="00330CF1">
        <w:rPr>
          <w:rFonts w:ascii="Arial" w:hAnsi="Arial" w:cs="Arial"/>
          <w:noProof/>
        </w:rPr>
        <w:t>298.</w:t>
      </w:r>
      <w:r w:rsidRPr="00330CF1">
        <w:rPr>
          <w:rFonts w:ascii="Arial" w:hAnsi="Arial" w:cs="Arial"/>
          <w:noProof/>
        </w:rPr>
        <w:tab/>
        <w:t xml:space="preserve">Bodner, C., et al., </w:t>
      </w:r>
      <w:r w:rsidRPr="00330CF1">
        <w:rPr>
          <w:rFonts w:ascii="Arial" w:hAnsi="Arial" w:cs="Arial"/>
          <w:i/>
          <w:noProof/>
        </w:rPr>
        <w:t>Family size, childhood infections and atopic diseases.</w:t>
      </w:r>
      <w:r w:rsidRPr="00330CF1">
        <w:rPr>
          <w:rFonts w:ascii="Arial" w:hAnsi="Arial" w:cs="Arial"/>
          <w:noProof/>
        </w:rPr>
        <w:t xml:space="preserve"> Thorax, 1998. </w:t>
      </w:r>
      <w:r w:rsidRPr="00330CF1">
        <w:rPr>
          <w:rFonts w:ascii="Arial" w:hAnsi="Arial" w:cs="Arial"/>
          <w:b/>
          <w:noProof/>
        </w:rPr>
        <w:t>53</w:t>
      </w:r>
      <w:r w:rsidRPr="00330CF1">
        <w:rPr>
          <w:rFonts w:ascii="Arial" w:hAnsi="Arial" w:cs="Arial"/>
          <w:noProof/>
        </w:rPr>
        <w:t>(1): p. 28-32.</w:t>
      </w:r>
      <w:bookmarkEnd w:id="359"/>
    </w:p>
    <w:p w:rsidR="00330CF1" w:rsidRPr="00330CF1" w:rsidRDefault="00330CF1" w:rsidP="0009286C">
      <w:pPr>
        <w:ind w:left="720" w:hanging="720"/>
        <w:rPr>
          <w:rFonts w:ascii="Arial" w:hAnsi="Arial" w:cs="Arial"/>
          <w:noProof/>
        </w:rPr>
      </w:pPr>
      <w:bookmarkStart w:id="360" w:name="_ENREF_299"/>
      <w:r w:rsidRPr="00330CF1">
        <w:rPr>
          <w:rFonts w:ascii="Arial" w:hAnsi="Arial" w:cs="Arial"/>
          <w:noProof/>
        </w:rPr>
        <w:t>299.</w:t>
      </w:r>
      <w:r w:rsidRPr="00330CF1">
        <w:rPr>
          <w:rFonts w:ascii="Arial" w:hAnsi="Arial" w:cs="Arial"/>
          <w:noProof/>
        </w:rPr>
        <w:tab/>
        <w:t xml:space="preserve">Matricardi, P.M., et al., </w:t>
      </w:r>
      <w:r w:rsidRPr="00330CF1">
        <w:rPr>
          <w:rFonts w:ascii="Arial" w:hAnsi="Arial" w:cs="Arial"/>
          <w:i/>
          <w:noProof/>
        </w:rPr>
        <w:t>Sibship size, birth order, and atopy in 11,371 Italian young men.</w:t>
      </w:r>
      <w:r w:rsidRPr="00330CF1">
        <w:rPr>
          <w:rFonts w:ascii="Arial" w:hAnsi="Arial" w:cs="Arial"/>
          <w:noProof/>
        </w:rPr>
        <w:t xml:space="preserve"> Journal of Allergy and Clinical Immunology, 1998. </w:t>
      </w:r>
      <w:r w:rsidRPr="00330CF1">
        <w:rPr>
          <w:rFonts w:ascii="Arial" w:hAnsi="Arial" w:cs="Arial"/>
          <w:b/>
          <w:noProof/>
        </w:rPr>
        <w:t>101</w:t>
      </w:r>
      <w:r w:rsidRPr="00330CF1">
        <w:rPr>
          <w:rFonts w:ascii="Arial" w:hAnsi="Arial" w:cs="Arial"/>
          <w:noProof/>
        </w:rPr>
        <w:t>(4): p. 439-444.</w:t>
      </w:r>
      <w:bookmarkEnd w:id="360"/>
    </w:p>
    <w:p w:rsidR="00330CF1" w:rsidRPr="00330CF1" w:rsidRDefault="00330CF1" w:rsidP="0009286C">
      <w:pPr>
        <w:ind w:left="720" w:hanging="720"/>
        <w:rPr>
          <w:rFonts w:ascii="Arial" w:hAnsi="Arial" w:cs="Arial"/>
          <w:noProof/>
        </w:rPr>
      </w:pPr>
      <w:bookmarkStart w:id="361" w:name="_ENREF_300"/>
      <w:r w:rsidRPr="00330CF1">
        <w:rPr>
          <w:rFonts w:ascii="Arial" w:hAnsi="Arial" w:cs="Arial"/>
          <w:noProof/>
        </w:rPr>
        <w:lastRenderedPageBreak/>
        <w:t>300.</w:t>
      </w:r>
      <w:r w:rsidRPr="00330CF1">
        <w:rPr>
          <w:rFonts w:ascii="Arial" w:hAnsi="Arial" w:cs="Arial"/>
          <w:noProof/>
        </w:rPr>
        <w:tab/>
        <w:t xml:space="preserve">Ball, T.M., et al., </w:t>
      </w:r>
      <w:r w:rsidRPr="00330CF1">
        <w:rPr>
          <w:rFonts w:ascii="Arial" w:hAnsi="Arial" w:cs="Arial"/>
          <w:i/>
          <w:noProof/>
        </w:rPr>
        <w:t>Siblings, day-care attendance, and the risk of asthma and wheezing during childhood.</w:t>
      </w:r>
      <w:r w:rsidRPr="00330CF1">
        <w:rPr>
          <w:rFonts w:ascii="Arial" w:hAnsi="Arial" w:cs="Arial"/>
          <w:noProof/>
        </w:rPr>
        <w:t xml:space="preserve"> New England Journal of Medicine, 2000. </w:t>
      </w:r>
      <w:r w:rsidRPr="00330CF1">
        <w:rPr>
          <w:rFonts w:ascii="Arial" w:hAnsi="Arial" w:cs="Arial"/>
          <w:b/>
          <w:noProof/>
        </w:rPr>
        <w:t>343</w:t>
      </w:r>
      <w:r w:rsidRPr="00330CF1">
        <w:rPr>
          <w:rFonts w:ascii="Arial" w:hAnsi="Arial" w:cs="Arial"/>
          <w:noProof/>
        </w:rPr>
        <w:t>(8): p. 538-543.</w:t>
      </w:r>
      <w:bookmarkEnd w:id="361"/>
    </w:p>
    <w:p w:rsidR="00330CF1" w:rsidRPr="00330CF1" w:rsidRDefault="00330CF1" w:rsidP="0009286C">
      <w:pPr>
        <w:ind w:left="720" w:hanging="720"/>
        <w:rPr>
          <w:rFonts w:ascii="Arial" w:hAnsi="Arial" w:cs="Arial"/>
          <w:noProof/>
        </w:rPr>
      </w:pPr>
      <w:bookmarkStart w:id="362" w:name="_ENREF_301"/>
      <w:r w:rsidRPr="00330CF1">
        <w:rPr>
          <w:rFonts w:ascii="Arial" w:hAnsi="Arial" w:cs="Arial"/>
          <w:noProof/>
        </w:rPr>
        <w:t>301.</w:t>
      </w:r>
      <w:r w:rsidRPr="00330CF1">
        <w:rPr>
          <w:rFonts w:ascii="Arial" w:hAnsi="Arial" w:cs="Arial"/>
          <w:noProof/>
        </w:rPr>
        <w:tab/>
        <w:t xml:space="preserve">Kilpelainen, M., et al., </w:t>
      </w:r>
      <w:r w:rsidRPr="00330CF1">
        <w:rPr>
          <w:rFonts w:ascii="Arial" w:hAnsi="Arial" w:cs="Arial"/>
          <w:i/>
          <w:noProof/>
        </w:rPr>
        <w:t>Farm environment in childhood prevents the development of allergies.</w:t>
      </w:r>
      <w:r w:rsidRPr="00330CF1">
        <w:rPr>
          <w:rFonts w:ascii="Arial" w:hAnsi="Arial" w:cs="Arial"/>
          <w:noProof/>
        </w:rPr>
        <w:t xml:space="preserve"> Clinical and Experimental Allergy, 2000. </w:t>
      </w:r>
      <w:r w:rsidRPr="00330CF1">
        <w:rPr>
          <w:rFonts w:ascii="Arial" w:hAnsi="Arial" w:cs="Arial"/>
          <w:b/>
          <w:noProof/>
        </w:rPr>
        <w:t>30</w:t>
      </w:r>
      <w:r w:rsidRPr="00330CF1">
        <w:rPr>
          <w:rFonts w:ascii="Arial" w:hAnsi="Arial" w:cs="Arial"/>
          <w:noProof/>
        </w:rPr>
        <w:t>(2): p. 201-208.</w:t>
      </w:r>
      <w:bookmarkEnd w:id="362"/>
    </w:p>
    <w:p w:rsidR="00330CF1" w:rsidRPr="00330CF1" w:rsidRDefault="00330CF1" w:rsidP="0009286C">
      <w:pPr>
        <w:ind w:left="720" w:hanging="720"/>
        <w:rPr>
          <w:rFonts w:ascii="Arial" w:hAnsi="Arial" w:cs="Arial"/>
          <w:noProof/>
        </w:rPr>
      </w:pPr>
      <w:bookmarkStart w:id="363" w:name="_ENREF_302"/>
      <w:r w:rsidRPr="00330CF1">
        <w:rPr>
          <w:rFonts w:ascii="Arial" w:hAnsi="Arial" w:cs="Arial"/>
          <w:noProof/>
        </w:rPr>
        <w:t>302.</w:t>
      </w:r>
      <w:r w:rsidRPr="00330CF1">
        <w:rPr>
          <w:rFonts w:ascii="Arial" w:hAnsi="Arial" w:cs="Arial"/>
          <w:noProof/>
        </w:rPr>
        <w:tab/>
        <w:t xml:space="preserve">Downs, S.H., et al., </w:t>
      </w:r>
      <w:r w:rsidRPr="00330CF1">
        <w:rPr>
          <w:rFonts w:ascii="Arial" w:hAnsi="Arial" w:cs="Arial"/>
          <w:i/>
          <w:noProof/>
        </w:rPr>
        <w:t>Having lived on a farm and protection against allergic diseases in Australia.</w:t>
      </w:r>
      <w:r w:rsidRPr="00330CF1">
        <w:rPr>
          <w:rFonts w:ascii="Arial" w:hAnsi="Arial" w:cs="Arial"/>
          <w:noProof/>
        </w:rPr>
        <w:t xml:space="preserve"> Clinical and Experimental Allergy, 2001. </w:t>
      </w:r>
      <w:r w:rsidRPr="00330CF1">
        <w:rPr>
          <w:rFonts w:ascii="Arial" w:hAnsi="Arial" w:cs="Arial"/>
          <w:b/>
          <w:noProof/>
        </w:rPr>
        <w:t>31</w:t>
      </w:r>
      <w:r w:rsidRPr="00330CF1">
        <w:rPr>
          <w:rFonts w:ascii="Arial" w:hAnsi="Arial" w:cs="Arial"/>
          <w:noProof/>
        </w:rPr>
        <w:t>(4): p. 570-575.</w:t>
      </w:r>
      <w:bookmarkEnd w:id="363"/>
    </w:p>
    <w:p w:rsidR="00330CF1" w:rsidRPr="00330CF1" w:rsidRDefault="00330CF1" w:rsidP="0009286C">
      <w:pPr>
        <w:ind w:left="720" w:hanging="720"/>
        <w:rPr>
          <w:rFonts w:ascii="Arial" w:hAnsi="Arial" w:cs="Arial"/>
          <w:noProof/>
        </w:rPr>
      </w:pPr>
      <w:bookmarkStart w:id="364" w:name="_ENREF_303"/>
      <w:r w:rsidRPr="00330CF1">
        <w:rPr>
          <w:rFonts w:ascii="Arial" w:hAnsi="Arial" w:cs="Arial"/>
          <w:noProof/>
        </w:rPr>
        <w:t>303.</w:t>
      </w:r>
      <w:r w:rsidRPr="00330CF1">
        <w:rPr>
          <w:rFonts w:ascii="Arial" w:hAnsi="Arial" w:cs="Arial"/>
          <w:noProof/>
        </w:rPr>
        <w:tab/>
        <w:t xml:space="preserve">Rook, G.A.W., et al., </w:t>
      </w:r>
      <w:r w:rsidRPr="00330CF1">
        <w:rPr>
          <w:rFonts w:ascii="Arial" w:hAnsi="Arial" w:cs="Arial"/>
          <w:i/>
          <w:noProof/>
        </w:rPr>
        <w:t>Mycobacteria and other environmental organisms as immunomodulators for immunoregulatory disorders.</w:t>
      </w:r>
      <w:r w:rsidRPr="00330CF1">
        <w:rPr>
          <w:rFonts w:ascii="Arial" w:hAnsi="Arial" w:cs="Arial"/>
          <w:noProof/>
        </w:rPr>
        <w:t xml:space="preserve"> Springer Seminars in Immunopathology, 2004. </w:t>
      </w:r>
      <w:r w:rsidRPr="00330CF1">
        <w:rPr>
          <w:rFonts w:ascii="Arial" w:hAnsi="Arial" w:cs="Arial"/>
          <w:b/>
          <w:noProof/>
        </w:rPr>
        <w:t>25</w:t>
      </w:r>
      <w:r w:rsidRPr="00330CF1">
        <w:rPr>
          <w:rFonts w:ascii="Arial" w:hAnsi="Arial" w:cs="Arial"/>
          <w:noProof/>
        </w:rPr>
        <w:t>(3-4): p. 237-255.</w:t>
      </w:r>
      <w:bookmarkEnd w:id="364"/>
    </w:p>
    <w:p w:rsidR="00330CF1" w:rsidRPr="00330CF1" w:rsidRDefault="00330CF1" w:rsidP="0009286C">
      <w:pPr>
        <w:ind w:left="720" w:hanging="720"/>
        <w:rPr>
          <w:rFonts w:ascii="Arial" w:hAnsi="Arial" w:cs="Arial"/>
          <w:noProof/>
        </w:rPr>
      </w:pPr>
      <w:bookmarkStart w:id="365" w:name="_ENREF_304"/>
      <w:r w:rsidRPr="00330CF1">
        <w:rPr>
          <w:rFonts w:ascii="Arial" w:hAnsi="Arial" w:cs="Arial"/>
          <w:noProof/>
        </w:rPr>
        <w:t>304.</w:t>
      </w:r>
      <w:r w:rsidRPr="00330CF1">
        <w:rPr>
          <w:rFonts w:ascii="Arial" w:hAnsi="Arial" w:cs="Arial"/>
          <w:noProof/>
        </w:rPr>
        <w:tab/>
        <w:t xml:space="preserve">Higgins, S.C., et al., </w:t>
      </w:r>
      <w:r w:rsidRPr="00330CF1">
        <w:rPr>
          <w:rFonts w:ascii="Arial" w:hAnsi="Arial" w:cs="Arial"/>
          <w:i/>
          <w:noProof/>
        </w:rPr>
        <w:t>Toll-like receptor 4-mediated innate IL-10 activates antigen-specific regulatory T cells and confers resistance to Bordetella pertussis by inhibiting inflammatory pathology.</w:t>
      </w:r>
      <w:r w:rsidRPr="00330CF1">
        <w:rPr>
          <w:rFonts w:ascii="Arial" w:hAnsi="Arial" w:cs="Arial"/>
          <w:noProof/>
        </w:rPr>
        <w:t xml:space="preserve"> Journal of Immunology, 2003. </w:t>
      </w:r>
      <w:r w:rsidRPr="00330CF1">
        <w:rPr>
          <w:rFonts w:ascii="Arial" w:hAnsi="Arial" w:cs="Arial"/>
          <w:b/>
          <w:noProof/>
        </w:rPr>
        <w:t>171</w:t>
      </w:r>
      <w:r w:rsidRPr="00330CF1">
        <w:rPr>
          <w:rFonts w:ascii="Arial" w:hAnsi="Arial" w:cs="Arial"/>
          <w:noProof/>
        </w:rPr>
        <w:t>(6): p. 3119-3127.</w:t>
      </w:r>
      <w:bookmarkEnd w:id="365"/>
    </w:p>
    <w:p w:rsidR="00330CF1" w:rsidRPr="00330CF1" w:rsidRDefault="00330CF1" w:rsidP="0009286C">
      <w:pPr>
        <w:ind w:left="720" w:hanging="720"/>
        <w:rPr>
          <w:rFonts w:ascii="Arial" w:hAnsi="Arial" w:cs="Arial"/>
          <w:noProof/>
        </w:rPr>
      </w:pPr>
      <w:bookmarkStart w:id="366" w:name="_ENREF_305"/>
      <w:r w:rsidRPr="00330CF1">
        <w:rPr>
          <w:rFonts w:ascii="Arial" w:hAnsi="Arial" w:cs="Arial"/>
          <w:noProof/>
        </w:rPr>
        <w:t>305.</w:t>
      </w:r>
      <w:r w:rsidRPr="00330CF1">
        <w:rPr>
          <w:rFonts w:ascii="Arial" w:hAnsi="Arial" w:cs="Arial"/>
          <w:noProof/>
        </w:rPr>
        <w:tab/>
        <w:t xml:space="preserve">Jiao, L., et al., </w:t>
      </w:r>
      <w:r w:rsidRPr="00330CF1">
        <w:rPr>
          <w:rFonts w:ascii="Arial" w:hAnsi="Arial" w:cs="Arial"/>
          <w:i/>
          <w:noProof/>
        </w:rPr>
        <w:t>Imprinted DC mediate the immune-educating effect of early-life microbial exposure.</w:t>
      </w:r>
      <w:r w:rsidRPr="00330CF1">
        <w:rPr>
          <w:rFonts w:ascii="Arial" w:hAnsi="Arial" w:cs="Arial"/>
          <w:noProof/>
        </w:rPr>
        <w:t xml:space="preserve"> European Journal of Immunology, 2009. </w:t>
      </w:r>
      <w:r w:rsidRPr="00330CF1">
        <w:rPr>
          <w:rFonts w:ascii="Arial" w:hAnsi="Arial" w:cs="Arial"/>
          <w:b/>
          <w:noProof/>
        </w:rPr>
        <w:t>39</w:t>
      </w:r>
      <w:r w:rsidRPr="00330CF1">
        <w:rPr>
          <w:rFonts w:ascii="Arial" w:hAnsi="Arial" w:cs="Arial"/>
          <w:noProof/>
        </w:rPr>
        <w:t>(2): p. 469-480.</w:t>
      </w:r>
      <w:bookmarkEnd w:id="366"/>
    </w:p>
    <w:p w:rsidR="00330CF1" w:rsidRPr="00330CF1" w:rsidRDefault="00330CF1" w:rsidP="0009286C">
      <w:pPr>
        <w:ind w:left="720" w:hanging="720"/>
        <w:rPr>
          <w:rFonts w:ascii="Arial" w:hAnsi="Arial" w:cs="Arial"/>
          <w:noProof/>
        </w:rPr>
      </w:pPr>
      <w:bookmarkStart w:id="367" w:name="_ENREF_306"/>
      <w:r w:rsidRPr="00330CF1">
        <w:rPr>
          <w:rFonts w:ascii="Arial" w:hAnsi="Arial" w:cs="Arial"/>
          <w:noProof/>
        </w:rPr>
        <w:t>306.</w:t>
      </w:r>
      <w:r w:rsidRPr="00330CF1">
        <w:rPr>
          <w:rFonts w:ascii="Arial" w:hAnsi="Arial" w:cs="Arial"/>
          <w:noProof/>
        </w:rPr>
        <w:tab/>
        <w:t xml:space="preserve">Wilson, M.S., et al., </w:t>
      </w:r>
      <w:r w:rsidRPr="00330CF1">
        <w:rPr>
          <w:rFonts w:ascii="Arial" w:hAnsi="Arial" w:cs="Arial"/>
          <w:i/>
          <w:noProof/>
        </w:rPr>
        <w:t>Suppression of allergic airway inflammation by helminth-induced regulatory T cells.</w:t>
      </w:r>
      <w:r w:rsidRPr="00330CF1">
        <w:rPr>
          <w:rFonts w:ascii="Arial" w:hAnsi="Arial" w:cs="Arial"/>
          <w:noProof/>
        </w:rPr>
        <w:t xml:space="preserve"> Journal of Experimental Medicine, 2005. </w:t>
      </w:r>
      <w:r w:rsidRPr="00330CF1">
        <w:rPr>
          <w:rFonts w:ascii="Arial" w:hAnsi="Arial" w:cs="Arial"/>
          <w:b/>
          <w:noProof/>
        </w:rPr>
        <w:t>202</w:t>
      </w:r>
      <w:r w:rsidRPr="00330CF1">
        <w:rPr>
          <w:rFonts w:ascii="Arial" w:hAnsi="Arial" w:cs="Arial"/>
          <w:noProof/>
        </w:rPr>
        <w:t>(9): p. 1199-1212.</w:t>
      </w:r>
      <w:bookmarkEnd w:id="367"/>
    </w:p>
    <w:p w:rsidR="00330CF1" w:rsidRPr="00330CF1" w:rsidRDefault="00330CF1" w:rsidP="0009286C">
      <w:pPr>
        <w:ind w:left="720" w:hanging="720"/>
        <w:rPr>
          <w:rFonts w:ascii="Arial" w:hAnsi="Arial" w:cs="Arial"/>
          <w:noProof/>
        </w:rPr>
      </w:pPr>
      <w:bookmarkStart w:id="368" w:name="_ENREF_307"/>
      <w:r w:rsidRPr="00330CF1">
        <w:rPr>
          <w:rFonts w:ascii="Arial" w:hAnsi="Arial" w:cs="Arial"/>
          <w:noProof/>
        </w:rPr>
        <w:t>307.</w:t>
      </w:r>
      <w:r w:rsidRPr="00330CF1">
        <w:rPr>
          <w:rFonts w:ascii="Arial" w:hAnsi="Arial" w:cs="Arial"/>
          <w:noProof/>
        </w:rPr>
        <w:tab/>
        <w:t xml:space="preserve">Martins, T.C. and A.P. Aguas, </w:t>
      </w:r>
      <w:r w:rsidRPr="00330CF1">
        <w:rPr>
          <w:rFonts w:ascii="Arial" w:hAnsi="Arial" w:cs="Arial"/>
          <w:i/>
          <w:noProof/>
        </w:rPr>
        <w:t>Mechanisms of Mycobacterium avium-induced resistance against insulin-dependent diabetes mellitus (IDDM) in non-obese diabetic (NOD) mice: Role of Fas and Th1 cells.</w:t>
      </w:r>
      <w:r w:rsidRPr="00330CF1">
        <w:rPr>
          <w:rFonts w:ascii="Arial" w:hAnsi="Arial" w:cs="Arial"/>
          <w:noProof/>
        </w:rPr>
        <w:t xml:space="preserve"> Clinical and Experimental Immunology, 1999. </w:t>
      </w:r>
      <w:r w:rsidRPr="00330CF1">
        <w:rPr>
          <w:rFonts w:ascii="Arial" w:hAnsi="Arial" w:cs="Arial"/>
          <w:b/>
          <w:noProof/>
        </w:rPr>
        <w:t>115</w:t>
      </w:r>
      <w:r w:rsidRPr="00330CF1">
        <w:rPr>
          <w:rFonts w:ascii="Arial" w:hAnsi="Arial" w:cs="Arial"/>
          <w:noProof/>
        </w:rPr>
        <w:t>(2): p. 248-254.</w:t>
      </w:r>
      <w:bookmarkEnd w:id="368"/>
    </w:p>
    <w:p w:rsidR="00330CF1" w:rsidRPr="00330CF1" w:rsidRDefault="00330CF1" w:rsidP="0009286C">
      <w:pPr>
        <w:ind w:left="720" w:hanging="720"/>
        <w:rPr>
          <w:rFonts w:ascii="Arial" w:hAnsi="Arial" w:cs="Arial"/>
          <w:noProof/>
        </w:rPr>
      </w:pPr>
      <w:bookmarkStart w:id="369" w:name="_ENREF_308"/>
      <w:r w:rsidRPr="00330CF1">
        <w:rPr>
          <w:rFonts w:ascii="Arial" w:hAnsi="Arial" w:cs="Arial"/>
          <w:noProof/>
        </w:rPr>
        <w:t>308.</w:t>
      </w:r>
      <w:r w:rsidRPr="00330CF1">
        <w:rPr>
          <w:rFonts w:ascii="Arial" w:hAnsi="Arial" w:cs="Arial"/>
          <w:noProof/>
        </w:rPr>
        <w:tab/>
        <w:t xml:space="preserve">Wilberz, S., et al., </w:t>
      </w:r>
      <w:r w:rsidRPr="00330CF1">
        <w:rPr>
          <w:rFonts w:ascii="Arial" w:hAnsi="Arial" w:cs="Arial"/>
          <w:i/>
          <w:noProof/>
        </w:rPr>
        <w:t>Persistent MHV (Mouse Hepatitis-Virus) Infection Reduces the Incidence of Diabetes-Mellitus in Nonobese Diabetic Mice.</w:t>
      </w:r>
      <w:r w:rsidRPr="00330CF1">
        <w:rPr>
          <w:rFonts w:ascii="Arial" w:hAnsi="Arial" w:cs="Arial"/>
          <w:noProof/>
        </w:rPr>
        <w:t xml:space="preserve"> Diabetologia, 1991. </w:t>
      </w:r>
      <w:r w:rsidRPr="00330CF1">
        <w:rPr>
          <w:rFonts w:ascii="Arial" w:hAnsi="Arial" w:cs="Arial"/>
          <w:b/>
          <w:noProof/>
        </w:rPr>
        <w:t>34</w:t>
      </w:r>
      <w:r w:rsidRPr="00330CF1">
        <w:rPr>
          <w:rFonts w:ascii="Arial" w:hAnsi="Arial" w:cs="Arial"/>
          <w:noProof/>
        </w:rPr>
        <w:t>(1): p. 2-5.</w:t>
      </w:r>
      <w:bookmarkEnd w:id="369"/>
    </w:p>
    <w:p w:rsidR="00330CF1" w:rsidRPr="00330CF1" w:rsidRDefault="00330CF1" w:rsidP="0009286C">
      <w:pPr>
        <w:ind w:left="720" w:hanging="720"/>
        <w:rPr>
          <w:rFonts w:ascii="Arial" w:hAnsi="Arial" w:cs="Arial"/>
          <w:noProof/>
        </w:rPr>
      </w:pPr>
      <w:bookmarkStart w:id="370" w:name="_ENREF_309"/>
      <w:r w:rsidRPr="00330CF1">
        <w:rPr>
          <w:rFonts w:ascii="Arial" w:hAnsi="Arial" w:cs="Arial"/>
          <w:noProof/>
        </w:rPr>
        <w:t>309.</w:t>
      </w:r>
      <w:r w:rsidRPr="00330CF1">
        <w:rPr>
          <w:rFonts w:ascii="Arial" w:hAnsi="Arial" w:cs="Arial"/>
          <w:noProof/>
        </w:rPr>
        <w:tab/>
        <w:t xml:space="preserve">Takei, I., et al., </w:t>
      </w:r>
      <w:r w:rsidRPr="00330CF1">
        <w:rPr>
          <w:rFonts w:ascii="Arial" w:hAnsi="Arial" w:cs="Arial"/>
          <w:i/>
          <w:noProof/>
        </w:rPr>
        <w:t>Suppression of Development of Diabetes in NOD Mice by Lactate-Dehydrogenase Virus-infection.</w:t>
      </w:r>
      <w:r w:rsidRPr="00330CF1">
        <w:rPr>
          <w:rFonts w:ascii="Arial" w:hAnsi="Arial" w:cs="Arial"/>
          <w:noProof/>
        </w:rPr>
        <w:t xml:space="preserve"> Journal of Autoimmunity, 1992. </w:t>
      </w:r>
      <w:r w:rsidRPr="00330CF1">
        <w:rPr>
          <w:rFonts w:ascii="Arial" w:hAnsi="Arial" w:cs="Arial"/>
          <w:b/>
          <w:noProof/>
        </w:rPr>
        <w:t>5</w:t>
      </w:r>
      <w:r w:rsidRPr="00330CF1">
        <w:rPr>
          <w:rFonts w:ascii="Arial" w:hAnsi="Arial" w:cs="Arial"/>
          <w:noProof/>
        </w:rPr>
        <w:t>(6): p. 665-673.</w:t>
      </w:r>
      <w:bookmarkEnd w:id="370"/>
    </w:p>
    <w:p w:rsidR="00330CF1" w:rsidRPr="00330CF1" w:rsidRDefault="00330CF1" w:rsidP="0009286C">
      <w:pPr>
        <w:ind w:left="720" w:hanging="720"/>
        <w:rPr>
          <w:rFonts w:ascii="Arial" w:hAnsi="Arial" w:cs="Arial"/>
          <w:noProof/>
        </w:rPr>
      </w:pPr>
      <w:bookmarkStart w:id="371" w:name="_ENREF_310"/>
      <w:r w:rsidRPr="00330CF1">
        <w:rPr>
          <w:rFonts w:ascii="Arial" w:hAnsi="Arial" w:cs="Arial"/>
          <w:noProof/>
        </w:rPr>
        <w:t>310.</w:t>
      </w:r>
      <w:r w:rsidRPr="00330CF1">
        <w:rPr>
          <w:rFonts w:ascii="Arial" w:hAnsi="Arial" w:cs="Arial"/>
          <w:noProof/>
        </w:rPr>
        <w:tab/>
        <w:t xml:space="preserve">Cooke, A., et al., </w:t>
      </w:r>
      <w:r w:rsidRPr="00330CF1">
        <w:rPr>
          <w:rFonts w:ascii="Arial" w:hAnsi="Arial" w:cs="Arial"/>
          <w:i/>
          <w:noProof/>
        </w:rPr>
        <w:t>Infection with Schistosoma mansoni prevents insulin dependent diabetes mellitus in non-obese diabetic mice.</w:t>
      </w:r>
      <w:r w:rsidRPr="00330CF1">
        <w:rPr>
          <w:rFonts w:ascii="Arial" w:hAnsi="Arial" w:cs="Arial"/>
          <w:noProof/>
        </w:rPr>
        <w:t xml:space="preserve"> Parasite Immunology, 1999. </w:t>
      </w:r>
      <w:r w:rsidRPr="00330CF1">
        <w:rPr>
          <w:rFonts w:ascii="Arial" w:hAnsi="Arial" w:cs="Arial"/>
          <w:b/>
          <w:noProof/>
        </w:rPr>
        <w:t>21</w:t>
      </w:r>
      <w:r w:rsidRPr="00330CF1">
        <w:rPr>
          <w:rFonts w:ascii="Arial" w:hAnsi="Arial" w:cs="Arial"/>
          <w:noProof/>
        </w:rPr>
        <w:t>(4): p. 169-176.</w:t>
      </w:r>
      <w:bookmarkEnd w:id="371"/>
    </w:p>
    <w:p w:rsidR="00330CF1" w:rsidRPr="00330CF1" w:rsidRDefault="00330CF1" w:rsidP="0009286C">
      <w:pPr>
        <w:ind w:left="720" w:hanging="720"/>
        <w:rPr>
          <w:rFonts w:ascii="Arial" w:hAnsi="Arial" w:cs="Arial"/>
          <w:noProof/>
        </w:rPr>
      </w:pPr>
      <w:bookmarkStart w:id="372" w:name="_ENREF_311"/>
      <w:r w:rsidRPr="00330CF1">
        <w:rPr>
          <w:rFonts w:ascii="Arial" w:hAnsi="Arial" w:cs="Arial"/>
          <w:noProof/>
        </w:rPr>
        <w:t>311.</w:t>
      </w:r>
      <w:r w:rsidRPr="00330CF1">
        <w:rPr>
          <w:rFonts w:ascii="Arial" w:hAnsi="Arial" w:cs="Arial"/>
          <w:noProof/>
        </w:rPr>
        <w:tab/>
        <w:t xml:space="preserve">Wilson, A.F., et al., </w:t>
      </w:r>
      <w:r w:rsidRPr="00330CF1">
        <w:rPr>
          <w:rFonts w:ascii="Arial" w:hAnsi="Arial" w:cs="Arial"/>
          <w:i/>
          <w:noProof/>
        </w:rPr>
        <w:t>Deposition of inhaled pollen and pollen extract in human airways. .</w:t>
      </w:r>
      <w:r w:rsidRPr="00330CF1">
        <w:rPr>
          <w:rFonts w:ascii="Arial" w:hAnsi="Arial" w:cs="Arial"/>
          <w:noProof/>
        </w:rPr>
        <w:t xml:space="preserve"> New England Journal of Medicine, 1973. </w:t>
      </w:r>
      <w:r w:rsidRPr="00330CF1">
        <w:rPr>
          <w:rFonts w:ascii="Arial" w:hAnsi="Arial" w:cs="Arial"/>
          <w:b/>
          <w:noProof/>
        </w:rPr>
        <w:t>288</w:t>
      </w:r>
      <w:r w:rsidRPr="00330CF1">
        <w:rPr>
          <w:rFonts w:ascii="Arial" w:hAnsi="Arial" w:cs="Arial"/>
          <w:noProof/>
        </w:rPr>
        <w:t>(20): p. 1056-1058.</w:t>
      </w:r>
      <w:bookmarkEnd w:id="372"/>
    </w:p>
    <w:p w:rsidR="00330CF1" w:rsidRPr="00330CF1" w:rsidRDefault="00330CF1" w:rsidP="0009286C">
      <w:pPr>
        <w:ind w:left="720" w:hanging="720"/>
        <w:rPr>
          <w:rFonts w:ascii="Arial" w:hAnsi="Arial" w:cs="Arial"/>
          <w:noProof/>
        </w:rPr>
      </w:pPr>
      <w:bookmarkStart w:id="373" w:name="_ENREF_312"/>
      <w:r w:rsidRPr="00330CF1">
        <w:rPr>
          <w:rFonts w:ascii="Arial" w:hAnsi="Arial" w:cs="Arial"/>
          <w:noProof/>
        </w:rPr>
        <w:t>312.</w:t>
      </w:r>
      <w:r w:rsidRPr="00330CF1">
        <w:rPr>
          <w:rFonts w:ascii="Arial" w:hAnsi="Arial" w:cs="Arial"/>
          <w:noProof/>
        </w:rPr>
        <w:tab/>
        <w:t xml:space="preserve">Noverr, M.C. and G.B. Huffnagel, </w:t>
      </w:r>
      <w:r w:rsidRPr="00330CF1">
        <w:rPr>
          <w:rFonts w:ascii="Arial" w:hAnsi="Arial" w:cs="Arial"/>
          <w:i/>
          <w:noProof/>
        </w:rPr>
        <w:t>Does the microbiota regulate immune responses outside the gut?</w:t>
      </w:r>
      <w:r w:rsidRPr="00330CF1">
        <w:rPr>
          <w:rFonts w:ascii="Arial" w:hAnsi="Arial" w:cs="Arial"/>
          <w:noProof/>
        </w:rPr>
        <w:t xml:space="preserve"> Trends in Microbiology, 2004. </w:t>
      </w:r>
      <w:r w:rsidRPr="00330CF1">
        <w:rPr>
          <w:rFonts w:ascii="Arial" w:hAnsi="Arial" w:cs="Arial"/>
          <w:b/>
          <w:noProof/>
        </w:rPr>
        <w:t>12</w:t>
      </w:r>
      <w:r w:rsidRPr="00330CF1">
        <w:rPr>
          <w:rFonts w:ascii="Arial" w:hAnsi="Arial" w:cs="Arial"/>
          <w:noProof/>
        </w:rPr>
        <w:t>(12): p. 562-568.</w:t>
      </w:r>
      <w:bookmarkEnd w:id="373"/>
    </w:p>
    <w:p w:rsidR="00330CF1" w:rsidRPr="00330CF1" w:rsidRDefault="00330CF1" w:rsidP="0009286C">
      <w:pPr>
        <w:ind w:left="720" w:hanging="720"/>
        <w:rPr>
          <w:rFonts w:ascii="Arial" w:hAnsi="Arial" w:cs="Arial"/>
          <w:noProof/>
        </w:rPr>
      </w:pPr>
      <w:bookmarkStart w:id="374" w:name="_ENREF_313"/>
      <w:r w:rsidRPr="00330CF1">
        <w:rPr>
          <w:rFonts w:ascii="Arial" w:hAnsi="Arial" w:cs="Arial"/>
          <w:noProof/>
        </w:rPr>
        <w:t>313.</w:t>
      </w:r>
      <w:r w:rsidRPr="00330CF1">
        <w:rPr>
          <w:rFonts w:ascii="Arial" w:hAnsi="Arial" w:cs="Arial"/>
          <w:noProof/>
        </w:rPr>
        <w:tab/>
        <w:t xml:space="preserve">Eyles, J.E., et al., </w:t>
      </w:r>
      <w:r w:rsidRPr="00330CF1">
        <w:rPr>
          <w:rFonts w:ascii="Arial" w:hAnsi="Arial" w:cs="Arial"/>
          <w:i/>
          <w:noProof/>
        </w:rPr>
        <w:t>Tissue distribution of radioactivity following intranasal administration of radioactive microspheres.</w:t>
      </w:r>
      <w:r w:rsidRPr="00330CF1">
        <w:rPr>
          <w:rFonts w:ascii="Arial" w:hAnsi="Arial" w:cs="Arial"/>
          <w:noProof/>
        </w:rPr>
        <w:t xml:space="preserve"> Journal of Pharmacy and Pharmacology, 2001. </w:t>
      </w:r>
      <w:r w:rsidRPr="00330CF1">
        <w:rPr>
          <w:rFonts w:ascii="Arial" w:hAnsi="Arial" w:cs="Arial"/>
          <w:b/>
          <w:noProof/>
        </w:rPr>
        <w:t>53</w:t>
      </w:r>
      <w:r w:rsidRPr="00330CF1">
        <w:rPr>
          <w:rFonts w:ascii="Arial" w:hAnsi="Arial" w:cs="Arial"/>
          <w:noProof/>
        </w:rPr>
        <w:t>(5): p. 601-607.</w:t>
      </w:r>
      <w:bookmarkEnd w:id="374"/>
    </w:p>
    <w:p w:rsidR="00330CF1" w:rsidRPr="00330CF1" w:rsidRDefault="00330CF1" w:rsidP="0009286C">
      <w:pPr>
        <w:ind w:left="720" w:hanging="720"/>
        <w:rPr>
          <w:rFonts w:ascii="Arial" w:hAnsi="Arial" w:cs="Arial"/>
          <w:noProof/>
        </w:rPr>
      </w:pPr>
      <w:bookmarkStart w:id="375" w:name="_ENREF_314"/>
      <w:r w:rsidRPr="00330CF1">
        <w:rPr>
          <w:rFonts w:ascii="Arial" w:hAnsi="Arial" w:cs="Arial"/>
          <w:noProof/>
        </w:rPr>
        <w:t>314.</w:t>
      </w:r>
      <w:r w:rsidRPr="00330CF1">
        <w:rPr>
          <w:rFonts w:ascii="Arial" w:hAnsi="Arial" w:cs="Arial"/>
          <w:noProof/>
        </w:rPr>
        <w:tab/>
        <w:t xml:space="preserve">Pickett, T.E., et al., </w:t>
      </w:r>
      <w:r w:rsidRPr="00330CF1">
        <w:rPr>
          <w:rFonts w:ascii="Arial" w:hAnsi="Arial" w:cs="Arial"/>
          <w:i/>
          <w:noProof/>
        </w:rPr>
        <w:t>In vivo characterization of the murine intranasal model for assessing the immunogenicity of attenuated Salmonella enterica serovar typhi strains as live mucosal vaccines and as live vectors.</w:t>
      </w:r>
      <w:r w:rsidRPr="00330CF1">
        <w:rPr>
          <w:rFonts w:ascii="Arial" w:hAnsi="Arial" w:cs="Arial"/>
          <w:noProof/>
        </w:rPr>
        <w:t xml:space="preserve"> Infection and Immunity, 2000. </w:t>
      </w:r>
      <w:r w:rsidRPr="00330CF1">
        <w:rPr>
          <w:rFonts w:ascii="Arial" w:hAnsi="Arial" w:cs="Arial"/>
          <w:b/>
          <w:noProof/>
        </w:rPr>
        <w:t>68</w:t>
      </w:r>
      <w:r w:rsidRPr="00330CF1">
        <w:rPr>
          <w:rFonts w:ascii="Arial" w:hAnsi="Arial" w:cs="Arial"/>
          <w:noProof/>
        </w:rPr>
        <w:t>(1): p. 205-213.</w:t>
      </w:r>
      <w:bookmarkEnd w:id="375"/>
    </w:p>
    <w:p w:rsidR="00330CF1" w:rsidRPr="00330CF1" w:rsidRDefault="00330CF1" w:rsidP="0009286C">
      <w:pPr>
        <w:ind w:left="720" w:hanging="720"/>
        <w:rPr>
          <w:rFonts w:ascii="Arial" w:hAnsi="Arial" w:cs="Arial"/>
          <w:noProof/>
        </w:rPr>
      </w:pPr>
      <w:bookmarkStart w:id="376" w:name="_ENREF_315"/>
      <w:r w:rsidRPr="00330CF1">
        <w:rPr>
          <w:rFonts w:ascii="Arial" w:hAnsi="Arial" w:cs="Arial"/>
          <w:noProof/>
        </w:rPr>
        <w:t>315.</w:t>
      </w:r>
      <w:r w:rsidRPr="00330CF1">
        <w:rPr>
          <w:rFonts w:ascii="Arial" w:hAnsi="Arial" w:cs="Arial"/>
          <w:noProof/>
        </w:rPr>
        <w:tab/>
        <w:t xml:space="preserve">Farooqi, I.S. and J.M. Hopkin, </w:t>
      </w:r>
      <w:r w:rsidRPr="00330CF1">
        <w:rPr>
          <w:rFonts w:ascii="Arial" w:hAnsi="Arial" w:cs="Arial"/>
          <w:i/>
          <w:noProof/>
        </w:rPr>
        <w:t>Early childhood infection and atopic disorder.</w:t>
      </w:r>
      <w:r w:rsidRPr="00330CF1">
        <w:rPr>
          <w:rFonts w:ascii="Arial" w:hAnsi="Arial" w:cs="Arial"/>
          <w:noProof/>
        </w:rPr>
        <w:t xml:space="preserve"> Thorax, 1998. </w:t>
      </w:r>
      <w:r w:rsidRPr="00330CF1">
        <w:rPr>
          <w:rFonts w:ascii="Arial" w:hAnsi="Arial" w:cs="Arial"/>
          <w:b/>
          <w:noProof/>
        </w:rPr>
        <w:t>53</w:t>
      </w:r>
      <w:r w:rsidRPr="00330CF1">
        <w:rPr>
          <w:rFonts w:ascii="Arial" w:hAnsi="Arial" w:cs="Arial"/>
          <w:noProof/>
        </w:rPr>
        <w:t>(11): p. 927-932.</w:t>
      </w:r>
      <w:bookmarkEnd w:id="376"/>
    </w:p>
    <w:p w:rsidR="00330CF1" w:rsidRPr="00330CF1" w:rsidRDefault="00330CF1" w:rsidP="0009286C">
      <w:pPr>
        <w:ind w:left="720" w:hanging="720"/>
        <w:rPr>
          <w:rFonts w:ascii="Arial" w:hAnsi="Arial" w:cs="Arial"/>
          <w:noProof/>
        </w:rPr>
      </w:pPr>
      <w:bookmarkStart w:id="377" w:name="_ENREF_316"/>
      <w:r w:rsidRPr="00330CF1">
        <w:rPr>
          <w:rFonts w:ascii="Arial" w:hAnsi="Arial" w:cs="Arial"/>
          <w:noProof/>
        </w:rPr>
        <w:lastRenderedPageBreak/>
        <w:t>316.</w:t>
      </w:r>
      <w:r w:rsidRPr="00330CF1">
        <w:rPr>
          <w:rFonts w:ascii="Arial" w:hAnsi="Arial" w:cs="Arial"/>
          <w:noProof/>
        </w:rPr>
        <w:tab/>
        <w:t xml:space="preserve">Wickens, K., et al., </w:t>
      </w:r>
      <w:r w:rsidRPr="00330CF1">
        <w:rPr>
          <w:rFonts w:ascii="Arial" w:hAnsi="Arial" w:cs="Arial"/>
          <w:i/>
          <w:noProof/>
        </w:rPr>
        <w:t>Antibiotic use in early childhood and the development of asthma.</w:t>
      </w:r>
      <w:r w:rsidRPr="00330CF1">
        <w:rPr>
          <w:rFonts w:ascii="Arial" w:hAnsi="Arial" w:cs="Arial"/>
          <w:noProof/>
        </w:rPr>
        <w:t xml:space="preserve"> Clinical and Experimental Allergy, 1999. </w:t>
      </w:r>
      <w:r w:rsidRPr="00330CF1">
        <w:rPr>
          <w:rFonts w:ascii="Arial" w:hAnsi="Arial" w:cs="Arial"/>
          <w:b/>
          <w:noProof/>
        </w:rPr>
        <w:t>29</w:t>
      </w:r>
      <w:r w:rsidRPr="00330CF1">
        <w:rPr>
          <w:rFonts w:ascii="Arial" w:hAnsi="Arial" w:cs="Arial"/>
          <w:noProof/>
        </w:rPr>
        <w:t>(6): p. 766-771.</w:t>
      </w:r>
      <w:bookmarkEnd w:id="377"/>
    </w:p>
    <w:p w:rsidR="00330CF1" w:rsidRPr="00330CF1" w:rsidRDefault="00330CF1" w:rsidP="0009286C">
      <w:pPr>
        <w:ind w:left="720" w:hanging="720"/>
        <w:rPr>
          <w:rFonts w:ascii="Arial" w:hAnsi="Arial" w:cs="Arial"/>
          <w:noProof/>
        </w:rPr>
      </w:pPr>
      <w:bookmarkStart w:id="378" w:name="_ENREF_317"/>
      <w:r w:rsidRPr="00330CF1">
        <w:rPr>
          <w:rFonts w:ascii="Arial" w:hAnsi="Arial" w:cs="Arial"/>
          <w:noProof/>
        </w:rPr>
        <w:t>317.</w:t>
      </w:r>
      <w:r w:rsidRPr="00330CF1">
        <w:rPr>
          <w:rFonts w:ascii="Arial" w:hAnsi="Arial" w:cs="Arial"/>
          <w:noProof/>
        </w:rPr>
        <w:tab/>
        <w:t xml:space="preserve">Bjorksten, B., et al., </w:t>
      </w:r>
      <w:r w:rsidRPr="00330CF1">
        <w:rPr>
          <w:rFonts w:ascii="Arial" w:hAnsi="Arial" w:cs="Arial"/>
          <w:i/>
          <w:noProof/>
        </w:rPr>
        <w:t>The intestinal microflora in allergic Estonian and Swedish 2-year-old children.</w:t>
      </w:r>
      <w:r w:rsidRPr="00330CF1">
        <w:rPr>
          <w:rFonts w:ascii="Arial" w:hAnsi="Arial" w:cs="Arial"/>
          <w:noProof/>
        </w:rPr>
        <w:t xml:space="preserve"> Clinical and Experimental Allergy, 1999. </w:t>
      </w:r>
      <w:r w:rsidRPr="00330CF1">
        <w:rPr>
          <w:rFonts w:ascii="Arial" w:hAnsi="Arial" w:cs="Arial"/>
          <w:b/>
          <w:noProof/>
        </w:rPr>
        <w:t>29</w:t>
      </w:r>
      <w:r w:rsidRPr="00330CF1">
        <w:rPr>
          <w:rFonts w:ascii="Arial" w:hAnsi="Arial" w:cs="Arial"/>
          <w:noProof/>
        </w:rPr>
        <w:t>(3): p. 342-346.</w:t>
      </w:r>
      <w:bookmarkEnd w:id="378"/>
    </w:p>
    <w:p w:rsidR="00330CF1" w:rsidRPr="00330CF1" w:rsidRDefault="00330CF1" w:rsidP="0009286C">
      <w:pPr>
        <w:ind w:left="720" w:hanging="720"/>
        <w:rPr>
          <w:rFonts w:ascii="Arial" w:hAnsi="Arial" w:cs="Arial"/>
          <w:noProof/>
        </w:rPr>
      </w:pPr>
      <w:bookmarkStart w:id="379" w:name="_ENREF_318"/>
      <w:r w:rsidRPr="00330CF1">
        <w:rPr>
          <w:rFonts w:ascii="Arial" w:hAnsi="Arial" w:cs="Arial"/>
          <w:noProof/>
        </w:rPr>
        <w:t>318.</w:t>
      </w:r>
      <w:r w:rsidRPr="00330CF1">
        <w:rPr>
          <w:rFonts w:ascii="Arial" w:hAnsi="Arial" w:cs="Arial"/>
          <w:noProof/>
        </w:rPr>
        <w:tab/>
        <w:t xml:space="preserve">Kalliomaki, M., et al., </w:t>
      </w:r>
      <w:r w:rsidRPr="00330CF1">
        <w:rPr>
          <w:rFonts w:ascii="Arial" w:hAnsi="Arial" w:cs="Arial"/>
          <w:i/>
          <w:noProof/>
        </w:rPr>
        <w:t>Distinct patterns of neonatal gut microflora in infants in whom atopy was and was not developing.</w:t>
      </w:r>
      <w:r w:rsidRPr="00330CF1">
        <w:rPr>
          <w:rFonts w:ascii="Arial" w:hAnsi="Arial" w:cs="Arial"/>
          <w:noProof/>
        </w:rPr>
        <w:t xml:space="preserve"> Journal of Allergy and Clinical Immunology, 2001. </w:t>
      </w:r>
      <w:r w:rsidRPr="00330CF1">
        <w:rPr>
          <w:rFonts w:ascii="Arial" w:hAnsi="Arial" w:cs="Arial"/>
          <w:b/>
          <w:noProof/>
        </w:rPr>
        <w:t>107</w:t>
      </w:r>
      <w:r w:rsidRPr="00330CF1">
        <w:rPr>
          <w:rFonts w:ascii="Arial" w:hAnsi="Arial" w:cs="Arial"/>
          <w:noProof/>
        </w:rPr>
        <w:t>(1): p. 129-134.</w:t>
      </w:r>
      <w:bookmarkEnd w:id="379"/>
    </w:p>
    <w:p w:rsidR="00330CF1" w:rsidRPr="00330CF1" w:rsidRDefault="00330CF1" w:rsidP="0009286C">
      <w:pPr>
        <w:ind w:left="720" w:hanging="720"/>
        <w:rPr>
          <w:rFonts w:ascii="Arial" w:hAnsi="Arial" w:cs="Arial"/>
          <w:noProof/>
        </w:rPr>
      </w:pPr>
      <w:bookmarkStart w:id="380" w:name="_ENREF_319"/>
      <w:r w:rsidRPr="00330CF1">
        <w:rPr>
          <w:rFonts w:ascii="Arial" w:hAnsi="Arial" w:cs="Arial"/>
          <w:noProof/>
        </w:rPr>
        <w:t>319.</w:t>
      </w:r>
      <w:r w:rsidRPr="00330CF1">
        <w:rPr>
          <w:rFonts w:ascii="Arial" w:hAnsi="Arial" w:cs="Arial"/>
          <w:noProof/>
        </w:rPr>
        <w:tab/>
        <w:t xml:space="preserve">Marteau, P., et al., </w:t>
      </w:r>
      <w:r w:rsidRPr="00330CF1">
        <w:rPr>
          <w:rFonts w:ascii="Arial" w:hAnsi="Arial" w:cs="Arial"/>
          <w:i/>
          <w:noProof/>
        </w:rPr>
        <w:t>Review article: gut flora and inflammatory bowel disease.</w:t>
      </w:r>
      <w:r w:rsidRPr="00330CF1">
        <w:rPr>
          <w:rFonts w:ascii="Arial" w:hAnsi="Arial" w:cs="Arial"/>
          <w:noProof/>
        </w:rPr>
        <w:t xml:space="preserve"> Alimentary Pharmacology &amp; Therapeutics, 2004. </w:t>
      </w:r>
      <w:r w:rsidRPr="00330CF1">
        <w:rPr>
          <w:rFonts w:ascii="Arial" w:hAnsi="Arial" w:cs="Arial"/>
          <w:b/>
          <w:noProof/>
        </w:rPr>
        <w:t>20</w:t>
      </w:r>
      <w:r w:rsidRPr="00330CF1">
        <w:rPr>
          <w:rFonts w:ascii="Arial" w:hAnsi="Arial" w:cs="Arial"/>
          <w:noProof/>
        </w:rPr>
        <w:t>: p. 18-23.</w:t>
      </w:r>
      <w:bookmarkEnd w:id="380"/>
    </w:p>
    <w:p w:rsidR="00330CF1" w:rsidRPr="00330CF1" w:rsidRDefault="00330CF1" w:rsidP="0009286C">
      <w:pPr>
        <w:ind w:left="720" w:hanging="720"/>
        <w:rPr>
          <w:rFonts w:ascii="Arial" w:hAnsi="Arial" w:cs="Arial"/>
          <w:noProof/>
        </w:rPr>
      </w:pPr>
      <w:bookmarkStart w:id="381" w:name="_ENREF_320"/>
      <w:r w:rsidRPr="00330CF1">
        <w:rPr>
          <w:rFonts w:ascii="Arial" w:hAnsi="Arial" w:cs="Arial"/>
          <w:noProof/>
        </w:rPr>
        <w:t>320.</w:t>
      </w:r>
      <w:r w:rsidRPr="00330CF1">
        <w:rPr>
          <w:rFonts w:ascii="Arial" w:hAnsi="Arial" w:cs="Arial"/>
          <w:noProof/>
        </w:rPr>
        <w:tab/>
        <w:t xml:space="preserve">Seksik, P., et al., </w:t>
      </w:r>
      <w:r w:rsidRPr="00330CF1">
        <w:rPr>
          <w:rFonts w:ascii="Arial" w:hAnsi="Arial" w:cs="Arial"/>
          <w:i/>
          <w:noProof/>
        </w:rPr>
        <w:t>Alterations of the dominant faecal bacterial groups in patients with Crohn's disease of the colon.</w:t>
      </w:r>
      <w:r w:rsidRPr="00330CF1">
        <w:rPr>
          <w:rFonts w:ascii="Arial" w:hAnsi="Arial" w:cs="Arial"/>
          <w:noProof/>
        </w:rPr>
        <w:t xml:space="preserve"> Gut, 2003. </w:t>
      </w:r>
      <w:r w:rsidRPr="00330CF1">
        <w:rPr>
          <w:rFonts w:ascii="Arial" w:hAnsi="Arial" w:cs="Arial"/>
          <w:b/>
          <w:noProof/>
        </w:rPr>
        <w:t>52</w:t>
      </w:r>
      <w:r w:rsidRPr="00330CF1">
        <w:rPr>
          <w:rFonts w:ascii="Arial" w:hAnsi="Arial" w:cs="Arial"/>
          <w:noProof/>
        </w:rPr>
        <w:t>(2): p. 237-242.</w:t>
      </w:r>
      <w:bookmarkEnd w:id="381"/>
    </w:p>
    <w:p w:rsidR="00330CF1" w:rsidRPr="00330CF1" w:rsidRDefault="00330CF1" w:rsidP="0009286C">
      <w:pPr>
        <w:ind w:left="720" w:hanging="720"/>
        <w:rPr>
          <w:rFonts w:ascii="Arial" w:hAnsi="Arial" w:cs="Arial"/>
          <w:noProof/>
        </w:rPr>
      </w:pPr>
      <w:bookmarkStart w:id="382" w:name="_ENREF_321"/>
      <w:r w:rsidRPr="00330CF1">
        <w:rPr>
          <w:rFonts w:ascii="Arial" w:hAnsi="Arial" w:cs="Arial"/>
          <w:noProof/>
        </w:rPr>
        <w:t>321.</w:t>
      </w:r>
      <w:r w:rsidRPr="00330CF1">
        <w:rPr>
          <w:rFonts w:ascii="Arial" w:hAnsi="Arial" w:cs="Arial"/>
          <w:noProof/>
        </w:rPr>
        <w:tab/>
        <w:t xml:space="preserve">Sironi, M. and M. Clerici, </w:t>
      </w:r>
      <w:r w:rsidRPr="00330CF1">
        <w:rPr>
          <w:rFonts w:ascii="Arial" w:hAnsi="Arial" w:cs="Arial"/>
          <w:i/>
          <w:noProof/>
        </w:rPr>
        <w:t>The hygiene hypothesis: an evolutionary perspective.</w:t>
      </w:r>
      <w:r w:rsidRPr="00330CF1">
        <w:rPr>
          <w:rFonts w:ascii="Arial" w:hAnsi="Arial" w:cs="Arial"/>
          <w:noProof/>
        </w:rPr>
        <w:t xml:space="preserve"> Microbes and Infection, 2010. </w:t>
      </w:r>
      <w:r w:rsidRPr="00330CF1">
        <w:rPr>
          <w:rFonts w:ascii="Arial" w:hAnsi="Arial" w:cs="Arial"/>
          <w:b/>
          <w:noProof/>
        </w:rPr>
        <w:t>12</w:t>
      </w:r>
      <w:r w:rsidRPr="00330CF1">
        <w:rPr>
          <w:rFonts w:ascii="Arial" w:hAnsi="Arial" w:cs="Arial"/>
          <w:noProof/>
        </w:rPr>
        <w:t>(6): p. 421-427.</w:t>
      </w:r>
      <w:bookmarkEnd w:id="382"/>
    </w:p>
    <w:p w:rsidR="00330CF1" w:rsidRPr="00330CF1" w:rsidRDefault="00330CF1" w:rsidP="0009286C">
      <w:pPr>
        <w:ind w:left="720" w:hanging="720"/>
        <w:rPr>
          <w:rFonts w:ascii="Arial" w:hAnsi="Arial" w:cs="Arial"/>
          <w:noProof/>
        </w:rPr>
      </w:pPr>
      <w:bookmarkStart w:id="383" w:name="_ENREF_322"/>
      <w:r w:rsidRPr="00330CF1">
        <w:rPr>
          <w:rFonts w:ascii="Arial" w:hAnsi="Arial" w:cs="Arial"/>
          <w:noProof/>
        </w:rPr>
        <w:t>322.</w:t>
      </w:r>
      <w:r w:rsidRPr="00330CF1">
        <w:rPr>
          <w:rFonts w:ascii="Arial" w:hAnsi="Arial" w:cs="Arial"/>
          <w:noProof/>
        </w:rPr>
        <w:tab/>
        <w:t xml:space="preserve">Simpson, F., </w:t>
      </w:r>
      <w:r w:rsidRPr="00330CF1">
        <w:rPr>
          <w:rFonts w:ascii="Arial" w:hAnsi="Arial" w:cs="Arial"/>
          <w:i/>
          <w:noProof/>
        </w:rPr>
        <w:t>The book of the cat</w:t>
      </w:r>
      <w:r w:rsidRPr="00330CF1">
        <w:rPr>
          <w:rFonts w:ascii="Arial" w:hAnsi="Arial" w:cs="Arial"/>
          <w:noProof/>
        </w:rPr>
        <w:t xml:space="preserve"> 1903, London; Paris; New York; Melbourne: Cassell and company, limited.</w:t>
      </w:r>
      <w:bookmarkEnd w:id="383"/>
    </w:p>
    <w:p w:rsidR="00330CF1" w:rsidRPr="00330CF1" w:rsidRDefault="00330CF1" w:rsidP="0009286C">
      <w:pPr>
        <w:ind w:left="720" w:hanging="720"/>
        <w:rPr>
          <w:rFonts w:ascii="Arial" w:hAnsi="Arial" w:cs="Arial"/>
          <w:noProof/>
        </w:rPr>
      </w:pPr>
      <w:bookmarkStart w:id="384" w:name="_ENREF_323"/>
      <w:r w:rsidRPr="00330CF1">
        <w:rPr>
          <w:rFonts w:ascii="Arial" w:hAnsi="Arial" w:cs="Arial"/>
          <w:noProof/>
        </w:rPr>
        <w:t>323.</w:t>
      </w:r>
      <w:r w:rsidRPr="00330CF1">
        <w:rPr>
          <w:rFonts w:ascii="Arial" w:hAnsi="Arial" w:cs="Arial"/>
          <w:noProof/>
        </w:rPr>
        <w:tab/>
        <w:t xml:space="preserve">Morris, J.G. and Q.R. Rogers, </w:t>
      </w:r>
      <w:r w:rsidRPr="00330CF1">
        <w:rPr>
          <w:rFonts w:ascii="Arial" w:hAnsi="Arial" w:cs="Arial"/>
          <w:i/>
          <w:noProof/>
        </w:rPr>
        <w:t>Assessment of the nutritional adequacy of pet foods through the life cycle.</w:t>
      </w:r>
      <w:r w:rsidRPr="00330CF1">
        <w:rPr>
          <w:rFonts w:ascii="Arial" w:hAnsi="Arial" w:cs="Arial"/>
          <w:noProof/>
        </w:rPr>
        <w:t xml:space="preserve"> Journal of Nutrition, 1994. </w:t>
      </w:r>
      <w:r w:rsidRPr="00330CF1">
        <w:rPr>
          <w:rFonts w:ascii="Arial" w:hAnsi="Arial" w:cs="Arial"/>
          <w:b/>
          <w:noProof/>
        </w:rPr>
        <w:t>124</w:t>
      </w:r>
      <w:r w:rsidRPr="00330CF1">
        <w:rPr>
          <w:rFonts w:ascii="Arial" w:hAnsi="Arial" w:cs="Arial"/>
          <w:noProof/>
        </w:rPr>
        <w:t>(12 SUPPL.): p. 2520S-2534S.</w:t>
      </w:r>
      <w:bookmarkEnd w:id="384"/>
    </w:p>
    <w:p w:rsidR="00330CF1" w:rsidRPr="00330CF1" w:rsidRDefault="00330CF1" w:rsidP="0009286C">
      <w:pPr>
        <w:ind w:left="720" w:hanging="720"/>
        <w:rPr>
          <w:rFonts w:ascii="Arial" w:hAnsi="Arial" w:cs="Arial"/>
          <w:noProof/>
        </w:rPr>
      </w:pPr>
      <w:bookmarkStart w:id="385" w:name="_ENREF_324"/>
      <w:r w:rsidRPr="00330CF1">
        <w:rPr>
          <w:rFonts w:ascii="Arial" w:hAnsi="Arial" w:cs="Arial"/>
          <w:noProof/>
        </w:rPr>
        <w:t>324.</w:t>
      </w:r>
      <w:r w:rsidRPr="00330CF1">
        <w:rPr>
          <w:rFonts w:ascii="Arial" w:hAnsi="Arial" w:cs="Arial"/>
          <w:noProof/>
        </w:rPr>
        <w:tab/>
        <w:t xml:space="preserve">Speakman, J.R., D. Booles, and R. Butterwick, </w:t>
      </w:r>
      <w:r w:rsidRPr="00330CF1">
        <w:rPr>
          <w:rFonts w:ascii="Arial" w:hAnsi="Arial" w:cs="Arial"/>
          <w:i/>
          <w:noProof/>
        </w:rPr>
        <w:t>Validation of dual energy X-ray absorptiometry (DXA) by comparison with chemical analysis of dogs and cats.</w:t>
      </w:r>
      <w:r w:rsidRPr="00330CF1">
        <w:rPr>
          <w:rFonts w:ascii="Arial" w:hAnsi="Arial" w:cs="Arial"/>
          <w:noProof/>
        </w:rPr>
        <w:t xml:space="preserve"> International Journal of Obesity, 2001. </w:t>
      </w:r>
      <w:r w:rsidRPr="00330CF1">
        <w:rPr>
          <w:rFonts w:ascii="Arial" w:hAnsi="Arial" w:cs="Arial"/>
          <w:b/>
          <w:noProof/>
        </w:rPr>
        <w:t>25</w:t>
      </w:r>
      <w:r w:rsidRPr="00330CF1">
        <w:rPr>
          <w:rFonts w:ascii="Arial" w:hAnsi="Arial" w:cs="Arial"/>
          <w:noProof/>
        </w:rPr>
        <w:t>(3): p. 439-447.</w:t>
      </w:r>
      <w:bookmarkEnd w:id="385"/>
    </w:p>
    <w:p w:rsidR="00330CF1" w:rsidRPr="00330CF1" w:rsidRDefault="00330CF1" w:rsidP="0009286C">
      <w:pPr>
        <w:ind w:left="720" w:hanging="720"/>
        <w:rPr>
          <w:rFonts w:ascii="Arial" w:hAnsi="Arial" w:cs="Arial"/>
          <w:noProof/>
        </w:rPr>
      </w:pPr>
      <w:bookmarkStart w:id="386" w:name="_ENREF_325"/>
      <w:r w:rsidRPr="00330CF1">
        <w:rPr>
          <w:rFonts w:ascii="Arial" w:hAnsi="Arial" w:cs="Arial"/>
          <w:noProof/>
        </w:rPr>
        <w:t>325.</w:t>
      </w:r>
      <w:r w:rsidRPr="00330CF1">
        <w:rPr>
          <w:rFonts w:ascii="Arial" w:hAnsi="Arial" w:cs="Arial"/>
          <w:noProof/>
        </w:rPr>
        <w:tab/>
        <w:t xml:space="preserve">Mawby, D.I., et al., </w:t>
      </w:r>
      <w:r w:rsidRPr="00330CF1">
        <w:rPr>
          <w:rFonts w:ascii="Arial" w:hAnsi="Arial" w:cs="Arial"/>
          <w:i/>
          <w:noProof/>
        </w:rPr>
        <w:t>Comparison of various methods for estimating body fat in dogs.</w:t>
      </w:r>
      <w:r w:rsidRPr="00330CF1">
        <w:rPr>
          <w:rFonts w:ascii="Arial" w:hAnsi="Arial" w:cs="Arial"/>
          <w:noProof/>
        </w:rPr>
        <w:t xml:space="preserve"> Journal of the American Animal Hospital Association, 2004. </w:t>
      </w:r>
      <w:r w:rsidRPr="00330CF1">
        <w:rPr>
          <w:rFonts w:ascii="Arial" w:hAnsi="Arial" w:cs="Arial"/>
          <w:b/>
          <w:noProof/>
        </w:rPr>
        <w:t>40</w:t>
      </w:r>
      <w:r w:rsidRPr="00330CF1">
        <w:rPr>
          <w:rFonts w:ascii="Arial" w:hAnsi="Arial" w:cs="Arial"/>
          <w:noProof/>
        </w:rPr>
        <w:t>(2): p. 109-114.</w:t>
      </w:r>
      <w:bookmarkEnd w:id="386"/>
    </w:p>
    <w:p w:rsidR="00330CF1" w:rsidRPr="00330CF1" w:rsidRDefault="00330CF1" w:rsidP="0009286C">
      <w:pPr>
        <w:ind w:left="720" w:hanging="720"/>
        <w:rPr>
          <w:rFonts w:ascii="Arial" w:hAnsi="Arial" w:cs="Arial"/>
          <w:noProof/>
        </w:rPr>
      </w:pPr>
      <w:bookmarkStart w:id="387" w:name="_ENREF_326"/>
      <w:r w:rsidRPr="00330CF1">
        <w:rPr>
          <w:rFonts w:ascii="Arial" w:hAnsi="Arial" w:cs="Arial"/>
          <w:noProof/>
        </w:rPr>
        <w:t>326.</w:t>
      </w:r>
      <w:r w:rsidRPr="00330CF1">
        <w:rPr>
          <w:rFonts w:ascii="Arial" w:hAnsi="Arial" w:cs="Arial"/>
          <w:noProof/>
        </w:rPr>
        <w:tab/>
        <w:t xml:space="preserve">Son, H.R., A. d'Avignon, and D.P. Laflamme, </w:t>
      </w:r>
      <w:r w:rsidRPr="00330CF1">
        <w:rPr>
          <w:rFonts w:ascii="Arial" w:hAnsi="Arial" w:cs="Arial"/>
          <w:i/>
          <w:noProof/>
        </w:rPr>
        <w:t>Comparison of dual-energy x-ray absorptiometry and measurement of total body water content by deuterium oxide dilution for estimating body composition in dogs.</w:t>
      </w:r>
      <w:r w:rsidRPr="00330CF1">
        <w:rPr>
          <w:rFonts w:ascii="Arial" w:hAnsi="Arial" w:cs="Arial"/>
          <w:noProof/>
        </w:rPr>
        <w:t xml:space="preserve"> American Journal of Veterinary Research, 1998. </w:t>
      </w:r>
      <w:r w:rsidRPr="00330CF1">
        <w:rPr>
          <w:rFonts w:ascii="Arial" w:hAnsi="Arial" w:cs="Arial"/>
          <w:b/>
          <w:noProof/>
        </w:rPr>
        <w:t>59</w:t>
      </w:r>
      <w:r w:rsidRPr="00330CF1">
        <w:rPr>
          <w:rFonts w:ascii="Arial" w:hAnsi="Arial" w:cs="Arial"/>
          <w:noProof/>
        </w:rPr>
        <w:t>(5): p. 529-532.</w:t>
      </w:r>
      <w:bookmarkEnd w:id="387"/>
    </w:p>
    <w:p w:rsidR="00330CF1" w:rsidRPr="00330CF1" w:rsidRDefault="00330CF1" w:rsidP="0009286C">
      <w:pPr>
        <w:ind w:left="720" w:hanging="720"/>
        <w:rPr>
          <w:rFonts w:ascii="Arial" w:hAnsi="Arial" w:cs="Arial"/>
          <w:noProof/>
        </w:rPr>
      </w:pPr>
      <w:bookmarkStart w:id="388" w:name="_ENREF_327"/>
      <w:r w:rsidRPr="00330CF1">
        <w:rPr>
          <w:rFonts w:ascii="Arial" w:hAnsi="Arial" w:cs="Arial"/>
          <w:noProof/>
        </w:rPr>
        <w:t>327.</w:t>
      </w:r>
      <w:r w:rsidRPr="00330CF1">
        <w:rPr>
          <w:rFonts w:ascii="Arial" w:hAnsi="Arial" w:cs="Arial"/>
          <w:noProof/>
        </w:rPr>
        <w:tab/>
        <w:t xml:space="preserve">Meinhardt, U.J. and K.K.Y. Ho, </w:t>
      </w:r>
      <w:r w:rsidRPr="00330CF1">
        <w:rPr>
          <w:rFonts w:ascii="Arial" w:hAnsi="Arial" w:cs="Arial"/>
          <w:i/>
          <w:noProof/>
        </w:rPr>
        <w:t>Modulation of growth hormone action by sex steroids.</w:t>
      </w:r>
      <w:r w:rsidRPr="00330CF1">
        <w:rPr>
          <w:rFonts w:ascii="Arial" w:hAnsi="Arial" w:cs="Arial"/>
          <w:noProof/>
        </w:rPr>
        <w:t xml:space="preserve"> Clinical Endocrinology, 2006. </w:t>
      </w:r>
      <w:r w:rsidRPr="00330CF1">
        <w:rPr>
          <w:rFonts w:ascii="Arial" w:hAnsi="Arial" w:cs="Arial"/>
          <w:b/>
          <w:noProof/>
        </w:rPr>
        <w:t>65</w:t>
      </w:r>
      <w:r w:rsidRPr="00330CF1">
        <w:rPr>
          <w:rFonts w:ascii="Arial" w:hAnsi="Arial" w:cs="Arial"/>
          <w:noProof/>
        </w:rPr>
        <w:t>(4): p. 413-422.</w:t>
      </w:r>
      <w:bookmarkEnd w:id="388"/>
    </w:p>
    <w:p w:rsidR="00330CF1" w:rsidRPr="00330CF1" w:rsidRDefault="00330CF1" w:rsidP="0009286C">
      <w:pPr>
        <w:ind w:left="720" w:hanging="720"/>
        <w:rPr>
          <w:rFonts w:ascii="Arial" w:hAnsi="Arial" w:cs="Arial"/>
          <w:noProof/>
        </w:rPr>
      </w:pPr>
      <w:bookmarkStart w:id="389" w:name="_ENREF_328"/>
      <w:r w:rsidRPr="00330CF1">
        <w:rPr>
          <w:rFonts w:ascii="Arial" w:hAnsi="Arial" w:cs="Arial"/>
          <w:noProof/>
        </w:rPr>
        <w:t>328.</w:t>
      </w:r>
      <w:r w:rsidRPr="00330CF1">
        <w:rPr>
          <w:rFonts w:ascii="Arial" w:hAnsi="Arial" w:cs="Arial"/>
          <w:noProof/>
        </w:rPr>
        <w:tab/>
        <w:t xml:space="preserve">Root-Kustritz, M.V., </w:t>
      </w:r>
      <w:r w:rsidRPr="00330CF1">
        <w:rPr>
          <w:rFonts w:ascii="Arial" w:hAnsi="Arial" w:cs="Arial"/>
          <w:i/>
          <w:noProof/>
        </w:rPr>
        <w:t>Sexual Differentiation and Normal Anatomy of the Tom Cat</w:t>
      </w:r>
      <w:r w:rsidRPr="00330CF1">
        <w:rPr>
          <w:rFonts w:ascii="Arial" w:hAnsi="Arial" w:cs="Arial"/>
          <w:noProof/>
        </w:rPr>
        <w:t xml:space="preserve">, in </w:t>
      </w:r>
      <w:r w:rsidRPr="00330CF1">
        <w:rPr>
          <w:rFonts w:ascii="Arial" w:hAnsi="Arial" w:cs="Arial"/>
          <w:i/>
          <w:noProof/>
        </w:rPr>
        <w:t>Canine and Feline Theriogenology</w:t>
      </w:r>
      <w:r w:rsidRPr="00330CF1">
        <w:rPr>
          <w:rFonts w:ascii="Arial" w:hAnsi="Arial" w:cs="Arial"/>
          <w:noProof/>
        </w:rPr>
        <w:t>, R. Kersey, Editor 2001, W.B. Saunders Company: Philadelphia. p. 497-507.</w:t>
      </w:r>
      <w:bookmarkEnd w:id="389"/>
    </w:p>
    <w:p w:rsidR="00330CF1" w:rsidRPr="00330CF1" w:rsidRDefault="00330CF1" w:rsidP="0009286C">
      <w:pPr>
        <w:ind w:left="720" w:hanging="720"/>
        <w:rPr>
          <w:rFonts w:ascii="Arial" w:hAnsi="Arial" w:cs="Arial"/>
          <w:noProof/>
        </w:rPr>
      </w:pPr>
      <w:bookmarkStart w:id="390" w:name="_ENREF_329"/>
      <w:r w:rsidRPr="00330CF1">
        <w:rPr>
          <w:rFonts w:ascii="Arial" w:hAnsi="Arial" w:cs="Arial"/>
          <w:noProof/>
        </w:rPr>
        <w:t>329.</w:t>
      </w:r>
      <w:r w:rsidRPr="00330CF1">
        <w:rPr>
          <w:rFonts w:ascii="Arial" w:hAnsi="Arial" w:cs="Arial"/>
          <w:noProof/>
        </w:rPr>
        <w:tab/>
        <w:t xml:space="preserve">Marsden, S. and S. Messonnier. </w:t>
      </w:r>
      <w:r w:rsidRPr="00330CF1">
        <w:rPr>
          <w:rFonts w:ascii="Arial" w:hAnsi="Arial" w:cs="Arial"/>
          <w:i/>
          <w:noProof/>
        </w:rPr>
        <w:t>Raw food diets for dogs and cats</w:t>
      </w:r>
      <w:r w:rsidRPr="00330CF1">
        <w:rPr>
          <w:rFonts w:ascii="Arial" w:hAnsi="Arial" w:cs="Arial"/>
          <w:noProof/>
        </w:rPr>
        <w:t>. 2004  [Accessed: 2-26-2012]; Available from: http://www.dogsandcatsrule/pdf/raw-food-diets.pdf.</w:t>
      </w:r>
      <w:bookmarkEnd w:id="390"/>
    </w:p>
    <w:p w:rsidR="00330CF1" w:rsidRPr="00330CF1" w:rsidRDefault="00330CF1" w:rsidP="0009286C">
      <w:pPr>
        <w:ind w:left="720" w:hanging="720"/>
        <w:rPr>
          <w:rFonts w:ascii="Arial" w:hAnsi="Arial" w:cs="Arial"/>
          <w:noProof/>
        </w:rPr>
      </w:pPr>
      <w:bookmarkStart w:id="391" w:name="_ENREF_330"/>
      <w:r w:rsidRPr="00330CF1">
        <w:rPr>
          <w:rFonts w:ascii="Arial" w:hAnsi="Arial" w:cs="Arial"/>
          <w:noProof/>
        </w:rPr>
        <w:t>330.</w:t>
      </w:r>
      <w:r w:rsidRPr="00330CF1">
        <w:rPr>
          <w:rFonts w:ascii="Arial" w:hAnsi="Arial" w:cs="Arial"/>
          <w:noProof/>
        </w:rPr>
        <w:tab/>
        <w:t xml:space="preserve">Dial, S.M., </w:t>
      </w:r>
      <w:r w:rsidRPr="00330CF1">
        <w:rPr>
          <w:rFonts w:ascii="Arial" w:hAnsi="Arial" w:cs="Arial"/>
          <w:i/>
          <w:noProof/>
        </w:rPr>
        <w:t>Hematology, chemistry profile, and urinalysis for pediatric patients. .</w:t>
      </w:r>
      <w:r w:rsidRPr="00330CF1">
        <w:rPr>
          <w:rFonts w:ascii="Arial" w:hAnsi="Arial" w:cs="Arial"/>
          <w:noProof/>
        </w:rPr>
        <w:t xml:space="preserve"> Compendium on Continuing Education for the Practicing Veterinarian, 1992. </w:t>
      </w:r>
      <w:r w:rsidRPr="00330CF1">
        <w:rPr>
          <w:rFonts w:ascii="Arial" w:hAnsi="Arial" w:cs="Arial"/>
          <w:b/>
          <w:noProof/>
        </w:rPr>
        <w:t>14</w:t>
      </w:r>
      <w:r w:rsidRPr="00330CF1">
        <w:rPr>
          <w:rFonts w:ascii="Arial" w:hAnsi="Arial" w:cs="Arial"/>
          <w:noProof/>
        </w:rPr>
        <w:t>(3): p. 305-309.</w:t>
      </w:r>
      <w:bookmarkEnd w:id="391"/>
    </w:p>
    <w:p w:rsidR="00330CF1" w:rsidRPr="00330CF1" w:rsidRDefault="00330CF1" w:rsidP="0009286C">
      <w:pPr>
        <w:ind w:left="720" w:hanging="720"/>
        <w:rPr>
          <w:rFonts w:ascii="Arial" w:hAnsi="Arial" w:cs="Arial"/>
          <w:noProof/>
        </w:rPr>
      </w:pPr>
      <w:bookmarkStart w:id="392" w:name="_ENREF_331"/>
      <w:r w:rsidRPr="00330CF1">
        <w:rPr>
          <w:rFonts w:ascii="Arial" w:hAnsi="Arial" w:cs="Arial"/>
          <w:noProof/>
        </w:rPr>
        <w:t>331.</w:t>
      </w:r>
      <w:r w:rsidRPr="00330CF1">
        <w:rPr>
          <w:rFonts w:ascii="Arial" w:hAnsi="Arial" w:cs="Arial"/>
          <w:noProof/>
        </w:rPr>
        <w:tab/>
        <w:t xml:space="preserve">Jain, N.C., </w:t>
      </w:r>
      <w:r w:rsidRPr="00330CF1">
        <w:rPr>
          <w:rFonts w:ascii="Arial" w:hAnsi="Arial" w:cs="Arial"/>
          <w:i/>
          <w:noProof/>
        </w:rPr>
        <w:t>The Cat: Normal Hematology with Comments on Response to Disease</w:t>
      </w:r>
      <w:r w:rsidRPr="00330CF1">
        <w:rPr>
          <w:rFonts w:ascii="Arial" w:hAnsi="Arial" w:cs="Arial"/>
          <w:noProof/>
        </w:rPr>
        <w:t xml:space="preserve">, in </w:t>
      </w:r>
      <w:r w:rsidRPr="00330CF1">
        <w:rPr>
          <w:rFonts w:ascii="Arial" w:hAnsi="Arial" w:cs="Arial"/>
          <w:i/>
          <w:noProof/>
        </w:rPr>
        <w:t>Schalm's Veterinary Hematology</w:t>
      </w:r>
      <w:r w:rsidRPr="00330CF1">
        <w:rPr>
          <w:rFonts w:ascii="Arial" w:hAnsi="Arial" w:cs="Arial"/>
          <w:noProof/>
        </w:rPr>
        <w:t>, N.C. Jain, Editor 1986, Lea &amp; Febiger: Philadelphia. p. 103-125.</w:t>
      </w:r>
      <w:bookmarkEnd w:id="392"/>
    </w:p>
    <w:p w:rsidR="00330CF1" w:rsidRPr="00330CF1" w:rsidRDefault="00330CF1" w:rsidP="0009286C">
      <w:pPr>
        <w:ind w:left="720" w:hanging="720"/>
        <w:rPr>
          <w:rFonts w:ascii="Arial" w:hAnsi="Arial" w:cs="Arial"/>
          <w:noProof/>
        </w:rPr>
      </w:pPr>
      <w:bookmarkStart w:id="393" w:name="_ENREF_332"/>
      <w:r w:rsidRPr="00330CF1">
        <w:rPr>
          <w:rFonts w:ascii="Arial" w:hAnsi="Arial" w:cs="Arial"/>
          <w:noProof/>
        </w:rPr>
        <w:t>332.</w:t>
      </w:r>
      <w:r w:rsidRPr="00330CF1">
        <w:rPr>
          <w:rFonts w:ascii="Arial" w:hAnsi="Arial" w:cs="Arial"/>
          <w:noProof/>
        </w:rPr>
        <w:tab/>
        <w:t xml:space="preserve">Dobenecker, B., et al., </w:t>
      </w:r>
      <w:r w:rsidRPr="00330CF1">
        <w:rPr>
          <w:rFonts w:ascii="Arial" w:hAnsi="Arial" w:cs="Arial"/>
          <w:i/>
          <w:noProof/>
        </w:rPr>
        <w:t>Milk yield and milk composition of lactating queens.</w:t>
      </w:r>
      <w:r w:rsidRPr="00330CF1">
        <w:rPr>
          <w:rFonts w:ascii="Arial" w:hAnsi="Arial" w:cs="Arial"/>
          <w:noProof/>
        </w:rPr>
        <w:t xml:space="preserve"> Journal of Animal Physiology and Animal Nutrition, 1998. </w:t>
      </w:r>
      <w:r w:rsidRPr="00330CF1">
        <w:rPr>
          <w:rFonts w:ascii="Arial" w:hAnsi="Arial" w:cs="Arial"/>
          <w:b/>
          <w:noProof/>
        </w:rPr>
        <w:t>80</w:t>
      </w:r>
      <w:r w:rsidRPr="00330CF1">
        <w:rPr>
          <w:rFonts w:ascii="Arial" w:hAnsi="Arial" w:cs="Arial"/>
          <w:noProof/>
        </w:rPr>
        <w:t>(2-5): p. 173-178.</w:t>
      </w:r>
      <w:bookmarkEnd w:id="393"/>
    </w:p>
    <w:p w:rsidR="00330CF1" w:rsidRPr="00330CF1" w:rsidRDefault="00330CF1" w:rsidP="0009286C">
      <w:pPr>
        <w:ind w:left="720" w:hanging="720"/>
        <w:rPr>
          <w:rFonts w:ascii="Arial" w:hAnsi="Arial" w:cs="Arial"/>
          <w:noProof/>
        </w:rPr>
      </w:pPr>
      <w:bookmarkStart w:id="394" w:name="_ENREF_333"/>
      <w:r w:rsidRPr="00330CF1">
        <w:rPr>
          <w:rFonts w:ascii="Arial" w:hAnsi="Arial" w:cs="Arial"/>
          <w:noProof/>
        </w:rPr>
        <w:lastRenderedPageBreak/>
        <w:t>333.</w:t>
      </w:r>
      <w:r w:rsidRPr="00330CF1">
        <w:rPr>
          <w:rFonts w:ascii="Arial" w:hAnsi="Arial" w:cs="Arial"/>
          <w:noProof/>
        </w:rPr>
        <w:tab/>
        <w:t xml:space="preserve">Earle, K.E., et al., </w:t>
      </w:r>
      <w:r w:rsidRPr="00330CF1">
        <w:rPr>
          <w:rFonts w:ascii="Arial" w:hAnsi="Arial" w:cs="Arial"/>
          <w:i/>
          <w:noProof/>
        </w:rPr>
        <w:t>Hematology of the weanling juvenile and adult cat.</w:t>
      </w:r>
      <w:r w:rsidRPr="00330CF1">
        <w:rPr>
          <w:rFonts w:ascii="Arial" w:hAnsi="Arial" w:cs="Arial"/>
          <w:noProof/>
        </w:rPr>
        <w:t xml:space="preserve"> Journal of Small Animal Practice, 1990. </w:t>
      </w:r>
      <w:r w:rsidRPr="00330CF1">
        <w:rPr>
          <w:rFonts w:ascii="Arial" w:hAnsi="Arial" w:cs="Arial"/>
          <w:b/>
          <w:noProof/>
        </w:rPr>
        <w:t>31</w:t>
      </w:r>
      <w:r w:rsidRPr="00330CF1">
        <w:rPr>
          <w:rFonts w:ascii="Arial" w:hAnsi="Arial" w:cs="Arial"/>
          <w:noProof/>
        </w:rPr>
        <w:t>(5): p. 225-228.</w:t>
      </w:r>
      <w:bookmarkEnd w:id="394"/>
    </w:p>
    <w:p w:rsidR="00330CF1" w:rsidRPr="00330CF1" w:rsidRDefault="00330CF1" w:rsidP="0009286C">
      <w:pPr>
        <w:ind w:left="720" w:hanging="720"/>
        <w:rPr>
          <w:rFonts w:ascii="Arial" w:hAnsi="Arial" w:cs="Arial"/>
          <w:noProof/>
        </w:rPr>
      </w:pPr>
      <w:bookmarkStart w:id="395" w:name="_ENREF_334"/>
      <w:r w:rsidRPr="00330CF1">
        <w:rPr>
          <w:rFonts w:ascii="Arial" w:hAnsi="Arial" w:cs="Arial"/>
          <w:noProof/>
        </w:rPr>
        <w:t>334.</w:t>
      </w:r>
      <w:r w:rsidRPr="00330CF1">
        <w:rPr>
          <w:rFonts w:ascii="Arial" w:hAnsi="Arial" w:cs="Arial"/>
          <w:noProof/>
        </w:rPr>
        <w:tab/>
        <w:t xml:space="preserve">USDA Department of Agriculture Agricultural Research Service. </w:t>
      </w:r>
      <w:r w:rsidRPr="00330CF1">
        <w:rPr>
          <w:rFonts w:ascii="Arial" w:hAnsi="Arial" w:cs="Arial"/>
          <w:i/>
          <w:noProof/>
        </w:rPr>
        <w:t>USDA National Nutrient Database for Standard Reference, Release 24</w:t>
      </w:r>
      <w:r w:rsidRPr="00330CF1">
        <w:rPr>
          <w:rFonts w:ascii="Arial" w:hAnsi="Arial" w:cs="Arial"/>
          <w:noProof/>
        </w:rPr>
        <w:t>. 2012  [Accessed]; Available from: http://www.ars.usda.gov/Services/docs.htm?modecode=12-35-00.</w:t>
      </w:r>
      <w:bookmarkEnd w:id="395"/>
    </w:p>
    <w:p w:rsidR="00330CF1" w:rsidRPr="00330CF1" w:rsidRDefault="00330CF1" w:rsidP="0009286C">
      <w:pPr>
        <w:ind w:left="720" w:hanging="720"/>
        <w:rPr>
          <w:rFonts w:ascii="Arial" w:hAnsi="Arial" w:cs="Arial"/>
          <w:noProof/>
        </w:rPr>
      </w:pPr>
      <w:bookmarkStart w:id="396" w:name="_ENREF_335"/>
      <w:r w:rsidRPr="00330CF1">
        <w:rPr>
          <w:rFonts w:ascii="Arial" w:hAnsi="Arial" w:cs="Arial"/>
          <w:noProof/>
        </w:rPr>
        <w:t>335.</w:t>
      </w:r>
      <w:r w:rsidRPr="00330CF1">
        <w:rPr>
          <w:rFonts w:ascii="Arial" w:hAnsi="Arial" w:cs="Arial"/>
          <w:noProof/>
        </w:rPr>
        <w:tab/>
        <w:t xml:space="preserve">Dwyer, C.M., J.M. Fletcher, and N.C. Stickland, </w:t>
      </w:r>
      <w:r w:rsidRPr="00330CF1">
        <w:rPr>
          <w:rFonts w:ascii="Arial" w:hAnsi="Arial" w:cs="Arial"/>
          <w:i/>
          <w:noProof/>
        </w:rPr>
        <w:t>Muscle cellularity and postnatal-growth in the pig.</w:t>
      </w:r>
      <w:r w:rsidRPr="00330CF1">
        <w:rPr>
          <w:rFonts w:ascii="Arial" w:hAnsi="Arial" w:cs="Arial"/>
          <w:noProof/>
        </w:rPr>
        <w:t xml:space="preserve"> Journal of Animal Science, 1993. </w:t>
      </w:r>
      <w:r w:rsidRPr="00330CF1">
        <w:rPr>
          <w:rFonts w:ascii="Arial" w:hAnsi="Arial" w:cs="Arial"/>
          <w:b/>
          <w:noProof/>
        </w:rPr>
        <w:t>71</w:t>
      </w:r>
      <w:r w:rsidRPr="00330CF1">
        <w:rPr>
          <w:rFonts w:ascii="Arial" w:hAnsi="Arial" w:cs="Arial"/>
          <w:noProof/>
        </w:rPr>
        <w:t>(12): p. 3339-3343.</w:t>
      </w:r>
      <w:bookmarkEnd w:id="396"/>
    </w:p>
    <w:p w:rsidR="00330CF1" w:rsidRPr="00330CF1" w:rsidRDefault="00330CF1" w:rsidP="0009286C">
      <w:pPr>
        <w:ind w:left="720" w:hanging="720"/>
        <w:rPr>
          <w:rFonts w:ascii="Arial" w:hAnsi="Arial" w:cs="Arial"/>
          <w:noProof/>
        </w:rPr>
      </w:pPr>
      <w:bookmarkStart w:id="397" w:name="_ENREF_336"/>
      <w:r w:rsidRPr="00330CF1">
        <w:rPr>
          <w:rFonts w:ascii="Arial" w:hAnsi="Arial" w:cs="Arial"/>
          <w:noProof/>
        </w:rPr>
        <w:t>336.</w:t>
      </w:r>
      <w:r w:rsidRPr="00330CF1">
        <w:rPr>
          <w:rFonts w:ascii="Arial" w:hAnsi="Arial" w:cs="Arial"/>
          <w:noProof/>
        </w:rPr>
        <w:tab/>
        <w:t xml:space="preserve">Bailleul, P.J., et al., </w:t>
      </w:r>
      <w:r w:rsidRPr="00330CF1">
        <w:rPr>
          <w:rFonts w:ascii="Arial" w:hAnsi="Arial" w:cs="Arial"/>
          <w:i/>
          <w:noProof/>
        </w:rPr>
        <w:t>The Utilization of Prediction Models to Optimize Farm Animal Production Systems: the Case of a Growing Pig Model</w:t>
      </w:r>
      <w:r w:rsidRPr="00330CF1">
        <w:rPr>
          <w:rFonts w:ascii="Arial" w:hAnsi="Arial" w:cs="Arial"/>
          <w:noProof/>
        </w:rPr>
        <w:t xml:space="preserve">, in </w:t>
      </w:r>
      <w:r w:rsidRPr="00330CF1">
        <w:rPr>
          <w:rFonts w:ascii="Arial" w:hAnsi="Arial" w:cs="Arial"/>
          <w:i/>
          <w:noProof/>
        </w:rPr>
        <w:t>Modeling Nutrient Utilization in Farm Animals</w:t>
      </w:r>
      <w:r w:rsidRPr="00330CF1">
        <w:rPr>
          <w:rFonts w:ascii="Arial" w:hAnsi="Arial" w:cs="Arial"/>
          <w:noProof/>
        </w:rPr>
        <w:t>, J.P. McNamara, J. France, and D.E. Beever, Editors. 2000, CABI Publishing: New York. p. 379-392.</w:t>
      </w:r>
      <w:bookmarkEnd w:id="397"/>
    </w:p>
    <w:p w:rsidR="00330CF1" w:rsidRPr="00330CF1" w:rsidRDefault="00330CF1" w:rsidP="0009286C">
      <w:pPr>
        <w:ind w:left="720" w:hanging="720"/>
        <w:rPr>
          <w:rFonts w:ascii="Arial" w:hAnsi="Arial" w:cs="Arial"/>
          <w:noProof/>
        </w:rPr>
      </w:pPr>
      <w:bookmarkStart w:id="398" w:name="_ENREF_337"/>
      <w:r w:rsidRPr="00330CF1">
        <w:rPr>
          <w:rFonts w:ascii="Arial" w:hAnsi="Arial" w:cs="Arial"/>
          <w:noProof/>
        </w:rPr>
        <w:t>337.</w:t>
      </w:r>
      <w:r w:rsidRPr="00330CF1">
        <w:rPr>
          <w:rFonts w:ascii="Arial" w:hAnsi="Arial" w:cs="Arial"/>
          <w:noProof/>
        </w:rPr>
        <w:tab/>
        <w:t xml:space="preserve">Casper, D.P. and D.R. Mertens, </w:t>
      </w:r>
      <w:r w:rsidRPr="00330CF1">
        <w:rPr>
          <w:rFonts w:ascii="Arial" w:hAnsi="Arial" w:cs="Arial"/>
          <w:i/>
          <w:noProof/>
        </w:rPr>
        <w:t>Feed efficiency of lactating dairy cows is related to dietary energy density.</w:t>
      </w:r>
      <w:r w:rsidRPr="00330CF1">
        <w:rPr>
          <w:rFonts w:ascii="Arial" w:hAnsi="Arial" w:cs="Arial"/>
          <w:noProof/>
        </w:rPr>
        <w:t xml:space="preserve"> Journal of Dairy Science, 2007. </w:t>
      </w:r>
      <w:r w:rsidRPr="00330CF1">
        <w:rPr>
          <w:rFonts w:ascii="Arial" w:hAnsi="Arial" w:cs="Arial"/>
          <w:b/>
          <w:noProof/>
        </w:rPr>
        <w:t>90</w:t>
      </w:r>
      <w:r w:rsidRPr="00330CF1">
        <w:rPr>
          <w:rFonts w:ascii="Arial" w:hAnsi="Arial" w:cs="Arial"/>
          <w:noProof/>
        </w:rPr>
        <w:t>: p. 407-407.</w:t>
      </w:r>
      <w:bookmarkEnd w:id="398"/>
    </w:p>
    <w:p w:rsidR="00330CF1" w:rsidRPr="00330CF1" w:rsidRDefault="00330CF1" w:rsidP="0009286C">
      <w:pPr>
        <w:ind w:left="720" w:hanging="720"/>
        <w:rPr>
          <w:rFonts w:ascii="Arial" w:hAnsi="Arial" w:cs="Arial"/>
          <w:noProof/>
        </w:rPr>
      </w:pPr>
      <w:bookmarkStart w:id="399" w:name="_ENREF_338"/>
      <w:r w:rsidRPr="00330CF1">
        <w:rPr>
          <w:rFonts w:ascii="Arial" w:hAnsi="Arial" w:cs="Arial"/>
          <w:noProof/>
        </w:rPr>
        <w:t>338.</w:t>
      </w:r>
      <w:r w:rsidRPr="00330CF1">
        <w:rPr>
          <w:rFonts w:ascii="Arial" w:hAnsi="Arial" w:cs="Arial"/>
          <w:noProof/>
        </w:rPr>
        <w:tab/>
        <w:t xml:space="preserve">Visek, W.J., </w:t>
      </w:r>
      <w:r w:rsidRPr="00330CF1">
        <w:rPr>
          <w:rFonts w:ascii="Arial" w:hAnsi="Arial" w:cs="Arial"/>
          <w:i/>
          <w:noProof/>
        </w:rPr>
        <w:t>Mode of growth promotion by antibiotics.</w:t>
      </w:r>
      <w:r w:rsidRPr="00330CF1">
        <w:rPr>
          <w:rFonts w:ascii="Arial" w:hAnsi="Arial" w:cs="Arial"/>
          <w:noProof/>
        </w:rPr>
        <w:t xml:space="preserve"> Journal of Animal Science, 1978. </w:t>
      </w:r>
      <w:r w:rsidRPr="00330CF1">
        <w:rPr>
          <w:rFonts w:ascii="Arial" w:hAnsi="Arial" w:cs="Arial"/>
          <w:b/>
          <w:noProof/>
        </w:rPr>
        <w:t>46</w:t>
      </w:r>
      <w:r w:rsidRPr="00330CF1">
        <w:rPr>
          <w:rFonts w:ascii="Arial" w:hAnsi="Arial" w:cs="Arial"/>
          <w:noProof/>
        </w:rPr>
        <w:t>(5): p. 1447-1469.</w:t>
      </w:r>
      <w:bookmarkEnd w:id="399"/>
    </w:p>
    <w:p w:rsidR="00330CF1" w:rsidRPr="00330CF1" w:rsidRDefault="00330CF1" w:rsidP="0009286C">
      <w:pPr>
        <w:ind w:left="720" w:hanging="720"/>
        <w:rPr>
          <w:rFonts w:ascii="Arial" w:hAnsi="Arial" w:cs="Arial"/>
          <w:noProof/>
        </w:rPr>
      </w:pPr>
      <w:bookmarkStart w:id="400" w:name="_ENREF_339"/>
      <w:r w:rsidRPr="00330CF1">
        <w:rPr>
          <w:rFonts w:ascii="Arial" w:hAnsi="Arial" w:cs="Arial"/>
          <w:noProof/>
        </w:rPr>
        <w:t>339.</w:t>
      </w:r>
      <w:r w:rsidRPr="00330CF1">
        <w:rPr>
          <w:rFonts w:ascii="Arial" w:hAnsi="Arial" w:cs="Arial"/>
          <w:noProof/>
        </w:rPr>
        <w:tab/>
        <w:t xml:space="preserve">Casper, D.P., et al., </w:t>
      </w:r>
      <w:r w:rsidRPr="00330CF1">
        <w:rPr>
          <w:rFonts w:ascii="Arial" w:hAnsi="Arial" w:cs="Arial"/>
          <w:i/>
          <w:noProof/>
        </w:rPr>
        <w:t>Feed efficiency is driven by dry matter digestibility.</w:t>
      </w:r>
      <w:r w:rsidRPr="00330CF1">
        <w:rPr>
          <w:rFonts w:ascii="Arial" w:hAnsi="Arial" w:cs="Arial"/>
          <w:noProof/>
        </w:rPr>
        <w:t xml:space="preserve"> Journal of Dairy Science, 2004. </w:t>
      </w:r>
      <w:r w:rsidRPr="00330CF1">
        <w:rPr>
          <w:rFonts w:ascii="Arial" w:hAnsi="Arial" w:cs="Arial"/>
          <w:b/>
          <w:noProof/>
        </w:rPr>
        <w:t>87</w:t>
      </w:r>
      <w:r w:rsidRPr="00330CF1">
        <w:rPr>
          <w:rFonts w:ascii="Arial" w:hAnsi="Arial" w:cs="Arial"/>
          <w:noProof/>
        </w:rPr>
        <w:t>: p. 462-462.</w:t>
      </w:r>
      <w:bookmarkEnd w:id="400"/>
    </w:p>
    <w:p w:rsidR="00330CF1" w:rsidRPr="00330CF1" w:rsidRDefault="00330CF1" w:rsidP="0009286C">
      <w:pPr>
        <w:ind w:left="720" w:hanging="720"/>
        <w:rPr>
          <w:rFonts w:ascii="Arial" w:hAnsi="Arial" w:cs="Arial"/>
          <w:noProof/>
        </w:rPr>
      </w:pPr>
      <w:bookmarkStart w:id="401" w:name="_ENREF_340"/>
      <w:r w:rsidRPr="00330CF1">
        <w:rPr>
          <w:rFonts w:ascii="Arial" w:hAnsi="Arial" w:cs="Arial"/>
          <w:noProof/>
        </w:rPr>
        <w:t>340.</w:t>
      </w:r>
      <w:r w:rsidRPr="00330CF1">
        <w:rPr>
          <w:rFonts w:ascii="Arial" w:hAnsi="Arial" w:cs="Arial"/>
          <w:noProof/>
        </w:rPr>
        <w:tab/>
        <w:t xml:space="preserve">Salminen, S., et al., </w:t>
      </w:r>
      <w:r w:rsidRPr="00330CF1">
        <w:rPr>
          <w:rFonts w:ascii="Arial" w:hAnsi="Arial" w:cs="Arial"/>
          <w:i/>
          <w:noProof/>
        </w:rPr>
        <w:t>Functional food science and gastrointestinal physiology and function.</w:t>
      </w:r>
      <w:r w:rsidRPr="00330CF1">
        <w:rPr>
          <w:rFonts w:ascii="Arial" w:hAnsi="Arial" w:cs="Arial"/>
          <w:noProof/>
        </w:rPr>
        <w:t xml:space="preserve"> British Journal of Nutrition, 1998. </w:t>
      </w:r>
      <w:r w:rsidRPr="00330CF1">
        <w:rPr>
          <w:rFonts w:ascii="Arial" w:hAnsi="Arial" w:cs="Arial"/>
          <w:b/>
          <w:noProof/>
        </w:rPr>
        <w:t>80</w:t>
      </w:r>
      <w:r w:rsidRPr="00330CF1">
        <w:rPr>
          <w:rFonts w:ascii="Arial" w:hAnsi="Arial" w:cs="Arial"/>
          <w:noProof/>
        </w:rPr>
        <w:t>: p. S147-S171.</w:t>
      </w:r>
      <w:bookmarkEnd w:id="401"/>
    </w:p>
    <w:p w:rsidR="00330CF1" w:rsidRPr="00330CF1" w:rsidRDefault="00330CF1" w:rsidP="0009286C">
      <w:pPr>
        <w:ind w:left="720" w:hanging="720"/>
        <w:rPr>
          <w:rFonts w:ascii="Arial" w:hAnsi="Arial" w:cs="Arial"/>
          <w:noProof/>
        </w:rPr>
      </w:pPr>
      <w:bookmarkStart w:id="402" w:name="_ENREF_341"/>
      <w:r w:rsidRPr="00330CF1">
        <w:rPr>
          <w:rFonts w:ascii="Arial" w:hAnsi="Arial" w:cs="Arial"/>
          <w:noProof/>
        </w:rPr>
        <w:t>341.</w:t>
      </w:r>
      <w:r w:rsidRPr="00330CF1">
        <w:rPr>
          <w:rFonts w:ascii="Arial" w:hAnsi="Arial" w:cs="Arial"/>
          <w:noProof/>
        </w:rPr>
        <w:tab/>
        <w:t xml:space="preserve">Coop, R.L. and P.H. Holmes, </w:t>
      </w:r>
      <w:r w:rsidRPr="00330CF1">
        <w:rPr>
          <w:rFonts w:ascii="Arial" w:hAnsi="Arial" w:cs="Arial"/>
          <w:i/>
          <w:noProof/>
        </w:rPr>
        <w:t>Nutrition and parasite interaction.</w:t>
      </w:r>
      <w:r w:rsidRPr="00330CF1">
        <w:rPr>
          <w:rFonts w:ascii="Arial" w:hAnsi="Arial" w:cs="Arial"/>
          <w:noProof/>
        </w:rPr>
        <w:t xml:space="preserve"> International Journal for Parasitology, 1996. </w:t>
      </w:r>
      <w:r w:rsidRPr="00330CF1">
        <w:rPr>
          <w:rFonts w:ascii="Arial" w:hAnsi="Arial" w:cs="Arial"/>
          <w:b/>
          <w:noProof/>
        </w:rPr>
        <w:t>26</w:t>
      </w:r>
      <w:r w:rsidRPr="00330CF1">
        <w:rPr>
          <w:rFonts w:ascii="Arial" w:hAnsi="Arial" w:cs="Arial"/>
          <w:noProof/>
        </w:rPr>
        <w:t>(8-9): p. 951-962.</w:t>
      </w:r>
      <w:bookmarkEnd w:id="402"/>
    </w:p>
    <w:p w:rsidR="00330CF1" w:rsidRPr="00330CF1" w:rsidRDefault="00330CF1" w:rsidP="0009286C">
      <w:pPr>
        <w:ind w:left="720" w:hanging="720"/>
        <w:rPr>
          <w:rFonts w:ascii="Arial" w:hAnsi="Arial" w:cs="Arial"/>
          <w:noProof/>
        </w:rPr>
      </w:pPr>
      <w:bookmarkStart w:id="403" w:name="_ENREF_342"/>
      <w:r w:rsidRPr="00330CF1">
        <w:rPr>
          <w:rFonts w:ascii="Arial" w:hAnsi="Arial" w:cs="Arial"/>
          <w:noProof/>
        </w:rPr>
        <w:t>342.</w:t>
      </w:r>
      <w:r w:rsidRPr="00330CF1">
        <w:rPr>
          <w:rFonts w:ascii="Arial" w:hAnsi="Arial" w:cs="Arial"/>
          <w:noProof/>
        </w:rPr>
        <w:tab/>
        <w:t xml:space="preserve">Manhart, N., et al., </w:t>
      </w:r>
      <w:r w:rsidRPr="00330CF1">
        <w:rPr>
          <w:rFonts w:ascii="Arial" w:hAnsi="Arial" w:cs="Arial"/>
          <w:i/>
          <w:noProof/>
        </w:rPr>
        <w:t>Oral feeding with glutamine prevents lymphocyte and glutathione depletion of Peyer's patches in endotoxemic mice.</w:t>
      </w:r>
      <w:r w:rsidRPr="00330CF1">
        <w:rPr>
          <w:rFonts w:ascii="Arial" w:hAnsi="Arial" w:cs="Arial"/>
          <w:noProof/>
        </w:rPr>
        <w:t xml:space="preserve"> Annals of Surgery, 2001. </w:t>
      </w:r>
      <w:r w:rsidRPr="00330CF1">
        <w:rPr>
          <w:rFonts w:ascii="Arial" w:hAnsi="Arial" w:cs="Arial"/>
          <w:b/>
          <w:noProof/>
        </w:rPr>
        <w:t>234</w:t>
      </w:r>
      <w:r w:rsidRPr="00330CF1">
        <w:rPr>
          <w:rFonts w:ascii="Arial" w:hAnsi="Arial" w:cs="Arial"/>
          <w:noProof/>
        </w:rPr>
        <w:t>(1): p. 92-97.</w:t>
      </w:r>
      <w:bookmarkEnd w:id="403"/>
    </w:p>
    <w:p w:rsidR="00330CF1" w:rsidRPr="00330CF1" w:rsidRDefault="00330CF1" w:rsidP="0009286C">
      <w:pPr>
        <w:ind w:left="720" w:hanging="720"/>
        <w:rPr>
          <w:rFonts w:ascii="Arial" w:hAnsi="Arial" w:cs="Arial"/>
          <w:noProof/>
        </w:rPr>
      </w:pPr>
      <w:bookmarkStart w:id="404" w:name="_ENREF_343"/>
      <w:r w:rsidRPr="00330CF1">
        <w:rPr>
          <w:rFonts w:ascii="Arial" w:hAnsi="Arial" w:cs="Arial"/>
          <w:noProof/>
        </w:rPr>
        <w:t>343.</w:t>
      </w:r>
      <w:r w:rsidRPr="00330CF1">
        <w:rPr>
          <w:rFonts w:ascii="Arial" w:hAnsi="Arial" w:cs="Arial"/>
          <w:noProof/>
        </w:rPr>
        <w:tab/>
        <w:t xml:space="preserve">Roth, E., et al., </w:t>
      </w:r>
      <w:r w:rsidRPr="00330CF1">
        <w:rPr>
          <w:rFonts w:ascii="Arial" w:hAnsi="Arial" w:cs="Arial"/>
          <w:i/>
          <w:noProof/>
        </w:rPr>
        <w:t>Regulative potential of glutamine - Relation to glutathione metabolism.</w:t>
      </w:r>
      <w:r w:rsidRPr="00330CF1">
        <w:rPr>
          <w:rFonts w:ascii="Arial" w:hAnsi="Arial" w:cs="Arial"/>
          <w:noProof/>
        </w:rPr>
        <w:t xml:space="preserve"> Nutrition, 2002. </w:t>
      </w:r>
      <w:r w:rsidRPr="00330CF1">
        <w:rPr>
          <w:rFonts w:ascii="Arial" w:hAnsi="Arial" w:cs="Arial"/>
          <w:b/>
          <w:noProof/>
        </w:rPr>
        <w:t>18</w:t>
      </w:r>
      <w:r w:rsidRPr="00330CF1">
        <w:rPr>
          <w:rFonts w:ascii="Arial" w:hAnsi="Arial" w:cs="Arial"/>
          <w:noProof/>
        </w:rPr>
        <w:t>(3): p. 217-221.</w:t>
      </w:r>
      <w:bookmarkEnd w:id="404"/>
    </w:p>
    <w:p w:rsidR="00330CF1" w:rsidRPr="00330CF1" w:rsidRDefault="00330CF1" w:rsidP="0009286C">
      <w:pPr>
        <w:ind w:left="720" w:hanging="720"/>
        <w:rPr>
          <w:rFonts w:ascii="Arial" w:hAnsi="Arial" w:cs="Arial"/>
          <w:noProof/>
        </w:rPr>
      </w:pPr>
      <w:bookmarkStart w:id="405" w:name="_ENREF_344"/>
      <w:r w:rsidRPr="00330CF1">
        <w:rPr>
          <w:rFonts w:ascii="Arial" w:hAnsi="Arial" w:cs="Arial"/>
          <w:noProof/>
        </w:rPr>
        <w:t>344.</w:t>
      </w:r>
      <w:r w:rsidRPr="00330CF1">
        <w:rPr>
          <w:rFonts w:ascii="Arial" w:hAnsi="Arial" w:cs="Arial"/>
          <w:noProof/>
        </w:rPr>
        <w:tab/>
        <w:t xml:space="preserve">Evoy, D., et al., </w:t>
      </w:r>
      <w:r w:rsidRPr="00330CF1">
        <w:rPr>
          <w:rFonts w:ascii="Arial" w:hAnsi="Arial" w:cs="Arial"/>
          <w:i/>
          <w:noProof/>
        </w:rPr>
        <w:t>Immunonutrition: The role of arginine.</w:t>
      </w:r>
      <w:r w:rsidRPr="00330CF1">
        <w:rPr>
          <w:rFonts w:ascii="Arial" w:hAnsi="Arial" w:cs="Arial"/>
          <w:noProof/>
        </w:rPr>
        <w:t xml:space="preserve"> Nutrition, 1998. </w:t>
      </w:r>
      <w:r w:rsidRPr="00330CF1">
        <w:rPr>
          <w:rFonts w:ascii="Arial" w:hAnsi="Arial" w:cs="Arial"/>
          <w:b/>
          <w:noProof/>
        </w:rPr>
        <w:t>14</w:t>
      </w:r>
      <w:r w:rsidRPr="00330CF1">
        <w:rPr>
          <w:rFonts w:ascii="Arial" w:hAnsi="Arial" w:cs="Arial"/>
          <w:noProof/>
        </w:rPr>
        <w:t>(7-8): p. 611-617.</w:t>
      </w:r>
      <w:bookmarkEnd w:id="405"/>
    </w:p>
    <w:p w:rsidR="00330CF1" w:rsidRPr="00330CF1" w:rsidRDefault="00330CF1" w:rsidP="0009286C">
      <w:pPr>
        <w:ind w:left="720" w:hanging="720"/>
        <w:rPr>
          <w:rFonts w:ascii="Arial" w:hAnsi="Arial" w:cs="Arial"/>
          <w:noProof/>
        </w:rPr>
      </w:pPr>
      <w:bookmarkStart w:id="406" w:name="_ENREF_345"/>
      <w:r w:rsidRPr="00330CF1">
        <w:rPr>
          <w:rFonts w:ascii="Arial" w:hAnsi="Arial" w:cs="Arial"/>
          <w:noProof/>
        </w:rPr>
        <w:t>345.</w:t>
      </w:r>
      <w:r w:rsidRPr="00330CF1">
        <w:rPr>
          <w:rFonts w:ascii="Arial" w:hAnsi="Arial" w:cs="Arial"/>
          <w:noProof/>
        </w:rPr>
        <w:tab/>
        <w:t xml:space="preserve">MacMicking, J., Q.W. Xie, and C. Nathan, </w:t>
      </w:r>
      <w:r w:rsidRPr="00330CF1">
        <w:rPr>
          <w:rFonts w:ascii="Arial" w:hAnsi="Arial" w:cs="Arial"/>
          <w:i/>
          <w:noProof/>
        </w:rPr>
        <w:t>Nitric oxide and macrophage function.</w:t>
      </w:r>
      <w:r w:rsidRPr="00330CF1">
        <w:rPr>
          <w:rFonts w:ascii="Arial" w:hAnsi="Arial" w:cs="Arial"/>
          <w:noProof/>
        </w:rPr>
        <w:t xml:space="preserve"> Annual Review of Immunology, 1997. </w:t>
      </w:r>
      <w:r w:rsidRPr="00330CF1">
        <w:rPr>
          <w:rFonts w:ascii="Arial" w:hAnsi="Arial" w:cs="Arial"/>
          <w:b/>
          <w:noProof/>
        </w:rPr>
        <w:t>15</w:t>
      </w:r>
      <w:r w:rsidRPr="00330CF1">
        <w:rPr>
          <w:rFonts w:ascii="Arial" w:hAnsi="Arial" w:cs="Arial"/>
          <w:noProof/>
        </w:rPr>
        <w:t>: p. 323-350.</w:t>
      </w:r>
      <w:bookmarkEnd w:id="406"/>
    </w:p>
    <w:p w:rsidR="00330CF1" w:rsidRPr="00330CF1" w:rsidRDefault="00330CF1" w:rsidP="0009286C">
      <w:pPr>
        <w:ind w:left="720" w:hanging="720"/>
        <w:rPr>
          <w:rFonts w:ascii="Arial" w:hAnsi="Arial" w:cs="Arial"/>
          <w:noProof/>
        </w:rPr>
      </w:pPr>
      <w:bookmarkStart w:id="407" w:name="_ENREF_346"/>
      <w:r w:rsidRPr="00330CF1">
        <w:rPr>
          <w:rFonts w:ascii="Arial" w:hAnsi="Arial" w:cs="Arial"/>
          <w:noProof/>
        </w:rPr>
        <w:t>346.</w:t>
      </w:r>
      <w:r w:rsidRPr="00330CF1">
        <w:rPr>
          <w:rFonts w:ascii="Arial" w:hAnsi="Arial" w:cs="Arial"/>
          <w:noProof/>
        </w:rPr>
        <w:tab/>
        <w:t xml:space="preserve">Redmond, H.P., et al., </w:t>
      </w:r>
      <w:r w:rsidRPr="00330CF1">
        <w:rPr>
          <w:rFonts w:ascii="Arial" w:hAnsi="Arial" w:cs="Arial"/>
          <w:i/>
          <w:noProof/>
        </w:rPr>
        <w:t>Immunonutrition: The role of taurine.</w:t>
      </w:r>
      <w:r w:rsidRPr="00330CF1">
        <w:rPr>
          <w:rFonts w:ascii="Arial" w:hAnsi="Arial" w:cs="Arial"/>
          <w:noProof/>
        </w:rPr>
        <w:t xml:space="preserve"> Nutrition, 1998. </w:t>
      </w:r>
      <w:r w:rsidRPr="00330CF1">
        <w:rPr>
          <w:rFonts w:ascii="Arial" w:hAnsi="Arial" w:cs="Arial"/>
          <w:b/>
          <w:noProof/>
        </w:rPr>
        <w:t>14</w:t>
      </w:r>
      <w:r w:rsidRPr="00330CF1">
        <w:rPr>
          <w:rFonts w:ascii="Arial" w:hAnsi="Arial" w:cs="Arial"/>
          <w:noProof/>
        </w:rPr>
        <w:t>(7-8): p. 599-604.</w:t>
      </w:r>
      <w:bookmarkEnd w:id="407"/>
    </w:p>
    <w:p w:rsidR="00330CF1" w:rsidRPr="00330CF1" w:rsidRDefault="00330CF1" w:rsidP="0009286C">
      <w:pPr>
        <w:ind w:left="720" w:hanging="720"/>
        <w:rPr>
          <w:rFonts w:ascii="Arial" w:hAnsi="Arial" w:cs="Arial"/>
          <w:noProof/>
        </w:rPr>
      </w:pPr>
      <w:bookmarkStart w:id="408" w:name="_ENREF_347"/>
      <w:r w:rsidRPr="00330CF1">
        <w:rPr>
          <w:rFonts w:ascii="Arial" w:hAnsi="Arial" w:cs="Arial"/>
          <w:noProof/>
        </w:rPr>
        <w:t>347.</w:t>
      </w:r>
      <w:r w:rsidRPr="00330CF1">
        <w:rPr>
          <w:rFonts w:ascii="Arial" w:hAnsi="Arial" w:cs="Arial"/>
          <w:noProof/>
        </w:rPr>
        <w:tab/>
        <w:t xml:space="preserve">Friedman, M., </w:t>
      </w:r>
      <w:r w:rsidRPr="00330CF1">
        <w:rPr>
          <w:rFonts w:ascii="Arial" w:hAnsi="Arial" w:cs="Arial"/>
          <w:i/>
          <w:noProof/>
        </w:rPr>
        <w:t>Dietary impact of food-processing.</w:t>
      </w:r>
      <w:r w:rsidRPr="00330CF1">
        <w:rPr>
          <w:rFonts w:ascii="Arial" w:hAnsi="Arial" w:cs="Arial"/>
          <w:noProof/>
        </w:rPr>
        <w:t xml:space="preserve"> Annual Review of Nutrition, 1992. </w:t>
      </w:r>
      <w:r w:rsidRPr="00330CF1">
        <w:rPr>
          <w:rFonts w:ascii="Arial" w:hAnsi="Arial" w:cs="Arial"/>
          <w:b/>
          <w:noProof/>
        </w:rPr>
        <w:t>12</w:t>
      </w:r>
      <w:r w:rsidRPr="00330CF1">
        <w:rPr>
          <w:rFonts w:ascii="Arial" w:hAnsi="Arial" w:cs="Arial"/>
          <w:noProof/>
        </w:rPr>
        <w:t>: p. 119-137.</w:t>
      </w:r>
      <w:bookmarkEnd w:id="408"/>
    </w:p>
    <w:p w:rsidR="00330CF1" w:rsidRPr="00330CF1" w:rsidRDefault="00330CF1" w:rsidP="0009286C">
      <w:pPr>
        <w:ind w:left="720" w:hanging="720"/>
        <w:rPr>
          <w:rFonts w:ascii="Arial" w:hAnsi="Arial" w:cs="Arial"/>
          <w:noProof/>
        </w:rPr>
      </w:pPr>
      <w:bookmarkStart w:id="409" w:name="_ENREF_348"/>
      <w:r w:rsidRPr="00330CF1">
        <w:rPr>
          <w:rFonts w:ascii="Arial" w:hAnsi="Arial" w:cs="Arial"/>
          <w:noProof/>
        </w:rPr>
        <w:t>348.</w:t>
      </w:r>
      <w:r w:rsidRPr="00330CF1">
        <w:rPr>
          <w:rFonts w:ascii="Arial" w:hAnsi="Arial" w:cs="Arial"/>
          <w:noProof/>
        </w:rPr>
        <w:tab/>
        <w:t xml:space="preserve">Semi, C., et al., </w:t>
      </w:r>
      <w:r w:rsidRPr="00330CF1">
        <w:rPr>
          <w:rFonts w:ascii="Arial" w:hAnsi="Arial" w:cs="Arial"/>
          <w:i/>
          <w:noProof/>
        </w:rPr>
        <w:t>Evaluation of the Immune Function in the Nutritionally At-Risk Patient</w:t>
      </w:r>
      <w:r w:rsidRPr="00330CF1">
        <w:rPr>
          <w:rFonts w:ascii="Arial" w:hAnsi="Arial" w:cs="Arial"/>
          <w:noProof/>
        </w:rPr>
        <w:t xml:space="preserve">, in </w:t>
      </w:r>
      <w:r w:rsidRPr="00330CF1">
        <w:rPr>
          <w:rFonts w:ascii="Arial" w:hAnsi="Arial" w:cs="Arial"/>
          <w:i/>
          <w:noProof/>
        </w:rPr>
        <w:t>Handbook of Nutrition and Immunity</w:t>
      </w:r>
      <w:r w:rsidRPr="00330CF1">
        <w:rPr>
          <w:rFonts w:ascii="Arial" w:hAnsi="Arial" w:cs="Arial"/>
          <w:noProof/>
        </w:rPr>
        <w:t>, M.E. Gershwin, P. Nestel, and C.L. Keen, Editors. 2004, Totowa, N.J. : Humana Press: Totowa, N.J. p. 1-18.</w:t>
      </w:r>
      <w:bookmarkEnd w:id="409"/>
    </w:p>
    <w:p w:rsidR="00330CF1" w:rsidRPr="00330CF1" w:rsidRDefault="00330CF1" w:rsidP="0009286C">
      <w:pPr>
        <w:ind w:left="720" w:hanging="720"/>
        <w:rPr>
          <w:rFonts w:ascii="Arial" w:hAnsi="Arial" w:cs="Arial"/>
          <w:noProof/>
        </w:rPr>
      </w:pPr>
      <w:bookmarkStart w:id="410" w:name="_ENREF_349"/>
      <w:r w:rsidRPr="00330CF1">
        <w:rPr>
          <w:rFonts w:ascii="Arial" w:hAnsi="Arial" w:cs="Arial"/>
          <w:noProof/>
        </w:rPr>
        <w:t>349.</w:t>
      </w:r>
      <w:r w:rsidRPr="00330CF1">
        <w:rPr>
          <w:rFonts w:ascii="Arial" w:hAnsi="Arial" w:cs="Arial"/>
          <w:noProof/>
        </w:rPr>
        <w:tab/>
        <w:t xml:space="preserve">Woodward, B., </w:t>
      </w:r>
      <w:r w:rsidRPr="00330CF1">
        <w:rPr>
          <w:rFonts w:ascii="Arial" w:hAnsi="Arial" w:cs="Arial"/>
          <w:i/>
          <w:noProof/>
        </w:rPr>
        <w:t>Protein, calories, and immune defenses.</w:t>
      </w:r>
      <w:r w:rsidRPr="00330CF1">
        <w:rPr>
          <w:rFonts w:ascii="Arial" w:hAnsi="Arial" w:cs="Arial"/>
          <w:noProof/>
        </w:rPr>
        <w:t xml:space="preserve"> Nutrition Reviews, 1998. </w:t>
      </w:r>
      <w:r w:rsidRPr="00330CF1">
        <w:rPr>
          <w:rFonts w:ascii="Arial" w:hAnsi="Arial" w:cs="Arial"/>
          <w:b/>
          <w:noProof/>
        </w:rPr>
        <w:t>56</w:t>
      </w:r>
      <w:r w:rsidRPr="00330CF1">
        <w:rPr>
          <w:rFonts w:ascii="Arial" w:hAnsi="Arial" w:cs="Arial"/>
          <w:noProof/>
        </w:rPr>
        <w:t>(1): p. S84-S92.</w:t>
      </w:r>
      <w:bookmarkEnd w:id="410"/>
    </w:p>
    <w:p w:rsidR="00330CF1" w:rsidRPr="00330CF1" w:rsidRDefault="00330CF1" w:rsidP="0009286C">
      <w:pPr>
        <w:ind w:left="720" w:hanging="720"/>
        <w:rPr>
          <w:rFonts w:ascii="Arial" w:hAnsi="Arial" w:cs="Arial"/>
          <w:noProof/>
        </w:rPr>
      </w:pPr>
      <w:bookmarkStart w:id="411" w:name="_ENREF_350"/>
      <w:r w:rsidRPr="00330CF1">
        <w:rPr>
          <w:rFonts w:ascii="Arial" w:hAnsi="Arial" w:cs="Arial"/>
          <w:noProof/>
        </w:rPr>
        <w:t>350.</w:t>
      </w:r>
      <w:r w:rsidRPr="00330CF1">
        <w:rPr>
          <w:rFonts w:ascii="Arial" w:hAnsi="Arial" w:cs="Arial"/>
          <w:noProof/>
        </w:rPr>
        <w:tab/>
        <w:t xml:space="preserve">Bradford, P.G. and A.B. Awad, </w:t>
      </w:r>
      <w:r w:rsidRPr="00330CF1">
        <w:rPr>
          <w:rFonts w:ascii="Arial" w:hAnsi="Arial" w:cs="Arial"/>
          <w:i/>
          <w:noProof/>
        </w:rPr>
        <w:t>Phytosterols as anticancer compounds.</w:t>
      </w:r>
      <w:r w:rsidRPr="00330CF1">
        <w:rPr>
          <w:rFonts w:ascii="Arial" w:hAnsi="Arial" w:cs="Arial"/>
          <w:noProof/>
        </w:rPr>
        <w:t xml:space="preserve"> Molecular Nutrition &amp; Food Research, 2007. </w:t>
      </w:r>
      <w:r w:rsidRPr="00330CF1">
        <w:rPr>
          <w:rFonts w:ascii="Arial" w:hAnsi="Arial" w:cs="Arial"/>
          <w:b/>
          <w:noProof/>
        </w:rPr>
        <w:t>51</w:t>
      </w:r>
      <w:r w:rsidRPr="00330CF1">
        <w:rPr>
          <w:rFonts w:ascii="Arial" w:hAnsi="Arial" w:cs="Arial"/>
          <w:noProof/>
        </w:rPr>
        <w:t>(2): p. 161-170.</w:t>
      </w:r>
      <w:bookmarkEnd w:id="411"/>
    </w:p>
    <w:p w:rsidR="00330CF1" w:rsidRPr="00330CF1" w:rsidRDefault="00330CF1" w:rsidP="0009286C">
      <w:pPr>
        <w:ind w:left="720" w:hanging="720"/>
        <w:rPr>
          <w:rFonts w:ascii="Arial" w:hAnsi="Arial" w:cs="Arial"/>
          <w:noProof/>
        </w:rPr>
      </w:pPr>
      <w:bookmarkStart w:id="412" w:name="_ENREF_351"/>
      <w:r w:rsidRPr="00330CF1">
        <w:rPr>
          <w:rFonts w:ascii="Arial" w:hAnsi="Arial" w:cs="Arial"/>
          <w:noProof/>
        </w:rPr>
        <w:t>351.</w:t>
      </w:r>
      <w:r w:rsidRPr="00330CF1">
        <w:rPr>
          <w:rFonts w:ascii="Arial" w:hAnsi="Arial" w:cs="Arial"/>
          <w:noProof/>
        </w:rPr>
        <w:tab/>
        <w:t xml:space="preserve">Grimble, R.F., </w:t>
      </w:r>
      <w:r w:rsidRPr="00330CF1">
        <w:rPr>
          <w:rFonts w:ascii="Arial" w:hAnsi="Arial" w:cs="Arial"/>
          <w:i/>
          <w:noProof/>
        </w:rPr>
        <w:t>Symposium on 'evidence-based nutrition' - Nutritional modulation of immune function.</w:t>
      </w:r>
      <w:r w:rsidRPr="00330CF1">
        <w:rPr>
          <w:rFonts w:ascii="Arial" w:hAnsi="Arial" w:cs="Arial"/>
          <w:noProof/>
        </w:rPr>
        <w:t xml:space="preserve"> Proceedings of the Nutrition Society, 2001. </w:t>
      </w:r>
      <w:r w:rsidRPr="00330CF1">
        <w:rPr>
          <w:rFonts w:ascii="Arial" w:hAnsi="Arial" w:cs="Arial"/>
          <w:b/>
          <w:noProof/>
        </w:rPr>
        <w:t>60</w:t>
      </w:r>
      <w:r w:rsidRPr="00330CF1">
        <w:rPr>
          <w:rFonts w:ascii="Arial" w:hAnsi="Arial" w:cs="Arial"/>
          <w:noProof/>
        </w:rPr>
        <w:t>(3): p. 389-397.</w:t>
      </w:r>
      <w:bookmarkEnd w:id="412"/>
    </w:p>
    <w:p w:rsidR="00330CF1" w:rsidRPr="00330CF1" w:rsidRDefault="00330CF1" w:rsidP="0009286C">
      <w:pPr>
        <w:ind w:left="720" w:hanging="720"/>
        <w:rPr>
          <w:rFonts w:ascii="Arial" w:hAnsi="Arial" w:cs="Arial"/>
          <w:noProof/>
        </w:rPr>
      </w:pPr>
      <w:bookmarkStart w:id="413" w:name="_ENREF_352"/>
      <w:r w:rsidRPr="00330CF1">
        <w:rPr>
          <w:rFonts w:ascii="Arial" w:hAnsi="Arial" w:cs="Arial"/>
          <w:noProof/>
        </w:rPr>
        <w:lastRenderedPageBreak/>
        <w:t>352.</w:t>
      </w:r>
      <w:r w:rsidRPr="00330CF1">
        <w:rPr>
          <w:rFonts w:ascii="Arial" w:hAnsi="Arial" w:cs="Arial"/>
          <w:noProof/>
        </w:rPr>
        <w:tab/>
        <w:t xml:space="preserve">Bounous, G. and P. Gold, </w:t>
      </w:r>
      <w:r w:rsidRPr="00330CF1">
        <w:rPr>
          <w:rFonts w:ascii="Arial" w:hAnsi="Arial" w:cs="Arial"/>
          <w:i/>
          <w:noProof/>
        </w:rPr>
        <w:t>The biological activity of undenatured dietary whey proteins - role of glutathione. .</w:t>
      </w:r>
      <w:r w:rsidRPr="00330CF1">
        <w:rPr>
          <w:rFonts w:ascii="Arial" w:hAnsi="Arial" w:cs="Arial"/>
          <w:noProof/>
        </w:rPr>
        <w:t xml:space="preserve"> Clinical and Investigative Medicine-Medecine Clinique Et Experimentale, 1991. </w:t>
      </w:r>
      <w:r w:rsidRPr="00330CF1">
        <w:rPr>
          <w:rFonts w:ascii="Arial" w:hAnsi="Arial" w:cs="Arial"/>
          <w:b/>
          <w:noProof/>
        </w:rPr>
        <w:t>14</w:t>
      </w:r>
      <w:r w:rsidRPr="00330CF1">
        <w:rPr>
          <w:rFonts w:ascii="Arial" w:hAnsi="Arial" w:cs="Arial"/>
          <w:noProof/>
        </w:rPr>
        <w:t>(4): p. 296-309.</w:t>
      </w:r>
      <w:bookmarkEnd w:id="413"/>
    </w:p>
    <w:p w:rsidR="00330CF1" w:rsidRPr="00330CF1" w:rsidRDefault="00330CF1" w:rsidP="0009286C">
      <w:pPr>
        <w:ind w:left="720" w:hanging="720"/>
        <w:rPr>
          <w:rFonts w:ascii="Arial" w:hAnsi="Arial" w:cs="Arial"/>
          <w:noProof/>
        </w:rPr>
      </w:pPr>
      <w:bookmarkStart w:id="414" w:name="_ENREF_353"/>
      <w:r w:rsidRPr="00330CF1">
        <w:rPr>
          <w:rFonts w:ascii="Arial" w:hAnsi="Arial" w:cs="Arial"/>
          <w:noProof/>
        </w:rPr>
        <w:t>353.</w:t>
      </w:r>
      <w:r w:rsidRPr="00330CF1">
        <w:rPr>
          <w:rFonts w:ascii="Arial" w:hAnsi="Arial" w:cs="Arial"/>
          <w:noProof/>
        </w:rPr>
        <w:tab/>
        <w:t xml:space="preserve">Bounous, G., et al., </w:t>
      </w:r>
      <w:r w:rsidRPr="00330CF1">
        <w:rPr>
          <w:rFonts w:ascii="Arial" w:hAnsi="Arial" w:cs="Arial"/>
          <w:i/>
          <w:noProof/>
        </w:rPr>
        <w:t>Whey proteins as a food supplement in HIV-seropositive individuals. .</w:t>
      </w:r>
      <w:r w:rsidRPr="00330CF1">
        <w:rPr>
          <w:rFonts w:ascii="Arial" w:hAnsi="Arial" w:cs="Arial"/>
          <w:noProof/>
        </w:rPr>
        <w:t xml:space="preserve"> Clinical and Investigative Medicine-Medecine Clinique Et Experimentale, 1993. </w:t>
      </w:r>
      <w:r w:rsidRPr="00330CF1">
        <w:rPr>
          <w:rFonts w:ascii="Arial" w:hAnsi="Arial" w:cs="Arial"/>
          <w:b/>
          <w:noProof/>
        </w:rPr>
        <w:t>16</w:t>
      </w:r>
      <w:r w:rsidRPr="00330CF1">
        <w:rPr>
          <w:rFonts w:ascii="Arial" w:hAnsi="Arial" w:cs="Arial"/>
          <w:noProof/>
        </w:rPr>
        <w:t>(3): p. 204-209.</w:t>
      </w:r>
      <w:bookmarkEnd w:id="414"/>
    </w:p>
    <w:p w:rsidR="00330CF1" w:rsidRPr="00330CF1" w:rsidRDefault="00330CF1" w:rsidP="0009286C">
      <w:pPr>
        <w:ind w:left="720" w:hanging="720"/>
        <w:rPr>
          <w:rFonts w:ascii="Arial" w:hAnsi="Arial" w:cs="Arial"/>
          <w:noProof/>
        </w:rPr>
      </w:pPr>
      <w:bookmarkStart w:id="415" w:name="_ENREF_354"/>
      <w:r w:rsidRPr="00330CF1">
        <w:rPr>
          <w:rFonts w:ascii="Arial" w:hAnsi="Arial" w:cs="Arial"/>
          <w:noProof/>
        </w:rPr>
        <w:t>354.</w:t>
      </w:r>
      <w:r w:rsidRPr="00330CF1">
        <w:rPr>
          <w:rFonts w:ascii="Arial" w:hAnsi="Arial" w:cs="Arial"/>
          <w:noProof/>
        </w:rPr>
        <w:tab/>
        <w:t xml:space="preserve">Wong, C.W. and D.L. Watson, </w:t>
      </w:r>
      <w:r w:rsidRPr="00330CF1">
        <w:rPr>
          <w:rFonts w:ascii="Arial" w:hAnsi="Arial" w:cs="Arial"/>
          <w:i/>
          <w:noProof/>
        </w:rPr>
        <w:t>Immunomodulatory effects of dietary whey proteins in mice. .</w:t>
      </w:r>
      <w:r w:rsidRPr="00330CF1">
        <w:rPr>
          <w:rFonts w:ascii="Arial" w:hAnsi="Arial" w:cs="Arial"/>
          <w:noProof/>
        </w:rPr>
        <w:t xml:space="preserve"> Journal of Dairy Research, 1995. </w:t>
      </w:r>
      <w:r w:rsidRPr="00330CF1">
        <w:rPr>
          <w:rFonts w:ascii="Arial" w:hAnsi="Arial" w:cs="Arial"/>
          <w:b/>
          <w:noProof/>
        </w:rPr>
        <w:t>62</w:t>
      </w:r>
      <w:r w:rsidRPr="00330CF1">
        <w:rPr>
          <w:rFonts w:ascii="Arial" w:hAnsi="Arial" w:cs="Arial"/>
          <w:noProof/>
        </w:rPr>
        <w:t>(2): p. 359-368.</w:t>
      </w:r>
      <w:bookmarkEnd w:id="415"/>
    </w:p>
    <w:p w:rsidR="00330CF1" w:rsidRPr="00330CF1" w:rsidRDefault="00330CF1" w:rsidP="0009286C">
      <w:pPr>
        <w:ind w:left="720" w:hanging="720"/>
        <w:rPr>
          <w:rFonts w:ascii="Arial" w:hAnsi="Arial" w:cs="Arial"/>
          <w:noProof/>
        </w:rPr>
      </w:pPr>
      <w:bookmarkStart w:id="416" w:name="_ENREF_355"/>
      <w:r w:rsidRPr="00330CF1">
        <w:rPr>
          <w:rFonts w:ascii="Arial" w:hAnsi="Arial" w:cs="Arial"/>
          <w:noProof/>
        </w:rPr>
        <w:t>355.</w:t>
      </w:r>
      <w:r w:rsidRPr="00330CF1">
        <w:rPr>
          <w:rFonts w:ascii="Arial" w:hAnsi="Arial" w:cs="Arial"/>
          <w:noProof/>
        </w:rPr>
        <w:tab/>
        <w:t xml:space="preserve">Schullerlevis, G., et al., </w:t>
      </w:r>
      <w:r w:rsidRPr="00330CF1">
        <w:rPr>
          <w:rFonts w:ascii="Arial" w:hAnsi="Arial" w:cs="Arial"/>
          <w:i/>
          <w:noProof/>
        </w:rPr>
        <w:t>Immunological consequences of taurine deficiency in cats. .</w:t>
      </w:r>
      <w:r w:rsidRPr="00330CF1">
        <w:rPr>
          <w:rFonts w:ascii="Arial" w:hAnsi="Arial" w:cs="Arial"/>
          <w:noProof/>
        </w:rPr>
        <w:t xml:space="preserve"> Journal of Leukocyte Biology, 1990. </w:t>
      </w:r>
      <w:r w:rsidRPr="00330CF1">
        <w:rPr>
          <w:rFonts w:ascii="Arial" w:hAnsi="Arial" w:cs="Arial"/>
          <w:b/>
          <w:noProof/>
        </w:rPr>
        <w:t>47</w:t>
      </w:r>
      <w:r w:rsidRPr="00330CF1">
        <w:rPr>
          <w:rFonts w:ascii="Arial" w:hAnsi="Arial" w:cs="Arial"/>
          <w:noProof/>
        </w:rPr>
        <w:t>(4): p. 321-331.</w:t>
      </w:r>
      <w:bookmarkEnd w:id="416"/>
    </w:p>
    <w:p w:rsidR="00330CF1" w:rsidRPr="00330CF1" w:rsidRDefault="00330CF1" w:rsidP="0009286C">
      <w:pPr>
        <w:ind w:left="720" w:hanging="720"/>
        <w:rPr>
          <w:rFonts w:ascii="Arial" w:hAnsi="Arial" w:cs="Arial"/>
          <w:noProof/>
        </w:rPr>
      </w:pPr>
      <w:bookmarkStart w:id="417" w:name="_ENREF_356"/>
      <w:r w:rsidRPr="00330CF1">
        <w:rPr>
          <w:rFonts w:ascii="Arial" w:hAnsi="Arial" w:cs="Arial"/>
          <w:noProof/>
        </w:rPr>
        <w:t>356.</w:t>
      </w:r>
      <w:r w:rsidRPr="00330CF1">
        <w:rPr>
          <w:rFonts w:ascii="Arial" w:hAnsi="Arial" w:cs="Arial"/>
          <w:noProof/>
        </w:rPr>
        <w:tab/>
        <w:t xml:space="preserve">Canny, G. and O. Levy, </w:t>
      </w:r>
      <w:r w:rsidRPr="00330CF1">
        <w:rPr>
          <w:rFonts w:ascii="Arial" w:hAnsi="Arial" w:cs="Arial"/>
          <w:i/>
          <w:noProof/>
        </w:rPr>
        <w:t>Bactericidal/permeability-increasing protein (BPI) and BPI homologs at mucosal sites.</w:t>
      </w:r>
      <w:r w:rsidRPr="00330CF1">
        <w:rPr>
          <w:rFonts w:ascii="Arial" w:hAnsi="Arial" w:cs="Arial"/>
          <w:noProof/>
        </w:rPr>
        <w:t xml:space="preserve"> Trends in Immunology, 2008. </w:t>
      </w:r>
      <w:r w:rsidRPr="00330CF1">
        <w:rPr>
          <w:rFonts w:ascii="Arial" w:hAnsi="Arial" w:cs="Arial"/>
          <w:b/>
          <w:noProof/>
        </w:rPr>
        <w:t>29</w:t>
      </w:r>
      <w:r w:rsidRPr="00330CF1">
        <w:rPr>
          <w:rFonts w:ascii="Arial" w:hAnsi="Arial" w:cs="Arial"/>
          <w:noProof/>
        </w:rPr>
        <w:t>(11): p. 541-547.</w:t>
      </w:r>
      <w:bookmarkEnd w:id="417"/>
    </w:p>
    <w:p w:rsidR="00330CF1" w:rsidRPr="00330CF1" w:rsidRDefault="00330CF1" w:rsidP="0009286C">
      <w:pPr>
        <w:ind w:left="720" w:hanging="720"/>
        <w:rPr>
          <w:rFonts w:ascii="Arial" w:hAnsi="Arial" w:cs="Arial"/>
          <w:noProof/>
        </w:rPr>
      </w:pPr>
      <w:bookmarkStart w:id="418" w:name="_ENREF_357"/>
      <w:r w:rsidRPr="00330CF1">
        <w:rPr>
          <w:rFonts w:ascii="Arial" w:hAnsi="Arial" w:cs="Arial"/>
          <w:noProof/>
        </w:rPr>
        <w:t>357.</w:t>
      </w:r>
      <w:r w:rsidRPr="00330CF1">
        <w:rPr>
          <w:rFonts w:ascii="Arial" w:hAnsi="Arial" w:cs="Arial"/>
          <w:noProof/>
        </w:rPr>
        <w:tab/>
        <w:t xml:space="preserve">MacPherson, A.J. and T. Uhr, </w:t>
      </w:r>
      <w:r w:rsidRPr="00330CF1">
        <w:rPr>
          <w:rFonts w:ascii="Arial" w:hAnsi="Arial" w:cs="Arial"/>
          <w:i/>
          <w:noProof/>
        </w:rPr>
        <w:t>Compartmentalization of the mucosal immune responses to commensal intestinal bacteria</w:t>
      </w:r>
      <w:r w:rsidRPr="00330CF1">
        <w:rPr>
          <w:rFonts w:ascii="Arial" w:hAnsi="Arial" w:cs="Arial"/>
          <w:noProof/>
        </w:rPr>
        <w:t xml:space="preserve">, in </w:t>
      </w:r>
      <w:r w:rsidRPr="00330CF1">
        <w:rPr>
          <w:rFonts w:ascii="Arial" w:hAnsi="Arial" w:cs="Arial"/>
          <w:i/>
          <w:noProof/>
        </w:rPr>
        <w:t>Oral Tolerance: New Insights and Prospects for Clinical Application</w:t>
      </w:r>
      <w:r w:rsidRPr="00330CF1">
        <w:rPr>
          <w:rFonts w:ascii="Arial" w:hAnsi="Arial" w:cs="Arial"/>
          <w:noProof/>
        </w:rPr>
        <w:t>, H.L. Weiner, L. Mayer, and W. Strober, Editors. 2004. p. 36-43.</w:t>
      </w:r>
      <w:bookmarkEnd w:id="418"/>
    </w:p>
    <w:p w:rsidR="00330CF1" w:rsidRPr="00330CF1" w:rsidRDefault="00330CF1" w:rsidP="0009286C">
      <w:pPr>
        <w:ind w:left="720" w:hanging="720"/>
        <w:rPr>
          <w:rFonts w:ascii="Arial" w:hAnsi="Arial" w:cs="Arial"/>
          <w:noProof/>
        </w:rPr>
      </w:pPr>
      <w:bookmarkStart w:id="419" w:name="_ENREF_358"/>
      <w:r w:rsidRPr="00330CF1">
        <w:rPr>
          <w:rFonts w:ascii="Arial" w:hAnsi="Arial" w:cs="Arial"/>
          <w:noProof/>
        </w:rPr>
        <w:t>358.</w:t>
      </w:r>
      <w:r w:rsidRPr="00330CF1">
        <w:rPr>
          <w:rFonts w:ascii="Arial" w:hAnsi="Arial" w:cs="Arial"/>
          <w:noProof/>
        </w:rPr>
        <w:tab/>
        <w:t xml:space="preserve">Duerkop, B.A., S. Vaishnava, and L.V. Hooper, </w:t>
      </w:r>
      <w:r w:rsidRPr="00330CF1">
        <w:rPr>
          <w:rFonts w:ascii="Arial" w:hAnsi="Arial" w:cs="Arial"/>
          <w:i/>
          <w:noProof/>
        </w:rPr>
        <w:t>Immune Responses to the Microbiota at the Intestinal Mucosal Surface.</w:t>
      </w:r>
      <w:r w:rsidRPr="00330CF1">
        <w:rPr>
          <w:rFonts w:ascii="Arial" w:hAnsi="Arial" w:cs="Arial"/>
          <w:noProof/>
        </w:rPr>
        <w:t xml:space="preserve"> Immunity, 2009. </w:t>
      </w:r>
      <w:r w:rsidRPr="00330CF1">
        <w:rPr>
          <w:rFonts w:ascii="Arial" w:hAnsi="Arial" w:cs="Arial"/>
          <w:b/>
          <w:noProof/>
        </w:rPr>
        <w:t>31</w:t>
      </w:r>
      <w:r w:rsidRPr="00330CF1">
        <w:rPr>
          <w:rFonts w:ascii="Arial" w:hAnsi="Arial" w:cs="Arial"/>
          <w:noProof/>
        </w:rPr>
        <w:t>(3): p. 368-376.</w:t>
      </w:r>
      <w:bookmarkEnd w:id="419"/>
    </w:p>
    <w:p w:rsidR="00330CF1" w:rsidRPr="00330CF1" w:rsidRDefault="00330CF1" w:rsidP="0009286C">
      <w:pPr>
        <w:ind w:left="720" w:hanging="720"/>
        <w:rPr>
          <w:rFonts w:ascii="Arial" w:hAnsi="Arial" w:cs="Arial"/>
          <w:noProof/>
        </w:rPr>
      </w:pPr>
      <w:bookmarkStart w:id="420" w:name="_ENREF_359"/>
      <w:r w:rsidRPr="00330CF1">
        <w:rPr>
          <w:rFonts w:ascii="Arial" w:hAnsi="Arial" w:cs="Arial"/>
          <w:noProof/>
        </w:rPr>
        <w:t>359.</w:t>
      </w:r>
      <w:r w:rsidRPr="00330CF1">
        <w:rPr>
          <w:rFonts w:ascii="Arial" w:hAnsi="Arial" w:cs="Arial"/>
          <w:noProof/>
        </w:rPr>
        <w:tab/>
        <w:t xml:space="preserve">Macpherson, A.J. and N.L. Harris, </w:t>
      </w:r>
      <w:r w:rsidRPr="00330CF1">
        <w:rPr>
          <w:rFonts w:ascii="Arial" w:hAnsi="Arial" w:cs="Arial"/>
          <w:i/>
          <w:noProof/>
        </w:rPr>
        <w:t>Interactions between commensal intestinal bacteria and the immune system.</w:t>
      </w:r>
      <w:r w:rsidRPr="00330CF1">
        <w:rPr>
          <w:rFonts w:ascii="Arial" w:hAnsi="Arial" w:cs="Arial"/>
          <w:noProof/>
        </w:rPr>
        <w:t xml:space="preserve"> Nature Reviews Immunology, 2004. </w:t>
      </w:r>
      <w:r w:rsidRPr="00330CF1">
        <w:rPr>
          <w:rFonts w:ascii="Arial" w:hAnsi="Arial" w:cs="Arial"/>
          <w:b/>
          <w:noProof/>
        </w:rPr>
        <w:t>4</w:t>
      </w:r>
      <w:r w:rsidRPr="00330CF1">
        <w:rPr>
          <w:rFonts w:ascii="Arial" w:hAnsi="Arial" w:cs="Arial"/>
          <w:noProof/>
        </w:rPr>
        <w:t>(6): p. 478-485.</w:t>
      </w:r>
      <w:bookmarkEnd w:id="420"/>
    </w:p>
    <w:p w:rsidR="00330CF1" w:rsidRPr="00330CF1" w:rsidRDefault="00330CF1" w:rsidP="0009286C">
      <w:pPr>
        <w:ind w:left="720" w:hanging="720"/>
        <w:rPr>
          <w:rFonts w:ascii="Arial" w:hAnsi="Arial" w:cs="Arial"/>
          <w:noProof/>
        </w:rPr>
      </w:pPr>
      <w:bookmarkStart w:id="421" w:name="_ENREF_360"/>
      <w:r w:rsidRPr="00330CF1">
        <w:rPr>
          <w:rFonts w:ascii="Arial" w:hAnsi="Arial" w:cs="Arial"/>
          <w:noProof/>
        </w:rPr>
        <w:t>360.</w:t>
      </w:r>
      <w:r w:rsidRPr="00330CF1">
        <w:rPr>
          <w:rFonts w:ascii="Arial" w:hAnsi="Arial" w:cs="Arial"/>
          <w:noProof/>
        </w:rPr>
        <w:tab/>
        <w:t xml:space="preserve">Macpherson, A.J. and T. Uhr, </w:t>
      </w:r>
      <w:r w:rsidRPr="00330CF1">
        <w:rPr>
          <w:rFonts w:ascii="Arial" w:hAnsi="Arial" w:cs="Arial"/>
          <w:i/>
          <w:noProof/>
        </w:rPr>
        <w:t>Induction of protective IgA by intestinal dendritic cells carrying commensal bacteria.</w:t>
      </w:r>
      <w:r w:rsidRPr="00330CF1">
        <w:rPr>
          <w:rFonts w:ascii="Arial" w:hAnsi="Arial" w:cs="Arial"/>
          <w:noProof/>
        </w:rPr>
        <w:t xml:space="preserve"> Science, 2004. </w:t>
      </w:r>
      <w:r w:rsidRPr="00330CF1">
        <w:rPr>
          <w:rFonts w:ascii="Arial" w:hAnsi="Arial" w:cs="Arial"/>
          <w:b/>
          <w:noProof/>
        </w:rPr>
        <w:t>303</w:t>
      </w:r>
      <w:r w:rsidRPr="00330CF1">
        <w:rPr>
          <w:rFonts w:ascii="Arial" w:hAnsi="Arial" w:cs="Arial"/>
          <w:noProof/>
        </w:rPr>
        <w:t>(5664): p. 1662-1665.</w:t>
      </w:r>
      <w:bookmarkEnd w:id="421"/>
    </w:p>
    <w:p w:rsidR="00330CF1" w:rsidRPr="00330CF1" w:rsidRDefault="00330CF1" w:rsidP="0009286C">
      <w:pPr>
        <w:ind w:left="720" w:hanging="720"/>
        <w:rPr>
          <w:rFonts w:ascii="Arial" w:hAnsi="Arial" w:cs="Arial"/>
          <w:noProof/>
        </w:rPr>
      </w:pPr>
      <w:bookmarkStart w:id="422" w:name="_ENREF_361"/>
      <w:r w:rsidRPr="00330CF1">
        <w:rPr>
          <w:rFonts w:ascii="Arial" w:hAnsi="Arial" w:cs="Arial"/>
          <w:noProof/>
        </w:rPr>
        <w:t>361.</w:t>
      </w:r>
      <w:r w:rsidRPr="00330CF1">
        <w:rPr>
          <w:rFonts w:ascii="Arial" w:hAnsi="Arial" w:cs="Arial"/>
          <w:noProof/>
        </w:rPr>
        <w:tab/>
        <w:t xml:space="preserve">Hooijkaas, H., et al., </w:t>
      </w:r>
      <w:r w:rsidRPr="00330CF1">
        <w:rPr>
          <w:rFonts w:ascii="Arial" w:hAnsi="Arial" w:cs="Arial"/>
          <w:i/>
          <w:noProof/>
        </w:rPr>
        <w:t>Isotypes and specificities of immunoglobulins produced by germ-free mice fed chemically defined ultrafiltered antigen-free diet.</w:t>
      </w:r>
      <w:r w:rsidRPr="00330CF1">
        <w:rPr>
          <w:rFonts w:ascii="Arial" w:hAnsi="Arial" w:cs="Arial"/>
          <w:noProof/>
        </w:rPr>
        <w:t xml:space="preserve"> European Journal of Immunology, 1984. </w:t>
      </w:r>
      <w:r w:rsidRPr="00330CF1">
        <w:rPr>
          <w:rFonts w:ascii="Arial" w:hAnsi="Arial" w:cs="Arial"/>
          <w:b/>
          <w:noProof/>
        </w:rPr>
        <w:t>14</w:t>
      </w:r>
      <w:r w:rsidRPr="00330CF1">
        <w:rPr>
          <w:rFonts w:ascii="Arial" w:hAnsi="Arial" w:cs="Arial"/>
          <w:noProof/>
        </w:rPr>
        <w:t>(12): p. 1127-1130.</w:t>
      </w:r>
      <w:bookmarkEnd w:id="422"/>
    </w:p>
    <w:p w:rsidR="00330CF1" w:rsidRPr="00330CF1" w:rsidRDefault="00330CF1" w:rsidP="0009286C">
      <w:pPr>
        <w:ind w:left="720" w:hanging="720"/>
        <w:rPr>
          <w:rFonts w:ascii="Arial" w:hAnsi="Arial" w:cs="Arial"/>
          <w:noProof/>
        </w:rPr>
      </w:pPr>
      <w:bookmarkStart w:id="423" w:name="_ENREF_362"/>
      <w:r w:rsidRPr="00330CF1">
        <w:rPr>
          <w:rFonts w:ascii="Arial" w:hAnsi="Arial" w:cs="Arial"/>
          <w:noProof/>
        </w:rPr>
        <w:t>362.</w:t>
      </w:r>
      <w:r w:rsidRPr="00330CF1">
        <w:rPr>
          <w:rFonts w:ascii="Arial" w:hAnsi="Arial" w:cs="Arial"/>
          <w:noProof/>
        </w:rPr>
        <w:tab/>
        <w:t xml:space="preserve">Yazdanbakhsh, M., P.G. Kremsner, and R. van Ree, </w:t>
      </w:r>
      <w:r w:rsidRPr="00330CF1">
        <w:rPr>
          <w:rFonts w:ascii="Arial" w:hAnsi="Arial" w:cs="Arial"/>
          <w:i/>
          <w:noProof/>
        </w:rPr>
        <w:t>Immunology - Allergy, parasites, and the hygiene hypothesis.</w:t>
      </w:r>
      <w:r w:rsidRPr="00330CF1">
        <w:rPr>
          <w:rFonts w:ascii="Arial" w:hAnsi="Arial" w:cs="Arial"/>
          <w:noProof/>
        </w:rPr>
        <w:t xml:space="preserve"> Science, 2002. </w:t>
      </w:r>
      <w:r w:rsidRPr="00330CF1">
        <w:rPr>
          <w:rFonts w:ascii="Arial" w:hAnsi="Arial" w:cs="Arial"/>
          <w:b/>
          <w:noProof/>
        </w:rPr>
        <w:t>296</w:t>
      </w:r>
      <w:r w:rsidRPr="00330CF1">
        <w:rPr>
          <w:rFonts w:ascii="Arial" w:hAnsi="Arial" w:cs="Arial"/>
          <w:noProof/>
        </w:rPr>
        <w:t>(5567): p. 490-494.</w:t>
      </w:r>
      <w:bookmarkEnd w:id="423"/>
    </w:p>
    <w:p w:rsidR="00330CF1" w:rsidRPr="00330CF1" w:rsidRDefault="00330CF1" w:rsidP="0009286C">
      <w:pPr>
        <w:ind w:left="720" w:hanging="720"/>
        <w:rPr>
          <w:rFonts w:ascii="Arial" w:hAnsi="Arial" w:cs="Arial"/>
          <w:noProof/>
        </w:rPr>
      </w:pPr>
      <w:bookmarkStart w:id="424" w:name="_ENREF_363"/>
      <w:r w:rsidRPr="00330CF1">
        <w:rPr>
          <w:rFonts w:ascii="Arial" w:hAnsi="Arial" w:cs="Arial"/>
          <w:noProof/>
        </w:rPr>
        <w:t>363.</w:t>
      </w:r>
      <w:r w:rsidRPr="00330CF1">
        <w:rPr>
          <w:rFonts w:ascii="Arial" w:hAnsi="Arial" w:cs="Arial"/>
          <w:noProof/>
        </w:rPr>
        <w:tab/>
        <w:t xml:space="preserve">Gale, E.A.M., </w:t>
      </w:r>
      <w:r w:rsidRPr="00330CF1">
        <w:rPr>
          <w:rFonts w:ascii="Arial" w:hAnsi="Arial" w:cs="Arial"/>
          <w:i/>
          <w:noProof/>
        </w:rPr>
        <w:t>A missing link in the hygiene hypothesis?</w:t>
      </w:r>
      <w:r w:rsidRPr="00330CF1">
        <w:rPr>
          <w:rFonts w:ascii="Arial" w:hAnsi="Arial" w:cs="Arial"/>
          <w:noProof/>
        </w:rPr>
        <w:t xml:space="preserve"> Diabetologia, 2002. </w:t>
      </w:r>
      <w:r w:rsidRPr="00330CF1">
        <w:rPr>
          <w:rFonts w:ascii="Arial" w:hAnsi="Arial" w:cs="Arial"/>
          <w:b/>
          <w:noProof/>
        </w:rPr>
        <w:t>45</w:t>
      </w:r>
      <w:r w:rsidRPr="00330CF1">
        <w:rPr>
          <w:rFonts w:ascii="Arial" w:hAnsi="Arial" w:cs="Arial"/>
          <w:noProof/>
        </w:rPr>
        <w:t>(4): p. 588-594.</w:t>
      </w:r>
      <w:bookmarkEnd w:id="424"/>
    </w:p>
    <w:p w:rsidR="00330CF1" w:rsidRPr="00330CF1" w:rsidRDefault="00330CF1" w:rsidP="0009286C">
      <w:pPr>
        <w:ind w:left="720" w:hanging="720"/>
        <w:rPr>
          <w:rFonts w:ascii="Arial" w:hAnsi="Arial" w:cs="Arial"/>
          <w:noProof/>
        </w:rPr>
      </w:pPr>
      <w:bookmarkStart w:id="425" w:name="_ENREF_364"/>
      <w:r w:rsidRPr="00330CF1">
        <w:rPr>
          <w:rFonts w:ascii="Arial" w:hAnsi="Arial" w:cs="Arial"/>
          <w:noProof/>
        </w:rPr>
        <w:t>364.</w:t>
      </w:r>
      <w:r w:rsidRPr="00330CF1">
        <w:rPr>
          <w:rFonts w:ascii="Arial" w:hAnsi="Arial" w:cs="Arial"/>
          <w:noProof/>
        </w:rPr>
        <w:tab/>
        <w:t xml:space="preserve">Wu, G.D., et al., </w:t>
      </w:r>
      <w:r w:rsidRPr="00330CF1">
        <w:rPr>
          <w:rFonts w:ascii="Arial" w:hAnsi="Arial" w:cs="Arial"/>
          <w:i/>
          <w:noProof/>
        </w:rPr>
        <w:t>Linking Long-Term Dietary Patterns with Gut Microbial Enterotypes.</w:t>
      </w:r>
      <w:r w:rsidRPr="00330CF1">
        <w:rPr>
          <w:rFonts w:ascii="Arial" w:hAnsi="Arial" w:cs="Arial"/>
          <w:noProof/>
        </w:rPr>
        <w:t xml:space="preserve"> Science, 2011. </w:t>
      </w:r>
      <w:r w:rsidRPr="00330CF1">
        <w:rPr>
          <w:rFonts w:ascii="Arial" w:hAnsi="Arial" w:cs="Arial"/>
          <w:b/>
          <w:noProof/>
        </w:rPr>
        <w:t>333</w:t>
      </w:r>
      <w:r w:rsidRPr="00330CF1">
        <w:rPr>
          <w:rFonts w:ascii="Arial" w:hAnsi="Arial" w:cs="Arial"/>
          <w:noProof/>
        </w:rPr>
        <w:t>(6052): p. 105-108.</w:t>
      </w:r>
      <w:bookmarkEnd w:id="425"/>
    </w:p>
    <w:p w:rsidR="00330CF1" w:rsidRPr="00330CF1" w:rsidRDefault="00330CF1" w:rsidP="0009286C">
      <w:pPr>
        <w:ind w:left="720" w:hanging="720"/>
        <w:rPr>
          <w:rFonts w:ascii="Arial" w:hAnsi="Arial" w:cs="Arial"/>
          <w:noProof/>
        </w:rPr>
      </w:pPr>
      <w:bookmarkStart w:id="426" w:name="_ENREF_365"/>
      <w:r w:rsidRPr="00330CF1">
        <w:rPr>
          <w:rFonts w:ascii="Arial" w:hAnsi="Arial" w:cs="Arial"/>
          <w:noProof/>
        </w:rPr>
        <w:t>365.</w:t>
      </w:r>
      <w:r w:rsidRPr="00330CF1">
        <w:rPr>
          <w:rFonts w:ascii="Arial" w:hAnsi="Arial" w:cs="Arial"/>
          <w:noProof/>
        </w:rPr>
        <w:tab/>
        <w:t xml:space="preserve">Turnbaugh, P.J., et al., </w:t>
      </w:r>
      <w:r w:rsidRPr="00330CF1">
        <w:rPr>
          <w:rFonts w:ascii="Arial" w:hAnsi="Arial" w:cs="Arial"/>
          <w:i/>
          <w:noProof/>
        </w:rPr>
        <w:t>The Effect of Diet on the Human Gut Microbiome: A Metagenomic Analysis in Humanized Gnotobiotic Mice.</w:t>
      </w:r>
      <w:r w:rsidRPr="00330CF1">
        <w:rPr>
          <w:rFonts w:ascii="Arial" w:hAnsi="Arial" w:cs="Arial"/>
          <w:noProof/>
        </w:rPr>
        <w:t xml:space="preserve"> Science Translational Medicine, 2009. </w:t>
      </w:r>
      <w:r w:rsidRPr="00330CF1">
        <w:rPr>
          <w:rFonts w:ascii="Arial" w:hAnsi="Arial" w:cs="Arial"/>
          <w:b/>
          <w:noProof/>
        </w:rPr>
        <w:t>1</w:t>
      </w:r>
      <w:r w:rsidRPr="00330CF1">
        <w:rPr>
          <w:rFonts w:ascii="Arial" w:hAnsi="Arial" w:cs="Arial"/>
          <w:noProof/>
        </w:rPr>
        <w:t>(6).</w:t>
      </w:r>
      <w:bookmarkEnd w:id="426"/>
    </w:p>
    <w:p w:rsidR="00330CF1" w:rsidRPr="00330CF1" w:rsidRDefault="00330CF1" w:rsidP="0009286C">
      <w:pPr>
        <w:ind w:left="720" w:hanging="720"/>
        <w:rPr>
          <w:rFonts w:ascii="Arial" w:hAnsi="Arial" w:cs="Arial"/>
          <w:noProof/>
        </w:rPr>
      </w:pPr>
      <w:bookmarkStart w:id="427" w:name="_ENREF_366"/>
      <w:r w:rsidRPr="00330CF1">
        <w:rPr>
          <w:rFonts w:ascii="Arial" w:hAnsi="Arial" w:cs="Arial"/>
          <w:noProof/>
        </w:rPr>
        <w:t>366.</w:t>
      </w:r>
      <w:r w:rsidRPr="00330CF1">
        <w:rPr>
          <w:rFonts w:ascii="Arial" w:hAnsi="Arial" w:cs="Arial"/>
          <w:noProof/>
        </w:rPr>
        <w:tab/>
        <w:t xml:space="preserve">Court, M.H. and D.J. Grenblatt, </w:t>
      </w:r>
      <w:r w:rsidRPr="00330CF1">
        <w:rPr>
          <w:rFonts w:ascii="Arial" w:hAnsi="Arial" w:cs="Arial"/>
          <w:i/>
          <w:noProof/>
        </w:rPr>
        <w:t>Molecular basis for deficient acetaminophen glucuronidation in cats.</w:t>
      </w:r>
      <w:r w:rsidRPr="00330CF1">
        <w:rPr>
          <w:rFonts w:ascii="Arial" w:hAnsi="Arial" w:cs="Arial"/>
          <w:noProof/>
        </w:rPr>
        <w:t xml:space="preserve"> Biochemical Pharmacology, 1997. </w:t>
      </w:r>
      <w:r w:rsidRPr="00330CF1">
        <w:rPr>
          <w:rFonts w:ascii="Arial" w:hAnsi="Arial" w:cs="Arial"/>
          <w:b/>
          <w:noProof/>
        </w:rPr>
        <w:t>53</w:t>
      </w:r>
      <w:r w:rsidRPr="00330CF1">
        <w:rPr>
          <w:rFonts w:ascii="Arial" w:hAnsi="Arial" w:cs="Arial"/>
          <w:noProof/>
        </w:rPr>
        <w:t>(7): p. 1041-1047.</w:t>
      </w:r>
      <w:bookmarkEnd w:id="427"/>
    </w:p>
    <w:p w:rsidR="00330CF1" w:rsidRPr="00330CF1" w:rsidRDefault="00330CF1" w:rsidP="0009286C">
      <w:pPr>
        <w:ind w:left="720" w:hanging="720"/>
        <w:rPr>
          <w:rFonts w:ascii="Arial" w:hAnsi="Arial" w:cs="Arial"/>
          <w:noProof/>
        </w:rPr>
      </w:pPr>
      <w:bookmarkStart w:id="428" w:name="_ENREF_367"/>
      <w:r w:rsidRPr="00330CF1">
        <w:rPr>
          <w:rFonts w:ascii="Arial" w:hAnsi="Arial" w:cs="Arial"/>
          <w:noProof/>
        </w:rPr>
        <w:t>367.</w:t>
      </w:r>
      <w:r w:rsidRPr="00330CF1">
        <w:rPr>
          <w:rFonts w:ascii="Arial" w:hAnsi="Arial" w:cs="Arial"/>
          <w:noProof/>
        </w:rPr>
        <w:tab/>
        <w:t xml:space="preserve">Shrestha, B., et al., </w:t>
      </w:r>
      <w:r w:rsidRPr="00330CF1">
        <w:rPr>
          <w:rFonts w:ascii="Arial" w:hAnsi="Arial" w:cs="Arial"/>
          <w:i/>
          <w:noProof/>
        </w:rPr>
        <w:t>Evolution of a Major Drug Metabolizing Enzyme Defect in the Domestic Cat and Other Felidae: Phylogenetic Timing and the Role of Hypercarnivory.</w:t>
      </w:r>
      <w:r w:rsidRPr="00330CF1">
        <w:rPr>
          <w:rFonts w:ascii="Arial" w:hAnsi="Arial" w:cs="Arial"/>
          <w:noProof/>
        </w:rPr>
        <w:t xml:space="preserve"> Plos One, 2011. </w:t>
      </w:r>
      <w:r w:rsidRPr="00330CF1">
        <w:rPr>
          <w:rFonts w:ascii="Arial" w:hAnsi="Arial" w:cs="Arial"/>
          <w:b/>
          <w:noProof/>
        </w:rPr>
        <w:t>6</w:t>
      </w:r>
      <w:r w:rsidRPr="00330CF1">
        <w:rPr>
          <w:rFonts w:ascii="Arial" w:hAnsi="Arial" w:cs="Arial"/>
          <w:noProof/>
        </w:rPr>
        <w:t>(3).</w:t>
      </w:r>
      <w:bookmarkEnd w:id="428"/>
    </w:p>
    <w:p w:rsidR="00330CF1" w:rsidRPr="00330CF1" w:rsidRDefault="00330CF1" w:rsidP="0009286C">
      <w:pPr>
        <w:ind w:left="720" w:hanging="720"/>
        <w:rPr>
          <w:rFonts w:ascii="Arial" w:hAnsi="Arial" w:cs="Arial"/>
          <w:noProof/>
        </w:rPr>
      </w:pPr>
      <w:bookmarkStart w:id="429" w:name="_ENREF_368"/>
      <w:r w:rsidRPr="00330CF1">
        <w:rPr>
          <w:rFonts w:ascii="Arial" w:hAnsi="Arial" w:cs="Arial"/>
          <w:noProof/>
        </w:rPr>
        <w:t>368.</w:t>
      </w:r>
      <w:r w:rsidRPr="00330CF1">
        <w:rPr>
          <w:rFonts w:ascii="Arial" w:hAnsi="Arial" w:cs="Arial"/>
          <w:noProof/>
        </w:rPr>
        <w:tab/>
        <w:t xml:space="preserve">Finkel, T. and N.J. Holbrook, </w:t>
      </w:r>
      <w:r w:rsidRPr="00330CF1">
        <w:rPr>
          <w:rFonts w:ascii="Arial" w:hAnsi="Arial" w:cs="Arial"/>
          <w:i/>
          <w:noProof/>
        </w:rPr>
        <w:t>Oxidants, oxidative stress and the biology of ageing.</w:t>
      </w:r>
      <w:r w:rsidRPr="00330CF1">
        <w:rPr>
          <w:rFonts w:ascii="Arial" w:hAnsi="Arial" w:cs="Arial"/>
          <w:noProof/>
        </w:rPr>
        <w:t xml:space="preserve"> Nature, 2000. </w:t>
      </w:r>
      <w:r w:rsidRPr="00330CF1">
        <w:rPr>
          <w:rFonts w:ascii="Arial" w:hAnsi="Arial" w:cs="Arial"/>
          <w:b/>
          <w:noProof/>
        </w:rPr>
        <w:t>408</w:t>
      </w:r>
      <w:r w:rsidRPr="00330CF1">
        <w:rPr>
          <w:rFonts w:ascii="Arial" w:hAnsi="Arial" w:cs="Arial"/>
          <w:noProof/>
        </w:rPr>
        <w:t>(6809): p. 239-247.</w:t>
      </w:r>
      <w:bookmarkEnd w:id="429"/>
    </w:p>
    <w:p w:rsidR="00330CF1" w:rsidRPr="00330CF1" w:rsidRDefault="00330CF1" w:rsidP="0009286C">
      <w:pPr>
        <w:ind w:left="720" w:hanging="720"/>
        <w:rPr>
          <w:rFonts w:ascii="Arial" w:hAnsi="Arial" w:cs="Arial"/>
          <w:noProof/>
        </w:rPr>
      </w:pPr>
      <w:bookmarkStart w:id="430" w:name="_ENREF_369"/>
      <w:r w:rsidRPr="00330CF1">
        <w:rPr>
          <w:rFonts w:ascii="Arial" w:hAnsi="Arial" w:cs="Arial"/>
          <w:noProof/>
        </w:rPr>
        <w:t>369.</w:t>
      </w:r>
      <w:r w:rsidRPr="00330CF1">
        <w:rPr>
          <w:rFonts w:ascii="Arial" w:hAnsi="Arial" w:cs="Arial"/>
          <w:noProof/>
        </w:rPr>
        <w:tab/>
        <w:t xml:space="preserve">Fang, Y.Z., S. Yang, and G.Y. Wu, </w:t>
      </w:r>
      <w:r w:rsidRPr="00330CF1">
        <w:rPr>
          <w:rFonts w:ascii="Arial" w:hAnsi="Arial" w:cs="Arial"/>
          <w:i/>
          <w:noProof/>
        </w:rPr>
        <w:t>Free radicals, antioxidants, and nutrition.</w:t>
      </w:r>
      <w:r w:rsidRPr="00330CF1">
        <w:rPr>
          <w:rFonts w:ascii="Arial" w:hAnsi="Arial" w:cs="Arial"/>
          <w:noProof/>
        </w:rPr>
        <w:t xml:space="preserve"> Nutrition, 2002. </w:t>
      </w:r>
      <w:r w:rsidRPr="00330CF1">
        <w:rPr>
          <w:rFonts w:ascii="Arial" w:hAnsi="Arial" w:cs="Arial"/>
          <w:b/>
          <w:noProof/>
        </w:rPr>
        <w:t>18</w:t>
      </w:r>
      <w:r w:rsidRPr="00330CF1">
        <w:rPr>
          <w:rFonts w:ascii="Arial" w:hAnsi="Arial" w:cs="Arial"/>
          <w:noProof/>
        </w:rPr>
        <w:t>(10): p. 872-879.</w:t>
      </w:r>
      <w:bookmarkEnd w:id="430"/>
    </w:p>
    <w:p w:rsidR="00330CF1" w:rsidRPr="00330CF1" w:rsidRDefault="00330CF1" w:rsidP="0009286C">
      <w:pPr>
        <w:ind w:left="720" w:hanging="720"/>
        <w:rPr>
          <w:rFonts w:ascii="Arial" w:hAnsi="Arial" w:cs="Arial"/>
          <w:noProof/>
        </w:rPr>
      </w:pPr>
      <w:bookmarkStart w:id="431" w:name="_ENREF_370"/>
      <w:r w:rsidRPr="00330CF1">
        <w:rPr>
          <w:rFonts w:ascii="Arial" w:hAnsi="Arial" w:cs="Arial"/>
          <w:noProof/>
        </w:rPr>
        <w:lastRenderedPageBreak/>
        <w:t>370.</w:t>
      </w:r>
      <w:r w:rsidRPr="00330CF1">
        <w:rPr>
          <w:rFonts w:ascii="Arial" w:hAnsi="Arial" w:cs="Arial"/>
          <w:noProof/>
        </w:rPr>
        <w:tab/>
        <w:t xml:space="preserve">Kubow, S., </w:t>
      </w:r>
      <w:r w:rsidRPr="00330CF1">
        <w:rPr>
          <w:rFonts w:ascii="Arial" w:hAnsi="Arial" w:cs="Arial"/>
          <w:i/>
          <w:noProof/>
        </w:rPr>
        <w:t>Routes of formation and toxic consequences of lipid oxidation-products in foods. .</w:t>
      </w:r>
      <w:r w:rsidRPr="00330CF1">
        <w:rPr>
          <w:rFonts w:ascii="Arial" w:hAnsi="Arial" w:cs="Arial"/>
          <w:noProof/>
        </w:rPr>
        <w:t xml:space="preserve"> Free Radical Biology and Medicine, 1992. </w:t>
      </w:r>
      <w:r w:rsidRPr="00330CF1">
        <w:rPr>
          <w:rFonts w:ascii="Arial" w:hAnsi="Arial" w:cs="Arial"/>
          <w:b/>
          <w:noProof/>
        </w:rPr>
        <w:t>12</w:t>
      </w:r>
      <w:r w:rsidRPr="00330CF1">
        <w:rPr>
          <w:rFonts w:ascii="Arial" w:hAnsi="Arial" w:cs="Arial"/>
          <w:noProof/>
        </w:rPr>
        <w:t>(1): p. 63-81.</w:t>
      </w:r>
      <w:bookmarkEnd w:id="431"/>
    </w:p>
    <w:p w:rsidR="00330CF1" w:rsidRPr="00330CF1" w:rsidRDefault="00330CF1" w:rsidP="0009286C">
      <w:pPr>
        <w:ind w:left="720" w:hanging="720"/>
        <w:rPr>
          <w:rFonts w:ascii="Arial" w:hAnsi="Arial" w:cs="Arial"/>
          <w:noProof/>
        </w:rPr>
      </w:pPr>
      <w:bookmarkStart w:id="432" w:name="_ENREF_371"/>
      <w:r w:rsidRPr="00330CF1">
        <w:rPr>
          <w:rFonts w:ascii="Arial" w:hAnsi="Arial" w:cs="Arial"/>
          <w:noProof/>
        </w:rPr>
        <w:t>371.</w:t>
      </w:r>
      <w:r w:rsidRPr="00330CF1">
        <w:rPr>
          <w:rFonts w:ascii="Arial" w:hAnsi="Arial" w:cs="Arial"/>
          <w:noProof/>
        </w:rPr>
        <w:tab/>
        <w:t xml:space="preserve">Addis, P.B., </w:t>
      </w:r>
      <w:r w:rsidRPr="00330CF1">
        <w:rPr>
          <w:rFonts w:ascii="Arial" w:hAnsi="Arial" w:cs="Arial"/>
          <w:i/>
          <w:noProof/>
        </w:rPr>
        <w:t>Occurrence of lipid oxidation-products in foods.</w:t>
      </w:r>
      <w:r w:rsidRPr="00330CF1">
        <w:rPr>
          <w:rFonts w:ascii="Arial" w:hAnsi="Arial" w:cs="Arial"/>
          <w:noProof/>
        </w:rPr>
        <w:t xml:space="preserve"> Food and Chemical Toxicology, 1986. </w:t>
      </w:r>
      <w:r w:rsidRPr="00330CF1">
        <w:rPr>
          <w:rFonts w:ascii="Arial" w:hAnsi="Arial" w:cs="Arial"/>
          <w:b/>
          <w:noProof/>
        </w:rPr>
        <w:t>24</w:t>
      </w:r>
      <w:r w:rsidRPr="00330CF1">
        <w:rPr>
          <w:rFonts w:ascii="Arial" w:hAnsi="Arial" w:cs="Arial"/>
          <w:noProof/>
        </w:rPr>
        <w:t>(10-11): p. 1021-1030.</w:t>
      </w:r>
      <w:bookmarkEnd w:id="432"/>
    </w:p>
    <w:p w:rsidR="00330CF1" w:rsidRPr="00330CF1" w:rsidRDefault="00330CF1" w:rsidP="0009286C">
      <w:pPr>
        <w:ind w:left="720" w:hanging="720"/>
        <w:rPr>
          <w:rFonts w:ascii="Arial" w:hAnsi="Arial" w:cs="Arial"/>
          <w:noProof/>
        </w:rPr>
      </w:pPr>
      <w:bookmarkStart w:id="433" w:name="_ENREF_372"/>
      <w:r w:rsidRPr="00330CF1">
        <w:rPr>
          <w:rFonts w:ascii="Arial" w:hAnsi="Arial" w:cs="Arial"/>
          <w:noProof/>
        </w:rPr>
        <w:t>372.</w:t>
      </w:r>
      <w:r w:rsidRPr="00330CF1">
        <w:rPr>
          <w:rFonts w:ascii="Arial" w:hAnsi="Arial" w:cs="Arial"/>
          <w:noProof/>
        </w:rPr>
        <w:tab/>
        <w:t xml:space="preserve">Rao, S.K. and W.E. Artz, </w:t>
      </w:r>
      <w:r w:rsidRPr="00330CF1">
        <w:rPr>
          <w:rFonts w:ascii="Arial" w:hAnsi="Arial" w:cs="Arial"/>
          <w:i/>
          <w:noProof/>
        </w:rPr>
        <w:t>Effect of extrusion on lipid oxidation.</w:t>
      </w:r>
      <w:r w:rsidRPr="00330CF1">
        <w:rPr>
          <w:rFonts w:ascii="Arial" w:hAnsi="Arial" w:cs="Arial"/>
          <w:noProof/>
        </w:rPr>
        <w:t xml:space="preserve"> Journal of Food Science, 1989. </w:t>
      </w:r>
      <w:r w:rsidRPr="00330CF1">
        <w:rPr>
          <w:rFonts w:ascii="Arial" w:hAnsi="Arial" w:cs="Arial"/>
          <w:b/>
          <w:noProof/>
        </w:rPr>
        <w:t>54</w:t>
      </w:r>
      <w:r w:rsidRPr="00330CF1">
        <w:rPr>
          <w:rFonts w:ascii="Arial" w:hAnsi="Arial" w:cs="Arial"/>
          <w:noProof/>
        </w:rPr>
        <w:t>(6): p. 1580-1583.</w:t>
      </w:r>
      <w:bookmarkEnd w:id="433"/>
    </w:p>
    <w:p w:rsidR="00330CF1" w:rsidRPr="00330CF1" w:rsidRDefault="00330CF1" w:rsidP="0009286C">
      <w:pPr>
        <w:ind w:left="720" w:hanging="720"/>
        <w:rPr>
          <w:rFonts w:ascii="Arial" w:hAnsi="Arial" w:cs="Arial"/>
          <w:noProof/>
        </w:rPr>
      </w:pPr>
      <w:bookmarkStart w:id="434" w:name="_ENREF_373"/>
      <w:r w:rsidRPr="00330CF1">
        <w:rPr>
          <w:rFonts w:ascii="Arial" w:hAnsi="Arial" w:cs="Arial"/>
          <w:noProof/>
        </w:rPr>
        <w:t>373.</w:t>
      </w:r>
      <w:r w:rsidRPr="00330CF1">
        <w:rPr>
          <w:rFonts w:ascii="Arial" w:hAnsi="Arial" w:cs="Arial"/>
          <w:noProof/>
        </w:rPr>
        <w:tab/>
        <w:t xml:space="preserve">Kirk, C.A., J. Debraekeleer, and P.J. Armstrong, </w:t>
      </w:r>
      <w:r w:rsidRPr="00330CF1">
        <w:rPr>
          <w:rFonts w:ascii="Arial" w:hAnsi="Arial" w:cs="Arial"/>
          <w:i/>
          <w:noProof/>
        </w:rPr>
        <w:t>Normal Cats</w:t>
      </w:r>
      <w:r w:rsidRPr="00330CF1">
        <w:rPr>
          <w:rFonts w:ascii="Arial" w:hAnsi="Arial" w:cs="Arial"/>
          <w:noProof/>
        </w:rPr>
        <w:t xml:space="preserve">, in </w:t>
      </w:r>
      <w:r w:rsidRPr="00330CF1">
        <w:rPr>
          <w:rFonts w:ascii="Arial" w:hAnsi="Arial" w:cs="Arial"/>
          <w:i/>
          <w:noProof/>
        </w:rPr>
        <w:t>Small Animal Clinical Nutrition 4th Edition</w:t>
      </w:r>
      <w:r w:rsidRPr="00330CF1">
        <w:rPr>
          <w:rFonts w:ascii="Arial" w:hAnsi="Arial" w:cs="Arial"/>
          <w:noProof/>
        </w:rPr>
        <w:t>, H. MS, et al., Editors. 2000, Mark Morris Institute: Topeka, KS. p. 291-340.</w:t>
      </w:r>
      <w:bookmarkEnd w:id="434"/>
    </w:p>
    <w:p w:rsidR="00330CF1" w:rsidRPr="00330CF1" w:rsidRDefault="00330CF1" w:rsidP="0009286C">
      <w:pPr>
        <w:ind w:left="720" w:hanging="720"/>
        <w:rPr>
          <w:rFonts w:ascii="Arial" w:hAnsi="Arial" w:cs="Arial"/>
          <w:noProof/>
        </w:rPr>
      </w:pPr>
      <w:bookmarkStart w:id="435" w:name="_ENREF_374"/>
      <w:r w:rsidRPr="00330CF1">
        <w:rPr>
          <w:rFonts w:ascii="Arial" w:hAnsi="Arial" w:cs="Arial"/>
          <w:noProof/>
        </w:rPr>
        <w:t>374.</w:t>
      </w:r>
      <w:r w:rsidRPr="00330CF1">
        <w:rPr>
          <w:rFonts w:ascii="Arial" w:hAnsi="Arial" w:cs="Arial"/>
          <w:noProof/>
        </w:rPr>
        <w:tab/>
        <w:t xml:space="preserve">Kanner, J., </w:t>
      </w:r>
      <w:r w:rsidRPr="00330CF1">
        <w:rPr>
          <w:rFonts w:ascii="Arial" w:hAnsi="Arial" w:cs="Arial"/>
          <w:i/>
          <w:noProof/>
        </w:rPr>
        <w:t>Oxidative processes in meat and meat-products - quality implications. .</w:t>
      </w:r>
      <w:r w:rsidRPr="00330CF1">
        <w:rPr>
          <w:rFonts w:ascii="Arial" w:hAnsi="Arial" w:cs="Arial"/>
          <w:noProof/>
        </w:rPr>
        <w:t xml:space="preserve"> Meat Science, 1994. </w:t>
      </w:r>
      <w:r w:rsidRPr="00330CF1">
        <w:rPr>
          <w:rFonts w:ascii="Arial" w:hAnsi="Arial" w:cs="Arial"/>
          <w:b/>
          <w:noProof/>
        </w:rPr>
        <w:t>36</w:t>
      </w:r>
      <w:r w:rsidRPr="00330CF1">
        <w:rPr>
          <w:rFonts w:ascii="Arial" w:hAnsi="Arial" w:cs="Arial"/>
          <w:noProof/>
        </w:rPr>
        <w:t>(1-2): p. 169-189.</w:t>
      </w:r>
      <w:bookmarkEnd w:id="435"/>
    </w:p>
    <w:p w:rsidR="00330CF1" w:rsidRPr="00330CF1" w:rsidRDefault="00330CF1" w:rsidP="0009286C">
      <w:pPr>
        <w:ind w:left="720" w:hanging="720"/>
        <w:rPr>
          <w:rFonts w:ascii="Arial" w:hAnsi="Arial" w:cs="Arial"/>
          <w:noProof/>
        </w:rPr>
      </w:pPr>
      <w:bookmarkStart w:id="436" w:name="_ENREF_375"/>
      <w:r w:rsidRPr="00330CF1">
        <w:rPr>
          <w:rFonts w:ascii="Arial" w:hAnsi="Arial" w:cs="Arial"/>
          <w:noProof/>
        </w:rPr>
        <w:t>375.</w:t>
      </w:r>
      <w:r w:rsidRPr="00330CF1">
        <w:rPr>
          <w:rFonts w:ascii="Arial" w:hAnsi="Arial" w:cs="Arial"/>
          <w:noProof/>
        </w:rPr>
        <w:tab/>
        <w:t xml:space="preserve">Kerr, K.R. and K.S. Swanson, </w:t>
      </w:r>
      <w:r w:rsidRPr="00330CF1">
        <w:rPr>
          <w:rFonts w:ascii="Arial" w:hAnsi="Arial" w:cs="Arial"/>
          <w:i/>
          <w:noProof/>
        </w:rPr>
        <w:t>Nitrogen metabolism, macronutrient digestibility, and fecal fermentative end-products in domestic cats fed extruded, raw beef-based and cooked beef-based diets</w:t>
      </w:r>
      <w:r w:rsidRPr="00330CF1">
        <w:rPr>
          <w:rFonts w:ascii="Arial" w:hAnsi="Arial" w:cs="Arial"/>
          <w:noProof/>
        </w:rPr>
        <w:t>, 2010, PhD Thesis, Division of Nutritional Sciences, University of Illinois at Champaign Urbana: Urbana, IL.</w:t>
      </w:r>
      <w:bookmarkEnd w:id="436"/>
    </w:p>
    <w:p w:rsidR="00330CF1" w:rsidRPr="00330CF1" w:rsidRDefault="00330CF1" w:rsidP="0009286C">
      <w:pPr>
        <w:ind w:left="720" w:hanging="720"/>
        <w:rPr>
          <w:rFonts w:ascii="Arial" w:hAnsi="Arial" w:cs="Arial"/>
          <w:noProof/>
        </w:rPr>
      </w:pPr>
      <w:bookmarkStart w:id="437" w:name="_ENREF_376"/>
      <w:r w:rsidRPr="00330CF1">
        <w:rPr>
          <w:rFonts w:ascii="Arial" w:hAnsi="Arial" w:cs="Arial"/>
          <w:noProof/>
        </w:rPr>
        <w:t>376.</w:t>
      </w:r>
      <w:r w:rsidRPr="00330CF1">
        <w:rPr>
          <w:rFonts w:ascii="Arial" w:hAnsi="Arial" w:cs="Arial"/>
          <w:noProof/>
        </w:rPr>
        <w:tab/>
        <w:t xml:space="preserve">Wondra, K.J., et al., </w:t>
      </w:r>
      <w:r w:rsidRPr="00330CF1">
        <w:rPr>
          <w:rFonts w:ascii="Arial" w:hAnsi="Arial" w:cs="Arial"/>
          <w:i/>
          <w:noProof/>
        </w:rPr>
        <w:t>Effects of particle-size and pelleting on growth-performance, nutrient digestibility, and stomach morphology in finishing pigs.</w:t>
      </w:r>
      <w:r w:rsidRPr="00330CF1">
        <w:rPr>
          <w:rFonts w:ascii="Arial" w:hAnsi="Arial" w:cs="Arial"/>
          <w:noProof/>
        </w:rPr>
        <w:t xml:space="preserve"> Journal of Animal Science, 1995. </w:t>
      </w:r>
      <w:r w:rsidRPr="00330CF1">
        <w:rPr>
          <w:rFonts w:ascii="Arial" w:hAnsi="Arial" w:cs="Arial"/>
          <w:b/>
          <w:noProof/>
        </w:rPr>
        <w:t>73</w:t>
      </w:r>
      <w:r w:rsidRPr="00330CF1">
        <w:rPr>
          <w:rFonts w:ascii="Arial" w:hAnsi="Arial" w:cs="Arial"/>
          <w:noProof/>
        </w:rPr>
        <w:t>(3): p. 757-763.</w:t>
      </w:r>
      <w:bookmarkEnd w:id="437"/>
    </w:p>
    <w:p w:rsidR="00330CF1" w:rsidRPr="00330CF1" w:rsidRDefault="00330CF1" w:rsidP="0009286C">
      <w:pPr>
        <w:ind w:left="720" w:hanging="720"/>
        <w:rPr>
          <w:rFonts w:ascii="Arial" w:hAnsi="Arial" w:cs="Arial"/>
          <w:noProof/>
        </w:rPr>
      </w:pPr>
      <w:bookmarkStart w:id="438" w:name="_ENREF_377"/>
      <w:r w:rsidRPr="00330CF1">
        <w:rPr>
          <w:rFonts w:ascii="Arial" w:hAnsi="Arial" w:cs="Arial"/>
          <w:noProof/>
        </w:rPr>
        <w:t>377.</w:t>
      </w:r>
      <w:r w:rsidRPr="00330CF1">
        <w:rPr>
          <w:rFonts w:ascii="Arial" w:hAnsi="Arial" w:cs="Arial"/>
          <w:noProof/>
        </w:rPr>
        <w:tab/>
        <w:t xml:space="preserve">Pitotti, A., A. Dalbo, and M. Stecchini, </w:t>
      </w:r>
      <w:r w:rsidRPr="00330CF1">
        <w:rPr>
          <w:rFonts w:ascii="Arial" w:hAnsi="Arial" w:cs="Arial"/>
          <w:i/>
          <w:noProof/>
        </w:rPr>
        <w:t>Effect of Maillard reaction-products on proteases activity in-vitro.</w:t>
      </w:r>
      <w:r w:rsidRPr="00330CF1">
        <w:rPr>
          <w:rFonts w:ascii="Arial" w:hAnsi="Arial" w:cs="Arial"/>
          <w:noProof/>
        </w:rPr>
        <w:t xml:space="preserve"> Journal of Food Quality, 1994. </w:t>
      </w:r>
      <w:r w:rsidRPr="00330CF1">
        <w:rPr>
          <w:rFonts w:ascii="Arial" w:hAnsi="Arial" w:cs="Arial"/>
          <w:b/>
          <w:noProof/>
        </w:rPr>
        <w:t>17</w:t>
      </w:r>
      <w:r w:rsidRPr="00330CF1">
        <w:rPr>
          <w:rFonts w:ascii="Arial" w:hAnsi="Arial" w:cs="Arial"/>
          <w:noProof/>
        </w:rPr>
        <w:t>(3): p. 211-220.</w:t>
      </w:r>
      <w:bookmarkEnd w:id="438"/>
    </w:p>
    <w:p w:rsidR="00330CF1" w:rsidRPr="00330CF1" w:rsidRDefault="00330CF1" w:rsidP="0009286C">
      <w:pPr>
        <w:ind w:left="720" w:hanging="720"/>
        <w:rPr>
          <w:rFonts w:ascii="Arial" w:hAnsi="Arial" w:cs="Arial"/>
          <w:noProof/>
        </w:rPr>
      </w:pPr>
      <w:bookmarkStart w:id="439" w:name="_ENREF_378"/>
      <w:r w:rsidRPr="00330CF1">
        <w:rPr>
          <w:rFonts w:ascii="Arial" w:hAnsi="Arial" w:cs="Arial"/>
          <w:noProof/>
        </w:rPr>
        <w:t>378.</w:t>
      </w:r>
      <w:r w:rsidRPr="00330CF1">
        <w:rPr>
          <w:rFonts w:ascii="Arial" w:hAnsi="Arial" w:cs="Arial"/>
          <w:noProof/>
        </w:rPr>
        <w:tab/>
        <w:t xml:space="preserve">Patil, A.R., G. Czarnecki-Maulden, and K.E. Dowling, </w:t>
      </w:r>
      <w:r w:rsidRPr="00330CF1">
        <w:rPr>
          <w:rFonts w:ascii="Arial" w:hAnsi="Arial" w:cs="Arial"/>
          <w:i/>
          <w:noProof/>
        </w:rPr>
        <w:t>Effect of advances in age on fecal microflora of cats.</w:t>
      </w:r>
      <w:r w:rsidRPr="00330CF1">
        <w:rPr>
          <w:rFonts w:ascii="Arial" w:hAnsi="Arial" w:cs="Arial"/>
          <w:noProof/>
        </w:rPr>
        <w:t xml:space="preserve"> Faseb Journal, 2000. </w:t>
      </w:r>
      <w:r w:rsidRPr="00330CF1">
        <w:rPr>
          <w:rFonts w:ascii="Arial" w:hAnsi="Arial" w:cs="Arial"/>
          <w:b/>
          <w:noProof/>
        </w:rPr>
        <w:t>14</w:t>
      </w:r>
      <w:r w:rsidRPr="00330CF1">
        <w:rPr>
          <w:rFonts w:ascii="Arial" w:hAnsi="Arial" w:cs="Arial"/>
          <w:noProof/>
        </w:rPr>
        <w:t>(4): p. A488-A488.</w:t>
      </w:r>
      <w:bookmarkEnd w:id="439"/>
    </w:p>
    <w:p w:rsidR="00330CF1" w:rsidRPr="00330CF1" w:rsidRDefault="00330CF1" w:rsidP="0009286C">
      <w:pPr>
        <w:ind w:left="720" w:hanging="720"/>
        <w:rPr>
          <w:rFonts w:ascii="Arial" w:hAnsi="Arial" w:cs="Arial"/>
          <w:noProof/>
        </w:rPr>
      </w:pPr>
      <w:bookmarkStart w:id="440" w:name="_ENREF_379"/>
      <w:r w:rsidRPr="00330CF1">
        <w:rPr>
          <w:rFonts w:ascii="Arial" w:hAnsi="Arial" w:cs="Arial"/>
          <w:noProof/>
        </w:rPr>
        <w:t>379.</w:t>
      </w:r>
      <w:r w:rsidRPr="00330CF1">
        <w:rPr>
          <w:rFonts w:ascii="Arial" w:hAnsi="Arial" w:cs="Arial"/>
          <w:noProof/>
        </w:rPr>
        <w:tab/>
        <w:t xml:space="preserve">Dibner, J.J. and P. Buttin, </w:t>
      </w:r>
      <w:r w:rsidRPr="00330CF1">
        <w:rPr>
          <w:rFonts w:ascii="Arial" w:hAnsi="Arial" w:cs="Arial"/>
          <w:i/>
          <w:noProof/>
        </w:rPr>
        <w:t>Use of organic acids as a model to study the impact of gut microflora on nutrition and metabolism.</w:t>
      </w:r>
      <w:r w:rsidRPr="00330CF1">
        <w:rPr>
          <w:rFonts w:ascii="Arial" w:hAnsi="Arial" w:cs="Arial"/>
          <w:noProof/>
        </w:rPr>
        <w:t xml:space="preserve"> Journal of Applied Poultry Research, 2002. </w:t>
      </w:r>
      <w:r w:rsidRPr="00330CF1">
        <w:rPr>
          <w:rFonts w:ascii="Arial" w:hAnsi="Arial" w:cs="Arial"/>
          <w:b/>
          <w:noProof/>
        </w:rPr>
        <w:t>11</w:t>
      </w:r>
      <w:r w:rsidRPr="00330CF1">
        <w:rPr>
          <w:rFonts w:ascii="Arial" w:hAnsi="Arial" w:cs="Arial"/>
          <w:noProof/>
        </w:rPr>
        <w:t>(4): p. 453-463.</w:t>
      </w:r>
      <w:bookmarkEnd w:id="440"/>
    </w:p>
    <w:p w:rsidR="00330CF1" w:rsidRPr="00330CF1" w:rsidRDefault="00330CF1" w:rsidP="0009286C">
      <w:pPr>
        <w:ind w:left="720" w:hanging="720"/>
        <w:rPr>
          <w:rFonts w:ascii="Arial" w:hAnsi="Arial" w:cs="Arial"/>
          <w:noProof/>
        </w:rPr>
      </w:pPr>
      <w:bookmarkStart w:id="441" w:name="_ENREF_380"/>
      <w:r w:rsidRPr="00330CF1">
        <w:rPr>
          <w:rFonts w:ascii="Arial" w:hAnsi="Arial" w:cs="Arial"/>
          <w:noProof/>
        </w:rPr>
        <w:t>380.</w:t>
      </w:r>
      <w:r w:rsidRPr="00330CF1">
        <w:rPr>
          <w:rFonts w:ascii="Arial" w:hAnsi="Arial" w:cs="Arial"/>
          <w:noProof/>
        </w:rPr>
        <w:tab/>
        <w:t xml:space="preserve">Puotinen, C.J., </w:t>
      </w:r>
      <w:r w:rsidRPr="00330CF1">
        <w:rPr>
          <w:rFonts w:ascii="Arial" w:hAnsi="Arial" w:cs="Arial"/>
          <w:i/>
          <w:noProof/>
        </w:rPr>
        <w:t>The encyclopedia of natural pet care</w:t>
      </w:r>
      <w:r w:rsidRPr="00330CF1">
        <w:rPr>
          <w:rFonts w:ascii="Arial" w:hAnsi="Arial" w:cs="Arial"/>
          <w:noProof/>
        </w:rPr>
        <w:t xml:space="preserve"> 2000, Los Angeles: Keats Pub.</w:t>
      </w:r>
      <w:bookmarkEnd w:id="441"/>
    </w:p>
    <w:p w:rsidR="00330CF1" w:rsidRPr="00330CF1" w:rsidRDefault="00330CF1" w:rsidP="0009286C">
      <w:pPr>
        <w:ind w:left="720" w:hanging="720"/>
        <w:rPr>
          <w:rFonts w:ascii="Arial" w:hAnsi="Arial" w:cs="Arial"/>
          <w:noProof/>
        </w:rPr>
      </w:pPr>
      <w:bookmarkStart w:id="442" w:name="_ENREF_381"/>
      <w:r w:rsidRPr="00330CF1">
        <w:rPr>
          <w:rFonts w:ascii="Arial" w:hAnsi="Arial" w:cs="Arial"/>
          <w:noProof/>
        </w:rPr>
        <w:t>381.</w:t>
      </w:r>
      <w:r w:rsidRPr="00330CF1">
        <w:rPr>
          <w:rFonts w:ascii="Arial" w:hAnsi="Arial" w:cs="Arial"/>
          <w:noProof/>
        </w:rPr>
        <w:tab/>
        <w:t xml:space="preserve">Shimizu, T., et al., </w:t>
      </w:r>
      <w:r w:rsidRPr="00330CF1">
        <w:rPr>
          <w:rFonts w:ascii="Arial" w:hAnsi="Arial" w:cs="Arial"/>
          <w:i/>
          <w:noProof/>
        </w:rPr>
        <w:t>Complete genome sequence of Clostridium perfringens, an anaerobic flesh-eater.</w:t>
      </w:r>
      <w:r w:rsidRPr="00330CF1">
        <w:rPr>
          <w:rFonts w:ascii="Arial" w:hAnsi="Arial" w:cs="Arial"/>
          <w:noProof/>
        </w:rPr>
        <w:t xml:space="preserve"> Proceedings of the National Academy of Sciences of the United States of America, 2002. </w:t>
      </w:r>
      <w:r w:rsidRPr="00330CF1">
        <w:rPr>
          <w:rFonts w:ascii="Arial" w:hAnsi="Arial" w:cs="Arial"/>
          <w:b/>
          <w:noProof/>
        </w:rPr>
        <w:t>99</w:t>
      </w:r>
      <w:r w:rsidRPr="00330CF1">
        <w:rPr>
          <w:rFonts w:ascii="Arial" w:hAnsi="Arial" w:cs="Arial"/>
          <w:noProof/>
        </w:rPr>
        <w:t>(2): p. 996-1001.</w:t>
      </w:r>
      <w:bookmarkEnd w:id="442"/>
    </w:p>
    <w:p w:rsidR="00330CF1" w:rsidRPr="00330CF1" w:rsidRDefault="00330CF1" w:rsidP="0009286C">
      <w:pPr>
        <w:ind w:left="720" w:hanging="720"/>
        <w:rPr>
          <w:rFonts w:ascii="Arial" w:hAnsi="Arial" w:cs="Arial"/>
          <w:noProof/>
        </w:rPr>
      </w:pPr>
      <w:bookmarkStart w:id="443" w:name="_ENREF_382"/>
      <w:r w:rsidRPr="00330CF1">
        <w:rPr>
          <w:rFonts w:ascii="Arial" w:hAnsi="Arial" w:cs="Arial"/>
          <w:noProof/>
        </w:rPr>
        <w:t>382.</w:t>
      </w:r>
      <w:r w:rsidRPr="00330CF1">
        <w:rPr>
          <w:rFonts w:ascii="Arial" w:hAnsi="Arial" w:cs="Arial"/>
          <w:noProof/>
        </w:rPr>
        <w:tab/>
        <w:t xml:space="preserve">van der Steen, I., et al., </w:t>
      </w:r>
      <w:r w:rsidRPr="00330CF1">
        <w:rPr>
          <w:rFonts w:ascii="Arial" w:hAnsi="Arial" w:cs="Arial"/>
          <w:i/>
          <w:noProof/>
        </w:rPr>
        <w:t>Dietary effects on the occurrence of Clostridium perfringens and its enterotoxin in the intestine of dogs.</w:t>
      </w:r>
      <w:r w:rsidRPr="00330CF1">
        <w:rPr>
          <w:rFonts w:ascii="Arial" w:hAnsi="Arial" w:cs="Arial"/>
          <w:noProof/>
        </w:rPr>
        <w:t xml:space="preserve"> Kleintierpraxis, 1997. </w:t>
      </w:r>
      <w:r w:rsidRPr="00330CF1">
        <w:rPr>
          <w:rFonts w:ascii="Arial" w:hAnsi="Arial" w:cs="Arial"/>
          <w:b/>
          <w:noProof/>
        </w:rPr>
        <w:t>42</w:t>
      </w:r>
      <w:r w:rsidRPr="00330CF1">
        <w:rPr>
          <w:rFonts w:ascii="Arial" w:hAnsi="Arial" w:cs="Arial"/>
          <w:noProof/>
        </w:rPr>
        <w:t>(11): p. 871-+.</w:t>
      </w:r>
      <w:bookmarkEnd w:id="443"/>
    </w:p>
    <w:p w:rsidR="00330CF1" w:rsidRPr="00330CF1" w:rsidRDefault="00330CF1" w:rsidP="0009286C">
      <w:pPr>
        <w:ind w:left="720" w:hanging="720"/>
        <w:rPr>
          <w:rFonts w:ascii="Arial" w:hAnsi="Arial" w:cs="Arial"/>
          <w:noProof/>
        </w:rPr>
      </w:pPr>
      <w:bookmarkStart w:id="444" w:name="_ENREF_383"/>
      <w:r w:rsidRPr="00330CF1">
        <w:rPr>
          <w:rFonts w:ascii="Arial" w:hAnsi="Arial" w:cs="Arial"/>
          <w:noProof/>
        </w:rPr>
        <w:t>383.</w:t>
      </w:r>
      <w:r w:rsidRPr="00330CF1">
        <w:rPr>
          <w:rFonts w:ascii="Arial" w:hAnsi="Arial" w:cs="Arial"/>
          <w:noProof/>
        </w:rPr>
        <w:tab/>
        <w:t xml:space="preserve">Drew, M.D., et al., </w:t>
      </w:r>
      <w:r w:rsidRPr="00330CF1">
        <w:rPr>
          <w:rFonts w:ascii="Arial" w:hAnsi="Arial" w:cs="Arial"/>
          <w:i/>
          <w:noProof/>
        </w:rPr>
        <w:t>Effects of dietary protein source and level on intestinal populations of Clostridium perfringens in broiler chickens.</w:t>
      </w:r>
      <w:r w:rsidRPr="00330CF1">
        <w:rPr>
          <w:rFonts w:ascii="Arial" w:hAnsi="Arial" w:cs="Arial"/>
          <w:noProof/>
        </w:rPr>
        <w:t xml:space="preserve"> Poultry Science, 2004. </w:t>
      </w:r>
      <w:r w:rsidRPr="00330CF1">
        <w:rPr>
          <w:rFonts w:ascii="Arial" w:hAnsi="Arial" w:cs="Arial"/>
          <w:b/>
          <w:noProof/>
        </w:rPr>
        <w:t>83</w:t>
      </w:r>
      <w:r w:rsidRPr="00330CF1">
        <w:rPr>
          <w:rFonts w:ascii="Arial" w:hAnsi="Arial" w:cs="Arial"/>
          <w:noProof/>
        </w:rPr>
        <w:t>(3): p. 414-420.</w:t>
      </w:r>
      <w:bookmarkEnd w:id="444"/>
    </w:p>
    <w:p w:rsidR="00330CF1" w:rsidRPr="00330CF1" w:rsidRDefault="00330CF1" w:rsidP="0009286C">
      <w:pPr>
        <w:ind w:left="720" w:hanging="720"/>
        <w:rPr>
          <w:rFonts w:ascii="Arial" w:hAnsi="Arial" w:cs="Arial"/>
          <w:noProof/>
        </w:rPr>
      </w:pPr>
      <w:bookmarkStart w:id="445" w:name="_ENREF_384"/>
      <w:r w:rsidRPr="00330CF1">
        <w:rPr>
          <w:rFonts w:ascii="Arial" w:hAnsi="Arial" w:cs="Arial"/>
          <w:noProof/>
        </w:rPr>
        <w:t>384.</w:t>
      </w:r>
      <w:r w:rsidRPr="00330CF1">
        <w:rPr>
          <w:rFonts w:ascii="Arial" w:hAnsi="Arial" w:cs="Arial"/>
          <w:noProof/>
        </w:rPr>
        <w:tab/>
        <w:t xml:space="preserve">Weese, J.S., et al., </w:t>
      </w:r>
      <w:r w:rsidRPr="00330CF1">
        <w:rPr>
          <w:rFonts w:ascii="Arial" w:hAnsi="Arial" w:cs="Arial"/>
          <w:i/>
          <w:noProof/>
        </w:rPr>
        <w:t>Suspected Clostridium difficile-associated diarrhea in two cats.</w:t>
      </w:r>
      <w:r w:rsidRPr="00330CF1">
        <w:rPr>
          <w:rFonts w:ascii="Arial" w:hAnsi="Arial" w:cs="Arial"/>
          <w:noProof/>
        </w:rPr>
        <w:t xml:space="preserve"> Journal of the American Veterinary Medical Association, 2001. </w:t>
      </w:r>
      <w:r w:rsidRPr="00330CF1">
        <w:rPr>
          <w:rFonts w:ascii="Arial" w:hAnsi="Arial" w:cs="Arial"/>
          <w:b/>
          <w:noProof/>
        </w:rPr>
        <w:t>218</w:t>
      </w:r>
      <w:r w:rsidRPr="00330CF1">
        <w:rPr>
          <w:rFonts w:ascii="Arial" w:hAnsi="Arial" w:cs="Arial"/>
          <w:noProof/>
        </w:rPr>
        <w:t>(9): p. 1436-1439.</w:t>
      </w:r>
      <w:bookmarkEnd w:id="445"/>
    </w:p>
    <w:p w:rsidR="00330CF1" w:rsidRPr="00330CF1" w:rsidRDefault="00330CF1" w:rsidP="0009286C">
      <w:pPr>
        <w:ind w:left="720" w:hanging="720"/>
        <w:rPr>
          <w:rFonts w:ascii="Arial" w:hAnsi="Arial" w:cs="Arial"/>
          <w:noProof/>
        </w:rPr>
      </w:pPr>
      <w:bookmarkStart w:id="446" w:name="_ENREF_385"/>
      <w:r w:rsidRPr="00330CF1">
        <w:rPr>
          <w:rFonts w:ascii="Arial" w:hAnsi="Arial" w:cs="Arial"/>
          <w:noProof/>
        </w:rPr>
        <w:t>385.</w:t>
      </w:r>
      <w:r w:rsidRPr="00330CF1">
        <w:rPr>
          <w:rFonts w:ascii="Arial" w:hAnsi="Arial" w:cs="Arial"/>
          <w:noProof/>
        </w:rPr>
        <w:tab/>
        <w:t xml:space="preserve">Borriello, S.P., et al., </w:t>
      </w:r>
      <w:r w:rsidRPr="00330CF1">
        <w:rPr>
          <w:rFonts w:ascii="Arial" w:hAnsi="Arial" w:cs="Arial"/>
          <w:i/>
          <w:noProof/>
        </w:rPr>
        <w:t>Household pets as a potential reservoir for Clostridium difficile infection.</w:t>
      </w:r>
      <w:r w:rsidRPr="00330CF1">
        <w:rPr>
          <w:rFonts w:ascii="Arial" w:hAnsi="Arial" w:cs="Arial"/>
          <w:noProof/>
        </w:rPr>
        <w:t xml:space="preserve"> Journal of Clinical Pathology, 1983. </w:t>
      </w:r>
      <w:r w:rsidRPr="00330CF1">
        <w:rPr>
          <w:rFonts w:ascii="Arial" w:hAnsi="Arial" w:cs="Arial"/>
          <w:b/>
          <w:noProof/>
        </w:rPr>
        <w:t>36</w:t>
      </w:r>
      <w:r w:rsidRPr="00330CF1">
        <w:rPr>
          <w:rFonts w:ascii="Arial" w:hAnsi="Arial" w:cs="Arial"/>
          <w:noProof/>
        </w:rPr>
        <w:t>(1): p. 84-87.</w:t>
      </w:r>
      <w:bookmarkEnd w:id="446"/>
    </w:p>
    <w:p w:rsidR="00330CF1" w:rsidRPr="00330CF1" w:rsidRDefault="00330CF1" w:rsidP="0009286C">
      <w:pPr>
        <w:ind w:left="720" w:hanging="720"/>
        <w:rPr>
          <w:rFonts w:ascii="Arial" w:hAnsi="Arial" w:cs="Arial"/>
          <w:noProof/>
        </w:rPr>
      </w:pPr>
      <w:bookmarkStart w:id="447" w:name="_ENREF_386"/>
      <w:r w:rsidRPr="00330CF1">
        <w:rPr>
          <w:rFonts w:ascii="Arial" w:hAnsi="Arial" w:cs="Arial"/>
          <w:noProof/>
        </w:rPr>
        <w:t>386.</w:t>
      </w:r>
      <w:r w:rsidRPr="00330CF1">
        <w:rPr>
          <w:rFonts w:ascii="Arial" w:hAnsi="Arial" w:cs="Arial"/>
          <w:noProof/>
        </w:rPr>
        <w:tab/>
        <w:t xml:space="preserve">United States Department of Agriculture Food Safety and Inspection Service. </w:t>
      </w:r>
      <w:r w:rsidRPr="00330CF1">
        <w:rPr>
          <w:rFonts w:ascii="Arial" w:hAnsi="Arial" w:cs="Arial"/>
          <w:i/>
          <w:noProof/>
        </w:rPr>
        <w:t xml:space="preserve">Salmonella Serotype Quarterly Results from Meat and Poultry Products: January–June 2011 </w:t>
      </w:r>
      <w:r w:rsidRPr="00330CF1">
        <w:rPr>
          <w:rFonts w:ascii="Arial" w:hAnsi="Arial" w:cs="Arial"/>
          <w:noProof/>
        </w:rPr>
        <w:t xml:space="preserve">2011  [Accessed: February 8, 2012]; Available from: </w:t>
      </w:r>
      <w:r w:rsidRPr="00330CF1">
        <w:rPr>
          <w:rFonts w:ascii="Arial" w:hAnsi="Arial" w:cs="Arial"/>
          <w:noProof/>
        </w:rPr>
        <w:lastRenderedPageBreak/>
        <w:t>http://www.fsis.usda.gov/Science/Q1-2_2011_Salmonella_Serotype_Results/index.asp.</w:t>
      </w:r>
      <w:bookmarkEnd w:id="447"/>
    </w:p>
    <w:p w:rsidR="00330CF1" w:rsidRPr="00330CF1" w:rsidRDefault="00330CF1" w:rsidP="0009286C">
      <w:pPr>
        <w:ind w:left="720" w:hanging="720"/>
        <w:rPr>
          <w:rFonts w:ascii="Arial" w:hAnsi="Arial" w:cs="Arial"/>
          <w:noProof/>
        </w:rPr>
      </w:pPr>
      <w:bookmarkStart w:id="448" w:name="_ENREF_387"/>
      <w:r w:rsidRPr="00330CF1">
        <w:rPr>
          <w:rFonts w:ascii="Arial" w:hAnsi="Arial" w:cs="Arial"/>
          <w:noProof/>
        </w:rPr>
        <w:t>387.</w:t>
      </w:r>
      <w:r w:rsidRPr="00330CF1">
        <w:rPr>
          <w:rFonts w:ascii="Arial" w:hAnsi="Arial" w:cs="Arial"/>
          <w:noProof/>
        </w:rPr>
        <w:tab/>
        <w:t xml:space="preserve">Nierenberg, D., </w:t>
      </w:r>
      <w:r w:rsidRPr="00330CF1">
        <w:rPr>
          <w:rFonts w:ascii="Arial" w:hAnsi="Arial" w:cs="Arial"/>
          <w:i/>
          <w:noProof/>
        </w:rPr>
        <w:t>Happier Meals Rethinking the Global Meat Industry</w:t>
      </w:r>
      <w:r w:rsidRPr="00330CF1">
        <w:rPr>
          <w:rFonts w:ascii="Arial" w:hAnsi="Arial" w:cs="Arial"/>
          <w:noProof/>
        </w:rPr>
        <w:t>, 2005, Worldwatch Institute: Washington D.C.</w:t>
      </w:r>
      <w:bookmarkEnd w:id="448"/>
    </w:p>
    <w:p w:rsidR="00330CF1" w:rsidRPr="00330CF1" w:rsidRDefault="00330CF1" w:rsidP="0009286C">
      <w:pPr>
        <w:rPr>
          <w:rFonts w:ascii="Arial" w:hAnsi="Arial" w:cs="Arial"/>
          <w:noProof/>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P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Default="00330CF1" w:rsidP="003D63DF">
      <w:pPr>
        <w:rPr>
          <w:rFonts w:ascii="Arial" w:hAnsi="Arial" w:cs="Arial"/>
        </w:rPr>
      </w:pPr>
    </w:p>
    <w:p w:rsidR="00330CF1" w:rsidRPr="00245BF0" w:rsidRDefault="00330CF1" w:rsidP="003D63DF">
      <w:pPr>
        <w:rPr>
          <w:rFonts w:ascii="Arial" w:hAnsi="Arial" w:cs="Arial"/>
        </w:rPr>
      </w:pPr>
    </w:p>
    <w:p w:rsidR="00330CF1" w:rsidRPr="00245BF0" w:rsidRDefault="00330CF1" w:rsidP="00873557">
      <w:pPr>
        <w:pStyle w:val="StyleHeading1Centered"/>
        <w:rPr>
          <w:rFonts w:cs="Arial"/>
        </w:rPr>
      </w:pPr>
      <w:bookmarkStart w:id="449" w:name="_Toc305485897"/>
      <w:r w:rsidRPr="00245BF0">
        <w:rPr>
          <w:rFonts w:cs="Arial"/>
        </w:rPr>
        <w:lastRenderedPageBreak/>
        <w:t>APPENDIX</w:t>
      </w:r>
      <w:bookmarkEnd w:id="449"/>
    </w:p>
    <w:p w:rsidR="00330CF1" w:rsidRPr="00245BF0" w:rsidRDefault="00330CF1" w:rsidP="00155FD0">
      <w:pPr>
        <w:pStyle w:val="StyleHeading1Centered"/>
        <w:rPr>
          <w:rFonts w:cs="Arial"/>
        </w:rPr>
      </w:pPr>
    </w:p>
    <w:p w:rsidR="00330CF1" w:rsidRPr="00245BF0" w:rsidRDefault="00330CF1" w:rsidP="00155FD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245BF0">
        <w:rPr>
          <w:rFonts w:ascii="Arial" w:hAnsi="Arial" w:cs="Arial"/>
          <w:b/>
        </w:rPr>
        <w:t>Table A-1</w:t>
      </w:r>
      <w:r w:rsidRPr="00245BF0">
        <w:rPr>
          <w:rFonts w:ascii="Arial" w:hAnsi="Arial" w:cs="Arial"/>
        </w:rPr>
        <w:t xml:space="preserve"> Male weekly weight (grams) over 10 week feeding trial </w:t>
      </w:r>
    </w:p>
    <w:p w:rsidR="00330CF1" w:rsidRPr="00245BF0" w:rsidRDefault="00330CF1" w:rsidP="00155FD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color w:val="C00000"/>
        </w:rPr>
      </w:pPr>
      <w:r w:rsidRPr="00245BF0">
        <w:rPr>
          <w:rFonts w:ascii="Arial" w:hAnsi="Arial" w:cs="Arial"/>
        </w:rPr>
        <w:t>by diet treatment (Mean ± SEM)</w:t>
      </w:r>
    </w:p>
    <w:p w:rsidR="00330CF1" w:rsidRPr="00245BF0" w:rsidRDefault="00330CF1" w:rsidP="00155FD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bl>
      <w:tblPr>
        <w:tblStyle w:val="TableGrid"/>
        <w:tblW w:w="9108" w:type="dxa"/>
        <w:tblLook w:val="04A0" w:firstRow="1" w:lastRow="0" w:firstColumn="1" w:lastColumn="0" w:noHBand="0" w:noVBand="1"/>
      </w:tblPr>
      <w:tblGrid>
        <w:gridCol w:w="1098"/>
        <w:gridCol w:w="2700"/>
        <w:gridCol w:w="2610"/>
        <w:gridCol w:w="2700"/>
      </w:tblGrid>
      <w:tr w:rsidR="00330CF1" w:rsidRPr="00245BF0" w:rsidTr="00E321CF">
        <w:trPr>
          <w:trHeight w:val="392"/>
        </w:trPr>
        <w:tc>
          <w:tcPr>
            <w:tcW w:w="1098" w:type="dxa"/>
          </w:tcPr>
          <w:p w:rsidR="00330CF1" w:rsidRPr="00245BF0"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245BF0">
              <w:rPr>
                <w:rFonts w:ascii="Arial" w:hAnsi="Arial" w:cs="Arial"/>
              </w:rPr>
              <w:t>Week</w:t>
            </w:r>
          </w:p>
        </w:tc>
        <w:tc>
          <w:tcPr>
            <w:tcW w:w="2700" w:type="dxa"/>
          </w:tcPr>
          <w:p w:rsidR="00330CF1" w:rsidRPr="00245BF0"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245BF0">
              <w:rPr>
                <w:rFonts w:ascii="Arial" w:hAnsi="Arial" w:cs="Arial"/>
              </w:rPr>
              <w:t>Control</w:t>
            </w:r>
          </w:p>
        </w:tc>
        <w:tc>
          <w:tcPr>
            <w:tcW w:w="2610" w:type="dxa"/>
          </w:tcPr>
          <w:p w:rsidR="00330CF1" w:rsidRPr="00245BF0"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245BF0">
              <w:rPr>
                <w:rFonts w:ascii="Arial" w:hAnsi="Arial" w:cs="Arial"/>
              </w:rPr>
              <w:t>Commercial Raw</w:t>
            </w:r>
          </w:p>
        </w:tc>
        <w:tc>
          <w:tcPr>
            <w:tcW w:w="2700" w:type="dxa"/>
          </w:tcPr>
          <w:p w:rsidR="00330CF1" w:rsidRPr="00245BF0"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245BF0">
              <w:rPr>
                <w:rFonts w:ascii="Arial" w:hAnsi="Arial" w:cs="Arial"/>
              </w:rPr>
              <w:t>Homemade Raw</w:t>
            </w:r>
          </w:p>
        </w:tc>
      </w:tr>
      <w:tr w:rsidR="00330CF1" w:rsidRPr="00620EC3" w:rsidTr="00E321CF">
        <w:trPr>
          <w:trHeight w:val="369"/>
        </w:trPr>
        <w:tc>
          <w:tcPr>
            <w:tcW w:w="1098"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620EC3">
              <w:rPr>
                <w:rFonts w:ascii="Arial" w:hAnsi="Arial" w:cs="Arial"/>
              </w:rPr>
              <w:t>0</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1237</w:t>
            </w:r>
            <w:r>
              <w:rPr>
                <w:rFonts w:ascii="Arial" w:hAnsi="Arial" w:cs="Arial"/>
              </w:rPr>
              <w:t xml:space="preserve"> ± 53.37</w:t>
            </w:r>
          </w:p>
        </w:tc>
        <w:tc>
          <w:tcPr>
            <w:tcW w:w="261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1083 ± 49.53</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1172.5</w:t>
            </w:r>
            <w:r>
              <w:rPr>
                <w:rFonts w:ascii="Arial" w:hAnsi="Arial" w:cs="Arial"/>
              </w:rPr>
              <w:t xml:space="preserve"> ± 58.77</w:t>
            </w:r>
          </w:p>
        </w:tc>
      </w:tr>
      <w:tr w:rsidR="00330CF1" w:rsidRPr="00620EC3" w:rsidTr="00E321CF">
        <w:trPr>
          <w:trHeight w:val="392"/>
        </w:trPr>
        <w:tc>
          <w:tcPr>
            <w:tcW w:w="1098"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620EC3">
              <w:rPr>
                <w:rFonts w:ascii="Arial" w:hAnsi="Arial" w:cs="Arial"/>
              </w:rPr>
              <w:t>1</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1268.6</w:t>
            </w:r>
            <w:r>
              <w:rPr>
                <w:rFonts w:ascii="Arial" w:hAnsi="Arial" w:cs="Arial"/>
              </w:rPr>
              <w:t xml:space="preserve"> ± 50.76</w:t>
            </w:r>
          </w:p>
        </w:tc>
        <w:tc>
          <w:tcPr>
            <w:tcW w:w="261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1293.6 ± 72.20</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1375</w:t>
            </w:r>
            <w:r>
              <w:rPr>
                <w:rFonts w:ascii="Arial" w:hAnsi="Arial" w:cs="Arial"/>
              </w:rPr>
              <w:t xml:space="preserve"> ± 66.19</w:t>
            </w:r>
          </w:p>
        </w:tc>
      </w:tr>
      <w:tr w:rsidR="00330CF1" w:rsidRPr="00620EC3" w:rsidTr="00E321CF">
        <w:trPr>
          <w:trHeight w:val="392"/>
        </w:trPr>
        <w:tc>
          <w:tcPr>
            <w:tcW w:w="1098"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620EC3">
              <w:rPr>
                <w:rFonts w:ascii="Arial" w:hAnsi="Arial" w:cs="Arial"/>
              </w:rPr>
              <w:t>2</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1398.4</w:t>
            </w:r>
            <w:r>
              <w:rPr>
                <w:rFonts w:ascii="Arial" w:hAnsi="Arial" w:cs="Arial"/>
              </w:rPr>
              <w:t xml:space="preserve"> ± 59.93</w:t>
            </w:r>
          </w:p>
        </w:tc>
        <w:tc>
          <w:tcPr>
            <w:tcW w:w="261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1450.8 ± 64.71</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1570.8</w:t>
            </w:r>
            <w:r>
              <w:rPr>
                <w:rFonts w:ascii="Arial" w:hAnsi="Arial" w:cs="Arial"/>
              </w:rPr>
              <w:t xml:space="preserve"> ± 102.89</w:t>
            </w:r>
          </w:p>
        </w:tc>
      </w:tr>
      <w:tr w:rsidR="00330CF1" w:rsidRPr="00620EC3" w:rsidTr="00E321CF">
        <w:trPr>
          <w:trHeight w:val="369"/>
        </w:trPr>
        <w:tc>
          <w:tcPr>
            <w:tcW w:w="1098"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620EC3">
              <w:rPr>
                <w:rFonts w:ascii="Arial" w:hAnsi="Arial" w:cs="Arial"/>
              </w:rPr>
              <w:t>3</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1536</w:t>
            </w:r>
            <w:r>
              <w:rPr>
                <w:rFonts w:ascii="Arial" w:hAnsi="Arial" w:cs="Arial"/>
              </w:rPr>
              <w:t xml:space="preserve"> ± 56.61</w:t>
            </w:r>
          </w:p>
        </w:tc>
        <w:tc>
          <w:tcPr>
            <w:tcW w:w="261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1644.6 ± 139.23</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1691.5</w:t>
            </w:r>
            <w:r>
              <w:rPr>
                <w:rFonts w:ascii="Arial" w:hAnsi="Arial" w:cs="Arial"/>
              </w:rPr>
              <w:t xml:space="preserve"> ± 63.84</w:t>
            </w:r>
          </w:p>
        </w:tc>
      </w:tr>
      <w:tr w:rsidR="00330CF1" w:rsidRPr="00620EC3" w:rsidTr="00E321CF">
        <w:trPr>
          <w:trHeight w:val="392"/>
        </w:trPr>
        <w:tc>
          <w:tcPr>
            <w:tcW w:w="1098"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620EC3">
              <w:rPr>
                <w:rFonts w:ascii="Arial" w:hAnsi="Arial" w:cs="Arial"/>
              </w:rPr>
              <w:t>4</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1696.6</w:t>
            </w:r>
            <w:r>
              <w:rPr>
                <w:rFonts w:ascii="Arial" w:hAnsi="Arial" w:cs="Arial"/>
              </w:rPr>
              <w:t xml:space="preserve"> ± 100.66</w:t>
            </w:r>
          </w:p>
        </w:tc>
        <w:tc>
          <w:tcPr>
            <w:tcW w:w="261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1795.6 ± 145.17</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1893.3</w:t>
            </w:r>
            <w:r>
              <w:rPr>
                <w:rFonts w:ascii="Arial" w:hAnsi="Arial" w:cs="Arial"/>
              </w:rPr>
              <w:t xml:space="preserve"> ± 94.37</w:t>
            </w:r>
          </w:p>
        </w:tc>
      </w:tr>
      <w:tr w:rsidR="00330CF1" w:rsidRPr="00620EC3" w:rsidTr="00E321CF">
        <w:trPr>
          <w:trHeight w:val="392"/>
        </w:trPr>
        <w:tc>
          <w:tcPr>
            <w:tcW w:w="1098"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620EC3">
              <w:rPr>
                <w:rFonts w:ascii="Arial" w:hAnsi="Arial" w:cs="Arial"/>
              </w:rPr>
              <w:t>5</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1919.2</w:t>
            </w:r>
            <w:r>
              <w:rPr>
                <w:rFonts w:ascii="Arial" w:hAnsi="Arial" w:cs="Arial"/>
              </w:rPr>
              <w:t xml:space="preserve"> ±128.33</w:t>
            </w:r>
          </w:p>
        </w:tc>
        <w:tc>
          <w:tcPr>
            <w:tcW w:w="261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1895 ± 135.03</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2056</w:t>
            </w:r>
            <w:r>
              <w:rPr>
                <w:rFonts w:ascii="Arial" w:hAnsi="Arial" w:cs="Arial"/>
              </w:rPr>
              <w:t xml:space="preserve"> ± 94.94</w:t>
            </w:r>
          </w:p>
        </w:tc>
      </w:tr>
      <w:tr w:rsidR="00330CF1" w:rsidRPr="00620EC3" w:rsidTr="00E321CF">
        <w:trPr>
          <w:trHeight w:val="369"/>
        </w:trPr>
        <w:tc>
          <w:tcPr>
            <w:tcW w:w="1098"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620EC3">
              <w:rPr>
                <w:rFonts w:ascii="Arial" w:hAnsi="Arial" w:cs="Arial"/>
              </w:rPr>
              <w:t>6</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2083.4</w:t>
            </w:r>
            <w:r>
              <w:rPr>
                <w:rFonts w:ascii="Arial" w:hAnsi="Arial" w:cs="Arial"/>
              </w:rPr>
              <w:t xml:space="preserve"> ± 141.98</w:t>
            </w:r>
          </w:p>
        </w:tc>
        <w:tc>
          <w:tcPr>
            <w:tcW w:w="261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2017 ± 126.76</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2204.3</w:t>
            </w:r>
            <w:r>
              <w:rPr>
                <w:rFonts w:ascii="Arial" w:hAnsi="Arial" w:cs="Arial"/>
              </w:rPr>
              <w:t xml:space="preserve"> ± 81.14</w:t>
            </w:r>
          </w:p>
        </w:tc>
      </w:tr>
      <w:tr w:rsidR="00330CF1" w:rsidRPr="00620EC3" w:rsidTr="00E321CF">
        <w:trPr>
          <w:trHeight w:val="392"/>
        </w:trPr>
        <w:tc>
          <w:tcPr>
            <w:tcW w:w="1098"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620EC3">
              <w:rPr>
                <w:rFonts w:ascii="Arial" w:hAnsi="Arial" w:cs="Arial"/>
              </w:rPr>
              <w:t>7</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2222.8</w:t>
            </w:r>
            <w:r>
              <w:rPr>
                <w:rFonts w:ascii="Arial" w:hAnsi="Arial" w:cs="Arial"/>
              </w:rPr>
              <w:t xml:space="preserve"> ± 140.88</w:t>
            </w:r>
          </w:p>
        </w:tc>
        <w:tc>
          <w:tcPr>
            <w:tcW w:w="261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2236 ± 152.53</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2394</w:t>
            </w:r>
            <w:r>
              <w:rPr>
                <w:rFonts w:ascii="Arial" w:hAnsi="Arial" w:cs="Arial"/>
              </w:rPr>
              <w:t xml:space="preserve"> ± 92.67</w:t>
            </w:r>
          </w:p>
        </w:tc>
      </w:tr>
      <w:tr w:rsidR="00330CF1" w:rsidRPr="00620EC3" w:rsidTr="00E321CF">
        <w:trPr>
          <w:trHeight w:val="392"/>
        </w:trPr>
        <w:tc>
          <w:tcPr>
            <w:tcW w:w="1098"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620EC3">
              <w:rPr>
                <w:rFonts w:ascii="Arial" w:hAnsi="Arial" w:cs="Arial"/>
              </w:rPr>
              <w:t>8</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2470.8</w:t>
            </w:r>
            <w:r>
              <w:rPr>
                <w:rFonts w:ascii="Arial" w:hAnsi="Arial" w:cs="Arial"/>
              </w:rPr>
              <w:t xml:space="preserve"> ± 133.67</w:t>
            </w:r>
          </w:p>
        </w:tc>
        <w:tc>
          <w:tcPr>
            <w:tcW w:w="261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2434.8 ± 163.07</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2636.83</w:t>
            </w:r>
            <w:r>
              <w:rPr>
                <w:rFonts w:ascii="Arial" w:hAnsi="Arial" w:cs="Arial"/>
              </w:rPr>
              <w:t xml:space="preserve"> ± 109.09</w:t>
            </w:r>
          </w:p>
        </w:tc>
      </w:tr>
      <w:tr w:rsidR="00330CF1" w:rsidRPr="00620EC3" w:rsidTr="00E321CF">
        <w:trPr>
          <w:trHeight w:val="369"/>
        </w:trPr>
        <w:tc>
          <w:tcPr>
            <w:tcW w:w="1098"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620EC3">
              <w:rPr>
                <w:rFonts w:ascii="Arial" w:hAnsi="Arial" w:cs="Arial"/>
              </w:rPr>
              <w:t>9</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2627.2</w:t>
            </w:r>
            <w:r>
              <w:rPr>
                <w:rFonts w:ascii="Arial" w:hAnsi="Arial" w:cs="Arial"/>
              </w:rPr>
              <w:t xml:space="preserve"> ± 122.03</w:t>
            </w:r>
          </w:p>
        </w:tc>
        <w:tc>
          <w:tcPr>
            <w:tcW w:w="261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2542.4 ± 169.58</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2714.5</w:t>
            </w:r>
            <w:r>
              <w:rPr>
                <w:rFonts w:ascii="Arial" w:hAnsi="Arial" w:cs="Arial"/>
              </w:rPr>
              <w:t xml:space="preserve"> ± 92.36</w:t>
            </w:r>
          </w:p>
        </w:tc>
      </w:tr>
      <w:tr w:rsidR="00330CF1" w:rsidRPr="00620EC3" w:rsidTr="00E321CF">
        <w:trPr>
          <w:trHeight w:val="278"/>
        </w:trPr>
        <w:tc>
          <w:tcPr>
            <w:tcW w:w="1098"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620EC3">
              <w:rPr>
                <w:rFonts w:ascii="Arial" w:hAnsi="Arial" w:cs="Arial"/>
              </w:rPr>
              <w:t>10</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263</w:t>
            </w:r>
            <w:r w:rsidRPr="00620EC3">
              <w:rPr>
                <w:rFonts w:ascii="Arial" w:hAnsi="Arial" w:cs="Arial"/>
              </w:rPr>
              <w:t>3.6</w:t>
            </w:r>
            <w:r>
              <w:rPr>
                <w:rFonts w:ascii="Arial" w:hAnsi="Arial" w:cs="Arial"/>
              </w:rPr>
              <w:t xml:space="preserve"> ± 161.00</w:t>
            </w:r>
          </w:p>
        </w:tc>
        <w:tc>
          <w:tcPr>
            <w:tcW w:w="261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rPr>
              <w:t>2668.6 ± 180.72</w:t>
            </w:r>
          </w:p>
        </w:tc>
        <w:tc>
          <w:tcPr>
            <w:tcW w:w="2700" w:type="dxa"/>
          </w:tcPr>
          <w:p w:rsidR="00330CF1" w:rsidRPr="00620EC3" w:rsidRDefault="00330CF1" w:rsidP="00A8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620EC3">
              <w:rPr>
                <w:rFonts w:ascii="Arial" w:hAnsi="Arial" w:cs="Arial"/>
              </w:rPr>
              <w:t>2828.7</w:t>
            </w:r>
            <w:r>
              <w:rPr>
                <w:rFonts w:ascii="Arial" w:hAnsi="Arial" w:cs="Arial"/>
              </w:rPr>
              <w:t xml:space="preserve"> ± 101.38</w:t>
            </w:r>
          </w:p>
        </w:tc>
      </w:tr>
    </w:tbl>
    <w:p w:rsidR="00330CF1" w:rsidRDefault="00330CF1" w:rsidP="00155FD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330CF1" w:rsidRDefault="00330CF1" w:rsidP="00155FD0">
      <w:pPr>
        <w:jc w:val="center"/>
        <w:rPr>
          <w:rFonts w:ascii="Arial" w:hAnsi="Arial" w:cs="Arial"/>
        </w:rPr>
      </w:pPr>
    </w:p>
    <w:p w:rsidR="00330CF1" w:rsidRDefault="00330CF1" w:rsidP="00155FD0">
      <w:pPr>
        <w:jc w:val="center"/>
        <w:rPr>
          <w:rFonts w:ascii="Arial" w:hAnsi="Arial" w:cs="Arial"/>
        </w:rPr>
      </w:pPr>
    </w:p>
    <w:p w:rsidR="00330CF1" w:rsidRDefault="00330CF1" w:rsidP="00155FD0">
      <w:pPr>
        <w:jc w:val="center"/>
        <w:rPr>
          <w:rFonts w:ascii="Arial" w:hAnsi="Arial" w:cs="Arial"/>
        </w:rPr>
      </w:pPr>
    </w:p>
    <w:p w:rsidR="00330CF1" w:rsidRPr="00270113" w:rsidRDefault="00330CF1" w:rsidP="00155FD0">
      <w:pPr>
        <w:jc w:val="center"/>
        <w:rPr>
          <w:rFonts w:ascii="Arial" w:hAnsi="Arial" w:cs="Arial"/>
        </w:rPr>
      </w:pPr>
      <w:r w:rsidRPr="00270113">
        <w:rPr>
          <w:rFonts w:ascii="Arial" w:hAnsi="Arial" w:cs="Arial"/>
          <w:b/>
        </w:rPr>
        <w:t>Table A-2</w:t>
      </w:r>
      <w:r w:rsidRPr="00270113">
        <w:rPr>
          <w:rFonts w:ascii="Arial" w:hAnsi="Arial" w:cs="Arial"/>
        </w:rPr>
        <w:t xml:space="preserve"> Female</w:t>
      </w:r>
      <w:r>
        <w:rPr>
          <w:rFonts w:ascii="Arial" w:hAnsi="Arial" w:cs="Arial"/>
        </w:rPr>
        <w:t xml:space="preserve"> weekly w</w:t>
      </w:r>
      <w:r w:rsidRPr="00270113">
        <w:rPr>
          <w:rFonts w:ascii="Arial" w:hAnsi="Arial" w:cs="Arial"/>
        </w:rPr>
        <w:t xml:space="preserve">eight (grams) over 10 week feeding trial </w:t>
      </w:r>
    </w:p>
    <w:p w:rsidR="00330CF1" w:rsidRPr="00EA33C6" w:rsidRDefault="00330CF1" w:rsidP="00155FD0">
      <w:pPr>
        <w:jc w:val="center"/>
        <w:rPr>
          <w:rFonts w:ascii="Arial" w:hAnsi="Arial" w:cs="Arial"/>
          <w:color w:val="C00000"/>
        </w:rPr>
      </w:pPr>
      <w:r w:rsidRPr="00270113">
        <w:rPr>
          <w:rFonts w:ascii="Arial" w:hAnsi="Arial" w:cs="Arial"/>
        </w:rPr>
        <w:t>by diet treatment (Mean ± SEM)</w:t>
      </w:r>
    </w:p>
    <w:p w:rsidR="00330CF1" w:rsidRPr="00127CC4" w:rsidRDefault="00330CF1" w:rsidP="00155FD0">
      <w:pPr>
        <w:jc w:val="center"/>
        <w:rPr>
          <w:rFonts w:ascii="Arial" w:hAnsi="Arial" w:cs="Arial"/>
        </w:rPr>
      </w:pPr>
    </w:p>
    <w:tbl>
      <w:tblPr>
        <w:tblStyle w:val="TableGrid"/>
        <w:tblW w:w="9108" w:type="dxa"/>
        <w:tblLook w:val="04A0" w:firstRow="1" w:lastRow="0" w:firstColumn="1" w:lastColumn="0" w:noHBand="0" w:noVBand="1"/>
      </w:tblPr>
      <w:tblGrid>
        <w:gridCol w:w="1098"/>
        <w:gridCol w:w="2700"/>
        <w:gridCol w:w="2610"/>
        <w:gridCol w:w="2700"/>
      </w:tblGrid>
      <w:tr w:rsidR="00330CF1" w:rsidRPr="00127CC4" w:rsidTr="00E321CF">
        <w:trPr>
          <w:trHeight w:val="306"/>
        </w:trPr>
        <w:tc>
          <w:tcPr>
            <w:tcW w:w="1098" w:type="dxa"/>
          </w:tcPr>
          <w:p w:rsidR="00330CF1" w:rsidRPr="00127CC4" w:rsidRDefault="00330CF1" w:rsidP="00A80C8A">
            <w:pPr>
              <w:rPr>
                <w:rFonts w:ascii="Arial" w:hAnsi="Arial" w:cs="Arial"/>
              </w:rPr>
            </w:pPr>
            <w:r w:rsidRPr="00127CC4">
              <w:rPr>
                <w:rFonts w:ascii="Arial" w:hAnsi="Arial" w:cs="Arial"/>
              </w:rPr>
              <w:t>Week</w:t>
            </w:r>
          </w:p>
        </w:tc>
        <w:tc>
          <w:tcPr>
            <w:tcW w:w="2700" w:type="dxa"/>
          </w:tcPr>
          <w:p w:rsidR="00330CF1" w:rsidRPr="00127CC4" w:rsidRDefault="00330CF1" w:rsidP="00A80C8A">
            <w:pPr>
              <w:jc w:val="center"/>
              <w:rPr>
                <w:rFonts w:ascii="Arial" w:hAnsi="Arial" w:cs="Arial"/>
              </w:rPr>
            </w:pPr>
            <w:r>
              <w:rPr>
                <w:rFonts w:ascii="Arial" w:hAnsi="Arial" w:cs="Arial"/>
              </w:rPr>
              <w:t>Control</w:t>
            </w:r>
          </w:p>
        </w:tc>
        <w:tc>
          <w:tcPr>
            <w:tcW w:w="2610" w:type="dxa"/>
          </w:tcPr>
          <w:p w:rsidR="00330CF1" w:rsidRPr="00127CC4" w:rsidRDefault="00330CF1" w:rsidP="00A80C8A">
            <w:pPr>
              <w:jc w:val="center"/>
              <w:rPr>
                <w:rFonts w:ascii="Arial" w:hAnsi="Arial" w:cs="Arial"/>
              </w:rPr>
            </w:pPr>
            <w:r>
              <w:rPr>
                <w:rFonts w:ascii="Arial" w:hAnsi="Arial" w:cs="Arial"/>
              </w:rPr>
              <w:t>Commercial Raw</w:t>
            </w:r>
          </w:p>
        </w:tc>
        <w:tc>
          <w:tcPr>
            <w:tcW w:w="2700" w:type="dxa"/>
          </w:tcPr>
          <w:p w:rsidR="00330CF1" w:rsidRPr="00127CC4" w:rsidRDefault="00330CF1" w:rsidP="00A80C8A">
            <w:pPr>
              <w:jc w:val="center"/>
              <w:rPr>
                <w:rFonts w:ascii="Arial" w:hAnsi="Arial" w:cs="Arial"/>
              </w:rPr>
            </w:pPr>
            <w:r>
              <w:rPr>
                <w:rFonts w:ascii="Arial" w:hAnsi="Arial" w:cs="Arial"/>
              </w:rPr>
              <w:t>Homemade Raw</w:t>
            </w:r>
          </w:p>
        </w:tc>
      </w:tr>
      <w:tr w:rsidR="00330CF1" w:rsidRPr="00127CC4" w:rsidTr="00E321CF">
        <w:trPr>
          <w:trHeight w:val="288"/>
        </w:trPr>
        <w:tc>
          <w:tcPr>
            <w:tcW w:w="1098" w:type="dxa"/>
          </w:tcPr>
          <w:p w:rsidR="00330CF1" w:rsidRPr="00127CC4" w:rsidRDefault="00330CF1" w:rsidP="00A80C8A">
            <w:pPr>
              <w:rPr>
                <w:rFonts w:ascii="Arial" w:hAnsi="Arial" w:cs="Arial"/>
              </w:rPr>
            </w:pPr>
            <w:r w:rsidRPr="00127CC4">
              <w:rPr>
                <w:rFonts w:ascii="Arial" w:hAnsi="Arial" w:cs="Arial"/>
              </w:rPr>
              <w:t>0</w:t>
            </w:r>
          </w:p>
        </w:tc>
        <w:tc>
          <w:tcPr>
            <w:tcW w:w="2700" w:type="dxa"/>
          </w:tcPr>
          <w:p w:rsidR="00330CF1" w:rsidRPr="00127CC4" w:rsidRDefault="00330CF1" w:rsidP="00A80C8A">
            <w:pPr>
              <w:jc w:val="center"/>
              <w:rPr>
                <w:rFonts w:ascii="Arial" w:hAnsi="Arial" w:cs="Arial"/>
              </w:rPr>
            </w:pPr>
            <w:r w:rsidRPr="00127CC4">
              <w:rPr>
                <w:rFonts w:ascii="Arial" w:hAnsi="Arial" w:cs="Arial"/>
              </w:rPr>
              <w:t>1124.3 ± 32.63</w:t>
            </w:r>
          </w:p>
        </w:tc>
        <w:tc>
          <w:tcPr>
            <w:tcW w:w="2610" w:type="dxa"/>
          </w:tcPr>
          <w:p w:rsidR="00330CF1" w:rsidRPr="00127CC4" w:rsidRDefault="00330CF1" w:rsidP="00A80C8A">
            <w:pPr>
              <w:jc w:val="center"/>
              <w:rPr>
                <w:rFonts w:ascii="Arial" w:hAnsi="Arial" w:cs="Arial"/>
              </w:rPr>
            </w:pPr>
            <w:r w:rsidRPr="00127CC4">
              <w:rPr>
                <w:rFonts w:ascii="Arial" w:hAnsi="Arial" w:cs="Arial"/>
              </w:rPr>
              <w:t>1098.33 ± 41.55</w:t>
            </w:r>
          </w:p>
        </w:tc>
        <w:tc>
          <w:tcPr>
            <w:tcW w:w="2700" w:type="dxa"/>
          </w:tcPr>
          <w:p w:rsidR="00330CF1" w:rsidRPr="00127CC4" w:rsidRDefault="00330CF1" w:rsidP="00A80C8A">
            <w:pPr>
              <w:jc w:val="center"/>
              <w:rPr>
                <w:rFonts w:ascii="Arial" w:hAnsi="Arial" w:cs="Arial"/>
              </w:rPr>
            </w:pPr>
            <w:r w:rsidRPr="00127CC4">
              <w:rPr>
                <w:rFonts w:ascii="Arial" w:hAnsi="Arial" w:cs="Arial"/>
              </w:rPr>
              <w:t>1114 ± 78</w:t>
            </w:r>
          </w:p>
        </w:tc>
      </w:tr>
      <w:tr w:rsidR="00330CF1" w:rsidRPr="00127CC4" w:rsidTr="00E321CF">
        <w:trPr>
          <w:trHeight w:val="306"/>
        </w:trPr>
        <w:tc>
          <w:tcPr>
            <w:tcW w:w="1098" w:type="dxa"/>
          </w:tcPr>
          <w:p w:rsidR="00330CF1" w:rsidRPr="00127CC4" w:rsidRDefault="00330CF1" w:rsidP="00A80C8A">
            <w:pPr>
              <w:rPr>
                <w:rFonts w:ascii="Arial" w:hAnsi="Arial" w:cs="Arial"/>
              </w:rPr>
            </w:pPr>
            <w:r w:rsidRPr="00127CC4">
              <w:rPr>
                <w:rFonts w:ascii="Arial" w:hAnsi="Arial" w:cs="Arial"/>
              </w:rPr>
              <w:t>1</w:t>
            </w:r>
          </w:p>
        </w:tc>
        <w:tc>
          <w:tcPr>
            <w:tcW w:w="2700" w:type="dxa"/>
          </w:tcPr>
          <w:p w:rsidR="00330CF1" w:rsidRPr="00127CC4" w:rsidRDefault="00330CF1" w:rsidP="00A80C8A">
            <w:pPr>
              <w:jc w:val="center"/>
              <w:rPr>
                <w:rFonts w:ascii="Arial" w:hAnsi="Arial" w:cs="Arial"/>
              </w:rPr>
            </w:pPr>
            <w:r w:rsidRPr="00127CC4">
              <w:rPr>
                <w:rFonts w:ascii="Arial" w:hAnsi="Arial" w:cs="Arial"/>
              </w:rPr>
              <w:t>1210.7 ± 22.60</w:t>
            </w:r>
          </w:p>
        </w:tc>
        <w:tc>
          <w:tcPr>
            <w:tcW w:w="2610" w:type="dxa"/>
          </w:tcPr>
          <w:p w:rsidR="00330CF1" w:rsidRPr="00127CC4" w:rsidRDefault="00330CF1" w:rsidP="00A80C8A">
            <w:pPr>
              <w:jc w:val="center"/>
              <w:rPr>
                <w:rFonts w:ascii="Arial" w:hAnsi="Arial" w:cs="Arial"/>
              </w:rPr>
            </w:pPr>
            <w:r w:rsidRPr="00127CC4">
              <w:rPr>
                <w:rFonts w:ascii="Arial" w:hAnsi="Arial" w:cs="Arial"/>
              </w:rPr>
              <w:t>1242.33 ± 34.04</w:t>
            </w:r>
          </w:p>
        </w:tc>
        <w:tc>
          <w:tcPr>
            <w:tcW w:w="2700" w:type="dxa"/>
          </w:tcPr>
          <w:p w:rsidR="00330CF1" w:rsidRPr="00127CC4" w:rsidRDefault="00330CF1" w:rsidP="00A80C8A">
            <w:pPr>
              <w:jc w:val="center"/>
              <w:rPr>
                <w:rFonts w:ascii="Arial" w:hAnsi="Arial" w:cs="Arial"/>
              </w:rPr>
            </w:pPr>
            <w:r w:rsidRPr="00127CC4">
              <w:rPr>
                <w:rFonts w:ascii="Arial" w:hAnsi="Arial" w:cs="Arial"/>
              </w:rPr>
              <w:t>1235 ± 58</w:t>
            </w:r>
          </w:p>
        </w:tc>
      </w:tr>
      <w:tr w:rsidR="00330CF1" w:rsidRPr="00127CC4" w:rsidTr="00E321CF">
        <w:trPr>
          <w:trHeight w:val="306"/>
        </w:trPr>
        <w:tc>
          <w:tcPr>
            <w:tcW w:w="1098" w:type="dxa"/>
          </w:tcPr>
          <w:p w:rsidR="00330CF1" w:rsidRPr="00127CC4" w:rsidRDefault="00330CF1" w:rsidP="00A80C8A">
            <w:pPr>
              <w:rPr>
                <w:rFonts w:ascii="Arial" w:hAnsi="Arial" w:cs="Arial"/>
              </w:rPr>
            </w:pPr>
            <w:r w:rsidRPr="00127CC4">
              <w:rPr>
                <w:rFonts w:ascii="Arial" w:hAnsi="Arial" w:cs="Arial"/>
              </w:rPr>
              <w:t>2</w:t>
            </w:r>
          </w:p>
        </w:tc>
        <w:tc>
          <w:tcPr>
            <w:tcW w:w="2700" w:type="dxa"/>
          </w:tcPr>
          <w:p w:rsidR="00330CF1" w:rsidRPr="00127CC4" w:rsidRDefault="00330CF1" w:rsidP="00A80C8A">
            <w:pPr>
              <w:jc w:val="center"/>
              <w:rPr>
                <w:rFonts w:ascii="Arial" w:hAnsi="Arial" w:cs="Arial"/>
              </w:rPr>
            </w:pPr>
            <w:r w:rsidRPr="00127CC4">
              <w:rPr>
                <w:rFonts w:ascii="Arial" w:hAnsi="Arial" w:cs="Arial"/>
              </w:rPr>
              <w:t>1341 ± 41.88</w:t>
            </w:r>
          </w:p>
        </w:tc>
        <w:tc>
          <w:tcPr>
            <w:tcW w:w="2610" w:type="dxa"/>
          </w:tcPr>
          <w:p w:rsidR="00330CF1" w:rsidRPr="00127CC4" w:rsidRDefault="00330CF1" w:rsidP="00A80C8A">
            <w:pPr>
              <w:jc w:val="center"/>
              <w:rPr>
                <w:rFonts w:ascii="Arial" w:hAnsi="Arial" w:cs="Arial"/>
              </w:rPr>
            </w:pPr>
            <w:r w:rsidRPr="00127CC4">
              <w:rPr>
                <w:rFonts w:ascii="Arial" w:hAnsi="Arial" w:cs="Arial"/>
              </w:rPr>
              <w:t>1288 ± 21.36</w:t>
            </w:r>
          </w:p>
        </w:tc>
        <w:tc>
          <w:tcPr>
            <w:tcW w:w="2700" w:type="dxa"/>
          </w:tcPr>
          <w:p w:rsidR="00330CF1" w:rsidRPr="00127CC4" w:rsidRDefault="00330CF1" w:rsidP="00A80C8A">
            <w:pPr>
              <w:jc w:val="center"/>
              <w:rPr>
                <w:rFonts w:ascii="Arial" w:hAnsi="Arial" w:cs="Arial"/>
              </w:rPr>
            </w:pPr>
            <w:r w:rsidRPr="00127CC4">
              <w:rPr>
                <w:rFonts w:ascii="Arial" w:hAnsi="Arial" w:cs="Arial"/>
              </w:rPr>
              <w:t>1375 ± 54</w:t>
            </w:r>
          </w:p>
        </w:tc>
      </w:tr>
      <w:tr w:rsidR="00330CF1" w:rsidRPr="00127CC4" w:rsidTr="00E321CF">
        <w:trPr>
          <w:trHeight w:val="288"/>
        </w:trPr>
        <w:tc>
          <w:tcPr>
            <w:tcW w:w="1098" w:type="dxa"/>
          </w:tcPr>
          <w:p w:rsidR="00330CF1" w:rsidRPr="00127CC4" w:rsidRDefault="00330CF1" w:rsidP="00A80C8A">
            <w:pPr>
              <w:rPr>
                <w:rFonts w:ascii="Arial" w:hAnsi="Arial" w:cs="Arial"/>
              </w:rPr>
            </w:pPr>
            <w:r w:rsidRPr="00127CC4">
              <w:rPr>
                <w:rFonts w:ascii="Arial" w:hAnsi="Arial" w:cs="Arial"/>
              </w:rPr>
              <w:t>3</w:t>
            </w:r>
          </w:p>
        </w:tc>
        <w:tc>
          <w:tcPr>
            <w:tcW w:w="2700" w:type="dxa"/>
          </w:tcPr>
          <w:p w:rsidR="00330CF1" w:rsidRPr="00127CC4" w:rsidRDefault="00330CF1" w:rsidP="00A80C8A">
            <w:pPr>
              <w:jc w:val="center"/>
              <w:rPr>
                <w:rFonts w:ascii="Arial" w:hAnsi="Arial" w:cs="Arial"/>
              </w:rPr>
            </w:pPr>
            <w:r w:rsidRPr="00127CC4">
              <w:rPr>
                <w:rFonts w:ascii="Arial" w:hAnsi="Arial" w:cs="Arial"/>
              </w:rPr>
              <w:t>1529.3 ± 20.46</w:t>
            </w:r>
          </w:p>
        </w:tc>
        <w:tc>
          <w:tcPr>
            <w:tcW w:w="2610" w:type="dxa"/>
          </w:tcPr>
          <w:p w:rsidR="00330CF1" w:rsidRPr="00127CC4" w:rsidRDefault="00330CF1" w:rsidP="00A80C8A">
            <w:pPr>
              <w:jc w:val="center"/>
              <w:rPr>
                <w:rFonts w:ascii="Arial" w:hAnsi="Arial" w:cs="Arial"/>
              </w:rPr>
            </w:pPr>
            <w:r w:rsidRPr="00127CC4">
              <w:rPr>
                <w:rFonts w:ascii="Arial" w:hAnsi="Arial" w:cs="Arial"/>
              </w:rPr>
              <w:t>1431 ± 36.29</w:t>
            </w:r>
          </w:p>
        </w:tc>
        <w:tc>
          <w:tcPr>
            <w:tcW w:w="2700" w:type="dxa"/>
          </w:tcPr>
          <w:p w:rsidR="00330CF1" w:rsidRPr="00127CC4" w:rsidRDefault="00330CF1" w:rsidP="00A80C8A">
            <w:pPr>
              <w:jc w:val="center"/>
              <w:rPr>
                <w:rFonts w:ascii="Arial" w:hAnsi="Arial" w:cs="Arial"/>
              </w:rPr>
            </w:pPr>
            <w:r w:rsidRPr="00127CC4">
              <w:rPr>
                <w:rFonts w:ascii="Arial" w:hAnsi="Arial" w:cs="Arial"/>
              </w:rPr>
              <w:t>1516.5 ± 70.5</w:t>
            </w:r>
          </w:p>
        </w:tc>
      </w:tr>
      <w:tr w:rsidR="00330CF1" w:rsidRPr="00127CC4" w:rsidTr="00E321CF">
        <w:trPr>
          <w:trHeight w:val="306"/>
        </w:trPr>
        <w:tc>
          <w:tcPr>
            <w:tcW w:w="1098" w:type="dxa"/>
          </w:tcPr>
          <w:p w:rsidR="00330CF1" w:rsidRPr="00127CC4" w:rsidRDefault="00330CF1" w:rsidP="00A80C8A">
            <w:pPr>
              <w:rPr>
                <w:rFonts w:ascii="Arial" w:hAnsi="Arial" w:cs="Arial"/>
              </w:rPr>
            </w:pPr>
            <w:r w:rsidRPr="00127CC4">
              <w:rPr>
                <w:rFonts w:ascii="Arial" w:hAnsi="Arial" w:cs="Arial"/>
              </w:rPr>
              <w:t>4</w:t>
            </w:r>
          </w:p>
        </w:tc>
        <w:tc>
          <w:tcPr>
            <w:tcW w:w="2700" w:type="dxa"/>
          </w:tcPr>
          <w:p w:rsidR="00330CF1" w:rsidRPr="00127CC4" w:rsidRDefault="00330CF1" w:rsidP="00A80C8A">
            <w:pPr>
              <w:jc w:val="center"/>
              <w:rPr>
                <w:rFonts w:ascii="Arial" w:hAnsi="Arial" w:cs="Arial"/>
              </w:rPr>
            </w:pPr>
            <w:r w:rsidRPr="00127CC4">
              <w:rPr>
                <w:rFonts w:ascii="Arial" w:hAnsi="Arial" w:cs="Arial"/>
              </w:rPr>
              <w:t>1699.3 ± 40.27</w:t>
            </w:r>
          </w:p>
        </w:tc>
        <w:tc>
          <w:tcPr>
            <w:tcW w:w="2610" w:type="dxa"/>
          </w:tcPr>
          <w:p w:rsidR="00330CF1" w:rsidRPr="00127CC4" w:rsidRDefault="00330CF1" w:rsidP="00A80C8A">
            <w:pPr>
              <w:jc w:val="center"/>
              <w:rPr>
                <w:rFonts w:ascii="Arial" w:hAnsi="Arial" w:cs="Arial"/>
              </w:rPr>
            </w:pPr>
            <w:r w:rsidRPr="00127CC4">
              <w:rPr>
                <w:rFonts w:ascii="Arial" w:hAnsi="Arial" w:cs="Arial"/>
              </w:rPr>
              <w:t>1562 ± 19.83</w:t>
            </w:r>
          </w:p>
        </w:tc>
        <w:tc>
          <w:tcPr>
            <w:tcW w:w="2700" w:type="dxa"/>
          </w:tcPr>
          <w:p w:rsidR="00330CF1" w:rsidRPr="00127CC4" w:rsidRDefault="00330CF1" w:rsidP="00A80C8A">
            <w:pPr>
              <w:jc w:val="center"/>
              <w:rPr>
                <w:rFonts w:ascii="Arial" w:hAnsi="Arial" w:cs="Arial"/>
              </w:rPr>
            </w:pPr>
            <w:r w:rsidRPr="00127CC4">
              <w:rPr>
                <w:rFonts w:ascii="Arial" w:hAnsi="Arial" w:cs="Arial"/>
              </w:rPr>
              <w:t>1670 ± 98</w:t>
            </w:r>
          </w:p>
        </w:tc>
      </w:tr>
      <w:tr w:rsidR="00330CF1" w:rsidRPr="00127CC4" w:rsidTr="00E321CF">
        <w:trPr>
          <w:trHeight w:val="306"/>
        </w:trPr>
        <w:tc>
          <w:tcPr>
            <w:tcW w:w="1098" w:type="dxa"/>
          </w:tcPr>
          <w:p w:rsidR="00330CF1" w:rsidRPr="00127CC4" w:rsidRDefault="00330CF1" w:rsidP="00A80C8A">
            <w:pPr>
              <w:rPr>
                <w:rFonts w:ascii="Arial" w:hAnsi="Arial" w:cs="Arial"/>
              </w:rPr>
            </w:pPr>
            <w:r w:rsidRPr="00127CC4">
              <w:rPr>
                <w:rFonts w:ascii="Arial" w:hAnsi="Arial" w:cs="Arial"/>
              </w:rPr>
              <w:t>5</w:t>
            </w:r>
          </w:p>
        </w:tc>
        <w:tc>
          <w:tcPr>
            <w:tcW w:w="2700" w:type="dxa"/>
          </w:tcPr>
          <w:p w:rsidR="00330CF1" w:rsidRPr="00127CC4" w:rsidRDefault="00330CF1" w:rsidP="00A80C8A">
            <w:pPr>
              <w:jc w:val="center"/>
              <w:rPr>
                <w:rFonts w:ascii="Arial" w:hAnsi="Arial" w:cs="Arial"/>
              </w:rPr>
            </w:pPr>
            <w:r w:rsidRPr="00127CC4">
              <w:rPr>
                <w:rFonts w:ascii="Arial" w:hAnsi="Arial" w:cs="Arial"/>
              </w:rPr>
              <w:t>1828 ± 31.64</w:t>
            </w:r>
          </w:p>
        </w:tc>
        <w:tc>
          <w:tcPr>
            <w:tcW w:w="2610" w:type="dxa"/>
          </w:tcPr>
          <w:p w:rsidR="00330CF1" w:rsidRPr="00127CC4" w:rsidRDefault="00330CF1" w:rsidP="00A80C8A">
            <w:pPr>
              <w:jc w:val="center"/>
              <w:rPr>
                <w:rFonts w:ascii="Arial" w:hAnsi="Arial" w:cs="Arial"/>
              </w:rPr>
            </w:pPr>
            <w:r w:rsidRPr="00127CC4">
              <w:rPr>
                <w:rFonts w:ascii="Arial" w:hAnsi="Arial" w:cs="Arial"/>
              </w:rPr>
              <w:t>1720.67 ± 63.37</w:t>
            </w:r>
          </w:p>
        </w:tc>
        <w:tc>
          <w:tcPr>
            <w:tcW w:w="2700" w:type="dxa"/>
          </w:tcPr>
          <w:p w:rsidR="00330CF1" w:rsidRPr="00127CC4" w:rsidRDefault="00330CF1" w:rsidP="00A80C8A">
            <w:pPr>
              <w:jc w:val="center"/>
              <w:rPr>
                <w:rFonts w:ascii="Arial" w:hAnsi="Arial" w:cs="Arial"/>
              </w:rPr>
            </w:pPr>
            <w:r w:rsidRPr="00127CC4">
              <w:rPr>
                <w:rFonts w:ascii="Arial" w:hAnsi="Arial" w:cs="Arial"/>
              </w:rPr>
              <w:t>1836 ± 86</w:t>
            </w:r>
          </w:p>
        </w:tc>
      </w:tr>
      <w:tr w:rsidR="00330CF1" w:rsidRPr="00127CC4" w:rsidTr="00E321CF">
        <w:trPr>
          <w:trHeight w:val="306"/>
        </w:trPr>
        <w:tc>
          <w:tcPr>
            <w:tcW w:w="1098" w:type="dxa"/>
          </w:tcPr>
          <w:p w:rsidR="00330CF1" w:rsidRPr="00127CC4" w:rsidRDefault="00330CF1" w:rsidP="00A80C8A">
            <w:pPr>
              <w:rPr>
                <w:rFonts w:ascii="Arial" w:hAnsi="Arial" w:cs="Arial"/>
              </w:rPr>
            </w:pPr>
            <w:r w:rsidRPr="00127CC4">
              <w:rPr>
                <w:rFonts w:ascii="Arial" w:hAnsi="Arial" w:cs="Arial"/>
              </w:rPr>
              <w:t>6</w:t>
            </w:r>
          </w:p>
        </w:tc>
        <w:tc>
          <w:tcPr>
            <w:tcW w:w="2700" w:type="dxa"/>
          </w:tcPr>
          <w:p w:rsidR="00330CF1" w:rsidRPr="00127CC4" w:rsidRDefault="00330CF1" w:rsidP="00A80C8A">
            <w:pPr>
              <w:jc w:val="center"/>
              <w:rPr>
                <w:rFonts w:ascii="Arial" w:hAnsi="Arial" w:cs="Arial"/>
              </w:rPr>
            </w:pPr>
            <w:r w:rsidRPr="00127CC4">
              <w:rPr>
                <w:rFonts w:ascii="Arial" w:hAnsi="Arial" w:cs="Arial"/>
              </w:rPr>
              <w:t>1908.7 ± 4.84</w:t>
            </w:r>
          </w:p>
        </w:tc>
        <w:tc>
          <w:tcPr>
            <w:tcW w:w="2610" w:type="dxa"/>
          </w:tcPr>
          <w:p w:rsidR="00330CF1" w:rsidRPr="00127CC4" w:rsidRDefault="00330CF1" w:rsidP="00A80C8A">
            <w:pPr>
              <w:jc w:val="center"/>
              <w:rPr>
                <w:rFonts w:ascii="Arial" w:hAnsi="Arial" w:cs="Arial"/>
              </w:rPr>
            </w:pPr>
            <w:r w:rsidRPr="00127CC4">
              <w:rPr>
                <w:rFonts w:ascii="Arial" w:hAnsi="Arial" w:cs="Arial"/>
              </w:rPr>
              <w:t>1850 ± 77.10</w:t>
            </w:r>
          </w:p>
        </w:tc>
        <w:tc>
          <w:tcPr>
            <w:tcW w:w="2700" w:type="dxa"/>
          </w:tcPr>
          <w:p w:rsidR="00330CF1" w:rsidRPr="00127CC4" w:rsidRDefault="00330CF1" w:rsidP="00A80C8A">
            <w:pPr>
              <w:jc w:val="center"/>
              <w:rPr>
                <w:rFonts w:ascii="Arial" w:hAnsi="Arial" w:cs="Arial"/>
              </w:rPr>
            </w:pPr>
            <w:r w:rsidRPr="00127CC4">
              <w:rPr>
                <w:rFonts w:ascii="Arial" w:hAnsi="Arial" w:cs="Arial"/>
              </w:rPr>
              <w:t>1815.5 ± 182.5</w:t>
            </w:r>
          </w:p>
        </w:tc>
      </w:tr>
      <w:tr w:rsidR="00330CF1" w:rsidRPr="00127CC4" w:rsidTr="00E321CF">
        <w:trPr>
          <w:trHeight w:val="288"/>
        </w:trPr>
        <w:tc>
          <w:tcPr>
            <w:tcW w:w="1098" w:type="dxa"/>
          </w:tcPr>
          <w:p w:rsidR="00330CF1" w:rsidRPr="00127CC4" w:rsidRDefault="00330CF1" w:rsidP="00A80C8A">
            <w:pPr>
              <w:rPr>
                <w:rFonts w:ascii="Arial" w:hAnsi="Arial" w:cs="Arial"/>
              </w:rPr>
            </w:pPr>
            <w:r w:rsidRPr="00127CC4">
              <w:rPr>
                <w:rFonts w:ascii="Arial" w:hAnsi="Arial" w:cs="Arial"/>
              </w:rPr>
              <w:t>7</w:t>
            </w:r>
          </w:p>
        </w:tc>
        <w:tc>
          <w:tcPr>
            <w:tcW w:w="2700" w:type="dxa"/>
          </w:tcPr>
          <w:p w:rsidR="00330CF1" w:rsidRPr="00127CC4" w:rsidRDefault="00330CF1" w:rsidP="00A80C8A">
            <w:pPr>
              <w:jc w:val="center"/>
              <w:rPr>
                <w:rFonts w:ascii="Arial" w:hAnsi="Arial" w:cs="Arial"/>
              </w:rPr>
            </w:pPr>
            <w:r w:rsidRPr="00127CC4">
              <w:rPr>
                <w:rFonts w:ascii="Arial" w:hAnsi="Arial" w:cs="Arial"/>
              </w:rPr>
              <w:t>2040.3 ± 38.39</w:t>
            </w:r>
          </w:p>
        </w:tc>
        <w:tc>
          <w:tcPr>
            <w:tcW w:w="2610" w:type="dxa"/>
          </w:tcPr>
          <w:p w:rsidR="00330CF1" w:rsidRPr="00127CC4" w:rsidRDefault="00330CF1" w:rsidP="00A80C8A">
            <w:pPr>
              <w:jc w:val="center"/>
              <w:rPr>
                <w:rFonts w:ascii="Arial" w:hAnsi="Arial" w:cs="Arial"/>
              </w:rPr>
            </w:pPr>
            <w:r w:rsidRPr="00127CC4">
              <w:rPr>
                <w:rFonts w:ascii="Arial" w:hAnsi="Arial" w:cs="Arial"/>
              </w:rPr>
              <w:t>1980 ± 80.87</w:t>
            </w:r>
          </w:p>
        </w:tc>
        <w:tc>
          <w:tcPr>
            <w:tcW w:w="2700" w:type="dxa"/>
          </w:tcPr>
          <w:p w:rsidR="00330CF1" w:rsidRPr="00127CC4" w:rsidRDefault="00330CF1" w:rsidP="00A80C8A">
            <w:pPr>
              <w:jc w:val="center"/>
              <w:rPr>
                <w:rFonts w:ascii="Arial" w:hAnsi="Arial" w:cs="Arial"/>
              </w:rPr>
            </w:pPr>
            <w:r w:rsidRPr="00127CC4">
              <w:rPr>
                <w:rFonts w:ascii="Arial" w:hAnsi="Arial" w:cs="Arial"/>
              </w:rPr>
              <w:t>2015.5 ± 115.5</w:t>
            </w:r>
          </w:p>
        </w:tc>
      </w:tr>
      <w:tr w:rsidR="00330CF1" w:rsidRPr="00127CC4" w:rsidTr="00E321CF">
        <w:trPr>
          <w:trHeight w:val="306"/>
        </w:trPr>
        <w:tc>
          <w:tcPr>
            <w:tcW w:w="1098" w:type="dxa"/>
          </w:tcPr>
          <w:p w:rsidR="00330CF1" w:rsidRPr="00127CC4" w:rsidRDefault="00330CF1" w:rsidP="00A80C8A">
            <w:pPr>
              <w:rPr>
                <w:rFonts w:ascii="Arial" w:hAnsi="Arial" w:cs="Arial"/>
              </w:rPr>
            </w:pPr>
            <w:r w:rsidRPr="00127CC4">
              <w:rPr>
                <w:rFonts w:ascii="Arial" w:hAnsi="Arial" w:cs="Arial"/>
              </w:rPr>
              <w:t>8</w:t>
            </w:r>
          </w:p>
        </w:tc>
        <w:tc>
          <w:tcPr>
            <w:tcW w:w="2700" w:type="dxa"/>
          </w:tcPr>
          <w:p w:rsidR="00330CF1" w:rsidRPr="00127CC4" w:rsidRDefault="00330CF1" w:rsidP="00A80C8A">
            <w:pPr>
              <w:jc w:val="center"/>
              <w:rPr>
                <w:rFonts w:ascii="Arial" w:hAnsi="Arial" w:cs="Arial"/>
              </w:rPr>
            </w:pPr>
            <w:r w:rsidRPr="00127CC4">
              <w:rPr>
                <w:rFonts w:ascii="Arial" w:hAnsi="Arial" w:cs="Arial"/>
              </w:rPr>
              <w:t>2225.3 ± 31.46</w:t>
            </w:r>
          </w:p>
        </w:tc>
        <w:tc>
          <w:tcPr>
            <w:tcW w:w="2610" w:type="dxa"/>
          </w:tcPr>
          <w:p w:rsidR="00330CF1" w:rsidRPr="00127CC4" w:rsidRDefault="00330CF1" w:rsidP="00A80C8A">
            <w:pPr>
              <w:jc w:val="center"/>
              <w:rPr>
                <w:rFonts w:ascii="Arial" w:hAnsi="Arial" w:cs="Arial"/>
              </w:rPr>
            </w:pPr>
            <w:r w:rsidRPr="00127CC4">
              <w:rPr>
                <w:rFonts w:ascii="Arial" w:hAnsi="Arial" w:cs="Arial"/>
              </w:rPr>
              <w:t>2099.67 ± 118.07</w:t>
            </w:r>
          </w:p>
        </w:tc>
        <w:tc>
          <w:tcPr>
            <w:tcW w:w="2700" w:type="dxa"/>
          </w:tcPr>
          <w:p w:rsidR="00330CF1" w:rsidRPr="00127CC4" w:rsidRDefault="00330CF1" w:rsidP="00A80C8A">
            <w:pPr>
              <w:jc w:val="center"/>
              <w:rPr>
                <w:rFonts w:ascii="Arial" w:hAnsi="Arial" w:cs="Arial"/>
              </w:rPr>
            </w:pPr>
            <w:r w:rsidRPr="00127CC4">
              <w:rPr>
                <w:rFonts w:ascii="Arial" w:hAnsi="Arial" w:cs="Arial"/>
              </w:rPr>
              <w:t>2163.5 ± 100.5</w:t>
            </w:r>
          </w:p>
        </w:tc>
      </w:tr>
      <w:tr w:rsidR="00330CF1" w:rsidRPr="00127CC4" w:rsidTr="00E321CF">
        <w:trPr>
          <w:trHeight w:val="306"/>
        </w:trPr>
        <w:tc>
          <w:tcPr>
            <w:tcW w:w="1098" w:type="dxa"/>
          </w:tcPr>
          <w:p w:rsidR="00330CF1" w:rsidRPr="00127CC4" w:rsidRDefault="00330CF1" w:rsidP="00A80C8A">
            <w:pPr>
              <w:rPr>
                <w:rFonts w:ascii="Arial" w:hAnsi="Arial" w:cs="Arial"/>
              </w:rPr>
            </w:pPr>
            <w:r w:rsidRPr="00127CC4">
              <w:rPr>
                <w:rFonts w:ascii="Arial" w:hAnsi="Arial" w:cs="Arial"/>
              </w:rPr>
              <w:t>9</w:t>
            </w:r>
          </w:p>
        </w:tc>
        <w:tc>
          <w:tcPr>
            <w:tcW w:w="2700" w:type="dxa"/>
          </w:tcPr>
          <w:p w:rsidR="00330CF1" w:rsidRPr="00127CC4" w:rsidRDefault="00330CF1" w:rsidP="00A80C8A">
            <w:pPr>
              <w:jc w:val="center"/>
              <w:rPr>
                <w:rFonts w:ascii="Arial" w:hAnsi="Arial" w:cs="Arial"/>
              </w:rPr>
            </w:pPr>
            <w:r w:rsidRPr="00127CC4">
              <w:rPr>
                <w:rFonts w:ascii="Arial" w:hAnsi="Arial" w:cs="Arial"/>
              </w:rPr>
              <w:t>2293.7 ± 48.58</w:t>
            </w:r>
          </w:p>
        </w:tc>
        <w:tc>
          <w:tcPr>
            <w:tcW w:w="2610" w:type="dxa"/>
          </w:tcPr>
          <w:p w:rsidR="00330CF1" w:rsidRPr="00127CC4" w:rsidRDefault="00330CF1" w:rsidP="00A80C8A">
            <w:pPr>
              <w:jc w:val="center"/>
              <w:rPr>
                <w:rFonts w:ascii="Arial" w:hAnsi="Arial" w:cs="Arial"/>
              </w:rPr>
            </w:pPr>
            <w:r w:rsidRPr="00127CC4">
              <w:rPr>
                <w:rFonts w:ascii="Arial" w:hAnsi="Arial" w:cs="Arial"/>
              </w:rPr>
              <w:t>2214.67 ± 154.79</w:t>
            </w:r>
          </w:p>
        </w:tc>
        <w:tc>
          <w:tcPr>
            <w:tcW w:w="2700" w:type="dxa"/>
          </w:tcPr>
          <w:p w:rsidR="00330CF1" w:rsidRPr="00127CC4" w:rsidRDefault="00330CF1" w:rsidP="00A80C8A">
            <w:pPr>
              <w:jc w:val="center"/>
              <w:rPr>
                <w:rFonts w:ascii="Arial" w:hAnsi="Arial" w:cs="Arial"/>
              </w:rPr>
            </w:pPr>
            <w:r w:rsidRPr="00127CC4">
              <w:rPr>
                <w:rFonts w:ascii="Arial" w:hAnsi="Arial" w:cs="Arial"/>
              </w:rPr>
              <w:t>2252 ± 118</w:t>
            </w:r>
          </w:p>
        </w:tc>
      </w:tr>
      <w:tr w:rsidR="00330CF1" w:rsidRPr="00127CC4" w:rsidTr="00E321CF">
        <w:trPr>
          <w:trHeight w:val="306"/>
        </w:trPr>
        <w:tc>
          <w:tcPr>
            <w:tcW w:w="1098" w:type="dxa"/>
          </w:tcPr>
          <w:p w:rsidR="00330CF1" w:rsidRPr="00127CC4" w:rsidRDefault="00330CF1" w:rsidP="00A80C8A">
            <w:pPr>
              <w:rPr>
                <w:rFonts w:ascii="Arial" w:hAnsi="Arial" w:cs="Arial"/>
              </w:rPr>
            </w:pPr>
            <w:r w:rsidRPr="00127CC4">
              <w:rPr>
                <w:rFonts w:ascii="Arial" w:hAnsi="Arial" w:cs="Arial"/>
              </w:rPr>
              <w:t>10</w:t>
            </w:r>
          </w:p>
        </w:tc>
        <w:tc>
          <w:tcPr>
            <w:tcW w:w="2700" w:type="dxa"/>
          </w:tcPr>
          <w:p w:rsidR="00330CF1" w:rsidRPr="00127CC4" w:rsidRDefault="00330CF1" w:rsidP="00A80C8A">
            <w:pPr>
              <w:jc w:val="center"/>
              <w:rPr>
                <w:rFonts w:ascii="Arial" w:hAnsi="Arial" w:cs="Arial"/>
              </w:rPr>
            </w:pPr>
            <w:r w:rsidRPr="00127CC4">
              <w:rPr>
                <w:rFonts w:ascii="Arial" w:hAnsi="Arial" w:cs="Arial"/>
              </w:rPr>
              <w:t>2424 ± 41.10</w:t>
            </w:r>
          </w:p>
        </w:tc>
        <w:tc>
          <w:tcPr>
            <w:tcW w:w="2610" w:type="dxa"/>
          </w:tcPr>
          <w:p w:rsidR="00330CF1" w:rsidRPr="00127CC4" w:rsidRDefault="00330CF1" w:rsidP="00A80C8A">
            <w:pPr>
              <w:jc w:val="center"/>
              <w:rPr>
                <w:rFonts w:ascii="Arial" w:hAnsi="Arial" w:cs="Arial"/>
              </w:rPr>
            </w:pPr>
            <w:r w:rsidRPr="00127CC4">
              <w:rPr>
                <w:rFonts w:ascii="Arial" w:hAnsi="Arial" w:cs="Arial"/>
              </w:rPr>
              <w:t>2302 ± 130.61</w:t>
            </w:r>
          </w:p>
        </w:tc>
        <w:tc>
          <w:tcPr>
            <w:tcW w:w="2700" w:type="dxa"/>
          </w:tcPr>
          <w:p w:rsidR="00330CF1" w:rsidRPr="00127CC4" w:rsidRDefault="00330CF1" w:rsidP="00A80C8A">
            <w:pPr>
              <w:jc w:val="center"/>
              <w:rPr>
                <w:rFonts w:ascii="Arial" w:hAnsi="Arial" w:cs="Arial"/>
              </w:rPr>
            </w:pPr>
            <w:r w:rsidRPr="00127CC4">
              <w:rPr>
                <w:rFonts w:ascii="Arial" w:hAnsi="Arial" w:cs="Arial"/>
              </w:rPr>
              <w:t>2349 ± 99</w:t>
            </w:r>
          </w:p>
        </w:tc>
      </w:tr>
    </w:tbl>
    <w:p w:rsidR="00330CF1" w:rsidRDefault="00330CF1" w:rsidP="00155FD0">
      <w:pPr>
        <w:pStyle w:val="StyleHeading1Centered"/>
        <w:rPr>
          <w:rFonts w:cs="Arial"/>
        </w:rPr>
      </w:pPr>
    </w:p>
    <w:p w:rsidR="00330CF1" w:rsidRDefault="00330CF1" w:rsidP="00155FD0">
      <w:pPr>
        <w:pStyle w:val="StyleHeading1Centered"/>
        <w:rPr>
          <w:rFonts w:cs="Arial"/>
        </w:rPr>
      </w:pPr>
    </w:p>
    <w:p w:rsidR="00330CF1" w:rsidRDefault="00330CF1" w:rsidP="00155FD0">
      <w:pPr>
        <w:pStyle w:val="StyleHeading1Centered"/>
        <w:rPr>
          <w:rFonts w:cs="Arial"/>
        </w:rPr>
      </w:pPr>
    </w:p>
    <w:p w:rsidR="00330CF1" w:rsidRPr="00270113" w:rsidRDefault="00330CF1" w:rsidP="00155FD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rPr>
      </w:pPr>
      <w:r w:rsidRPr="00270113">
        <w:rPr>
          <w:rFonts w:ascii="Arial" w:hAnsi="Arial" w:cs="Arial"/>
          <w:b/>
        </w:rPr>
        <w:t>Table A-3.</w:t>
      </w:r>
      <w:r w:rsidRPr="00270113">
        <w:rPr>
          <w:rFonts w:ascii="Arial" w:hAnsi="Arial" w:cs="Arial"/>
        </w:rPr>
        <w:t xml:space="preserve"> Male weekly height (cm) over 10 week feeding trial</w:t>
      </w:r>
    </w:p>
    <w:p w:rsidR="00330CF1" w:rsidRPr="00270113" w:rsidRDefault="00330CF1" w:rsidP="00155FD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rPr>
      </w:pPr>
      <w:r w:rsidRPr="00270113">
        <w:rPr>
          <w:rFonts w:ascii="Arial" w:hAnsi="Arial" w:cs="Arial"/>
        </w:rPr>
        <w:t>by diet treatment (Mean ± SEM)</w:t>
      </w:r>
    </w:p>
    <w:p w:rsidR="00330CF1" w:rsidRPr="001B0E12" w:rsidRDefault="00330CF1" w:rsidP="00155FD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rPr>
      </w:pPr>
    </w:p>
    <w:tbl>
      <w:tblPr>
        <w:tblStyle w:val="TableGrid"/>
        <w:tblW w:w="9738" w:type="dxa"/>
        <w:tblLook w:val="04A0" w:firstRow="1" w:lastRow="0" w:firstColumn="1" w:lastColumn="0" w:noHBand="0" w:noVBand="1"/>
      </w:tblPr>
      <w:tblGrid>
        <w:gridCol w:w="1188"/>
        <w:gridCol w:w="2520"/>
        <w:gridCol w:w="3060"/>
        <w:gridCol w:w="2970"/>
      </w:tblGrid>
      <w:tr w:rsidR="00330CF1" w:rsidRPr="001B0E12" w:rsidTr="00E321CF">
        <w:trPr>
          <w:trHeight w:val="287"/>
        </w:trPr>
        <w:tc>
          <w:tcPr>
            <w:tcW w:w="1188" w:type="dxa"/>
          </w:tcPr>
          <w:p w:rsidR="00330CF1" w:rsidRPr="001B0E12" w:rsidRDefault="00330CF1" w:rsidP="00A80C8A">
            <w:pPr>
              <w:rPr>
                <w:rFonts w:ascii="Arial" w:hAnsi="Arial" w:cs="Arial"/>
              </w:rPr>
            </w:pPr>
            <w:r w:rsidRPr="001B0E12">
              <w:rPr>
                <w:rFonts w:ascii="Arial" w:hAnsi="Arial" w:cs="Arial"/>
              </w:rPr>
              <w:t xml:space="preserve">Week </w:t>
            </w:r>
          </w:p>
        </w:tc>
        <w:tc>
          <w:tcPr>
            <w:tcW w:w="2520" w:type="dxa"/>
          </w:tcPr>
          <w:p w:rsidR="00330CF1" w:rsidRPr="001B0E12" w:rsidRDefault="00330CF1" w:rsidP="00A80C8A">
            <w:pPr>
              <w:jc w:val="center"/>
              <w:rPr>
                <w:rFonts w:ascii="Arial" w:hAnsi="Arial" w:cs="Arial"/>
              </w:rPr>
            </w:pPr>
            <w:r>
              <w:rPr>
                <w:rFonts w:ascii="Arial" w:hAnsi="Arial" w:cs="Arial"/>
              </w:rPr>
              <w:t>Control</w:t>
            </w:r>
          </w:p>
        </w:tc>
        <w:tc>
          <w:tcPr>
            <w:tcW w:w="3060" w:type="dxa"/>
          </w:tcPr>
          <w:p w:rsidR="00330CF1" w:rsidRPr="001B0E12" w:rsidRDefault="00330CF1" w:rsidP="00A80C8A">
            <w:pPr>
              <w:jc w:val="center"/>
              <w:rPr>
                <w:rFonts w:ascii="Arial" w:hAnsi="Arial" w:cs="Arial"/>
              </w:rPr>
            </w:pPr>
            <w:r>
              <w:rPr>
                <w:rFonts w:ascii="Arial" w:hAnsi="Arial" w:cs="Arial"/>
              </w:rPr>
              <w:t>Commercial Raw</w:t>
            </w:r>
          </w:p>
        </w:tc>
        <w:tc>
          <w:tcPr>
            <w:tcW w:w="2970" w:type="dxa"/>
          </w:tcPr>
          <w:p w:rsidR="00330CF1" w:rsidRPr="001B0E12" w:rsidRDefault="00330CF1" w:rsidP="00A80C8A">
            <w:pPr>
              <w:jc w:val="center"/>
              <w:rPr>
                <w:rFonts w:ascii="Arial" w:hAnsi="Arial" w:cs="Arial"/>
              </w:rPr>
            </w:pPr>
            <w:r>
              <w:rPr>
                <w:rFonts w:ascii="Arial" w:hAnsi="Arial" w:cs="Arial"/>
              </w:rPr>
              <w:t>Homemade Raw</w:t>
            </w:r>
          </w:p>
        </w:tc>
      </w:tr>
      <w:tr w:rsidR="00330CF1" w:rsidRPr="001B0E12" w:rsidTr="00E321CF">
        <w:trPr>
          <w:trHeight w:val="287"/>
        </w:trPr>
        <w:tc>
          <w:tcPr>
            <w:tcW w:w="1188" w:type="dxa"/>
          </w:tcPr>
          <w:p w:rsidR="00330CF1" w:rsidRPr="001B0E12" w:rsidRDefault="00330CF1" w:rsidP="00A80C8A">
            <w:pPr>
              <w:rPr>
                <w:rFonts w:ascii="Arial" w:hAnsi="Arial" w:cs="Arial"/>
              </w:rPr>
            </w:pPr>
            <w:r w:rsidRPr="001B0E12">
              <w:rPr>
                <w:rFonts w:ascii="Arial" w:hAnsi="Arial" w:cs="Arial"/>
              </w:rPr>
              <w:t>0</w:t>
            </w:r>
          </w:p>
        </w:tc>
        <w:tc>
          <w:tcPr>
            <w:tcW w:w="2520" w:type="dxa"/>
          </w:tcPr>
          <w:p w:rsidR="00330CF1" w:rsidRPr="001B0E12" w:rsidRDefault="00330CF1" w:rsidP="00A80C8A">
            <w:pPr>
              <w:jc w:val="center"/>
              <w:rPr>
                <w:rFonts w:ascii="Arial" w:hAnsi="Arial" w:cs="Arial"/>
              </w:rPr>
            </w:pPr>
            <w:r w:rsidRPr="001B0E12">
              <w:rPr>
                <w:rFonts w:ascii="Arial" w:hAnsi="Arial" w:cs="Arial"/>
              </w:rPr>
              <w:t>20.8 ± 0.12</w:t>
            </w:r>
          </w:p>
        </w:tc>
        <w:tc>
          <w:tcPr>
            <w:tcW w:w="3060" w:type="dxa"/>
          </w:tcPr>
          <w:p w:rsidR="00330CF1" w:rsidRPr="001B0E12" w:rsidRDefault="00330CF1" w:rsidP="00A80C8A">
            <w:pPr>
              <w:jc w:val="center"/>
              <w:rPr>
                <w:rFonts w:ascii="Arial" w:hAnsi="Arial" w:cs="Arial"/>
              </w:rPr>
            </w:pPr>
            <w:r w:rsidRPr="001B0E12">
              <w:rPr>
                <w:rFonts w:ascii="Arial" w:hAnsi="Arial" w:cs="Arial"/>
              </w:rPr>
              <w:t>18.1 ± 0.76</w:t>
            </w:r>
          </w:p>
        </w:tc>
        <w:tc>
          <w:tcPr>
            <w:tcW w:w="2970" w:type="dxa"/>
          </w:tcPr>
          <w:p w:rsidR="00330CF1" w:rsidRPr="001B0E12" w:rsidRDefault="00330CF1" w:rsidP="00A80C8A">
            <w:pPr>
              <w:jc w:val="center"/>
              <w:rPr>
                <w:rFonts w:ascii="Arial" w:hAnsi="Arial" w:cs="Arial"/>
              </w:rPr>
            </w:pPr>
            <w:r w:rsidRPr="001B0E12">
              <w:rPr>
                <w:rFonts w:ascii="Arial" w:hAnsi="Arial" w:cs="Arial"/>
              </w:rPr>
              <w:t>18.58 ± 0.51</w:t>
            </w:r>
          </w:p>
        </w:tc>
      </w:tr>
      <w:tr w:rsidR="00330CF1" w:rsidRPr="001B0E12" w:rsidTr="00E321CF">
        <w:trPr>
          <w:trHeight w:val="304"/>
        </w:trPr>
        <w:tc>
          <w:tcPr>
            <w:tcW w:w="1188" w:type="dxa"/>
          </w:tcPr>
          <w:p w:rsidR="00330CF1" w:rsidRPr="001B0E12" w:rsidRDefault="00330CF1" w:rsidP="00A80C8A">
            <w:pPr>
              <w:rPr>
                <w:rFonts w:ascii="Arial" w:hAnsi="Arial" w:cs="Arial"/>
              </w:rPr>
            </w:pPr>
            <w:r w:rsidRPr="001B0E12">
              <w:rPr>
                <w:rFonts w:ascii="Arial" w:hAnsi="Arial" w:cs="Arial"/>
              </w:rPr>
              <w:t>1</w:t>
            </w:r>
          </w:p>
        </w:tc>
        <w:tc>
          <w:tcPr>
            <w:tcW w:w="2520" w:type="dxa"/>
          </w:tcPr>
          <w:p w:rsidR="00330CF1" w:rsidRPr="001B0E12" w:rsidRDefault="00330CF1" w:rsidP="00A80C8A">
            <w:pPr>
              <w:jc w:val="center"/>
              <w:rPr>
                <w:rFonts w:ascii="Arial" w:hAnsi="Arial" w:cs="Arial"/>
              </w:rPr>
            </w:pPr>
            <w:r w:rsidRPr="001B0E12">
              <w:rPr>
                <w:rFonts w:ascii="Arial" w:hAnsi="Arial" w:cs="Arial"/>
              </w:rPr>
              <w:t>21 ± 0.0</w:t>
            </w:r>
          </w:p>
        </w:tc>
        <w:tc>
          <w:tcPr>
            <w:tcW w:w="3060" w:type="dxa"/>
          </w:tcPr>
          <w:p w:rsidR="00330CF1" w:rsidRPr="001B0E12" w:rsidRDefault="00330CF1" w:rsidP="00A80C8A">
            <w:pPr>
              <w:jc w:val="center"/>
              <w:rPr>
                <w:rFonts w:ascii="Arial" w:hAnsi="Arial" w:cs="Arial"/>
              </w:rPr>
            </w:pPr>
            <w:r w:rsidRPr="001B0E12">
              <w:rPr>
                <w:rFonts w:ascii="Arial" w:hAnsi="Arial" w:cs="Arial"/>
              </w:rPr>
              <w:t>19.6 ± 0.43</w:t>
            </w:r>
          </w:p>
        </w:tc>
        <w:tc>
          <w:tcPr>
            <w:tcW w:w="2970" w:type="dxa"/>
          </w:tcPr>
          <w:p w:rsidR="00330CF1" w:rsidRPr="001B0E12" w:rsidRDefault="00330CF1" w:rsidP="00A80C8A">
            <w:pPr>
              <w:jc w:val="center"/>
              <w:rPr>
                <w:rFonts w:ascii="Arial" w:hAnsi="Arial" w:cs="Arial"/>
              </w:rPr>
            </w:pPr>
            <w:r w:rsidRPr="001B0E12">
              <w:rPr>
                <w:rFonts w:ascii="Arial" w:hAnsi="Arial" w:cs="Arial"/>
              </w:rPr>
              <w:t>19.58 ± 0.33</w:t>
            </w:r>
          </w:p>
        </w:tc>
      </w:tr>
      <w:tr w:rsidR="00330CF1" w:rsidRPr="001B0E12" w:rsidTr="00E321CF">
        <w:trPr>
          <w:trHeight w:val="287"/>
        </w:trPr>
        <w:tc>
          <w:tcPr>
            <w:tcW w:w="1188" w:type="dxa"/>
          </w:tcPr>
          <w:p w:rsidR="00330CF1" w:rsidRPr="001B0E12" w:rsidRDefault="00330CF1" w:rsidP="00A80C8A">
            <w:pPr>
              <w:rPr>
                <w:rFonts w:ascii="Arial" w:hAnsi="Arial" w:cs="Arial"/>
              </w:rPr>
            </w:pPr>
            <w:r w:rsidRPr="001B0E12">
              <w:rPr>
                <w:rFonts w:ascii="Arial" w:hAnsi="Arial" w:cs="Arial"/>
              </w:rPr>
              <w:t>2</w:t>
            </w:r>
          </w:p>
        </w:tc>
        <w:tc>
          <w:tcPr>
            <w:tcW w:w="2520" w:type="dxa"/>
          </w:tcPr>
          <w:p w:rsidR="00330CF1" w:rsidRPr="001B0E12" w:rsidRDefault="00330CF1" w:rsidP="00A80C8A">
            <w:pPr>
              <w:jc w:val="center"/>
              <w:rPr>
                <w:rFonts w:ascii="Arial" w:hAnsi="Arial" w:cs="Arial"/>
              </w:rPr>
            </w:pPr>
            <w:r w:rsidRPr="001B0E12">
              <w:rPr>
                <w:rFonts w:ascii="Arial" w:hAnsi="Arial" w:cs="Arial"/>
              </w:rPr>
              <w:t>21.4 ± 0.19</w:t>
            </w:r>
          </w:p>
        </w:tc>
        <w:tc>
          <w:tcPr>
            <w:tcW w:w="3060" w:type="dxa"/>
          </w:tcPr>
          <w:p w:rsidR="00330CF1" w:rsidRPr="001B0E12" w:rsidRDefault="00330CF1" w:rsidP="00A80C8A">
            <w:pPr>
              <w:jc w:val="center"/>
              <w:rPr>
                <w:rFonts w:ascii="Arial" w:hAnsi="Arial" w:cs="Arial"/>
              </w:rPr>
            </w:pPr>
            <w:r w:rsidRPr="001B0E12">
              <w:rPr>
                <w:rFonts w:ascii="Arial" w:hAnsi="Arial" w:cs="Arial"/>
              </w:rPr>
              <w:t>21 ± 0.35</w:t>
            </w:r>
          </w:p>
        </w:tc>
        <w:tc>
          <w:tcPr>
            <w:tcW w:w="2970" w:type="dxa"/>
          </w:tcPr>
          <w:p w:rsidR="00330CF1" w:rsidRPr="001B0E12" w:rsidRDefault="00330CF1" w:rsidP="00A80C8A">
            <w:pPr>
              <w:jc w:val="center"/>
              <w:rPr>
                <w:rFonts w:ascii="Arial" w:hAnsi="Arial" w:cs="Arial"/>
              </w:rPr>
            </w:pPr>
            <w:r w:rsidRPr="001B0E12">
              <w:rPr>
                <w:rFonts w:ascii="Arial" w:hAnsi="Arial" w:cs="Arial"/>
              </w:rPr>
              <w:t>21.33 ± 0.31</w:t>
            </w:r>
          </w:p>
        </w:tc>
      </w:tr>
      <w:tr w:rsidR="00330CF1" w:rsidRPr="001B0E12" w:rsidTr="00E321CF">
        <w:trPr>
          <w:trHeight w:val="287"/>
        </w:trPr>
        <w:tc>
          <w:tcPr>
            <w:tcW w:w="1188" w:type="dxa"/>
          </w:tcPr>
          <w:p w:rsidR="00330CF1" w:rsidRPr="001B0E12" w:rsidRDefault="00330CF1" w:rsidP="00A80C8A">
            <w:pPr>
              <w:rPr>
                <w:rFonts w:ascii="Arial" w:hAnsi="Arial" w:cs="Arial"/>
              </w:rPr>
            </w:pPr>
            <w:r w:rsidRPr="001B0E12">
              <w:rPr>
                <w:rFonts w:ascii="Arial" w:hAnsi="Arial" w:cs="Arial"/>
              </w:rPr>
              <w:t>3</w:t>
            </w:r>
          </w:p>
        </w:tc>
        <w:tc>
          <w:tcPr>
            <w:tcW w:w="2520" w:type="dxa"/>
          </w:tcPr>
          <w:p w:rsidR="00330CF1" w:rsidRPr="001B0E12" w:rsidRDefault="00330CF1" w:rsidP="00A80C8A">
            <w:pPr>
              <w:jc w:val="center"/>
              <w:rPr>
                <w:rFonts w:ascii="Arial" w:hAnsi="Arial" w:cs="Arial"/>
              </w:rPr>
            </w:pPr>
            <w:r w:rsidRPr="001B0E12">
              <w:rPr>
                <w:rFonts w:ascii="Arial" w:hAnsi="Arial" w:cs="Arial"/>
              </w:rPr>
              <w:t>22 ± 0.16</w:t>
            </w:r>
          </w:p>
        </w:tc>
        <w:tc>
          <w:tcPr>
            <w:tcW w:w="3060" w:type="dxa"/>
          </w:tcPr>
          <w:p w:rsidR="00330CF1" w:rsidRPr="001B0E12" w:rsidRDefault="00330CF1" w:rsidP="00A80C8A">
            <w:pPr>
              <w:jc w:val="center"/>
              <w:rPr>
                <w:rFonts w:ascii="Arial" w:hAnsi="Arial" w:cs="Arial"/>
              </w:rPr>
            </w:pPr>
            <w:r w:rsidRPr="001B0E12">
              <w:rPr>
                <w:rFonts w:ascii="Arial" w:hAnsi="Arial" w:cs="Arial"/>
              </w:rPr>
              <w:t>22.5 ± 0.22</w:t>
            </w:r>
          </w:p>
        </w:tc>
        <w:tc>
          <w:tcPr>
            <w:tcW w:w="2970" w:type="dxa"/>
          </w:tcPr>
          <w:p w:rsidR="00330CF1" w:rsidRPr="001B0E12" w:rsidRDefault="00330CF1" w:rsidP="00A80C8A">
            <w:pPr>
              <w:jc w:val="center"/>
              <w:rPr>
                <w:rFonts w:ascii="Arial" w:hAnsi="Arial" w:cs="Arial"/>
              </w:rPr>
            </w:pPr>
            <w:r w:rsidRPr="001B0E12">
              <w:rPr>
                <w:rFonts w:ascii="Arial" w:hAnsi="Arial" w:cs="Arial"/>
              </w:rPr>
              <w:t>22.58 ± 0.30</w:t>
            </w:r>
          </w:p>
        </w:tc>
      </w:tr>
      <w:tr w:rsidR="00330CF1" w:rsidRPr="001B0E12" w:rsidTr="00E321CF">
        <w:trPr>
          <w:trHeight w:val="287"/>
        </w:trPr>
        <w:tc>
          <w:tcPr>
            <w:tcW w:w="1188" w:type="dxa"/>
          </w:tcPr>
          <w:p w:rsidR="00330CF1" w:rsidRPr="001B0E12" w:rsidRDefault="00330CF1" w:rsidP="00A80C8A">
            <w:pPr>
              <w:rPr>
                <w:rFonts w:ascii="Arial" w:hAnsi="Arial" w:cs="Arial"/>
              </w:rPr>
            </w:pPr>
            <w:r w:rsidRPr="001B0E12">
              <w:rPr>
                <w:rFonts w:ascii="Arial" w:hAnsi="Arial" w:cs="Arial"/>
              </w:rPr>
              <w:t>4</w:t>
            </w:r>
          </w:p>
        </w:tc>
        <w:tc>
          <w:tcPr>
            <w:tcW w:w="2520" w:type="dxa"/>
          </w:tcPr>
          <w:p w:rsidR="00330CF1" w:rsidRPr="001B0E12" w:rsidRDefault="00330CF1" w:rsidP="00A80C8A">
            <w:pPr>
              <w:jc w:val="center"/>
              <w:rPr>
                <w:rFonts w:ascii="Arial" w:hAnsi="Arial" w:cs="Arial"/>
              </w:rPr>
            </w:pPr>
            <w:r w:rsidRPr="001B0E12">
              <w:rPr>
                <w:rFonts w:ascii="Arial" w:hAnsi="Arial" w:cs="Arial"/>
              </w:rPr>
              <w:t>23 ± 0.32</w:t>
            </w:r>
          </w:p>
        </w:tc>
        <w:tc>
          <w:tcPr>
            <w:tcW w:w="3060" w:type="dxa"/>
          </w:tcPr>
          <w:p w:rsidR="00330CF1" w:rsidRPr="001B0E12" w:rsidRDefault="00330CF1" w:rsidP="00A80C8A">
            <w:pPr>
              <w:jc w:val="center"/>
              <w:rPr>
                <w:rFonts w:ascii="Arial" w:hAnsi="Arial" w:cs="Arial"/>
              </w:rPr>
            </w:pPr>
            <w:r w:rsidRPr="001B0E12">
              <w:rPr>
                <w:rFonts w:ascii="Arial" w:hAnsi="Arial" w:cs="Arial"/>
              </w:rPr>
              <w:t xml:space="preserve">23.3 ± 0.37 </w:t>
            </w:r>
          </w:p>
        </w:tc>
        <w:tc>
          <w:tcPr>
            <w:tcW w:w="2970" w:type="dxa"/>
          </w:tcPr>
          <w:p w:rsidR="00330CF1" w:rsidRPr="001B0E12" w:rsidRDefault="00330CF1" w:rsidP="00A80C8A">
            <w:pPr>
              <w:jc w:val="center"/>
              <w:rPr>
                <w:rFonts w:ascii="Arial" w:hAnsi="Arial" w:cs="Arial"/>
              </w:rPr>
            </w:pPr>
            <w:r w:rsidRPr="001B0E12">
              <w:rPr>
                <w:rFonts w:ascii="Arial" w:hAnsi="Arial" w:cs="Arial"/>
              </w:rPr>
              <w:t>23.58 ± 0.30</w:t>
            </w:r>
          </w:p>
        </w:tc>
      </w:tr>
      <w:tr w:rsidR="00330CF1" w:rsidRPr="001B0E12" w:rsidTr="00E321CF">
        <w:trPr>
          <w:trHeight w:val="287"/>
        </w:trPr>
        <w:tc>
          <w:tcPr>
            <w:tcW w:w="1188" w:type="dxa"/>
          </w:tcPr>
          <w:p w:rsidR="00330CF1" w:rsidRPr="001B0E12" w:rsidRDefault="00330CF1" w:rsidP="00A80C8A">
            <w:pPr>
              <w:rPr>
                <w:rFonts w:ascii="Arial" w:hAnsi="Arial" w:cs="Arial"/>
              </w:rPr>
            </w:pPr>
            <w:r w:rsidRPr="001B0E12">
              <w:rPr>
                <w:rFonts w:ascii="Arial" w:hAnsi="Arial" w:cs="Arial"/>
              </w:rPr>
              <w:t>5</w:t>
            </w:r>
          </w:p>
        </w:tc>
        <w:tc>
          <w:tcPr>
            <w:tcW w:w="2520" w:type="dxa"/>
          </w:tcPr>
          <w:p w:rsidR="00330CF1" w:rsidRPr="001B0E12" w:rsidRDefault="00330CF1" w:rsidP="00A80C8A">
            <w:pPr>
              <w:jc w:val="center"/>
              <w:rPr>
                <w:rFonts w:ascii="Arial" w:hAnsi="Arial" w:cs="Arial"/>
              </w:rPr>
            </w:pPr>
            <w:r w:rsidRPr="001B0E12">
              <w:rPr>
                <w:rFonts w:ascii="Arial" w:hAnsi="Arial" w:cs="Arial"/>
              </w:rPr>
              <w:t>23.7 ± 0.12</w:t>
            </w:r>
          </w:p>
        </w:tc>
        <w:tc>
          <w:tcPr>
            <w:tcW w:w="3060" w:type="dxa"/>
          </w:tcPr>
          <w:p w:rsidR="00330CF1" w:rsidRPr="001B0E12" w:rsidRDefault="00330CF1" w:rsidP="00A80C8A">
            <w:pPr>
              <w:jc w:val="center"/>
              <w:rPr>
                <w:rFonts w:ascii="Arial" w:hAnsi="Arial" w:cs="Arial"/>
              </w:rPr>
            </w:pPr>
            <w:r w:rsidRPr="001B0E12">
              <w:rPr>
                <w:rFonts w:ascii="Arial" w:hAnsi="Arial" w:cs="Arial"/>
              </w:rPr>
              <w:t>24 ± 0.35</w:t>
            </w:r>
          </w:p>
        </w:tc>
        <w:tc>
          <w:tcPr>
            <w:tcW w:w="2970" w:type="dxa"/>
          </w:tcPr>
          <w:p w:rsidR="00330CF1" w:rsidRPr="001B0E12" w:rsidRDefault="00330CF1" w:rsidP="00A80C8A">
            <w:pPr>
              <w:jc w:val="center"/>
              <w:rPr>
                <w:rFonts w:ascii="Arial" w:hAnsi="Arial" w:cs="Arial"/>
              </w:rPr>
            </w:pPr>
            <w:r w:rsidRPr="001B0E12">
              <w:rPr>
                <w:rFonts w:ascii="Arial" w:hAnsi="Arial" w:cs="Arial"/>
              </w:rPr>
              <w:t>24 ± 0.22</w:t>
            </w:r>
          </w:p>
        </w:tc>
      </w:tr>
      <w:tr w:rsidR="00330CF1" w:rsidRPr="001B0E12" w:rsidTr="00E321CF">
        <w:trPr>
          <w:trHeight w:val="304"/>
        </w:trPr>
        <w:tc>
          <w:tcPr>
            <w:tcW w:w="1188" w:type="dxa"/>
          </w:tcPr>
          <w:p w:rsidR="00330CF1" w:rsidRPr="001B0E12" w:rsidRDefault="00330CF1" w:rsidP="00A80C8A">
            <w:pPr>
              <w:rPr>
                <w:rFonts w:ascii="Arial" w:hAnsi="Arial" w:cs="Arial"/>
              </w:rPr>
            </w:pPr>
            <w:r w:rsidRPr="001B0E12">
              <w:rPr>
                <w:rFonts w:ascii="Arial" w:hAnsi="Arial" w:cs="Arial"/>
              </w:rPr>
              <w:t>6</w:t>
            </w:r>
          </w:p>
        </w:tc>
        <w:tc>
          <w:tcPr>
            <w:tcW w:w="2520" w:type="dxa"/>
          </w:tcPr>
          <w:p w:rsidR="00330CF1" w:rsidRPr="001B0E12" w:rsidRDefault="00330CF1" w:rsidP="00A80C8A">
            <w:pPr>
              <w:jc w:val="center"/>
              <w:rPr>
                <w:rFonts w:ascii="Arial" w:hAnsi="Arial" w:cs="Arial"/>
              </w:rPr>
            </w:pPr>
            <w:r w:rsidRPr="001B0E12">
              <w:rPr>
                <w:rFonts w:ascii="Arial" w:hAnsi="Arial" w:cs="Arial"/>
              </w:rPr>
              <w:t>24.4 ± 0.19</w:t>
            </w:r>
          </w:p>
        </w:tc>
        <w:tc>
          <w:tcPr>
            <w:tcW w:w="3060" w:type="dxa"/>
          </w:tcPr>
          <w:p w:rsidR="00330CF1" w:rsidRPr="001B0E12" w:rsidRDefault="00330CF1" w:rsidP="00A80C8A">
            <w:pPr>
              <w:jc w:val="center"/>
              <w:rPr>
                <w:rFonts w:ascii="Arial" w:hAnsi="Arial" w:cs="Arial"/>
              </w:rPr>
            </w:pPr>
            <w:r w:rsidRPr="001B0E12">
              <w:rPr>
                <w:rFonts w:ascii="Arial" w:hAnsi="Arial" w:cs="Arial"/>
              </w:rPr>
              <w:t>24.3 ± 0.30</w:t>
            </w:r>
          </w:p>
        </w:tc>
        <w:tc>
          <w:tcPr>
            <w:tcW w:w="2970" w:type="dxa"/>
          </w:tcPr>
          <w:p w:rsidR="00330CF1" w:rsidRPr="001B0E12" w:rsidRDefault="00330CF1" w:rsidP="00A80C8A">
            <w:pPr>
              <w:jc w:val="center"/>
              <w:rPr>
                <w:rFonts w:ascii="Arial" w:hAnsi="Arial" w:cs="Arial"/>
              </w:rPr>
            </w:pPr>
            <w:r w:rsidRPr="001B0E12">
              <w:rPr>
                <w:rFonts w:ascii="Arial" w:hAnsi="Arial" w:cs="Arial"/>
              </w:rPr>
              <w:t>25 ±0.22</w:t>
            </w:r>
          </w:p>
        </w:tc>
      </w:tr>
      <w:tr w:rsidR="00330CF1" w:rsidRPr="001B0E12" w:rsidTr="00E321CF">
        <w:trPr>
          <w:trHeight w:val="287"/>
        </w:trPr>
        <w:tc>
          <w:tcPr>
            <w:tcW w:w="1188" w:type="dxa"/>
          </w:tcPr>
          <w:p w:rsidR="00330CF1" w:rsidRPr="001B0E12" w:rsidRDefault="00330CF1" w:rsidP="00A80C8A">
            <w:pPr>
              <w:rPr>
                <w:rFonts w:ascii="Arial" w:hAnsi="Arial" w:cs="Arial"/>
              </w:rPr>
            </w:pPr>
            <w:r w:rsidRPr="001B0E12">
              <w:rPr>
                <w:rFonts w:ascii="Arial" w:hAnsi="Arial" w:cs="Arial"/>
              </w:rPr>
              <w:t>7</w:t>
            </w:r>
          </w:p>
        </w:tc>
        <w:tc>
          <w:tcPr>
            <w:tcW w:w="2520" w:type="dxa"/>
          </w:tcPr>
          <w:p w:rsidR="00330CF1" w:rsidRPr="001B0E12" w:rsidRDefault="00330CF1" w:rsidP="00A80C8A">
            <w:pPr>
              <w:jc w:val="center"/>
              <w:rPr>
                <w:rFonts w:ascii="Arial" w:hAnsi="Arial" w:cs="Arial"/>
              </w:rPr>
            </w:pPr>
            <w:r w:rsidRPr="001B0E12">
              <w:rPr>
                <w:rFonts w:ascii="Arial" w:hAnsi="Arial" w:cs="Arial"/>
              </w:rPr>
              <w:t>25.4 ± 0.24</w:t>
            </w:r>
          </w:p>
        </w:tc>
        <w:tc>
          <w:tcPr>
            <w:tcW w:w="3060" w:type="dxa"/>
          </w:tcPr>
          <w:p w:rsidR="00330CF1" w:rsidRPr="001B0E12" w:rsidRDefault="00330CF1" w:rsidP="00A80C8A">
            <w:pPr>
              <w:jc w:val="center"/>
              <w:rPr>
                <w:rFonts w:ascii="Arial" w:hAnsi="Arial" w:cs="Arial"/>
              </w:rPr>
            </w:pPr>
            <w:r w:rsidRPr="001B0E12">
              <w:rPr>
                <w:rFonts w:ascii="Arial" w:hAnsi="Arial" w:cs="Arial"/>
              </w:rPr>
              <w:t>25.4 ± 0.70</w:t>
            </w:r>
          </w:p>
        </w:tc>
        <w:tc>
          <w:tcPr>
            <w:tcW w:w="2970" w:type="dxa"/>
          </w:tcPr>
          <w:p w:rsidR="00330CF1" w:rsidRPr="001B0E12" w:rsidRDefault="00330CF1" w:rsidP="00A80C8A">
            <w:pPr>
              <w:jc w:val="center"/>
              <w:rPr>
                <w:rFonts w:ascii="Arial" w:hAnsi="Arial" w:cs="Arial"/>
              </w:rPr>
            </w:pPr>
            <w:r w:rsidRPr="001B0E12">
              <w:rPr>
                <w:rFonts w:ascii="Arial" w:hAnsi="Arial" w:cs="Arial"/>
              </w:rPr>
              <w:t>25.33 ± 0.17</w:t>
            </w:r>
          </w:p>
        </w:tc>
      </w:tr>
      <w:tr w:rsidR="00330CF1" w:rsidRPr="001B0E12" w:rsidTr="00E321CF">
        <w:trPr>
          <w:trHeight w:val="287"/>
        </w:trPr>
        <w:tc>
          <w:tcPr>
            <w:tcW w:w="1188" w:type="dxa"/>
          </w:tcPr>
          <w:p w:rsidR="00330CF1" w:rsidRPr="001B0E12" w:rsidRDefault="00330CF1" w:rsidP="00A80C8A">
            <w:pPr>
              <w:rPr>
                <w:rFonts w:ascii="Arial" w:hAnsi="Arial" w:cs="Arial"/>
              </w:rPr>
            </w:pPr>
            <w:r w:rsidRPr="001B0E12">
              <w:rPr>
                <w:rFonts w:ascii="Arial" w:hAnsi="Arial" w:cs="Arial"/>
              </w:rPr>
              <w:t>8</w:t>
            </w:r>
          </w:p>
        </w:tc>
        <w:tc>
          <w:tcPr>
            <w:tcW w:w="2520" w:type="dxa"/>
          </w:tcPr>
          <w:p w:rsidR="00330CF1" w:rsidRPr="001B0E12" w:rsidRDefault="00330CF1" w:rsidP="00A80C8A">
            <w:pPr>
              <w:jc w:val="center"/>
              <w:rPr>
                <w:rFonts w:ascii="Arial" w:hAnsi="Arial" w:cs="Arial"/>
              </w:rPr>
            </w:pPr>
            <w:r w:rsidRPr="001B0E12">
              <w:rPr>
                <w:rFonts w:ascii="Arial" w:hAnsi="Arial" w:cs="Arial"/>
              </w:rPr>
              <w:t>25.6 ± 0.37</w:t>
            </w:r>
          </w:p>
        </w:tc>
        <w:tc>
          <w:tcPr>
            <w:tcW w:w="3060" w:type="dxa"/>
          </w:tcPr>
          <w:p w:rsidR="00330CF1" w:rsidRPr="001B0E12" w:rsidRDefault="00330CF1" w:rsidP="00A80C8A">
            <w:pPr>
              <w:jc w:val="center"/>
              <w:rPr>
                <w:rFonts w:ascii="Arial" w:hAnsi="Arial" w:cs="Arial"/>
              </w:rPr>
            </w:pPr>
            <w:r w:rsidRPr="001B0E12">
              <w:rPr>
                <w:rFonts w:ascii="Arial" w:hAnsi="Arial" w:cs="Arial"/>
              </w:rPr>
              <w:t>26.1 ± 0.62</w:t>
            </w:r>
          </w:p>
        </w:tc>
        <w:tc>
          <w:tcPr>
            <w:tcW w:w="2970" w:type="dxa"/>
          </w:tcPr>
          <w:p w:rsidR="00330CF1" w:rsidRPr="001B0E12" w:rsidRDefault="00330CF1" w:rsidP="00A80C8A">
            <w:pPr>
              <w:jc w:val="center"/>
              <w:rPr>
                <w:rFonts w:ascii="Arial" w:hAnsi="Arial" w:cs="Arial"/>
              </w:rPr>
            </w:pPr>
            <w:r w:rsidRPr="001B0E12">
              <w:rPr>
                <w:rFonts w:ascii="Arial" w:hAnsi="Arial" w:cs="Arial"/>
              </w:rPr>
              <w:t>26.08 ± 0.15</w:t>
            </w:r>
          </w:p>
        </w:tc>
      </w:tr>
      <w:tr w:rsidR="00330CF1" w:rsidRPr="001B0E12" w:rsidTr="00E321CF">
        <w:trPr>
          <w:trHeight w:val="287"/>
        </w:trPr>
        <w:tc>
          <w:tcPr>
            <w:tcW w:w="1188" w:type="dxa"/>
          </w:tcPr>
          <w:p w:rsidR="00330CF1" w:rsidRPr="001B0E12" w:rsidRDefault="00330CF1" w:rsidP="00A80C8A">
            <w:pPr>
              <w:rPr>
                <w:rFonts w:ascii="Arial" w:hAnsi="Arial" w:cs="Arial"/>
              </w:rPr>
            </w:pPr>
            <w:r w:rsidRPr="001B0E12">
              <w:rPr>
                <w:rFonts w:ascii="Arial" w:hAnsi="Arial" w:cs="Arial"/>
              </w:rPr>
              <w:t>9</w:t>
            </w:r>
          </w:p>
        </w:tc>
        <w:tc>
          <w:tcPr>
            <w:tcW w:w="2520" w:type="dxa"/>
          </w:tcPr>
          <w:p w:rsidR="00330CF1" w:rsidRPr="001B0E12" w:rsidRDefault="00330CF1" w:rsidP="00A80C8A">
            <w:pPr>
              <w:jc w:val="center"/>
              <w:rPr>
                <w:rFonts w:ascii="Arial" w:hAnsi="Arial" w:cs="Arial"/>
              </w:rPr>
            </w:pPr>
            <w:r w:rsidRPr="001B0E12">
              <w:rPr>
                <w:rFonts w:ascii="Arial" w:hAnsi="Arial" w:cs="Arial"/>
              </w:rPr>
              <w:t>26.8 ± 0.40</w:t>
            </w:r>
          </w:p>
        </w:tc>
        <w:tc>
          <w:tcPr>
            <w:tcW w:w="3060" w:type="dxa"/>
          </w:tcPr>
          <w:p w:rsidR="00330CF1" w:rsidRPr="001B0E12" w:rsidRDefault="00330CF1" w:rsidP="00A80C8A">
            <w:pPr>
              <w:jc w:val="center"/>
              <w:rPr>
                <w:rFonts w:ascii="Arial" w:hAnsi="Arial" w:cs="Arial"/>
              </w:rPr>
            </w:pPr>
            <w:r w:rsidRPr="001B0E12">
              <w:rPr>
                <w:rFonts w:ascii="Arial" w:hAnsi="Arial" w:cs="Arial"/>
              </w:rPr>
              <w:t>26.8 ± 0.56</w:t>
            </w:r>
          </w:p>
        </w:tc>
        <w:tc>
          <w:tcPr>
            <w:tcW w:w="2970" w:type="dxa"/>
          </w:tcPr>
          <w:p w:rsidR="00330CF1" w:rsidRPr="001B0E12" w:rsidRDefault="00330CF1" w:rsidP="00A80C8A">
            <w:pPr>
              <w:jc w:val="center"/>
              <w:rPr>
                <w:rFonts w:ascii="Arial" w:hAnsi="Arial" w:cs="Arial"/>
              </w:rPr>
            </w:pPr>
            <w:r w:rsidRPr="001B0E12">
              <w:rPr>
                <w:rFonts w:ascii="Arial" w:hAnsi="Arial" w:cs="Arial"/>
              </w:rPr>
              <w:t>26.75 ± 0.11</w:t>
            </w:r>
          </w:p>
        </w:tc>
      </w:tr>
      <w:tr w:rsidR="00330CF1" w:rsidRPr="001B0E12" w:rsidTr="00E321CF">
        <w:trPr>
          <w:trHeight w:val="304"/>
        </w:trPr>
        <w:tc>
          <w:tcPr>
            <w:tcW w:w="1188" w:type="dxa"/>
          </w:tcPr>
          <w:p w:rsidR="00330CF1" w:rsidRPr="001B0E12" w:rsidRDefault="00330CF1" w:rsidP="00A80C8A">
            <w:pPr>
              <w:rPr>
                <w:rFonts w:ascii="Arial" w:hAnsi="Arial" w:cs="Arial"/>
              </w:rPr>
            </w:pPr>
            <w:r w:rsidRPr="001B0E12">
              <w:rPr>
                <w:rFonts w:ascii="Arial" w:hAnsi="Arial" w:cs="Arial"/>
              </w:rPr>
              <w:t>10</w:t>
            </w:r>
          </w:p>
        </w:tc>
        <w:tc>
          <w:tcPr>
            <w:tcW w:w="2520" w:type="dxa"/>
          </w:tcPr>
          <w:p w:rsidR="00330CF1" w:rsidRPr="001B0E12" w:rsidRDefault="00330CF1" w:rsidP="00A80C8A">
            <w:pPr>
              <w:jc w:val="center"/>
              <w:rPr>
                <w:rFonts w:ascii="Arial" w:hAnsi="Arial" w:cs="Arial"/>
              </w:rPr>
            </w:pPr>
            <w:r w:rsidRPr="001B0E12">
              <w:rPr>
                <w:rFonts w:ascii="Arial" w:hAnsi="Arial" w:cs="Arial"/>
              </w:rPr>
              <w:t>27.3</w:t>
            </w:r>
            <w:r>
              <w:rPr>
                <w:rFonts w:ascii="Arial" w:hAnsi="Arial" w:cs="Arial"/>
              </w:rPr>
              <w:t xml:space="preserve"> ±</w:t>
            </w:r>
            <w:r w:rsidRPr="001B0E12">
              <w:rPr>
                <w:rFonts w:ascii="Arial" w:hAnsi="Arial" w:cs="Arial"/>
              </w:rPr>
              <w:t xml:space="preserve"> 0.30</w:t>
            </w:r>
          </w:p>
        </w:tc>
        <w:tc>
          <w:tcPr>
            <w:tcW w:w="3060" w:type="dxa"/>
          </w:tcPr>
          <w:p w:rsidR="00330CF1" w:rsidRPr="001B0E12" w:rsidRDefault="00330CF1" w:rsidP="00A80C8A">
            <w:pPr>
              <w:jc w:val="center"/>
              <w:rPr>
                <w:rFonts w:ascii="Arial" w:hAnsi="Arial" w:cs="Arial"/>
              </w:rPr>
            </w:pPr>
            <w:r w:rsidRPr="001B0E12">
              <w:rPr>
                <w:rFonts w:ascii="Arial" w:hAnsi="Arial" w:cs="Arial"/>
              </w:rPr>
              <w:t>27.1 ± 0.48</w:t>
            </w:r>
          </w:p>
        </w:tc>
        <w:tc>
          <w:tcPr>
            <w:tcW w:w="2970" w:type="dxa"/>
          </w:tcPr>
          <w:p w:rsidR="00330CF1" w:rsidRPr="001B0E12" w:rsidRDefault="00330CF1" w:rsidP="00A80C8A">
            <w:pPr>
              <w:jc w:val="center"/>
              <w:rPr>
                <w:rFonts w:ascii="Arial" w:hAnsi="Arial" w:cs="Arial"/>
              </w:rPr>
            </w:pPr>
            <w:r w:rsidRPr="001B0E12">
              <w:rPr>
                <w:rFonts w:ascii="Arial" w:hAnsi="Arial" w:cs="Arial"/>
              </w:rPr>
              <w:t>27.5 ± 0.29</w:t>
            </w:r>
          </w:p>
        </w:tc>
      </w:tr>
    </w:tbl>
    <w:p w:rsidR="00330CF1" w:rsidRDefault="00330CF1" w:rsidP="00155FD0">
      <w:pPr>
        <w:rPr>
          <w:rFonts w:ascii="Arial" w:hAnsi="Arial" w:cs="Arial"/>
        </w:rPr>
      </w:pPr>
    </w:p>
    <w:p w:rsidR="00330CF1" w:rsidRDefault="00330CF1" w:rsidP="00155FD0">
      <w:pPr>
        <w:rPr>
          <w:rFonts w:ascii="Arial" w:hAnsi="Arial" w:cs="Arial"/>
        </w:rPr>
      </w:pPr>
    </w:p>
    <w:p w:rsidR="00330CF1" w:rsidRDefault="00330CF1" w:rsidP="00155FD0">
      <w:pPr>
        <w:rPr>
          <w:rFonts w:ascii="Arial" w:hAnsi="Arial" w:cs="Arial"/>
        </w:rPr>
      </w:pPr>
    </w:p>
    <w:p w:rsidR="00330CF1" w:rsidRDefault="00330CF1" w:rsidP="00155FD0">
      <w:pPr>
        <w:rPr>
          <w:rFonts w:ascii="Arial" w:hAnsi="Arial" w:cs="Arial"/>
        </w:rPr>
      </w:pPr>
    </w:p>
    <w:p w:rsidR="00330CF1" w:rsidRDefault="00330CF1" w:rsidP="00155FD0">
      <w:pPr>
        <w:rPr>
          <w:rFonts w:ascii="Arial" w:hAnsi="Arial" w:cs="Arial"/>
        </w:rPr>
      </w:pPr>
    </w:p>
    <w:p w:rsidR="00330CF1" w:rsidRDefault="00330CF1" w:rsidP="00155FD0">
      <w:pPr>
        <w:rPr>
          <w:rFonts w:ascii="Arial" w:hAnsi="Arial" w:cs="Arial"/>
        </w:rPr>
      </w:pPr>
    </w:p>
    <w:p w:rsidR="00330CF1" w:rsidRPr="00270113" w:rsidRDefault="00330CF1" w:rsidP="00155FD0">
      <w:pPr>
        <w:jc w:val="center"/>
        <w:rPr>
          <w:rFonts w:ascii="Arial" w:hAnsi="Arial" w:cs="Arial"/>
        </w:rPr>
      </w:pPr>
      <w:r w:rsidRPr="00270113">
        <w:rPr>
          <w:rFonts w:ascii="Arial" w:hAnsi="Arial" w:cs="Arial"/>
          <w:b/>
        </w:rPr>
        <w:t>Table A-4</w:t>
      </w:r>
      <w:r w:rsidRPr="00270113">
        <w:rPr>
          <w:rFonts w:ascii="Arial" w:hAnsi="Arial" w:cs="Arial"/>
        </w:rPr>
        <w:t xml:space="preserve"> </w:t>
      </w:r>
      <w:r>
        <w:rPr>
          <w:rFonts w:ascii="Arial" w:hAnsi="Arial" w:cs="Arial"/>
        </w:rPr>
        <w:t>Female w</w:t>
      </w:r>
      <w:r w:rsidRPr="00270113">
        <w:rPr>
          <w:rFonts w:ascii="Arial" w:hAnsi="Arial" w:cs="Arial"/>
        </w:rPr>
        <w:t>eekly</w:t>
      </w:r>
      <w:r>
        <w:rPr>
          <w:rFonts w:ascii="Arial" w:hAnsi="Arial" w:cs="Arial"/>
        </w:rPr>
        <w:t xml:space="preserve"> h</w:t>
      </w:r>
      <w:r w:rsidRPr="00270113">
        <w:rPr>
          <w:rFonts w:ascii="Arial" w:hAnsi="Arial" w:cs="Arial"/>
        </w:rPr>
        <w:t>eight (cm) over 10 week feeding trail</w:t>
      </w:r>
    </w:p>
    <w:p w:rsidR="00330CF1" w:rsidRPr="00EA33C6" w:rsidRDefault="00330CF1" w:rsidP="00155FD0">
      <w:pPr>
        <w:jc w:val="center"/>
        <w:rPr>
          <w:rFonts w:ascii="Arial" w:hAnsi="Arial" w:cs="Arial"/>
          <w:color w:val="C00000"/>
        </w:rPr>
      </w:pPr>
      <w:r w:rsidRPr="00270113">
        <w:rPr>
          <w:rFonts w:ascii="Arial" w:hAnsi="Arial" w:cs="Arial"/>
        </w:rPr>
        <w:t>by diet treatment (Mean ± SEM)</w:t>
      </w:r>
    </w:p>
    <w:p w:rsidR="00330CF1" w:rsidRPr="001F5B00" w:rsidRDefault="00330CF1" w:rsidP="00155FD0">
      <w:pPr>
        <w:jc w:val="center"/>
        <w:rPr>
          <w:rFonts w:ascii="Arial" w:hAnsi="Arial" w:cs="Arial"/>
        </w:rPr>
      </w:pPr>
    </w:p>
    <w:tbl>
      <w:tblPr>
        <w:tblStyle w:val="TableGrid"/>
        <w:tblW w:w="9738" w:type="dxa"/>
        <w:tblLook w:val="04A0" w:firstRow="1" w:lastRow="0" w:firstColumn="1" w:lastColumn="0" w:noHBand="0" w:noVBand="1"/>
      </w:tblPr>
      <w:tblGrid>
        <w:gridCol w:w="1188"/>
        <w:gridCol w:w="2520"/>
        <w:gridCol w:w="3060"/>
        <w:gridCol w:w="2970"/>
      </w:tblGrid>
      <w:tr w:rsidR="00330CF1" w:rsidRPr="001F5B00" w:rsidTr="00E321CF">
        <w:trPr>
          <w:trHeight w:val="316"/>
        </w:trPr>
        <w:tc>
          <w:tcPr>
            <w:tcW w:w="1188" w:type="dxa"/>
          </w:tcPr>
          <w:p w:rsidR="00330CF1" w:rsidRPr="001F5B00" w:rsidRDefault="00330CF1" w:rsidP="00A80C8A">
            <w:pPr>
              <w:rPr>
                <w:rFonts w:ascii="Arial" w:hAnsi="Arial" w:cs="Arial"/>
              </w:rPr>
            </w:pPr>
            <w:r w:rsidRPr="001F5B00">
              <w:rPr>
                <w:rFonts w:ascii="Arial" w:hAnsi="Arial" w:cs="Arial"/>
              </w:rPr>
              <w:t>Week</w:t>
            </w:r>
          </w:p>
        </w:tc>
        <w:tc>
          <w:tcPr>
            <w:tcW w:w="2520" w:type="dxa"/>
          </w:tcPr>
          <w:p w:rsidR="00330CF1" w:rsidRPr="001F5B00" w:rsidRDefault="00330CF1" w:rsidP="00A80C8A">
            <w:pPr>
              <w:jc w:val="center"/>
              <w:rPr>
                <w:rFonts w:ascii="Arial" w:hAnsi="Arial" w:cs="Arial"/>
              </w:rPr>
            </w:pPr>
            <w:r>
              <w:rPr>
                <w:rFonts w:ascii="Arial" w:hAnsi="Arial" w:cs="Arial"/>
              </w:rPr>
              <w:t>Control</w:t>
            </w:r>
          </w:p>
        </w:tc>
        <w:tc>
          <w:tcPr>
            <w:tcW w:w="3060" w:type="dxa"/>
          </w:tcPr>
          <w:p w:rsidR="00330CF1" w:rsidRPr="001F5B00" w:rsidRDefault="00330CF1" w:rsidP="00A80C8A">
            <w:pPr>
              <w:jc w:val="center"/>
              <w:rPr>
                <w:rFonts w:ascii="Arial" w:hAnsi="Arial" w:cs="Arial"/>
              </w:rPr>
            </w:pPr>
            <w:r>
              <w:rPr>
                <w:rFonts w:ascii="Arial" w:hAnsi="Arial" w:cs="Arial"/>
              </w:rPr>
              <w:t>Commercial Raw</w:t>
            </w:r>
          </w:p>
        </w:tc>
        <w:tc>
          <w:tcPr>
            <w:tcW w:w="2970" w:type="dxa"/>
          </w:tcPr>
          <w:p w:rsidR="00330CF1" w:rsidRPr="001F5B00" w:rsidRDefault="00330CF1" w:rsidP="00A80C8A">
            <w:pPr>
              <w:jc w:val="center"/>
              <w:rPr>
                <w:rFonts w:ascii="Arial" w:hAnsi="Arial" w:cs="Arial"/>
              </w:rPr>
            </w:pPr>
            <w:r>
              <w:rPr>
                <w:rFonts w:ascii="Arial" w:hAnsi="Arial" w:cs="Arial"/>
              </w:rPr>
              <w:t>Homemade Raw</w:t>
            </w:r>
          </w:p>
        </w:tc>
      </w:tr>
      <w:tr w:rsidR="00330CF1" w:rsidRPr="001F5B00" w:rsidTr="00E321CF">
        <w:trPr>
          <w:trHeight w:val="298"/>
        </w:trPr>
        <w:tc>
          <w:tcPr>
            <w:tcW w:w="1188" w:type="dxa"/>
          </w:tcPr>
          <w:p w:rsidR="00330CF1" w:rsidRPr="001F5B00" w:rsidRDefault="00330CF1" w:rsidP="00A80C8A">
            <w:pPr>
              <w:rPr>
                <w:rFonts w:ascii="Arial" w:hAnsi="Arial" w:cs="Arial"/>
              </w:rPr>
            </w:pPr>
            <w:r w:rsidRPr="001F5B00">
              <w:rPr>
                <w:rFonts w:ascii="Arial" w:hAnsi="Arial" w:cs="Arial"/>
              </w:rPr>
              <w:t>0</w:t>
            </w:r>
          </w:p>
        </w:tc>
        <w:tc>
          <w:tcPr>
            <w:tcW w:w="2520" w:type="dxa"/>
          </w:tcPr>
          <w:p w:rsidR="00330CF1" w:rsidRPr="001F5B00" w:rsidRDefault="00330CF1" w:rsidP="00A80C8A">
            <w:pPr>
              <w:jc w:val="center"/>
              <w:rPr>
                <w:rFonts w:ascii="Arial" w:hAnsi="Arial" w:cs="Arial"/>
              </w:rPr>
            </w:pPr>
            <w:r w:rsidRPr="001F5B00">
              <w:rPr>
                <w:rFonts w:ascii="Arial" w:hAnsi="Arial" w:cs="Arial"/>
              </w:rPr>
              <w:t>18.5 ± 0.76</w:t>
            </w:r>
          </w:p>
        </w:tc>
        <w:tc>
          <w:tcPr>
            <w:tcW w:w="3060" w:type="dxa"/>
          </w:tcPr>
          <w:p w:rsidR="00330CF1" w:rsidRPr="001F5B00" w:rsidRDefault="00330CF1" w:rsidP="00A80C8A">
            <w:pPr>
              <w:jc w:val="center"/>
              <w:rPr>
                <w:rFonts w:ascii="Arial" w:hAnsi="Arial" w:cs="Arial"/>
              </w:rPr>
            </w:pPr>
            <w:r w:rsidRPr="001F5B00">
              <w:rPr>
                <w:rFonts w:ascii="Arial" w:hAnsi="Arial" w:cs="Arial"/>
              </w:rPr>
              <w:t>19.17 ± 0.73</w:t>
            </w:r>
          </w:p>
        </w:tc>
        <w:tc>
          <w:tcPr>
            <w:tcW w:w="2970" w:type="dxa"/>
          </w:tcPr>
          <w:p w:rsidR="00330CF1" w:rsidRPr="001F5B00" w:rsidRDefault="00330CF1" w:rsidP="00A80C8A">
            <w:pPr>
              <w:jc w:val="center"/>
              <w:rPr>
                <w:rFonts w:ascii="Arial" w:hAnsi="Arial" w:cs="Arial"/>
              </w:rPr>
            </w:pPr>
            <w:r w:rsidRPr="001F5B00">
              <w:rPr>
                <w:rFonts w:ascii="Arial" w:hAnsi="Arial" w:cs="Arial"/>
              </w:rPr>
              <w:t>18.5 ± 0.5</w:t>
            </w:r>
          </w:p>
        </w:tc>
      </w:tr>
      <w:tr w:rsidR="00330CF1" w:rsidRPr="001F5B00" w:rsidTr="00E321CF">
        <w:trPr>
          <w:trHeight w:val="298"/>
        </w:trPr>
        <w:tc>
          <w:tcPr>
            <w:tcW w:w="1188" w:type="dxa"/>
          </w:tcPr>
          <w:p w:rsidR="00330CF1" w:rsidRPr="001F5B00" w:rsidRDefault="00330CF1" w:rsidP="00A80C8A">
            <w:pPr>
              <w:rPr>
                <w:rFonts w:ascii="Arial" w:hAnsi="Arial" w:cs="Arial"/>
              </w:rPr>
            </w:pPr>
            <w:r w:rsidRPr="001F5B00">
              <w:rPr>
                <w:rFonts w:ascii="Arial" w:hAnsi="Arial" w:cs="Arial"/>
              </w:rPr>
              <w:t>1</w:t>
            </w:r>
          </w:p>
        </w:tc>
        <w:tc>
          <w:tcPr>
            <w:tcW w:w="2520" w:type="dxa"/>
          </w:tcPr>
          <w:p w:rsidR="00330CF1" w:rsidRPr="001F5B00" w:rsidRDefault="00330CF1" w:rsidP="00A80C8A">
            <w:pPr>
              <w:jc w:val="center"/>
              <w:rPr>
                <w:rFonts w:ascii="Arial" w:hAnsi="Arial" w:cs="Arial"/>
              </w:rPr>
            </w:pPr>
            <w:r w:rsidRPr="001F5B00">
              <w:rPr>
                <w:rFonts w:ascii="Arial" w:hAnsi="Arial" w:cs="Arial"/>
              </w:rPr>
              <w:t>19 ± 0.58</w:t>
            </w:r>
          </w:p>
        </w:tc>
        <w:tc>
          <w:tcPr>
            <w:tcW w:w="3060" w:type="dxa"/>
          </w:tcPr>
          <w:p w:rsidR="00330CF1" w:rsidRPr="001F5B00" w:rsidRDefault="00330CF1" w:rsidP="00A80C8A">
            <w:pPr>
              <w:jc w:val="center"/>
              <w:rPr>
                <w:rFonts w:ascii="Arial" w:hAnsi="Arial" w:cs="Arial"/>
              </w:rPr>
            </w:pPr>
            <w:r w:rsidRPr="001F5B00">
              <w:rPr>
                <w:rFonts w:ascii="Arial" w:hAnsi="Arial" w:cs="Arial"/>
              </w:rPr>
              <w:t>19.33 ± 0.73</w:t>
            </w:r>
          </w:p>
        </w:tc>
        <w:tc>
          <w:tcPr>
            <w:tcW w:w="2970" w:type="dxa"/>
          </w:tcPr>
          <w:p w:rsidR="00330CF1" w:rsidRPr="001F5B00" w:rsidRDefault="00330CF1" w:rsidP="00A80C8A">
            <w:pPr>
              <w:jc w:val="center"/>
              <w:rPr>
                <w:rFonts w:ascii="Arial" w:hAnsi="Arial" w:cs="Arial"/>
              </w:rPr>
            </w:pPr>
            <w:r w:rsidRPr="001F5B00">
              <w:rPr>
                <w:rFonts w:ascii="Arial" w:hAnsi="Arial" w:cs="Arial"/>
              </w:rPr>
              <w:t>19.75 ± 0.75</w:t>
            </w:r>
          </w:p>
        </w:tc>
      </w:tr>
      <w:tr w:rsidR="00330CF1" w:rsidRPr="001F5B00" w:rsidTr="00E321CF">
        <w:trPr>
          <w:trHeight w:val="298"/>
        </w:trPr>
        <w:tc>
          <w:tcPr>
            <w:tcW w:w="1188" w:type="dxa"/>
          </w:tcPr>
          <w:p w:rsidR="00330CF1" w:rsidRPr="001F5B00" w:rsidRDefault="00330CF1" w:rsidP="00A80C8A">
            <w:pPr>
              <w:rPr>
                <w:rFonts w:ascii="Arial" w:hAnsi="Arial" w:cs="Arial"/>
              </w:rPr>
            </w:pPr>
            <w:r w:rsidRPr="001F5B00">
              <w:rPr>
                <w:rFonts w:ascii="Arial" w:hAnsi="Arial" w:cs="Arial"/>
              </w:rPr>
              <w:t>2</w:t>
            </w:r>
          </w:p>
        </w:tc>
        <w:tc>
          <w:tcPr>
            <w:tcW w:w="2520" w:type="dxa"/>
          </w:tcPr>
          <w:p w:rsidR="00330CF1" w:rsidRPr="001F5B00" w:rsidRDefault="00330CF1" w:rsidP="00A80C8A">
            <w:pPr>
              <w:jc w:val="center"/>
              <w:rPr>
                <w:rFonts w:ascii="Arial" w:hAnsi="Arial" w:cs="Arial"/>
              </w:rPr>
            </w:pPr>
            <w:r w:rsidRPr="001F5B00">
              <w:rPr>
                <w:rFonts w:ascii="Arial" w:hAnsi="Arial" w:cs="Arial"/>
              </w:rPr>
              <w:t>20.17 ± 0.44</w:t>
            </w:r>
          </w:p>
        </w:tc>
        <w:tc>
          <w:tcPr>
            <w:tcW w:w="3060" w:type="dxa"/>
          </w:tcPr>
          <w:p w:rsidR="00330CF1" w:rsidRPr="001F5B00" w:rsidRDefault="00330CF1" w:rsidP="00A80C8A">
            <w:pPr>
              <w:jc w:val="center"/>
              <w:rPr>
                <w:rFonts w:ascii="Arial" w:hAnsi="Arial" w:cs="Arial"/>
              </w:rPr>
            </w:pPr>
            <w:r w:rsidRPr="001F5B00">
              <w:rPr>
                <w:rFonts w:ascii="Arial" w:hAnsi="Arial" w:cs="Arial"/>
              </w:rPr>
              <w:t>20.17 ±0.67</w:t>
            </w:r>
          </w:p>
        </w:tc>
        <w:tc>
          <w:tcPr>
            <w:tcW w:w="2970" w:type="dxa"/>
          </w:tcPr>
          <w:p w:rsidR="00330CF1" w:rsidRPr="001F5B00" w:rsidRDefault="00330CF1" w:rsidP="00A80C8A">
            <w:pPr>
              <w:jc w:val="center"/>
              <w:rPr>
                <w:rFonts w:ascii="Arial" w:hAnsi="Arial" w:cs="Arial"/>
              </w:rPr>
            </w:pPr>
            <w:r w:rsidRPr="001F5B00">
              <w:rPr>
                <w:rFonts w:ascii="Arial" w:hAnsi="Arial" w:cs="Arial"/>
              </w:rPr>
              <w:t>20.75 ± 0.75</w:t>
            </w:r>
          </w:p>
        </w:tc>
      </w:tr>
      <w:tr w:rsidR="00330CF1" w:rsidRPr="001F5B00" w:rsidTr="00E321CF">
        <w:trPr>
          <w:trHeight w:val="316"/>
        </w:trPr>
        <w:tc>
          <w:tcPr>
            <w:tcW w:w="1188" w:type="dxa"/>
          </w:tcPr>
          <w:p w:rsidR="00330CF1" w:rsidRPr="001F5B00" w:rsidRDefault="00330CF1" w:rsidP="00A80C8A">
            <w:pPr>
              <w:rPr>
                <w:rFonts w:ascii="Arial" w:hAnsi="Arial" w:cs="Arial"/>
              </w:rPr>
            </w:pPr>
            <w:r w:rsidRPr="001F5B00">
              <w:rPr>
                <w:rFonts w:ascii="Arial" w:hAnsi="Arial" w:cs="Arial"/>
              </w:rPr>
              <w:t>3</w:t>
            </w:r>
          </w:p>
        </w:tc>
        <w:tc>
          <w:tcPr>
            <w:tcW w:w="2520" w:type="dxa"/>
          </w:tcPr>
          <w:p w:rsidR="00330CF1" w:rsidRPr="001F5B00" w:rsidRDefault="00330CF1" w:rsidP="00A80C8A">
            <w:pPr>
              <w:jc w:val="center"/>
              <w:rPr>
                <w:rFonts w:ascii="Arial" w:hAnsi="Arial" w:cs="Arial"/>
              </w:rPr>
            </w:pPr>
            <w:r w:rsidRPr="001F5B00">
              <w:rPr>
                <w:rFonts w:ascii="Arial" w:hAnsi="Arial" w:cs="Arial"/>
              </w:rPr>
              <w:t>22 ± 0.0</w:t>
            </w:r>
          </w:p>
        </w:tc>
        <w:tc>
          <w:tcPr>
            <w:tcW w:w="3060" w:type="dxa"/>
          </w:tcPr>
          <w:p w:rsidR="00330CF1" w:rsidRPr="001F5B00" w:rsidRDefault="00330CF1" w:rsidP="00A80C8A">
            <w:pPr>
              <w:jc w:val="center"/>
              <w:rPr>
                <w:rFonts w:ascii="Arial" w:hAnsi="Arial" w:cs="Arial"/>
              </w:rPr>
            </w:pPr>
            <w:r w:rsidRPr="001F5B00">
              <w:rPr>
                <w:rFonts w:ascii="Arial" w:hAnsi="Arial" w:cs="Arial"/>
              </w:rPr>
              <w:t>21 ± 0.29</w:t>
            </w:r>
          </w:p>
        </w:tc>
        <w:tc>
          <w:tcPr>
            <w:tcW w:w="2970" w:type="dxa"/>
          </w:tcPr>
          <w:p w:rsidR="00330CF1" w:rsidRPr="001F5B00" w:rsidRDefault="00330CF1" w:rsidP="00A80C8A">
            <w:pPr>
              <w:jc w:val="center"/>
              <w:rPr>
                <w:rFonts w:ascii="Arial" w:hAnsi="Arial" w:cs="Arial"/>
              </w:rPr>
            </w:pPr>
            <w:r w:rsidRPr="001F5B00">
              <w:rPr>
                <w:rFonts w:ascii="Arial" w:hAnsi="Arial" w:cs="Arial"/>
              </w:rPr>
              <w:t>21.25 ± 0.75</w:t>
            </w:r>
          </w:p>
        </w:tc>
      </w:tr>
      <w:tr w:rsidR="00330CF1" w:rsidRPr="001F5B00" w:rsidTr="00E321CF">
        <w:trPr>
          <w:trHeight w:val="298"/>
        </w:trPr>
        <w:tc>
          <w:tcPr>
            <w:tcW w:w="1188" w:type="dxa"/>
          </w:tcPr>
          <w:p w:rsidR="00330CF1" w:rsidRPr="001F5B00" w:rsidRDefault="00330CF1" w:rsidP="00A80C8A">
            <w:pPr>
              <w:rPr>
                <w:rFonts w:ascii="Arial" w:hAnsi="Arial" w:cs="Arial"/>
              </w:rPr>
            </w:pPr>
            <w:r w:rsidRPr="001F5B00">
              <w:rPr>
                <w:rFonts w:ascii="Arial" w:hAnsi="Arial" w:cs="Arial"/>
              </w:rPr>
              <w:t>4</w:t>
            </w:r>
          </w:p>
        </w:tc>
        <w:tc>
          <w:tcPr>
            <w:tcW w:w="2520" w:type="dxa"/>
          </w:tcPr>
          <w:p w:rsidR="00330CF1" w:rsidRPr="001F5B00" w:rsidRDefault="00330CF1" w:rsidP="00A80C8A">
            <w:pPr>
              <w:jc w:val="center"/>
              <w:rPr>
                <w:rFonts w:ascii="Arial" w:hAnsi="Arial" w:cs="Arial"/>
              </w:rPr>
            </w:pPr>
            <w:r w:rsidRPr="001F5B00">
              <w:rPr>
                <w:rFonts w:ascii="Arial" w:hAnsi="Arial" w:cs="Arial"/>
              </w:rPr>
              <w:t>22.67 ± 0.17</w:t>
            </w:r>
          </w:p>
        </w:tc>
        <w:tc>
          <w:tcPr>
            <w:tcW w:w="3060" w:type="dxa"/>
          </w:tcPr>
          <w:p w:rsidR="00330CF1" w:rsidRPr="001F5B00" w:rsidRDefault="00330CF1" w:rsidP="00A80C8A">
            <w:pPr>
              <w:jc w:val="center"/>
              <w:rPr>
                <w:rFonts w:ascii="Arial" w:hAnsi="Arial" w:cs="Arial"/>
              </w:rPr>
            </w:pPr>
            <w:r w:rsidRPr="001F5B00">
              <w:rPr>
                <w:rFonts w:ascii="Arial" w:hAnsi="Arial" w:cs="Arial"/>
              </w:rPr>
              <w:t>21.17 ± 0.44</w:t>
            </w:r>
          </w:p>
        </w:tc>
        <w:tc>
          <w:tcPr>
            <w:tcW w:w="2970" w:type="dxa"/>
          </w:tcPr>
          <w:p w:rsidR="00330CF1" w:rsidRPr="001F5B00" w:rsidRDefault="00330CF1" w:rsidP="00A80C8A">
            <w:pPr>
              <w:jc w:val="center"/>
              <w:rPr>
                <w:rFonts w:ascii="Arial" w:hAnsi="Arial" w:cs="Arial"/>
              </w:rPr>
            </w:pPr>
            <w:r w:rsidRPr="001F5B00">
              <w:rPr>
                <w:rFonts w:ascii="Arial" w:hAnsi="Arial" w:cs="Arial"/>
              </w:rPr>
              <w:t>22.5 ± 0.5</w:t>
            </w:r>
          </w:p>
        </w:tc>
      </w:tr>
      <w:tr w:rsidR="00330CF1" w:rsidRPr="001F5B00" w:rsidTr="00E321CF">
        <w:trPr>
          <w:trHeight w:val="298"/>
        </w:trPr>
        <w:tc>
          <w:tcPr>
            <w:tcW w:w="1188" w:type="dxa"/>
          </w:tcPr>
          <w:p w:rsidR="00330CF1" w:rsidRPr="001F5B00" w:rsidRDefault="00330CF1" w:rsidP="00A80C8A">
            <w:pPr>
              <w:rPr>
                <w:rFonts w:ascii="Arial" w:hAnsi="Arial" w:cs="Arial"/>
              </w:rPr>
            </w:pPr>
            <w:r w:rsidRPr="001F5B00">
              <w:rPr>
                <w:rFonts w:ascii="Arial" w:hAnsi="Arial" w:cs="Arial"/>
              </w:rPr>
              <w:t>5</w:t>
            </w:r>
          </w:p>
        </w:tc>
        <w:tc>
          <w:tcPr>
            <w:tcW w:w="2520" w:type="dxa"/>
          </w:tcPr>
          <w:p w:rsidR="00330CF1" w:rsidRPr="001F5B00" w:rsidRDefault="00330CF1" w:rsidP="00A80C8A">
            <w:pPr>
              <w:jc w:val="center"/>
              <w:rPr>
                <w:rFonts w:ascii="Arial" w:hAnsi="Arial" w:cs="Arial"/>
              </w:rPr>
            </w:pPr>
            <w:r w:rsidRPr="001F5B00">
              <w:rPr>
                <w:rFonts w:ascii="Arial" w:hAnsi="Arial" w:cs="Arial"/>
              </w:rPr>
              <w:t>23.33 ± 0.33</w:t>
            </w:r>
          </w:p>
        </w:tc>
        <w:tc>
          <w:tcPr>
            <w:tcW w:w="3060" w:type="dxa"/>
          </w:tcPr>
          <w:p w:rsidR="00330CF1" w:rsidRPr="001F5B00" w:rsidRDefault="00330CF1" w:rsidP="00A80C8A">
            <w:pPr>
              <w:jc w:val="center"/>
              <w:rPr>
                <w:rFonts w:ascii="Arial" w:hAnsi="Arial" w:cs="Arial"/>
              </w:rPr>
            </w:pPr>
            <w:r w:rsidRPr="001F5B00">
              <w:rPr>
                <w:rFonts w:ascii="Arial" w:hAnsi="Arial" w:cs="Arial"/>
              </w:rPr>
              <w:t>23.33 ± 0.33</w:t>
            </w:r>
          </w:p>
        </w:tc>
        <w:tc>
          <w:tcPr>
            <w:tcW w:w="2970" w:type="dxa"/>
          </w:tcPr>
          <w:p w:rsidR="00330CF1" w:rsidRPr="001F5B00" w:rsidRDefault="00330CF1" w:rsidP="00A80C8A">
            <w:pPr>
              <w:jc w:val="center"/>
              <w:rPr>
                <w:rFonts w:ascii="Arial" w:hAnsi="Arial" w:cs="Arial"/>
              </w:rPr>
            </w:pPr>
            <w:r w:rsidRPr="001F5B00">
              <w:rPr>
                <w:rFonts w:ascii="Arial" w:hAnsi="Arial" w:cs="Arial"/>
              </w:rPr>
              <w:t>23.25 ± 0.25</w:t>
            </w:r>
          </w:p>
        </w:tc>
      </w:tr>
      <w:tr w:rsidR="00330CF1" w:rsidRPr="001F5B00" w:rsidTr="00E321CF">
        <w:trPr>
          <w:trHeight w:val="298"/>
        </w:trPr>
        <w:tc>
          <w:tcPr>
            <w:tcW w:w="1188" w:type="dxa"/>
          </w:tcPr>
          <w:p w:rsidR="00330CF1" w:rsidRPr="001F5B00" w:rsidRDefault="00330CF1" w:rsidP="00A80C8A">
            <w:pPr>
              <w:rPr>
                <w:rFonts w:ascii="Arial" w:hAnsi="Arial" w:cs="Arial"/>
              </w:rPr>
            </w:pPr>
            <w:r w:rsidRPr="001F5B00">
              <w:rPr>
                <w:rFonts w:ascii="Arial" w:hAnsi="Arial" w:cs="Arial"/>
              </w:rPr>
              <w:t>6</w:t>
            </w:r>
          </w:p>
        </w:tc>
        <w:tc>
          <w:tcPr>
            <w:tcW w:w="2520" w:type="dxa"/>
          </w:tcPr>
          <w:p w:rsidR="00330CF1" w:rsidRPr="001F5B00" w:rsidRDefault="00330CF1" w:rsidP="00A80C8A">
            <w:pPr>
              <w:jc w:val="center"/>
              <w:rPr>
                <w:rFonts w:ascii="Arial" w:hAnsi="Arial" w:cs="Arial"/>
              </w:rPr>
            </w:pPr>
            <w:r w:rsidRPr="001F5B00">
              <w:rPr>
                <w:rFonts w:ascii="Arial" w:hAnsi="Arial" w:cs="Arial"/>
              </w:rPr>
              <w:t>23.83 ± 0.44</w:t>
            </w:r>
          </w:p>
        </w:tc>
        <w:tc>
          <w:tcPr>
            <w:tcW w:w="3060" w:type="dxa"/>
          </w:tcPr>
          <w:p w:rsidR="00330CF1" w:rsidRPr="001F5B00" w:rsidRDefault="00330CF1" w:rsidP="00A80C8A">
            <w:pPr>
              <w:jc w:val="center"/>
              <w:rPr>
                <w:rFonts w:ascii="Arial" w:hAnsi="Arial" w:cs="Arial"/>
              </w:rPr>
            </w:pPr>
            <w:r w:rsidRPr="001F5B00">
              <w:rPr>
                <w:rFonts w:ascii="Arial" w:hAnsi="Arial" w:cs="Arial"/>
              </w:rPr>
              <w:t>23.67 ± 0.33</w:t>
            </w:r>
          </w:p>
        </w:tc>
        <w:tc>
          <w:tcPr>
            <w:tcW w:w="2970" w:type="dxa"/>
          </w:tcPr>
          <w:p w:rsidR="00330CF1" w:rsidRPr="001F5B00" w:rsidRDefault="00330CF1" w:rsidP="00A80C8A">
            <w:pPr>
              <w:jc w:val="center"/>
              <w:rPr>
                <w:rFonts w:ascii="Arial" w:hAnsi="Arial" w:cs="Arial"/>
              </w:rPr>
            </w:pPr>
            <w:r w:rsidRPr="001F5B00">
              <w:rPr>
                <w:rFonts w:ascii="Arial" w:hAnsi="Arial" w:cs="Arial"/>
              </w:rPr>
              <w:t>24 ± 0.0</w:t>
            </w:r>
          </w:p>
        </w:tc>
      </w:tr>
      <w:tr w:rsidR="00330CF1" w:rsidRPr="001F5B00" w:rsidTr="00E321CF">
        <w:trPr>
          <w:trHeight w:val="298"/>
        </w:trPr>
        <w:tc>
          <w:tcPr>
            <w:tcW w:w="1188" w:type="dxa"/>
          </w:tcPr>
          <w:p w:rsidR="00330CF1" w:rsidRPr="001F5B00" w:rsidRDefault="00330CF1" w:rsidP="00A80C8A">
            <w:pPr>
              <w:rPr>
                <w:rFonts w:ascii="Arial" w:hAnsi="Arial" w:cs="Arial"/>
              </w:rPr>
            </w:pPr>
            <w:r w:rsidRPr="001F5B00">
              <w:rPr>
                <w:rFonts w:ascii="Arial" w:hAnsi="Arial" w:cs="Arial"/>
              </w:rPr>
              <w:t>7</w:t>
            </w:r>
          </w:p>
        </w:tc>
        <w:tc>
          <w:tcPr>
            <w:tcW w:w="2520" w:type="dxa"/>
          </w:tcPr>
          <w:p w:rsidR="00330CF1" w:rsidRPr="001F5B00" w:rsidRDefault="00330CF1" w:rsidP="00A80C8A">
            <w:pPr>
              <w:jc w:val="center"/>
              <w:rPr>
                <w:rFonts w:ascii="Arial" w:hAnsi="Arial" w:cs="Arial"/>
              </w:rPr>
            </w:pPr>
            <w:r w:rsidRPr="001F5B00">
              <w:rPr>
                <w:rFonts w:ascii="Arial" w:hAnsi="Arial" w:cs="Arial"/>
              </w:rPr>
              <w:t>24.17 ± 0.44</w:t>
            </w:r>
          </w:p>
        </w:tc>
        <w:tc>
          <w:tcPr>
            <w:tcW w:w="3060" w:type="dxa"/>
          </w:tcPr>
          <w:p w:rsidR="00330CF1" w:rsidRPr="001F5B00" w:rsidRDefault="00330CF1" w:rsidP="00A80C8A">
            <w:pPr>
              <w:jc w:val="center"/>
              <w:rPr>
                <w:rFonts w:ascii="Arial" w:hAnsi="Arial" w:cs="Arial"/>
              </w:rPr>
            </w:pPr>
            <w:r w:rsidRPr="001F5B00">
              <w:rPr>
                <w:rFonts w:ascii="Arial" w:hAnsi="Arial" w:cs="Arial"/>
              </w:rPr>
              <w:t>24.5 ± 0.76</w:t>
            </w:r>
          </w:p>
        </w:tc>
        <w:tc>
          <w:tcPr>
            <w:tcW w:w="2970" w:type="dxa"/>
          </w:tcPr>
          <w:p w:rsidR="00330CF1" w:rsidRPr="001F5B00" w:rsidRDefault="00330CF1" w:rsidP="00A80C8A">
            <w:pPr>
              <w:jc w:val="center"/>
              <w:rPr>
                <w:rFonts w:ascii="Arial" w:hAnsi="Arial" w:cs="Arial"/>
              </w:rPr>
            </w:pPr>
            <w:r w:rsidRPr="001F5B00">
              <w:rPr>
                <w:rFonts w:ascii="Arial" w:hAnsi="Arial" w:cs="Arial"/>
              </w:rPr>
              <w:t>24.5 ± 0.5</w:t>
            </w:r>
          </w:p>
        </w:tc>
      </w:tr>
      <w:tr w:rsidR="00330CF1" w:rsidRPr="001F5B00" w:rsidTr="00E321CF">
        <w:trPr>
          <w:trHeight w:val="316"/>
        </w:trPr>
        <w:tc>
          <w:tcPr>
            <w:tcW w:w="1188" w:type="dxa"/>
          </w:tcPr>
          <w:p w:rsidR="00330CF1" w:rsidRPr="001F5B00" w:rsidRDefault="00330CF1" w:rsidP="00A80C8A">
            <w:pPr>
              <w:rPr>
                <w:rFonts w:ascii="Arial" w:hAnsi="Arial" w:cs="Arial"/>
              </w:rPr>
            </w:pPr>
            <w:r w:rsidRPr="001F5B00">
              <w:rPr>
                <w:rFonts w:ascii="Arial" w:hAnsi="Arial" w:cs="Arial"/>
              </w:rPr>
              <w:t>8</w:t>
            </w:r>
          </w:p>
        </w:tc>
        <w:tc>
          <w:tcPr>
            <w:tcW w:w="2520" w:type="dxa"/>
          </w:tcPr>
          <w:p w:rsidR="00330CF1" w:rsidRPr="001F5B00" w:rsidRDefault="00330CF1" w:rsidP="00A80C8A">
            <w:pPr>
              <w:jc w:val="center"/>
              <w:rPr>
                <w:rFonts w:ascii="Arial" w:hAnsi="Arial" w:cs="Arial"/>
              </w:rPr>
            </w:pPr>
            <w:r w:rsidRPr="001F5B00">
              <w:rPr>
                <w:rFonts w:ascii="Arial" w:hAnsi="Arial" w:cs="Arial"/>
              </w:rPr>
              <w:t>24.5 ± 0.29</w:t>
            </w:r>
          </w:p>
        </w:tc>
        <w:tc>
          <w:tcPr>
            <w:tcW w:w="3060" w:type="dxa"/>
          </w:tcPr>
          <w:p w:rsidR="00330CF1" w:rsidRPr="001F5B00" w:rsidRDefault="00330CF1" w:rsidP="00A80C8A">
            <w:pPr>
              <w:jc w:val="center"/>
              <w:rPr>
                <w:rFonts w:ascii="Arial" w:hAnsi="Arial" w:cs="Arial"/>
              </w:rPr>
            </w:pPr>
            <w:r w:rsidRPr="001F5B00">
              <w:rPr>
                <w:rFonts w:ascii="Arial" w:hAnsi="Arial" w:cs="Arial"/>
              </w:rPr>
              <w:t>25.67 ± 0.88</w:t>
            </w:r>
          </w:p>
        </w:tc>
        <w:tc>
          <w:tcPr>
            <w:tcW w:w="2970" w:type="dxa"/>
          </w:tcPr>
          <w:p w:rsidR="00330CF1" w:rsidRPr="001F5B00" w:rsidRDefault="00330CF1" w:rsidP="00A80C8A">
            <w:pPr>
              <w:jc w:val="center"/>
              <w:rPr>
                <w:rFonts w:ascii="Arial" w:hAnsi="Arial" w:cs="Arial"/>
              </w:rPr>
            </w:pPr>
            <w:r w:rsidRPr="001F5B00">
              <w:rPr>
                <w:rFonts w:ascii="Arial" w:hAnsi="Arial" w:cs="Arial"/>
              </w:rPr>
              <w:t>25.5 ± 0.5</w:t>
            </w:r>
          </w:p>
        </w:tc>
      </w:tr>
      <w:tr w:rsidR="00330CF1" w:rsidRPr="001F5B00" w:rsidTr="00E321CF">
        <w:trPr>
          <w:trHeight w:val="298"/>
        </w:trPr>
        <w:tc>
          <w:tcPr>
            <w:tcW w:w="1188" w:type="dxa"/>
          </w:tcPr>
          <w:p w:rsidR="00330CF1" w:rsidRPr="001F5B00" w:rsidRDefault="00330CF1" w:rsidP="00A80C8A">
            <w:pPr>
              <w:rPr>
                <w:rFonts w:ascii="Arial" w:hAnsi="Arial" w:cs="Arial"/>
              </w:rPr>
            </w:pPr>
            <w:r w:rsidRPr="001F5B00">
              <w:rPr>
                <w:rFonts w:ascii="Arial" w:hAnsi="Arial" w:cs="Arial"/>
              </w:rPr>
              <w:t>9</w:t>
            </w:r>
          </w:p>
        </w:tc>
        <w:tc>
          <w:tcPr>
            <w:tcW w:w="2520" w:type="dxa"/>
          </w:tcPr>
          <w:p w:rsidR="00330CF1" w:rsidRPr="001F5B00" w:rsidRDefault="00330CF1" w:rsidP="00A80C8A">
            <w:pPr>
              <w:jc w:val="center"/>
              <w:rPr>
                <w:rFonts w:ascii="Arial" w:hAnsi="Arial" w:cs="Arial"/>
              </w:rPr>
            </w:pPr>
            <w:r w:rsidRPr="001F5B00">
              <w:rPr>
                <w:rFonts w:ascii="Arial" w:hAnsi="Arial" w:cs="Arial"/>
              </w:rPr>
              <w:t>26.17 ± 0.44</w:t>
            </w:r>
          </w:p>
        </w:tc>
        <w:tc>
          <w:tcPr>
            <w:tcW w:w="3060" w:type="dxa"/>
          </w:tcPr>
          <w:p w:rsidR="00330CF1" w:rsidRPr="001F5B00" w:rsidRDefault="00330CF1" w:rsidP="00A80C8A">
            <w:pPr>
              <w:jc w:val="center"/>
              <w:rPr>
                <w:rFonts w:ascii="Arial" w:hAnsi="Arial" w:cs="Arial"/>
              </w:rPr>
            </w:pPr>
            <w:r w:rsidRPr="001F5B00">
              <w:rPr>
                <w:rFonts w:ascii="Arial" w:hAnsi="Arial" w:cs="Arial"/>
              </w:rPr>
              <w:t>26.17 ± 0.88</w:t>
            </w:r>
          </w:p>
        </w:tc>
        <w:tc>
          <w:tcPr>
            <w:tcW w:w="2970" w:type="dxa"/>
          </w:tcPr>
          <w:p w:rsidR="00330CF1" w:rsidRPr="001F5B00" w:rsidRDefault="00330CF1" w:rsidP="00A80C8A">
            <w:pPr>
              <w:jc w:val="center"/>
              <w:rPr>
                <w:rFonts w:ascii="Arial" w:hAnsi="Arial" w:cs="Arial"/>
              </w:rPr>
            </w:pPr>
            <w:r w:rsidRPr="001F5B00">
              <w:rPr>
                <w:rFonts w:ascii="Arial" w:hAnsi="Arial" w:cs="Arial"/>
              </w:rPr>
              <w:t>26.25 ± 0.25</w:t>
            </w:r>
          </w:p>
        </w:tc>
      </w:tr>
      <w:tr w:rsidR="00330CF1" w:rsidRPr="001F5B00" w:rsidTr="00E321CF">
        <w:trPr>
          <w:trHeight w:val="316"/>
        </w:trPr>
        <w:tc>
          <w:tcPr>
            <w:tcW w:w="1188" w:type="dxa"/>
          </w:tcPr>
          <w:p w:rsidR="00330CF1" w:rsidRPr="001F5B00" w:rsidRDefault="00330CF1" w:rsidP="00A80C8A">
            <w:pPr>
              <w:rPr>
                <w:rFonts w:ascii="Arial" w:hAnsi="Arial" w:cs="Arial"/>
              </w:rPr>
            </w:pPr>
            <w:r w:rsidRPr="001F5B00">
              <w:rPr>
                <w:rFonts w:ascii="Arial" w:hAnsi="Arial" w:cs="Arial"/>
              </w:rPr>
              <w:t>10</w:t>
            </w:r>
          </w:p>
        </w:tc>
        <w:tc>
          <w:tcPr>
            <w:tcW w:w="2520" w:type="dxa"/>
          </w:tcPr>
          <w:p w:rsidR="00330CF1" w:rsidRPr="001F5B00" w:rsidRDefault="00330CF1" w:rsidP="00A80C8A">
            <w:pPr>
              <w:jc w:val="center"/>
              <w:rPr>
                <w:rFonts w:ascii="Arial" w:hAnsi="Arial" w:cs="Arial"/>
              </w:rPr>
            </w:pPr>
            <w:r w:rsidRPr="001F5B00">
              <w:rPr>
                <w:rFonts w:ascii="Arial" w:hAnsi="Arial" w:cs="Arial"/>
              </w:rPr>
              <w:t>27.33 ± 0.44</w:t>
            </w:r>
          </w:p>
        </w:tc>
        <w:tc>
          <w:tcPr>
            <w:tcW w:w="3060" w:type="dxa"/>
          </w:tcPr>
          <w:p w:rsidR="00330CF1" w:rsidRPr="001F5B00" w:rsidRDefault="00330CF1" w:rsidP="00A80C8A">
            <w:pPr>
              <w:jc w:val="center"/>
              <w:rPr>
                <w:rFonts w:ascii="Arial" w:hAnsi="Arial" w:cs="Arial"/>
              </w:rPr>
            </w:pPr>
            <w:r w:rsidRPr="001F5B00">
              <w:rPr>
                <w:rFonts w:ascii="Arial" w:hAnsi="Arial" w:cs="Arial"/>
              </w:rPr>
              <w:t>26.83 ± 0.73</w:t>
            </w:r>
          </w:p>
        </w:tc>
        <w:tc>
          <w:tcPr>
            <w:tcW w:w="2970" w:type="dxa"/>
          </w:tcPr>
          <w:p w:rsidR="00330CF1" w:rsidRPr="001F5B00" w:rsidRDefault="00330CF1" w:rsidP="00A80C8A">
            <w:pPr>
              <w:jc w:val="center"/>
              <w:rPr>
                <w:rFonts w:ascii="Arial" w:hAnsi="Arial" w:cs="Arial"/>
              </w:rPr>
            </w:pPr>
            <w:r w:rsidRPr="001F5B00">
              <w:rPr>
                <w:rFonts w:ascii="Arial" w:hAnsi="Arial" w:cs="Arial"/>
              </w:rPr>
              <w:t>26.75 ± 0.25</w:t>
            </w:r>
          </w:p>
        </w:tc>
      </w:tr>
    </w:tbl>
    <w:p w:rsidR="00330CF1" w:rsidRDefault="00330CF1" w:rsidP="00155FD0">
      <w:pPr>
        <w:rPr>
          <w:rFonts w:ascii="Arial" w:hAnsi="Arial" w:cs="Arial"/>
        </w:rPr>
      </w:pPr>
    </w:p>
    <w:p w:rsidR="00330CF1" w:rsidRDefault="00330CF1" w:rsidP="00155FD0">
      <w:pPr>
        <w:jc w:val="center"/>
        <w:rPr>
          <w:rFonts w:ascii="Arial" w:hAnsi="Arial" w:cs="Arial"/>
        </w:rPr>
      </w:pPr>
    </w:p>
    <w:p w:rsidR="00330CF1" w:rsidRDefault="00330CF1" w:rsidP="00155FD0">
      <w:pPr>
        <w:jc w:val="center"/>
        <w:rPr>
          <w:rFonts w:ascii="Arial" w:hAnsi="Arial" w:cs="Arial"/>
        </w:rPr>
      </w:pPr>
    </w:p>
    <w:p w:rsidR="00330CF1" w:rsidRDefault="00330CF1" w:rsidP="00155FD0">
      <w:pPr>
        <w:jc w:val="center"/>
        <w:rPr>
          <w:rFonts w:ascii="Arial" w:hAnsi="Arial" w:cs="Arial"/>
        </w:rPr>
      </w:pPr>
    </w:p>
    <w:p w:rsidR="00330CF1" w:rsidRDefault="00330CF1" w:rsidP="00155FD0">
      <w:pPr>
        <w:jc w:val="center"/>
        <w:rPr>
          <w:rFonts w:ascii="Arial" w:hAnsi="Arial" w:cs="Arial"/>
        </w:rPr>
      </w:pPr>
    </w:p>
    <w:p w:rsidR="00330CF1" w:rsidRPr="00270113" w:rsidRDefault="00330CF1" w:rsidP="00155FD0">
      <w:pPr>
        <w:jc w:val="center"/>
        <w:rPr>
          <w:rFonts w:ascii="Arial" w:hAnsi="Arial" w:cs="Arial"/>
        </w:rPr>
      </w:pPr>
      <w:r w:rsidRPr="00270113">
        <w:rPr>
          <w:rFonts w:ascii="Arial" w:hAnsi="Arial" w:cs="Arial"/>
          <w:b/>
        </w:rPr>
        <w:lastRenderedPageBreak/>
        <w:t>Table A-5</w:t>
      </w:r>
      <w:r w:rsidRPr="00270113">
        <w:rPr>
          <w:rFonts w:ascii="Arial" w:hAnsi="Arial" w:cs="Arial"/>
        </w:rPr>
        <w:t xml:space="preserve"> </w:t>
      </w:r>
      <w:r>
        <w:rPr>
          <w:rFonts w:ascii="Arial" w:hAnsi="Arial" w:cs="Arial"/>
        </w:rPr>
        <w:t>Male w</w:t>
      </w:r>
      <w:r w:rsidRPr="00270113">
        <w:rPr>
          <w:rFonts w:ascii="Arial" w:hAnsi="Arial" w:cs="Arial"/>
        </w:rPr>
        <w:t>eekly</w:t>
      </w:r>
      <w:r>
        <w:rPr>
          <w:rFonts w:ascii="Arial" w:hAnsi="Arial" w:cs="Arial"/>
        </w:rPr>
        <w:t xml:space="preserve"> l</w:t>
      </w:r>
      <w:r w:rsidRPr="00270113">
        <w:rPr>
          <w:rFonts w:ascii="Arial" w:hAnsi="Arial" w:cs="Arial"/>
        </w:rPr>
        <w:t>ength (cm) over 10 week feeding trial</w:t>
      </w:r>
    </w:p>
    <w:p w:rsidR="00330CF1" w:rsidRPr="00EA33C6" w:rsidRDefault="00330CF1" w:rsidP="00155FD0">
      <w:pPr>
        <w:jc w:val="center"/>
        <w:rPr>
          <w:rFonts w:ascii="Arial" w:hAnsi="Arial" w:cs="Arial"/>
          <w:color w:val="C00000"/>
        </w:rPr>
      </w:pPr>
      <w:r w:rsidRPr="00270113">
        <w:rPr>
          <w:rFonts w:ascii="Arial" w:hAnsi="Arial" w:cs="Arial"/>
        </w:rPr>
        <w:t>by diet treatment (Mean ± SEM)</w:t>
      </w:r>
    </w:p>
    <w:p w:rsidR="00330CF1" w:rsidRPr="001F5B00" w:rsidRDefault="00330CF1" w:rsidP="00155FD0">
      <w:pPr>
        <w:jc w:val="center"/>
        <w:rPr>
          <w:rFonts w:ascii="Arial" w:hAnsi="Arial" w:cs="Arial"/>
        </w:rPr>
      </w:pPr>
    </w:p>
    <w:tbl>
      <w:tblPr>
        <w:tblStyle w:val="TableGrid"/>
        <w:tblW w:w="9558" w:type="dxa"/>
        <w:tblLook w:val="04A0" w:firstRow="1" w:lastRow="0" w:firstColumn="1" w:lastColumn="0" w:noHBand="0" w:noVBand="1"/>
      </w:tblPr>
      <w:tblGrid>
        <w:gridCol w:w="1008"/>
        <w:gridCol w:w="2790"/>
        <w:gridCol w:w="2880"/>
        <w:gridCol w:w="2880"/>
      </w:tblGrid>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Week</w:t>
            </w:r>
          </w:p>
        </w:tc>
        <w:tc>
          <w:tcPr>
            <w:tcW w:w="2790" w:type="dxa"/>
          </w:tcPr>
          <w:p w:rsidR="00330CF1" w:rsidRPr="001F5B00" w:rsidRDefault="00330CF1" w:rsidP="00A80C8A">
            <w:pPr>
              <w:jc w:val="center"/>
              <w:rPr>
                <w:rFonts w:ascii="Arial" w:hAnsi="Arial" w:cs="Arial"/>
              </w:rPr>
            </w:pPr>
            <w:r>
              <w:rPr>
                <w:rFonts w:ascii="Arial" w:hAnsi="Arial" w:cs="Arial"/>
              </w:rPr>
              <w:t>Control</w:t>
            </w:r>
          </w:p>
        </w:tc>
        <w:tc>
          <w:tcPr>
            <w:tcW w:w="2880" w:type="dxa"/>
          </w:tcPr>
          <w:p w:rsidR="00330CF1" w:rsidRPr="001F5B00" w:rsidRDefault="00330CF1" w:rsidP="00A80C8A">
            <w:pPr>
              <w:jc w:val="center"/>
              <w:rPr>
                <w:rFonts w:ascii="Arial" w:hAnsi="Arial" w:cs="Arial"/>
              </w:rPr>
            </w:pPr>
            <w:r>
              <w:rPr>
                <w:rFonts w:ascii="Arial" w:hAnsi="Arial" w:cs="Arial"/>
              </w:rPr>
              <w:t>Commercial Raw</w:t>
            </w:r>
          </w:p>
        </w:tc>
        <w:tc>
          <w:tcPr>
            <w:tcW w:w="2880" w:type="dxa"/>
          </w:tcPr>
          <w:p w:rsidR="00330CF1" w:rsidRPr="001F5B00" w:rsidRDefault="00330CF1" w:rsidP="00A80C8A">
            <w:pPr>
              <w:jc w:val="center"/>
              <w:rPr>
                <w:rFonts w:ascii="Arial" w:hAnsi="Arial" w:cs="Arial"/>
              </w:rPr>
            </w:pPr>
            <w:r>
              <w:rPr>
                <w:rFonts w:ascii="Arial" w:hAnsi="Arial" w:cs="Arial"/>
              </w:rPr>
              <w:t>Homemade Raw</w:t>
            </w:r>
          </w:p>
        </w:tc>
      </w:tr>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0</w:t>
            </w:r>
          </w:p>
        </w:tc>
        <w:tc>
          <w:tcPr>
            <w:tcW w:w="2790" w:type="dxa"/>
          </w:tcPr>
          <w:p w:rsidR="00330CF1" w:rsidRPr="001F5B00" w:rsidRDefault="00330CF1" w:rsidP="00A80C8A">
            <w:pPr>
              <w:jc w:val="center"/>
              <w:rPr>
                <w:rFonts w:ascii="Arial" w:hAnsi="Arial" w:cs="Arial"/>
              </w:rPr>
            </w:pPr>
            <w:r w:rsidRPr="001F5B00">
              <w:rPr>
                <w:rFonts w:ascii="Arial" w:hAnsi="Arial" w:cs="Arial"/>
              </w:rPr>
              <w:t>36.6 ± 0.51</w:t>
            </w:r>
          </w:p>
        </w:tc>
        <w:tc>
          <w:tcPr>
            <w:tcW w:w="2880" w:type="dxa"/>
          </w:tcPr>
          <w:p w:rsidR="00330CF1" w:rsidRPr="001F5B00" w:rsidRDefault="00330CF1" w:rsidP="00A80C8A">
            <w:pPr>
              <w:jc w:val="center"/>
              <w:rPr>
                <w:rFonts w:ascii="Arial" w:hAnsi="Arial" w:cs="Arial"/>
              </w:rPr>
            </w:pPr>
            <w:r w:rsidRPr="001F5B00">
              <w:rPr>
                <w:rFonts w:ascii="Arial" w:hAnsi="Arial" w:cs="Arial"/>
              </w:rPr>
              <w:t>36.6 ± 1.13</w:t>
            </w:r>
          </w:p>
        </w:tc>
        <w:tc>
          <w:tcPr>
            <w:tcW w:w="2880" w:type="dxa"/>
          </w:tcPr>
          <w:p w:rsidR="00330CF1" w:rsidRPr="001F5B00" w:rsidRDefault="00330CF1" w:rsidP="00A80C8A">
            <w:pPr>
              <w:jc w:val="center"/>
              <w:rPr>
                <w:rFonts w:ascii="Arial" w:hAnsi="Arial" w:cs="Arial"/>
              </w:rPr>
            </w:pPr>
            <w:r w:rsidRPr="001F5B00">
              <w:rPr>
                <w:rFonts w:ascii="Arial" w:hAnsi="Arial" w:cs="Arial"/>
              </w:rPr>
              <w:t>36.92 ± 0.73</w:t>
            </w:r>
          </w:p>
        </w:tc>
      </w:tr>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1</w:t>
            </w:r>
          </w:p>
        </w:tc>
        <w:tc>
          <w:tcPr>
            <w:tcW w:w="2790" w:type="dxa"/>
          </w:tcPr>
          <w:p w:rsidR="00330CF1" w:rsidRPr="001F5B00" w:rsidRDefault="00330CF1" w:rsidP="00A80C8A">
            <w:pPr>
              <w:jc w:val="center"/>
              <w:rPr>
                <w:rFonts w:ascii="Arial" w:hAnsi="Arial" w:cs="Arial"/>
              </w:rPr>
            </w:pPr>
            <w:r w:rsidRPr="001F5B00">
              <w:rPr>
                <w:rFonts w:ascii="Arial" w:hAnsi="Arial" w:cs="Arial"/>
              </w:rPr>
              <w:t>37.8 ± 0.49</w:t>
            </w:r>
          </w:p>
        </w:tc>
        <w:tc>
          <w:tcPr>
            <w:tcW w:w="2880" w:type="dxa"/>
          </w:tcPr>
          <w:p w:rsidR="00330CF1" w:rsidRPr="001F5B00" w:rsidRDefault="00330CF1" w:rsidP="00A80C8A">
            <w:pPr>
              <w:jc w:val="center"/>
              <w:rPr>
                <w:rFonts w:ascii="Arial" w:hAnsi="Arial" w:cs="Arial"/>
              </w:rPr>
            </w:pPr>
            <w:r w:rsidRPr="001F5B00">
              <w:rPr>
                <w:rFonts w:ascii="Arial" w:hAnsi="Arial" w:cs="Arial"/>
              </w:rPr>
              <w:t>39.1 ± 1.11</w:t>
            </w:r>
          </w:p>
        </w:tc>
        <w:tc>
          <w:tcPr>
            <w:tcW w:w="2880" w:type="dxa"/>
          </w:tcPr>
          <w:p w:rsidR="00330CF1" w:rsidRPr="001F5B00" w:rsidRDefault="00330CF1" w:rsidP="00A80C8A">
            <w:pPr>
              <w:jc w:val="center"/>
              <w:rPr>
                <w:rFonts w:ascii="Arial" w:hAnsi="Arial" w:cs="Arial"/>
              </w:rPr>
            </w:pPr>
            <w:r w:rsidRPr="001F5B00">
              <w:rPr>
                <w:rFonts w:ascii="Arial" w:hAnsi="Arial" w:cs="Arial"/>
              </w:rPr>
              <w:t>38.58 ± 0.55</w:t>
            </w:r>
          </w:p>
        </w:tc>
      </w:tr>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2</w:t>
            </w:r>
          </w:p>
        </w:tc>
        <w:tc>
          <w:tcPr>
            <w:tcW w:w="2790" w:type="dxa"/>
          </w:tcPr>
          <w:p w:rsidR="00330CF1" w:rsidRPr="001F5B00" w:rsidRDefault="00330CF1" w:rsidP="00A80C8A">
            <w:pPr>
              <w:jc w:val="center"/>
              <w:rPr>
                <w:rFonts w:ascii="Arial" w:hAnsi="Arial" w:cs="Arial"/>
              </w:rPr>
            </w:pPr>
            <w:r w:rsidRPr="001F5B00">
              <w:rPr>
                <w:rFonts w:ascii="Arial" w:hAnsi="Arial" w:cs="Arial"/>
              </w:rPr>
              <w:t>39.4 ± 0.51</w:t>
            </w:r>
          </w:p>
        </w:tc>
        <w:tc>
          <w:tcPr>
            <w:tcW w:w="2880" w:type="dxa"/>
          </w:tcPr>
          <w:p w:rsidR="00330CF1" w:rsidRPr="001F5B00" w:rsidRDefault="00330CF1" w:rsidP="00A80C8A">
            <w:pPr>
              <w:jc w:val="center"/>
              <w:rPr>
                <w:rFonts w:ascii="Arial" w:hAnsi="Arial" w:cs="Arial"/>
              </w:rPr>
            </w:pPr>
            <w:r w:rsidRPr="001F5B00">
              <w:rPr>
                <w:rFonts w:ascii="Arial" w:hAnsi="Arial" w:cs="Arial"/>
              </w:rPr>
              <w:t>40.4 ± 1.28</w:t>
            </w:r>
          </w:p>
        </w:tc>
        <w:tc>
          <w:tcPr>
            <w:tcW w:w="2880" w:type="dxa"/>
          </w:tcPr>
          <w:p w:rsidR="00330CF1" w:rsidRPr="001F5B00" w:rsidRDefault="00330CF1" w:rsidP="00A80C8A">
            <w:pPr>
              <w:jc w:val="center"/>
              <w:rPr>
                <w:rFonts w:ascii="Arial" w:hAnsi="Arial" w:cs="Arial"/>
              </w:rPr>
            </w:pPr>
            <w:r w:rsidRPr="001F5B00">
              <w:rPr>
                <w:rFonts w:ascii="Arial" w:hAnsi="Arial" w:cs="Arial"/>
              </w:rPr>
              <w:t>40.42 ± 0.30</w:t>
            </w:r>
          </w:p>
        </w:tc>
      </w:tr>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3</w:t>
            </w:r>
          </w:p>
        </w:tc>
        <w:tc>
          <w:tcPr>
            <w:tcW w:w="2790" w:type="dxa"/>
          </w:tcPr>
          <w:p w:rsidR="00330CF1" w:rsidRPr="001F5B00" w:rsidRDefault="00330CF1" w:rsidP="00A80C8A">
            <w:pPr>
              <w:jc w:val="center"/>
              <w:rPr>
                <w:rFonts w:ascii="Arial" w:hAnsi="Arial" w:cs="Arial"/>
              </w:rPr>
            </w:pPr>
            <w:r w:rsidRPr="001F5B00">
              <w:rPr>
                <w:rFonts w:ascii="Arial" w:hAnsi="Arial" w:cs="Arial"/>
              </w:rPr>
              <w:t>41.3 ± 0.83</w:t>
            </w:r>
          </w:p>
        </w:tc>
        <w:tc>
          <w:tcPr>
            <w:tcW w:w="2880" w:type="dxa"/>
          </w:tcPr>
          <w:p w:rsidR="00330CF1" w:rsidRPr="001F5B00" w:rsidRDefault="00330CF1" w:rsidP="00A80C8A">
            <w:pPr>
              <w:jc w:val="center"/>
              <w:rPr>
                <w:rFonts w:ascii="Arial" w:hAnsi="Arial" w:cs="Arial"/>
              </w:rPr>
            </w:pPr>
            <w:r w:rsidRPr="001F5B00">
              <w:rPr>
                <w:rFonts w:ascii="Arial" w:hAnsi="Arial" w:cs="Arial"/>
              </w:rPr>
              <w:t>42.3 ± 0.98</w:t>
            </w:r>
          </w:p>
        </w:tc>
        <w:tc>
          <w:tcPr>
            <w:tcW w:w="2880" w:type="dxa"/>
          </w:tcPr>
          <w:p w:rsidR="00330CF1" w:rsidRPr="001F5B00" w:rsidRDefault="00330CF1" w:rsidP="00A80C8A">
            <w:pPr>
              <w:jc w:val="center"/>
              <w:rPr>
                <w:rFonts w:ascii="Arial" w:hAnsi="Arial" w:cs="Arial"/>
              </w:rPr>
            </w:pPr>
            <w:r w:rsidRPr="001F5B00">
              <w:rPr>
                <w:rFonts w:ascii="Arial" w:hAnsi="Arial" w:cs="Arial"/>
              </w:rPr>
              <w:t>42.08 ± 1.43</w:t>
            </w:r>
          </w:p>
        </w:tc>
      </w:tr>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4</w:t>
            </w:r>
          </w:p>
        </w:tc>
        <w:tc>
          <w:tcPr>
            <w:tcW w:w="2790" w:type="dxa"/>
          </w:tcPr>
          <w:p w:rsidR="00330CF1" w:rsidRPr="001F5B00" w:rsidRDefault="00330CF1" w:rsidP="00A80C8A">
            <w:pPr>
              <w:jc w:val="center"/>
              <w:rPr>
                <w:rFonts w:ascii="Arial" w:hAnsi="Arial" w:cs="Arial"/>
              </w:rPr>
            </w:pPr>
            <w:r w:rsidRPr="001F5B00">
              <w:rPr>
                <w:rFonts w:ascii="Arial" w:hAnsi="Arial" w:cs="Arial"/>
              </w:rPr>
              <w:t>42.4 ± 0.51</w:t>
            </w:r>
          </w:p>
        </w:tc>
        <w:tc>
          <w:tcPr>
            <w:tcW w:w="2880" w:type="dxa"/>
          </w:tcPr>
          <w:p w:rsidR="00330CF1" w:rsidRPr="001F5B00" w:rsidRDefault="00330CF1" w:rsidP="00A80C8A">
            <w:pPr>
              <w:jc w:val="center"/>
              <w:rPr>
                <w:rFonts w:ascii="Arial" w:hAnsi="Arial" w:cs="Arial"/>
              </w:rPr>
            </w:pPr>
            <w:r w:rsidRPr="001F5B00">
              <w:rPr>
                <w:rFonts w:ascii="Arial" w:hAnsi="Arial" w:cs="Arial"/>
              </w:rPr>
              <w:t>43.3 ± 0.97</w:t>
            </w:r>
          </w:p>
        </w:tc>
        <w:tc>
          <w:tcPr>
            <w:tcW w:w="2880" w:type="dxa"/>
          </w:tcPr>
          <w:p w:rsidR="00330CF1" w:rsidRPr="001F5B00" w:rsidRDefault="00330CF1" w:rsidP="00A80C8A">
            <w:pPr>
              <w:jc w:val="center"/>
              <w:rPr>
                <w:rFonts w:ascii="Arial" w:hAnsi="Arial" w:cs="Arial"/>
              </w:rPr>
            </w:pPr>
            <w:r w:rsidRPr="001F5B00">
              <w:rPr>
                <w:rFonts w:ascii="Arial" w:hAnsi="Arial" w:cs="Arial"/>
              </w:rPr>
              <w:t>44 ± 0.46</w:t>
            </w:r>
          </w:p>
        </w:tc>
      </w:tr>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5</w:t>
            </w:r>
          </w:p>
        </w:tc>
        <w:tc>
          <w:tcPr>
            <w:tcW w:w="2790" w:type="dxa"/>
          </w:tcPr>
          <w:p w:rsidR="00330CF1" w:rsidRPr="001F5B00" w:rsidRDefault="00330CF1" w:rsidP="00A80C8A">
            <w:pPr>
              <w:jc w:val="center"/>
              <w:rPr>
                <w:rFonts w:ascii="Arial" w:hAnsi="Arial" w:cs="Arial"/>
              </w:rPr>
            </w:pPr>
            <w:r w:rsidRPr="001F5B00">
              <w:rPr>
                <w:rFonts w:ascii="Arial" w:hAnsi="Arial" w:cs="Arial"/>
              </w:rPr>
              <w:t>43.3 ± 0.77</w:t>
            </w:r>
          </w:p>
        </w:tc>
        <w:tc>
          <w:tcPr>
            <w:tcW w:w="2880" w:type="dxa"/>
          </w:tcPr>
          <w:p w:rsidR="00330CF1" w:rsidRPr="001F5B00" w:rsidRDefault="00330CF1" w:rsidP="00A80C8A">
            <w:pPr>
              <w:jc w:val="center"/>
              <w:rPr>
                <w:rFonts w:ascii="Arial" w:hAnsi="Arial" w:cs="Arial"/>
              </w:rPr>
            </w:pPr>
            <w:r w:rsidRPr="001F5B00">
              <w:rPr>
                <w:rFonts w:ascii="Arial" w:hAnsi="Arial" w:cs="Arial"/>
              </w:rPr>
              <w:t>45.1 ± 1.29</w:t>
            </w:r>
          </w:p>
        </w:tc>
        <w:tc>
          <w:tcPr>
            <w:tcW w:w="2880" w:type="dxa"/>
          </w:tcPr>
          <w:p w:rsidR="00330CF1" w:rsidRPr="001F5B00" w:rsidRDefault="00330CF1" w:rsidP="00A80C8A">
            <w:pPr>
              <w:jc w:val="center"/>
              <w:rPr>
                <w:rFonts w:ascii="Arial" w:hAnsi="Arial" w:cs="Arial"/>
              </w:rPr>
            </w:pPr>
            <w:r w:rsidRPr="001F5B00">
              <w:rPr>
                <w:rFonts w:ascii="Arial" w:hAnsi="Arial" w:cs="Arial"/>
              </w:rPr>
              <w:t>44.92 ± 0.32</w:t>
            </w:r>
          </w:p>
        </w:tc>
      </w:tr>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6</w:t>
            </w:r>
          </w:p>
        </w:tc>
        <w:tc>
          <w:tcPr>
            <w:tcW w:w="2790" w:type="dxa"/>
          </w:tcPr>
          <w:p w:rsidR="00330CF1" w:rsidRPr="001F5B00" w:rsidRDefault="00330CF1" w:rsidP="00A80C8A">
            <w:pPr>
              <w:jc w:val="center"/>
              <w:rPr>
                <w:rFonts w:ascii="Arial" w:hAnsi="Arial" w:cs="Arial"/>
              </w:rPr>
            </w:pPr>
            <w:r w:rsidRPr="001F5B00">
              <w:rPr>
                <w:rFonts w:ascii="Arial" w:hAnsi="Arial" w:cs="Arial"/>
              </w:rPr>
              <w:t>44 ± 1.0</w:t>
            </w:r>
          </w:p>
        </w:tc>
        <w:tc>
          <w:tcPr>
            <w:tcW w:w="2880" w:type="dxa"/>
          </w:tcPr>
          <w:p w:rsidR="00330CF1" w:rsidRPr="001F5B00" w:rsidRDefault="00330CF1" w:rsidP="00A80C8A">
            <w:pPr>
              <w:jc w:val="center"/>
              <w:rPr>
                <w:rFonts w:ascii="Arial" w:hAnsi="Arial" w:cs="Arial"/>
              </w:rPr>
            </w:pPr>
            <w:r w:rsidRPr="001F5B00">
              <w:rPr>
                <w:rFonts w:ascii="Arial" w:hAnsi="Arial" w:cs="Arial"/>
              </w:rPr>
              <w:t>46.2 ± 1.01</w:t>
            </w:r>
          </w:p>
        </w:tc>
        <w:tc>
          <w:tcPr>
            <w:tcW w:w="2880" w:type="dxa"/>
          </w:tcPr>
          <w:p w:rsidR="00330CF1" w:rsidRPr="001F5B00" w:rsidRDefault="00330CF1" w:rsidP="00A80C8A">
            <w:pPr>
              <w:jc w:val="center"/>
              <w:rPr>
                <w:rFonts w:ascii="Arial" w:hAnsi="Arial" w:cs="Arial"/>
              </w:rPr>
            </w:pPr>
            <w:r w:rsidRPr="001F5B00">
              <w:rPr>
                <w:rFonts w:ascii="Arial" w:hAnsi="Arial" w:cs="Arial"/>
              </w:rPr>
              <w:t>47.25 ± 0.63</w:t>
            </w:r>
          </w:p>
        </w:tc>
      </w:tr>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7</w:t>
            </w:r>
          </w:p>
        </w:tc>
        <w:tc>
          <w:tcPr>
            <w:tcW w:w="2790" w:type="dxa"/>
          </w:tcPr>
          <w:p w:rsidR="00330CF1" w:rsidRPr="001F5B00" w:rsidRDefault="00330CF1" w:rsidP="00A80C8A">
            <w:pPr>
              <w:jc w:val="center"/>
              <w:rPr>
                <w:rFonts w:ascii="Arial" w:hAnsi="Arial" w:cs="Arial"/>
              </w:rPr>
            </w:pPr>
            <w:r w:rsidRPr="001F5B00">
              <w:rPr>
                <w:rFonts w:ascii="Arial" w:hAnsi="Arial" w:cs="Arial"/>
              </w:rPr>
              <w:t>44.8 ± 1.07</w:t>
            </w:r>
          </w:p>
        </w:tc>
        <w:tc>
          <w:tcPr>
            <w:tcW w:w="2880" w:type="dxa"/>
          </w:tcPr>
          <w:p w:rsidR="00330CF1" w:rsidRPr="001F5B00" w:rsidRDefault="00330CF1" w:rsidP="00A80C8A">
            <w:pPr>
              <w:jc w:val="center"/>
              <w:rPr>
                <w:rFonts w:ascii="Arial" w:hAnsi="Arial" w:cs="Arial"/>
              </w:rPr>
            </w:pPr>
            <w:r w:rsidRPr="001F5B00">
              <w:rPr>
                <w:rFonts w:ascii="Arial" w:hAnsi="Arial" w:cs="Arial"/>
              </w:rPr>
              <w:t>47.3 ± 0.83</w:t>
            </w:r>
          </w:p>
        </w:tc>
        <w:tc>
          <w:tcPr>
            <w:tcW w:w="2880" w:type="dxa"/>
          </w:tcPr>
          <w:p w:rsidR="00330CF1" w:rsidRPr="001F5B00" w:rsidRDefault="00330CF1" w:rsidP="00A80C8A">
            <w:pPr>
              <w:jc w:val="center"/>
              <w:rPr>
                <w:rFonts w:ascii="Arial" w:hAnsi="Arial" w:cs="Arial"/>
              </w:rPr>
            </w:pPr>
            <w:r w:rsidRPr="001F5B00">
              <w:rPr>
                <w:rFonts w:ascii="Arial" w:hAnsi="Arial" w:cs="Arial"/>
              </w:rPr>
              <w:t>48.42 ± 0.37</w:t>
            </w:r>
          </w:p>
        </w:tc>
      </w:tr>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8</w:t>
            </w:r>
          </w:p>
        </w:tc>
        <w:tc>
          <w:tcPr>
            <w:tcW w:w="2790" w:type="dxa"/>
          </w:tcPr>
          <w:p w:rsidR="00330CF1" w:rsidRPr="001F5B00" w:rsidRDefault="00330CF1" w:rsidP="00A80C8A">
            <w:pPr>
              <w:jc w:val="center"/>
              <w:rPr>
                <w:rFonts w:ascii="Arial" w:hAnsi="Arial" w:cs="Arial"/>
              </w:rPr>
            </w:pPr>
            <w:r w:rsidRPr="001F5B00">
              <w:rPr>
                <w:rFonts w:ascii="Arial" w:hAnsi="Arial" w:cs="Arial"/>
              </w:rPr>
              <w:t>46.1 ± 0.98</w:t>
            </w:r>
          </w:p>
        </w:tc>
        <w:tc>
          <w:tcPr>
            <w:tcW w:w="2880" w:type="dxa"/>
          </w:tcPr>
          <w:p w:rsidR="00330CF1" w:rsidRPr="001F5B00" w:rsidRDefault="00330CF1" w:rsidP="00A80C8A">
            <w:pPr>
              <w:jc w:val="center"/>
              <w:rPr>
                <w:rFonts w:ascii="Arial" w:hAnsi="Arial" w:cs="Arial"/>
              </w:rPr>
            </w:pPr>
            <w:r w:rsidRPr="001F5B00">
              <w:rPr>
                <w:rFonts w:ascii="Arial" w:hAnsi="Arial" w:cs="Arial"/>
              </w:rPr>
              <w:t>48 ± 1.15</w:t>
            </w:r>
          </w:p>
        </w:tc>
        <w:tc>
          <w:tcPr>
            <w:tcW w:w="2880" w:type="dxa"/>
          </w:tcPr>
          <w:p w:rsidR="00330CF1" w:rsidRPr="001F5B00" w:rsidRDefault="00330CF1" w:rsidP="00A80C8A">
            <w:pPr>
              <w:jc w:val="center"/>
              <w:rPr>
                <w:rFonts w:ascii="Arial" w:hAnsi="Arial" w:cs="Arial"/>
              </w:rPr>
            </w:pPr>
            <w:r w:rsidRPr="001F5B00">
              <w:rPr>
                <w:rFonts w:ascii="Arial" w:hAnsi="Arial" w:cs="Arial"/>
              </w:rPr>
              <w:t>48.75 ± 0.46</w:t>
            </w:r>
          </w:p>
        </w:tc>
      </w:tr>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9</w:t>
            </w:r>
          </w:p>
        </w:tc>
        <w:tc>
          <w:tcPr>
            <w:tcW w:w="2790" w:type="dxa"/>
          </w:tcPr>
          <w:p w:rsidR="00330CF1" w:rsidRPr="001F5B00" w:rsidRDefault="00330CF1" w:rsidP="00A80C8A">
            <w:pPr>
              <w:jc w:val="center"/>
              <w:rPr>
                <w:rFonts w:ascii="Arial" w:hAnsi="Arial" w:cs="Arial"/>
              </w:rPr>
            </w:pPr>
            <w:r w:rsidRPr="001F5B00">
              <w:rPr>
                <w:rFonts w:ascii="Arial" w:hAnsi="Arial" w:cs="Arial"/>
              </w:rPr>
              <w:t>48 ± 1.14</w:t>
            </w:r>
          </w:p>
        </w:tc>
        <w:tc>
          <w:tcPr>
            <w:tcW w:w="2880" w:type="dxa"/>
          </w:tcPr>
          <w:p w:rsidR="00330CF1" w:rsidRPr="001F5B00" w:rsidRDefault="00330CF1" w:rsidP="00A80C8A">
            <w:pPr>
              <w:jc w:val="center"/>
              <w:rPr>
                <w:rFonts w:ascii="Arial" w:hAnsi="Arial" w:cs="Arial"/>
              </w:rPr>
            </w:pPr>
            <w:r w:rsidRPr="001F5B00">
              <w:rPr>
                <w:rFonts w:ascii="Arial" w:hAnsi="Arial" w:cs="Arial"/>
              </w:rPr>
              <w:t>49.1 ± 0.86</w:t>
            </w:r>
          </w:p>
        </w:tc>
        <w:tc>
          <w:tcPr>
            <w:tcW w:w="2880" w:type="dxa"/>
          </w:tcPr>
          <w:p w:rsidR="00330CF1" w:rsidRPr="001F5B00" w:rsidRDefault="00330CF1" w:rsidP="00A80C8A">
            <w:pPr>
              <w:jc w:val="center"/>
              <w:rPr>
                <w:rFonts w:ascii="Arial" w:hAnsi="Arial" w:cs="Arial"/>
              </w:rPr>
            </w:pPr>
            <w:r w:rsidRPr="001F5B00">
              <w:rPr>
                <w:rFonts w:ascii="Arial" w:hAnsi="Arial" w:cs="Arial"/>
              </w:rPr>
              <w:t>50.42 ± 0.89</w:t>
            </w:r>
          </w:p>
        </w:tc>
      </w:tr>
      <w:tr w:rsidR="00330CF1" w:rsidRPr="001F5B00" w:rsidTr="00E321CF">
        <w:tc>
          <w:tcPr>
            <w:tcW w:w="1008" w:type="dxa"/>
          </w:tcPr>
          <w:p w:rsidR="00330CF1" w:rsidRPr="001F5B00" w:rsidRDefault="00330CF1" w:rsidP="00A80C8A">
            <w:pPr>
              <w:rPr>
                <w:rFonts w:ascii="Arial" w:hAnsi="Arial" w:cs="Arial"/>
              </w:rPr>
            </w:pPr>
            <w:r w:rsidRPr="001F5B00">
              <w:rPr>
                <w:rFonts w:ascii="Arial" w:hAnsi="Arial" w:cs="Arial"/>
              </w:rPr>
              <w:t>10</w:t>
            </w:r>
          </w:p>
        </w:tc>
        <w:tc>
          <w:tcPr>
            <w:tcW w:w="2790" w:type="dxa"/>
          </w:tcPr>
          <w:p w:rsidR="00330CF1" w:rsidRPr="001F5B00" w:rsidRDefault="00330CF1" w:rsidP="00A80C8A">
            <w:pPr>
              <w:jc w:val="center"/>
              <w:rPr>
                <w:rFonts w:ascii="Arial" w:hAnsi="Arial" w:cs="Arial"/>
              </w:rPr>
            </w:pPr>
            <w:r w:rsidRPr="001F5B00">
              <w:rPr>
                <w:rFonts w:ascii="Arial" w:hAnsi="Arial" w:cs="Arial"/>
              </w:rPr>
              <w:t>48.2 ± 0.3</w:t>
            </w:r>
          </w:p>
        </w:tc>
        <w:tc>
          <w:tcPr>
            <w:tcW w:w="2880" w:type="dxa"/>
          </w:tcPr>
          <w:p w:rsidR="00330CF1" w:rsidRPr="001F5B00" w:rsidRDefault="00330CF1" w:rsidP="00A80C8A">
            <w:pPr>
              <w:jc w:val="center"/>
              <w:rPr>
                <w:rFonts w:ascii="Arial" w:hAnsi="Arial" w:cs="Arial"/>
              </w:rPr>
            </w:pPr>
            <w:r w:rsidRPr="001F5B00">
              <w:rPr>
                <w:rFonts w:ascii="Arial" w:hAnsi="Arial" w:cs="Arial"/>
              </w:rPr>
              <w:t>51 ± 1.47</w:t>
            </w:r>
          </w:p>
        </w:tc>
        <w:tc>
          <w:tcPr>
            <w:tcW w:w="2880" w:type="dxa"/>
          </w:tcPr>
          <w:p w:rsidR="00330CF1" w:rsidRPr="001F5B00" w:rsidRDefault="00330CF1" w:rsidP="00A80C8A">
            <w:pPr>
              <w:jc w:val="center"/>
              <w:rPr>
                <w:rFonts w:ascii="Arial" w:hAnsi="Arial" w:cs="Arial"/>
              </w:rPr>
            </w:pPr>
            <w:r w:rsidRPr="001F5B00">
              <w:rPr>
                <w:rFonts w:ascii="Arial" w:hAnsi="Arial" w:cs="Arial"/>
              </w:rPr>
              <w:t>51.75 ± 1.00</w:t>
            </w:r>
          </w:p>
        </w:tc>
      </w:tr>
    </w:tbl>
    <w:p w:rsidR="00330CF1" w:rsidRPr="001F5B00" w:rsidRDefault="00330CF1" w:rsidP="00155FD0">
      <w:pPr>
        <w:rPr>
          <w:rFonts w:ascii="Arial" w:hAnsi="Arial" w:cs="Arial"/>
        </w:rPr>
      </w:pPr>
    </w:p>
    <w:p w:rsidR="00330CF1" w:rsidRDefault="00330CF1" w:rsidP="00155FD0">
      <w:pPr>
        <w:jc w:val="center"/>
        <w:rPr>
          <w:rFonts w:ascii="Arial" w:hAnsi="Arial" w:cs="Arial"/>
        </w:rPr>
      </w:pPr>
    </w:p>
    <w:p w:rsidR="00330CF1" w:rsidRDefault="00330CF1" w:rsidP="00155FD0">
      <w:pPr>
        <w:jc w:val="center"/>
        <w:rPr>
          <w:rFonts w:ascii="Arial" w:hAnsi="Arial" w:cs="Arial"/>
        </w:rPr>
      </w:pPr>
    </w:p>
    <w:p w:rsidR="00330CF1" w:rsidRDefault="00330CF1" w:rsidP="00155FD0">
      <w:pPr>
        <w:jc w:val="center"/>
        <w:rPr>
          <w:rFonts w:ascii="Arial" w:hAnsi="Arial" w:cs="Arial"/>
        </w:rPr>
      </w:pPr>
    </w:p>
    <w:p w:rsidR="00330CF1" w:rsidRDefault="00330CF1" w:rsidP="00155FD0">
      <w:pPr>
        <w:jc w:val="center"/>
        <w:rPr>
          <w:rFonts w:ascii="Arial" w:hAnsi="Arial" w:cs="Arial"/>
        </w:rPr>
      </w:pPr>
    </w:p>
    <w:p w:rsidR="00330CF1" w:rsidRDefault="00330CF1" w:rsidP="00155FD0">
      <w:pPr>
        <w:jc w:val="center"/>
        <w:rPr>
          <w:rFonts w:ascii="Arial" w:hAnsi="Arial" w:cs="Arial"/>
        </w:rPr>
      </w:pPr>
    </w:p>
    <w:p w:rsidR="00330CF1" w:rsidRPr="00544AB5" w:rsidRDefault="00330CF1" w:rsidP="00155FD0">
      <w:pPr>
        <w:jc w:val="center"/>
        <w:rPr>
          <w:rFonts w:ascii="Arial" w:hAnsi="Arial" w:cs="Arial"/>
        </w:rPr>
      </w:pPr>
      <w:r w:rsidRPr="00544AB5">
        <w:rPr>
          <w:rFonts w:ascii="Arial" w:hAnsi="Arial" w:cs="Arial"/>
          <w:b/>
        </w:rPr>
        <w:t xml:space="preserve">Table A-6 </w:t>
      </w:r>
      <w:r>
        <w:rPr>
          <w:rFonts w:ascii="Arial" w:hAnsi="Arial" w:cs="Arial"/>
        </w:rPr>
        <w:t>Female w</w:t>
      </w:r>
      <w:r w:rsidRPr="00544AB5">
        <w:rPr>
          <w:rFonts w:ascii="Arial" w:hAnsi="Arial" w:cs="Arial"/>
        </w:rPr>
        <w:t>eekly</w:t>
      </w:r>
      <w:r>
        <w:rPr>
          <w:rFonts w:ascii="Arial" w:hAnsi="Arial" w:cs="Arial"/>
        </w:rPr>
        <w:t xml:space="preserve"> l</w:t>
      </w:r>
      <w:r w:rsidRPr="00544AB5">
        <w:rPr>
          <w:rFonts w:ascii="Arial" w:hAnsi="Arial" w:cs="Arial"/>
        </w:rPr>
        <w:t>ength (cm) over 10 week feeding trial</w:t>
      </w:r>
    </w:p>
    <w:p w:rsidR="00330CF1" w:rsidRPr="00EA33C6" w:rsidRDefault="00330CF1" w:rsidP="00155FD0">
      <w:pPr>
        <w:jc w:val="center"/>
        <w:rPr>
          <w:rFonts w:ascii="Arial" w:hAnsi="Arial" w:cs="Arial"/>
          <w:color w:val="C00000"/>
        </w:rPr>
      </w:pPr>
      <w:r>
        <w:rPr>
          <w:rFonts w:ascii="Arial" w:hAnsi="Arial" w:cs="Arial"/>
        </w:rPr>
        <w:t>b</w:t>
      </w:r>
      <w:r w:rsidRPr="00544AB5">
        <w:rPr>
          <w:rFonts w:ascii="Arial" w:hAnsi="Arial" w:cs="Arial"/>
        </w:rPr>
        <w:t>y diet treatment (Mean ± SEM)</w:t>
      </w:r>
    </w:p>
    <w:p w:rsidR="00330CF1" w:rsidRPr="001F5B00" w:rsidRDefault="00330CF1" w:rsidP="00155FD0">
      <w:pPr>
        <w:jc w:val="center"/>
        <w:rPr>
          <w:rFonts w:ascii="Arial" w:hAnsi="Arial" w:cs="Arial"/>
        </w:rPr>
      </w:pPr>
    </w:p>
    <w:tbl>
      <w:tblPr>
        <w:tblStyle w:val="TableGrid"/>
        <w:tblW w:w="9558" w:type="dxa"/>
        <w:tblLook w:val="04A0" w:firstRow="1" w:lastRow="0" w:firstColumn="1" w:lastColumn="0" w:noHBand="0" w:noVBand="1"/>
      </w:tblPr>
      <w:tblGrid>
        <w:gridCol w:w="1008"/>
        <w:gridCol w:w="2790"/>
        <w:gridCol w:w="2880"/>
        <w:gridCol w:w="2880"/>
      </w:tblGrid>
      <w:tr w:rsidR="00330CF1" w:rsidRPr="001F5B00" w:rsidTr="00E321CF">
        <w:trPr>
          <w:trHeight w:val="336"/>
        </w:trPr>
        <w:tc>
          <w:tcPr>
            <w:tcW w:w="1008" w:type="dxa"/>
          </w:tcPr>
          <w:p w:rsidR="00330CF1" w:rsidRPr="001F5B00" w:rsidRDefault="00330CF1" w:rsidP="00A80C8A">
            <w:pPr>
              <w:rPr>
                <w:rFonts w:ascii="Arial" w:hAnsi="Arial" w:cs="Arial"/>
              </w:rPr>
            </w:pPr>
            <w:r w:rsidRPr="001F5B00">
              <w:rPr>
                <w:rFonts w:ascii="Arial" w:hAnsi="Arial" w:cs="Arial"/>
              </w:rPr>
              <w:t>Week</w:t>
            </w:r>
          </w:p>
        </w:tc>
        <w:tc>
          <w:tcPr>
            <w:tcW w:w="2790" w:type="dxa"/>
          </w:tcPr>
          <w:p w:rsidR="00330CF1" w:rsidRPr="001F5B00" w:rsidRDefault="00330CF1" w:rsidP="00A80C8A">
            <w:pPr>
              <w:jc w:val="center"/>
              <w:rPr>
                <w:rFonts w:ascii="Arial" w:hAnsi="Arial" w:cs="Arial"/>
              </w:rPr>
            </w:pPr>
            <w:r>
              <w:rPr>
                <w:rFonts w:ascii="Arial" w:hAnsi="Arial" w:cs="Arial"/>
              </w:rPr>
              <w:t>Control</w:t>
            </w:r>
          </w:p>
        </w:tc>
        <w:tc>
          <w:tcPr>
            <w:tcW w:w="2880" w:type="dxa"/>
          </w:tcPr>
          <w:p w:rsidR="00330CF1" w:rsidRPr="001F5B00" w:rsidRDefault="00330CF1" w:rsidP="00A80C8A">
            <w:pPr>
              <w:jc w:val="center"/>
              <w:rPr>
                <w:rFonts w:ascii="Arial" w:hAnsi="Arial" w:cs="Arial"/>
              </w:rPr>
            </w:pPr>
            <w:r>
              <w:rPr>
                <w:rFonts w:ascii="Arial" w:hAnsi="Arial" w:cs="Arial"/>
              </w:rPr>
              <w:t>Commercial Raw</w:t>
            </w:r>
          </w:p>
        </w:tc>
        <w:tc>
          <w:tcPr>
            <w:tcW w:w="2880" w:type="dxa"/>
          </w:tcPr>
          <w:p w:rsidR="00330CF1" w:rsidRPr="001F5B00" w:rsidRDefault="00330CF1" w:rsidP="00A80C8A">
            <w:pPr>
              <w:jc w:val="center"/>
              <w:rPr>
                <w:rFonts w:ascii="Arial" w:hAnsi="Arial" w:cs="Arial"/>
              </w:rPr>
            </w:pPr>
            <w:r>
              <w:rPr>
                <w:rFonts w:ascii="Arial" w:hAnsi="Arial" w:cs="Arial"/>
              </w:rPr>
              <w:t>Homemade Raw</w:t>
            </w:r>
          </w:p>
        </w:tc>
      </w:tr>
      <w:tr w:rsidR="00330CF1" w:rsidRPr="001F5B00" w:rsidTr="00E321CF">
        <w:trPr>
          <w:trHeight w:val="317"/>
        </w:trPr>
        <w:tc>
          <w:tcPr>
            <w:tcW w:w="1008" w:type="dxa"/>
          </w:tcPr>
          <w:p w:rsidR="00330CF1" w:rsidRPr="001F5B00" w:rsidRDefault="00330CF1" w:rsidP="00A80C8A">
            <w:pPr>
              <w:rPr>
                <w:rFonts w:ascii="Arial" w:hAnsi="Arial" w:cs="Arial"/>
              </w:rPr>
            </w:pPr>
            <w:r w:rsidRPr="001F5B00">
              <w:rPr>
                <w:rFonts w:ascii="Arial" w:hAnsi="Arial" w:cs="Arial"/>
              </w:rPr>
              <w:t>0</w:t>
            </w:r>
          </w:p>
        </w:tc>
        <w:tc>
          <w:tcPr>
            <w:tcW w:w="2790" w:type="dxa"/>
          </w:tcPr>
          <w:p w:rsidR="00330CF1" w:rsidRPr="001F5B00" w:rsidRDefault="00330CF1" w:rsidP="00A80C8A">
            <w:pPr>
              <w:jc w:val="center"/>
              <w:rPr>
                <w:rFonts w:ascii="Arial" w:hAnsi="Arial" w:cs="Arial"/>
              </w:rPr>
            </w:pPr>
            <w:r w:rsidRPr="001F5B00">
              <w:rPr>
                <w:rFonts w:ascii="Arial" w:hAnsi="Arial" w:cs="Arial"/>
              </w:rPr>
              <w:t>37 ± 1.44</w:t>
            </w:r>
          </w:p>
        </w:tc>
        <w:tc>
          <w:tcPr>
            <w:tcW w:w="2880" w:type="dxa"/>
          </w:tcPr>
          <w:p w:rsidR="00330CF1" w:rsidRPr="001F5B00" w:rsidRDefault="00330CF1" w:rsidP="00A80C8A">
            <w:pPr>
              <w:jc w:val="center"/>
              <w:rPr>
                <w:rFonts w:ascii="Arial" w:hAnsi="Arial" w:cs="Arial"/>
              </w:rPr>
            </w:pPr>
            <w:r w:rsidRPr="001F5B00">
              <w:rPr>
                <w:rFonts w:ascii="Arial" w:hAnsi="Arial" w:cs="Arial"/>
              </w:rPr>
              <w:t>36.5 ± 1.61</w:t>
            </w:r>
          </w:p>
        </w:tc>
        <w:tc>
          <w:tcPr>
            <w:tcW w:w="2880" w:type="dxa"/>
          </w:tcPr>
          <w:p w:rsidR="00330CF1" w:rsidRPr="001F5B00" w:rsidRDefault="00330CF1" w:rsidP="00A80C8A">
            <w:pPr>
              <w:jc w:val="center"/>
              <w:rPr>
                <w:rFonts w:ascii="Arial" w:hAnsi="Arial" w:cs="Arial"/>
              </w:rPr>
            </w:pPr>
            <w:r w:rsidRPr="001F5B00">
              <w:rPr>
                <w:rFonts w:ascii="Arial" w:hAnsi="Arial" w:cs="Arial"/>
              </w:rPr>
              <w:t>37.5 ± 1.5</w:t>
            </w:r>
          </w:p>
        </w:tc>
      </w:tr>
      <w:tr w:rsidR="00330CF1" w:rsidRPr="001F5B00" w:rsidTr="00E321CF">
        <w:trPr>
          <w:trHeight w:val="317"/>
        </w:trPr>
        <w:tc>
          <w:tcPr>
            <w:tcW w:w="1008" w:type="dxa"/>
          </w:tcPr>
          <w:p w:rsidR="00330CF1" w:rsidRPr="001F5B00" w:rsidRDefault="00330CF1" w:rsidP="00A80C8A">
            <w:pPr>
              <w:rPr>
                <w:rFonts w:ascii="Arial" w:hAnsi="Arial" w:cs="Arial"/>
              </w:rPr>
            </w:pPr>
            <w:r w:rsidRPr="001F5B00">
              <w:rPr>
                <w:rFonts w:ascii="Arial" w:hAnsi="Arial" w:cs="Arial"/>
              </w:rPr>
              <w:t>1</w:t>
            </w:r>
          </w:p>
        </w:tc>
        <w:tc>
          <w:tcPr>
            <w:tcW w:w="2790" w:type="dxa"/>
          </w:tcPr>
          <w:p w:rsidR="00330CF1" w:rsidRPr="001F5B00" w:rsidRDefault="00330CF1" w:rsidP="00A80C8A">
            <w:pPr>
              <w:jc w:val="center"/>
              <w:rPr>
                <w:rFonts w:ascii="Arial" w:hAnsi="Arial" w:cs="Arial"/>
              </w:rPr>
            </w:pPr>
            <w:r w:rsidRPr="001F5B00">
              <w:rPr>
                <w:rFonts w:ascii="Arial" w:hAnsi="Arial" w:cs="Arial"/>
              </w:rPr>
              <w:t>38.33 ± 1.09</w:t>
            </w:r>
          </w:p>
        </w:tc>
        <w:tc>
          <w:tcPr>
            <w:tcW w:w="2880" w:type="dxa"/>
          </w:tcPr>
          <w:p w:rsidR="00330CF1" w:rsidRPr="001F5B00" w:rsidRDefault="00330CF1" w:rsidP="00A80C8A">
            <w:pPr>
              <w:jc w:val="center"/>
              <w:rPr>
                <w:rFonts w:ascii="Arial" w:hAnsi="Arial" w:cs="Arial"/>
              </w:rPr>
            </w:pPr>
            <w:r w:rsidRPr="001F5B00">
              <w:rPr>
                <w:rFonts w:ascii="Arial" w:hAnsi="Arial" w:cs="Arial"/>
              </w:rPr>
              <w:t>37.83 ± 1.36</w:t>
            </w:r>
          </w:p>
        </w:tc>
        <w:tc>
          <w:tcPr>
            <w:tcW w:w="2880" w:type="dxa"/>
          </w:tcPr>
          <w:p w:rsidR="00330CF1" w:rsidRPr="001F5B00" w:rsidRDefault="00330CF1" w:rsidP="00A80C8A">
            <w:pPr>
              <w:jc w:val="center"/>
              <w:rPr>
                <w:rFonts w:ascii="Arial" w:hAnsi="Arial" w:cs="Arial"/>
              </w:rPr>
            </w:pPr>
            <w:r w:rsidRPr="001F5B00">
              <w:rPr>
                <w:rFonts w:ascii="Arial" w:hAnsi="Arial" w:cs="Arial"/>
              </w:rPr>
              <w:t>38.75 ± 0.75</w:t>
            </w:r>
          </w:p>
        </w:tc>
      </w:tr>
      <w:tr w:rsidR="00330CF1" w:rsidRPr="001F5B00" w:rsidTr="00E321CF">
        <w:trPr>
          <w:trHeight w:val="317"/>
        </w:trPr>
        <w:tc>
          <w:tcPr>
            <w:tcW w:w="1008" w:type="dxa"/>
          </w:tcPr>
          <w:p w:rsidR="00330CF1" w:rsidRPr="001F5B00" w:rsidRDefault="00330CF1" w:rsidP="00A80C8A">
            <w:pPr>
              <w:rPr>
                <w:rFonts w:ascii="Arial" w:hAnsi="Arial" w:cs="Arial"/>
              </w:rPr>
            </w:pPr>
            <w:r w:rsidRPr="001F5B00">
              <w:rPr>
                <w:rFonts w:ascii="Arial" w:hAnsi="Arial" w:cs="Arial"/>
              </w:rPr>
              <w:t>2</w:t>
            </w:r>
          </w:p>
        </w:tc>
        <w:tc>
          <w:tcPr>
            <w:tcW w:w="2790" w:type="dxa"/>
          </w:tcPr>
          <w:p w:rsidR="00330CF1" w:rsidRPr="001F5B00" w:rsidRDefault="00330CF1" w:rsidP="00A80C8A">
            <w:pPr>
              <w:jc w:val="center"/>
              <w:rPr>
                <w:rFonts w:ascii="Arial" w:hAnsi="Arial" w:cs="Arial"/>
              </w:rPr>
            </w:pPr>
            <w:r w:rsidRPr="001F5B00">
              <w:rPr>
                <w:rFonts w:ascii="Arial" w:hAnsi="Arial" w:cs="Arial"/>
              </w:rPr>
              <w:t>39.67 ± 1.01</w:t>
            </w:r>
          </w:p>
        </w:tc>
        <w:tc>
          <w:tcPr>
            <w:tcW w:w="2880" w:type="dxa"/>
          </w:tcPr>
          <w:p w:rsidR="00330CF1" w:rsidRPr="001F5B00" w:rsidRDefault="00330CF1" w:rsidP="00A80C8A">
            <w:pPr>
              <w:jc w:val="center"/>
              <w:rPr>
                <w:rFonts w:ascii="Arial" w:hAnsi="Arial" w:cs="Arial"/>
              </w:rPr>
            </w:pPr>
            <w:r w:rsidRPr="001F5B00">
              <w:rPr>
                <w:rFonts w:ascii="Arial" w:hAnsi="Arial" w:cs="Arial"/>
              </w:rPr>
              <w:t>40.5 ± 0.5</w:t>
            </w:r>
          </w:p>
        </w:tc>
        <w:tc>
          <w:tcPr>
            <w:tcW w:w="2880" w:type="dxa"/>
          </w:tcPr>
          <w:p w:rsidR="00330CF1" w:rsidRPr="001F5B00" w:rsidRDefault="00330CF1" w:rsidP="00A80C8A">
            <w:pPr>
              <w:jc w:val="center"/>
              <w:rPr>
                <w:rFonts w:ascii="Arial" w:hAnsi="Arial" w:cs="Arial"/>
              </w:rPr>
            </w:pPr>
            <w:r w:rsidRPr="001F5B00">
              <w:rPr>
                <w:rFonts w:ascii="Arial" w:hAnsi="Arial" w:cs="Arial"/>
              </w:rPr>
              <w:t>41 ± 1.0</w:t>
            </w:r>
          </w:p>
        </w:tc>
      </w:tr>
      <w:tr w:rsidR="00330CF1" w:rsidRPr="001F5B00" w:rsidTr="00E321CF">
        <w:trPr>
          <w:trHeight w:val="336"/>
        </w:trPr>
        <w:tc>
          <w:tcPr>
            <w:tcW w:w="1008" w:type="dxa"/>
          </w:tcPr>
          <w:p w:rsidR="00330CF1" w:rsidRPr="001F5B00" w:rsidRDefault="00330CF1" w:rsidP="00A80C8A">
            <w:pPr>
              <w:rPr>
                <w:rFonts w:ascii="Arial" w:hAnsi="Arial" w:cs="Arial"/>
              </w:rPr>
            </w:pPr>
            <w:r w:rsidRPr="001F5B00">
              <w:rPr>
                <w:rFonts w:ascii="Arial" w:hAnsi="Arial" w:cs="Arial"/>
              </w:rPr>
              <w:t>3</w:t>
            </w:r>
          </w:p>
        </w:tc>
        <w:tc>
          <w:tcPr>
            <w:tcW w:w="2790" w:type="dxa"/>
          </w:tcPr>
          <w:p w:rsidR="00330CF1" w:rsidRPr="001F5B00" w:rsidRDefault="00330CF1" w:rsidP="00A80C8A">
            <w:pPr>
              <w:jc w:val="center"/>
              <w:rPr>
                <w:rFonts w:ascii="Arial" w:hAnsi="Arial" w:cs="Arial"/>
              </w:rPr>
            </w:pPr>
            <w:r w:rsidRPr="001F5B00">
              <w:rPr>
                <w:rFonts w:ascii="Arial" w:hAnsi="Arial" w:cs="Arial"/>
              </w:rPr>
              <w:t>40.67 ± 1.01</w:t>
            </w:r>
          </w:p>
        </w:tc>
        <w:tc>
          <w:tcPr>
            <w:tcW w:w="2880" w:type="dxa"/>
          </w:tcPr>
          <w:p w:rsidR="00330CF1" w:rsidRPr="001F5B00" w:rsidRDefault="00330CF1" w:rsidP="00A80C8A">
            <w:pPr>
              <w:jc w:val="center"/>
              <w:rPr>
                <w:rFonts w:ascii="Arial" w:hAnsi="Arial" w:cs="Arial"/>
              </w:rPr>
            </w:pPr>
            <w:r w:rsidRPr="001F5B00">
              <w:rPr>
                <w:rFonts w:ascii="Arial" w:hAnsi="Arial" w:cs="Arial"/>
              </w:rPr>
              <w:t>40.5 ± 0.5</w:t>
            </w:r>
          </w:p>
        </w:tc>
        <w:tc>
          <w:tcPr>
            <w:tcW w:w="2880" w:type="dxa"/>
          </w:tcPr>
          <w:p w:rsidR="00330CF1" w:rsidRPr="001F5B00" w:rsidRDefault="00330CF1" w:rsidP="00A80C8A">
            <w:pPr>
              <w:jc w:val="center"/>
              <w:rPr>
                <w:rFonts w:ascii="Arial" w:hAnsi="Arial" w:cs="Arial"/>
              </w:rPr>
            </w:pPr>
            <w:r w:rsidRPr="001F5B00">
              <w:rPr>
                <w:rFonts w:ascii="Arial" w:hAnsi="Arial" w:cs="Arial"/>
              </w:rPr>
              <w:t>41.5 ± 1.5</w:t>
            </w:r>
          </w:p>
        </w:tc>
      </w:tr>
      <w:tr w:rsidR="00330CF1" w:rsidRPr="001F5B00" w:rsidTr="00E321CF">
        <w:trPr>
          <w:trHeight w:val="317"/>
        </w:trPr>
        <w:tc>
          <w:tcPr>
            <w:tcW w:w="1008" w:type="dxa"/>
          </w:tcPr>
          <w:p w:rsidR="00330CF1" w:rsidRPr="001F5B00" w:rsidRDefault="00330CF1" w:rsidP="00A80C8A">
            <w:pPr>
              <w:rPr>
                <w:rFonts w:ascii="Arial" w:hAnsi="Arial" w:cs="Arial"/>
              </w:rPr>
            </w:pPr>
            <w:r w:rsidRPr="001F5B00">
              <w:rPr>
                <w:rFonts w:ascii="Arial" w:hAnsi="Arial" w:cs="Arial"/>
              </w:rPr>
              <w:t>4</w:t>
            </w:r>
          </w:p>
        </w:tc>
        <w:tc>
          <w:tcPr>
            <w:tcW w:w="2790" w:type="dxa"/>
          </w:tcPr>
          <w:p w:rsidR="00330CF1" w:rsidRPr="001F5B00" w:rsidRDefault="00330CF1" w:rsidP="00A80C8A">
            <w:pPr>
              <w:jc w:val="center"/>
              <w:rPr>
                <w:rFonts w:ascii="Arial" w:hAnsi="Arial" w:cs="Arial"/>
              </w:rPr>
            </w:pPr>
            <w:r w:rsidRPr="001F5B00">
              <w:rPr>
                <w:rFonts w:ascii="Arial" w:hAnsi="Arial" w:cs="Arial"/>
              </w:rPr>
              <w:t>41.67 ± 1.20</w:t>
            </w:r>
          </w:p>
        </w:tc>
        <w:tc>
          <w:tcPr>
            <w:tcW w:w="2880" w:type="dxa"/>
          </w:tcPr>
          <w:p w:rsidR="00330CF1" w:rsidRPr="001F5B00" w:rsidRDefault="00330CF1" w:rsidP="00A80C8A">
            <w:pPr>
              <w:jc w:val="center"/>
              <w:rPr>
                <w:rFonts w:ascii="Arial" w:hAnsi="Arial" w:cs="Arial"/>
              </w:rPr>
            </w:pPr>
            <w:r w:rsidRPr="001F5B00">
              <w:rPr>
                <w:rFonts w:ascii="Arial" w:hAnsi="Arial" w:cs="Arial"/>
              </w:rPr>
              <w:t>42.5 ± 0.29</w:t>
            </w:r>
          </w:p>
        </w:tc>
        <w:tc>
          <w:tcPr>
            <w:tcW w:w="2880" w:type="dxa"/>
          </w:tcPr>
          <w:p w:rsidR="00330CF1" w:rsidRPr="001F5B00" w:rsidRDefault="00330CF1" w:rsidP="00A80C8A">
            <w:pPr>
              <w:jc w:val="center"/>
              <w:rPr>
                <w:rFonts w:ascii="Arial" w:hAnsi="Arial" w:cs="Arial"/>
              </w:rPr>
            </w:pPr>
            <w:r w:rsidRPr="001F5B00">
              <w:rPr>
                <w:rFonts w:ascii="Arial" w:hAnsi="Arial" w:cs="Arial"/>
              </w:rPr>
              <w:t>42.25 ± 1.25</w:t>
            </w:r>
          </w:p>
        </w:tc>
      </w:tr>
      <w:tr w:rsidR="00330CF1" w:rsidRPr="001F5B00" w:rsidTr="00E321CF">
        <w:trPr>
          <w:trHeight w:val="317"/>
        </w:trPr>
        <w:tc>
          <w:tcPr>
            <w:tcW w:w="1008" w:type="dxa"/>
          </w:tcPr>
          <w:p w:rsidR="00330CF1" w:rsidRPr="001F5B00" w:rsidRDefault="00330CF1" w:rsidP="00A80C8A">
            <w:pPr>
              <w:rPr>
                <w:rFonts w:ascii="Arial" w:hAnsi="Arial" w:cs="Arial"/>
              </w:rPr>
            </w:pPr>
            <w:r w:rsidRPr="001F5B00">
              <w:rPr>
                <w:rFonts w:ascii="Arial" w:hAnsi="Arial" w:cs="Arial"/>
              </w:rPr>
              <w:t>5</w:t>
            </w:r>
          </w:p>
        </w:tc>
        <w:tc>
          <w:tcPr>
            <w:tcW w:w="2790" w:type="dxa"/>
          </w:tcPr>
          <w:p w:rsidR="00330CF1" w:rsidRPr="001F5B00" w:rsidRDefault="00330CF1" w:rsidP="00A80C8A">
            <w:pPr>
              <w:jc w:val="center"/>
              <w:rPr>
                <w:rFonts w:ascii="Arial" w:hAnsi="Arial" w:cs="Arial"/>
              </w:rPr>
            </w:pPr>
            <w:r w:rsidRPr="001F5B00">
              <w:rPr>
                <w:rFonts w:ascii="Arial" w:hAnsi="Arial" w:cs="Arial"/>
              </w:rPr>
              <w:t>43 ± 1.15</w:t>
            </w:r>
          </w:p>
        </w:tc>
        <w:tc>
          <w:tcPr>
            <w:tcW w:w="2880" w:type="dxa"/>
          </w:tcPr>
          <w:p w:rsidR="00330CF1" w:rsidRPr="001F5B00" w:rsidRDefault="00330CF1" w:rsidP="00A80C8A">
            <w:pPr>
              <w:jc w:val="center"/>
              <w:rPr>
                <w:rFonts w:ascii="Arial" w:hAnsi="Arial" w:cs="Arial"/>
              </w:rPr>
            </w:pPr>
            <w:r w:rsidRPr="001F5B00">
              <w:rPr>
                <w:rFonts w:ascii="Arial" w:hAnsi="Arial" w:cs="Arial"/>
              </w:rPr>
              <w:t>43.83 ± 0.60</w:t>
            </w:r>
          </w:p>
        </w:tc>
        <w:tc>
          <w:tcPr>
            <w:tcW w:w="2880" w:type="dxa"/>
          </w:tcPr>
          <w:p w:rsidR="00330CF1" w:rsidRPr="001F5B00" w:rsidRDefault="00330CF1" w:rsidP="00A80C8A">
            <w:pPr>
              <w:jc w:val="center"/>
              <w:rPr>
                <w:rFonts w:ascii="Arial" w:hAnsi="Arial" w:cs="Arial"/>
              </w:rPr>
            </w:pPr>
            <w:r w:rsidRPr="001F5B00">
              <w:rPr>
                <w:rFonts w:ascii="Arial" w:hAnsi="Arial" w:cs="Arial"/>
              </w:rPr>
              <w:t>43.25 ± 0.25</w:t>
            </w:r>
          </w:p>
        </w:tc>
      </w:tr>
      <w:tr w:rsidR="00330CF1" w:rsidRPr="001F5B00" w:rsidTr="00E321CF">
        <w:trPr>
          <w:trHeight w:val="317"/>
        </w:trPr>
        <w:tc>
          <w:tcPr>
            <w:tcW w:w="1008" w:type="dxa"/>
          </w:tcPr>
          <w:p w:rsidR="00330CF1" w:rsidRPr="001F5B00" w:rsidRDefault="00330CF1" w:rsidP="00A80C8A">
            <w:pPr>
              <w:rPr>
                <w:rFonts w:ascii="Arial" w:hAnsi="Arial" w:cs="Arial"/>
              </w:rPr>
            </w:pPr>
            <w:r w:rsidRPr="001F5B00">
              <w:rPr>
                <w:rFonts w:ascii="Arial" w:hAnsi="Arial" w:cs="Arial"/>
              </w:rPr>
              <w:t>6</w:t>
            </w:r>
          </w:p>
        </w:tc>
        <w:tc>
          <w:tcPr>
            <w:tcW w:w="2790" w:type="dxa"/>
          </w:tcPr>
          <w:p w:rsidR="00330CF1" w:rsidRPr="001F5B00" w:rsidRDefault="00330CF1" w:rsidP="00A80C8A">
            <w:pPr>
              <w:jc w:val="center"/>
              <w:rPr>
                <w:rFonts w:ascii="Arial" w:hAnsi="Arial" w:cs="Arial"/>
              </w:rPr>
            </w:pPr>
            <w:r w:rsidRPr="001F5B00">
              <w:rPr>
                <w:rFonts w:ascii="Arial" w:hAnsi="Arial" w:cs="Arial"/>
              </w:rPr>
              <w:t>44.33 ± 0.67</w:t>
            </w:r>
          </w:p>
        </w:tc>
        <w:tc>
          <w:tcPr>
            <w:tcW w:w="2880" w:type="dxa"/>
          </w:tcPr>
          <w:p w:rsidR="00330CF1" w:rsidRPr="001F5B00" w:rsidRDefault="00330CF1" w:rsidP="00A80C8A">
            <w:pPr>
              <w:jc w:val="center"/>
              <w:rPr>
                <w:rFonts w:ascii="Arial" w:hAnsi="Arial" w:cs="Arial"/>
              </w:rPr>
            </w:pPr>
            <w:r w:rsidRPr="001F5B00">
              <w:rPr>
                <w:rFonts w:ascii="Arial" w:hAnsi="Arial" w:cs="Arial"/>
              </w:rPr>
              <w:t>45.17 ± 0.93</w:t>
            </w:r>
          </w:p>
        </w:tc>
        <w:tc>
          <w:tcPr>
            <w:tcW w:w="2880" w:type="dxa"/>
          </w:tcPr>
          <w:p w:rsidR="00330CF1" w:rsidRPr="001F5B00" w:rsidRDefault="00330CF1" w:rsidP="00A80C8A">
            <w:pPr>
              <w:jc w:val="center"/>
              <w:rPr>
                <w:rFonts w:ascii="Arial" w:hAnsi="Arial" w:cs="Arial"/>
              </w:rPr>
            </w:pPr>
            <w:r w:rsidRPr="001F5B00">
              <w:rPr>
                <w:rFonts w:ascii="Arial" w:hAnsi="Arial" w:cs="Arial"/>
              </w:rPr>
              <w:t>43.5 ± 0.5</w:t>
            </w:r>
          </w:p>
        </w:tc>
      </w:tr>
      <w:tr w:rsidR="00330CF1" w:rsidRPr="001F5B00" w:rsidTr="00E321CF">
        <w:trPr>
          <w:trHeight w:val="317"/>
        </w:trPr>
        <w:tc>
          <w:tcPr>
            <w:tcW w:w="1008" w:type="dxa"/>
          </w:tcPr>
          <w:p w:rsidR="00330CF1" w:rsidRPr="001F5B00" w:rsidRDefault="00330CF1" w:rsidP="00A80C8A">
            <w:pPr>
              <w:rPr>
                <w:rFonts w:ascii="Arial" w:hAnsi="Arial" w:cs="Arial"/>
              </w:rPr>
            </w:pPr>
            <w:r w:rsidRPr="001F5B00">
              <w:rPr>
                <w:rFonts w:ascii="Arial" w:hAnsi="Arial" w:cs="Arial"/>
              </w:rPr>
              <w:t>7</w:t>
            </w:r>
          </w:p>
        </w:tc>
        <w:tc>
          <w:tcPr>
            <w:tcW w:w="2790" w:type="dxa"/>
          </w:tcPr>
          <w:p w:rsidR="00330CF1" w:rsidRPr="001F5B00" w:rsidRDefault="00330CF1" w:rsidP="00A80C8A">
            <w:pPr>
              <w:jc w:val="center"/>
              <w:rPr>
                <w:rFonts w:ascii="Arial" w:hAnsi="Arial" w:cs="Arial"/>
              </w:rPr>
            </w:pPr>
            <w:r w:rsidRPr="001F5B00">
              <w:rPr>
                <w:rFonts w:ascii="Arial" w:hAnsi="Arial" w:cs="Arial"/>
              </w:rPr>
              <w:t>44.67 ± 0.88</w:t>
            </w:r>
          </w:p>
        </w:tc>
        <w:tc>
          <w:tcPr>
            <w:tcW w:w="2880" w:type="dxa"/>
          </w:tcPr>
          <w:p w:rsidR="00330CF1" w:rsidRPr="001F5B00" w:rsidRDefault="00330CF1" w:rsidP="00A80C8A">
            <w:pPr>
              <w:jc w:val="center"/>
              <w:rPr>
                <w:rFonts w:ascii="Arial" w:hAnsi="Arial" w:cs="Arial"/>
              </w:rPr>
            </w:pPr>
            <w:r w:rsidRPr="001F5B00">
              <w:rPr>
                <w:rFonts w:ascii="Arial" w:hAnsi="Arial" w:cs="Arial"/>
              </w:rPr>
              <w:t>46 ± 0.58</w:t>
            </w:r>
          </w:p>
        </w:tc>
        <w:tc>
          <w:tcPr>
            <w:tcW w:w="2880" w:type="dxa"/>
          </w:tcPr>
          <w:p w:rsidR="00330CF1" w:rsidRPr="001F5B00" w:rsidRDefault="00330CF1" w:rsidP="00A80C8A">
            <w:pPr>
              <w:jc w:val="center"/>
              <w:rPr>
                <w:rFonts w:ascii="Arial" w:hAnsi="Arial" w:cs="Arial"/>
              </w:rPr>
            </w:pPr>
            <w:r w:rsidRPr="001F5B00">
              <w:rPr>
                <w:rFonts w:ascii="Arial" w:hAnsi="Arial" w:cs="Arial"/>
              </w:rPr>
              <w:t>45 ± 1.0</w:t>
            </w:r>
          </w:p>
        </w:tc>
      </w:tr>
      <w:tr w:rsidR="00330CF1" w:rsidRPr="001F5B00" w:rsidTr="00E321CF">
        <w:trPr>
          <w:trHeight w:val="336"/>
        </w:trPr>
        <w:tc>
          <w:tcPr>
            <w:tcW w:w="1008" w:type="dxa"/>
          </w:tcPr>
          <w:p w:rsidR="00330CF1" w:rsidRPr="001F5B00" w:rsidRDefault="00330CF1" w:rsidP="00A80C8A">
            <w:pPr>
              <w:rPr>
                <w:rFonts w:ascii="Arial" w:hAnsi="Arial" w:cs="Arial"/>
              </w:rPr>
            </w:pPr>
            <w:r w:rsidRPr="001F5B00">
              <w:rPr>
                <w:rFonts w:ascii="Arial" w:hAnsi="Arial" w:cs="Arial"/>
              </w:rPr>
              <w:t>8</w:t>
            </w:r>
          </w:p>
        </w:tc>
        <w:tc>
          <w:tcPr>
            <w:tcW w:w="2790" w:type="dxa"/>
          </w:tcPr>
          <w:p w:rsidR="00330CF1" w:rsidRPr="001F5B00" w:rsidRDefault="00330CF1" w:rsidP="00A80C8A">
            <w:pPr>
              <w:jc w:val="center"/>
              <w:rPr>
                <w:rFonts w:ascii="Arial" w:hAnsi="Arial" w:cs="Arial"/>
              </w:rPr>
            </w:pPr>
            <w:r w:rsidRPr="001F5B00">
              <w:rPr>
                <w:rFonts w:ascii="Arial" w:hAnsi="Arial" w:cs="Arial"/>
              </w:rPr>
              <w:t>46.67 ± 1.20</w:t>
            </w:r>
          </w:p>
        </w:tc>
        <w:tc>
          <w:tcPr>
            <w:tcW w:w="2880" w:type="dxa"/>
          </w:tcPr>
          <w:p w:rsidR="00330CF1" w:rsidRPr="001F5B00" w:rsidRDefault="00330CF1" w:rsidP="00A80C8A">
            <w:pPr>
              <w:jc w:val="center"/>
              <w:rPr>
                <w:rFonts w:ascii="Arial" w:hAnsi="Arial" w:cs="Arial"/>
              </w:rPr>
            </w:pPr>
            <w:r w:rsidRPr="001F5B00">
              <w:rPr>
                <w:rFonts w:ascii="Arial" w:hAnsi="Arial" w:cs="Arial"/>
              </w:rPr>
              <w:t>47 ± 0.58</w:t>
            </w:r>
          </w:p>
        </w:tc>
        <w:tc>
          <w:tcPr>
            <w:tcW w:w="2880" w:type="dxa"/>
          </w:tcPr>
          <w:p w:rsidR="00330CF1" w:rsidRPr="001F5B00" w:rsidRDefault="00330CF1" w:rsidP="00A80C8A">
            <w:pPr>
              <w:jc w:val="center"/>
              <w:rPr>
                <w:rFonts w:ascii="Arial" w:hAnsi="Arial" w:cs="Arial"/>
              </w:rPr>
            </w:pPr>
            <w:r w:rsidRPr="001F5B00">
              <w:rPr>
                <w:rFonts w:ascii="Arial" w:hAnsi="Arial" w:cs="Arial"/>
              </w:rPr>
              <w:t>45.75 ± 0.25</w:t>
            </w:r>
          </w:p>
        </w:tc>
      </w:tr>
      <w:tr w:rsidR="00330CF1" w:rsidRPr="001F5B00" w:rsidTr="00E321CF">
        <w:trPr>
          <w:trHeight w:val="317"/>
        </w:trPr>
        <w:tc>
          <w:tcPr>
            <w:tcW w:w="1008" w:type="dxa"/>
          </w:tcPr>
          <w:p w:rsidR="00330CF1" w:rsidRPr="001F5B00" w:rsidRDefault="00330CF1" w:rsidP="00A80C8A">
            <w:pPr>
              <w:rPr>
                <w:rFonts w:ascii="Arial" w:hAnsi="Arial" w:cs="Arial"/>
              </w:rPr>
            </w:pPr>
            <w:r w:rsidRPr="001F5B00">
              <w:rPr>
                <w:rFonts w:ascii="Arial" w:hAnsi="Arial" w:cs="Arial"/>
              </w:rPr>
              <w:t>9</w:t>
            </w:r>
          </w:p>
        </w:tc>
        <w:tc>
          <w:tcPr>
            <w:tcW w:w="2790" w:type="dxa"/>
          </w:tcPr>
          <w:p w:rsidR="00330CF1" w:rsidRPr="001F5B00" w:rsidRDefault="00330CF1" w:rsidP="00A80C8A">
            <w:pPr>
              <w:jc w:val="center"/>
              <w:rPr>
                <w:rFonts w:ascii="Arial" w:hAnsi="Arial" w:cs="Arial"/>
              </w:rPr>
            </w:pPr>
            <w:r w:rsidRPr="001F5B00">
              <w:rPr>
                <w:rFonts w:ascii="Arial" w:hAnsi="Arial" w:cs="Arial"/>
              </w:rPr>
              <w:t>48.17 ± 0.73</w:t>
            </w:r>
          </w:p>
        </w:tc>
        <w:tc>
          <w:tcPr>
            <w:tcW w:w="2880" w:type="dxa"/>
          </w:tcPr>
          <w:p w:rsidR="00330CF1" w:rsidRPr="001F5B00" w:rsidRDefault="00330CF1" w:rsidP="00A80C8A">
            <w:pPr>
              <w:jc w:val="center"/>
              <w:rPr>
                <w:rFonts w:ascii="Arial" w:hAnsi="Arial" w:cs="Arial"/>
              </w:rPr>
            </w:pPr>
            <w:r w:rsidRPr="001F5B00">
              <w:rPr>
                <w:rFonts w:ascii="Arial" w:hAnsi="Arial" w:cs="Arial"/>
              </w:rPr>
              <w:t>47 ± 0</w:t>
            </w:r>
          </w:p>
        </w:tc>
        <w:tc>
          <w:tcPr>
            <w:tcW w:w="2880" w:type="dxa"/>
          </w:tcPr>
          <w:p w:rsidR="00330CF1" w:rsidRPr="001F5B00" w:rsidRDefault="00330CF1" w:rsidP="00A80C8A">
            <w:pPr>
              <w:jc w:val="center"/>
              <w:rPr>
                <w:rFonts w:ascii="Arial" w:hAnsi="Arial" w:cs="Arial"/>
              </w:rPr>
            </w:pPr>
            <w:r w:rsidRPr="001F5B00">
              <w:rPr>
                <w:rFonts w:ascii="Arial" w:hAnsi="Arial" w:cs="Arial"/>
              </w:rPr>
              <w:t>48 ± 0.0</w:t>
            </w:r>
          </w:p>
        </w:tc>
      </w:tr>
      <w:tr w:rsidR="00330CF1" w:rsidRPr="001F5B00" w:rsidTr="00E321CF">
        <w:trPr>
          <w:trHeight w:val="336"/>
        </w:trPr>
        <w:tc>
          <w:tcPr>
            <w:tcW w:w="1008" w:type="dxa"/>
          </w:tcPr>
          <w:p w:rsidR="00330CF1" w:rsidRPr="001F5B00" w:rsidRDefault="00330CF1" w:rsidP="00A80C8A">
            <w:pPr>
              <w:rPr>
                <w:rFonts w:ascii="Arial" w:hAnsi="Arial" w:cs="Arial"/>
              </w:rPr>
            </w:pPr>
            <w:r w:rsidRPr="001F5B00">
              <w:rPr>
                <w:rFonts w:ascii="Arial" w:hAnsi="Arial" w:cs="Arial"/>
              </w:rPr>
              <w:t>10</w:t>
            </w:r>
          </w:p>
        </w:tc>
        <w:tc>
          <w:tcPr>
            <w:tcW w:w="2790" w:type="dxa"/>
          </w:tcPr>
          <w:p w:rsidR="00330CF1" w:rsidRPr="001F5B00" w:rsidRDefault="00330CF1" w:rsidP="00A80C8A">
            <w:pPr>
              <w:jc w:val="center"/>
              <w:rPr>
                <w:rFonts w:ascii="Arial" w:hAnsi="Arial" w:cs="Arial"/>
              </w:rPr>
            </w:pPr>
            <w:r w:rsidRPr="001F5B00">
              <w:rPr>
                <w:rFonts w:ascii="Arial" w:hAnsi="Arial" w:cs="Arial"/>
              </w:rPr>
              <w:t>48.83 ± 0.83</w:t>
            </w:r>
          </w:p>
        </w:tc>
        <w:tc>
          <w:tcPr>
            <w:tcW w:w="2880" w:type="dxa"/>
          </w:tcPr>
          <w:p w:rsidR="00330CF1" w:rsidRPr="001F5B00" w:rsidRDefault="00330CF1" w:rsidP="00A80C8A">
            <w:pPr>
              <w:jc w:val="center"/>
              <w:rPr>
                <w:rFonts w:ascii="Arial" w:hAnsi="Arial" w:cs="Arial"/>
              </w:rPr>
            </w:pPr>
            <w:r w:rsidRPr="001F5B00">
              <w:rPr>
                <w:rFonts w:ascii="Arial" w:hAnsi="Arial" w:cs="Arial"/>
              </w:rPr>
              <w:t>49.83 ± 0.60</w:t>
            </w:r>
          </w:p>
        </w:tc>
        <w:tc>
          <w:tcPr>
            <w:tcW w:w="2880" w:type="dxa"/>
          </w:tcPr>
          <w:p w:rsidR="00330CF1" w:rsidRPr="001F5B00" w:rsidRDefault="00330CF1" w:rsidP="00A80C8A">
            <w:pPr>
              <w:jc w:val="center"/>
              <w:rPr>
                <w:rFonts w:ascii="Arial" w:hAnsi="Arial" w:cs="Arial"/>
              </w:rPr>
            </w:pPr>
            <w:r w:rsidRPr="001F5B00">
              <w:rPr>
                <w:rFonts w:ascii="Arial" w:hAnsi="Arial" w:cs="Arial"/>
              </w:rPr>
              <w:t>48.5 ± 0.5</w:t>
            </w:r>
          </w:p>
        </w:tc>
      </w:tr>
    </w:tbl>
    <w:p w:rsidR="00330CF1" w:rsidRDefault="00330CF1" w:rsidP="00155FD0">
      <w:pPr>
        <w:rPr>
          <w:rFonts w:ascii="Arial" w:hAnsi="Arial" w:cs="Arial"/>
          <w:b/>
          <w:bCs/>
          <w:iCs/>
          <w:sz w:val="28"/>
          <w:szCs w:val="28"/>
        </w:rPr>
      </w:pPr>
    </w:p>
    <w:p w:rsidR="00330CF1" w:rsidRDefault="00330CF1" w:rsidP="00155FD0"/>
    <w:p w:rsidR="00330CF1" w:rsidRDefault="00330CF1" w:rsidP="00155FD0"/>
    <w:p w:rsidR="00330CF1" w:rsidRPr="00625B3B" w:rsidRDefault="00330CF1" w:rsidP="00155FD0"/>
    <w:p w:rsidR="00330CF1" w:rsidRDefault="00330CF1" w:rsidP="00155FD0">
      <w:pPr>
        <w:jc w:val="center"/>
        <w:rPr>
          <w:rFonts w:ascii="Arial" w:hAnsi="Arial" w:cs="Arial"/>
          <w:b/>
        </w:rPr>
      </w:pPr>
    </w:p>
    <w:p w:rsidR="00330CF1" w:rsidRDefault="00330CF1" w:rsidP="00155FD0">
      <w:pPr>
        <w:jc w:val="center"/>
        <w:rPr>
          <w:rFonts w:ascii="Arial" w:hAnsi="Arial" w:cs="Arial"/>
          <w:b/>
        </w:rPr>
      </w:pPr>
    </w:p>
    <w:p w:rsidR="00330CF1" w:rsidRDefault="00330CF1" w:rsidP="00155FD0">
      <w:pPr>
        <w:jc w:val="center"/>
        <w:rPr>
          <w:rFonts w:ascii="Arial" w:hAnsi="Arial" w:cs="Arial"/>
          <w:b/>
        </w:rPr>
      </w:pPr>
    </w:p>
    <w:p w:rsidR="00330CF1" w:rsidRPr="00544AB5" w:rsidRDefault="00330CF1" w:rsidP="00155FD0">
      <w:pPr>
        <w:jc w:val="center"/>
        <w:rPr>
          <w:rFonts w:ascii="Arial" w:hAnsi="Arial" w:cs="Arial"/>
        </w:rPr>
      </w:pPr>
      <w:r w:rsidRPr="00544AB5">
        <w:rPr>
          <w:rFonts w:ascii="Arial" w:hAnsi="Arial" w:cs="Arial"/>
          <w:b/>
        </w:rPr>
        <w:t>Table A-7</w:t>
      </w:r>
      <w:r w:rsidRPr="00544AB5">
        <w:rPr>
          <w:rFonts w:ascii="Arial" w:hAnsi="Arial" w:cs="Arial"/>
        </w:rPr>
        <w:t xml:space="preserve"> Weekly weight for male vs female kittens by week</w:t>
      </w:r>
    </w:p>
    <w:p w:rsidR="00330CF1" w:rsidRPr="00544AB5" w:rsidRDefault="00330CF1" w:rsidP="00155FD0">
      <w:pPr>
        <w:jc w:val="center"/>
        <w:rPr>
          <w:rFonts w:ascii="Arial" w:hAnsi="Arial" w:cs="Arial"/>
        </w:rPr>
      </w:pPr>
      <w:r w:rsidRPr="00544AB5">
        <w:rPr>
          <w:rFonts w:ascii="Arial" w:hAnsi="Arial" w:cs="Arial"/>
        </w:rPr>
        <w:t>(Mean ± SEM)</w:t>
      </w:r>
    </w:p>
    <w:p w:rsidR="00330CF1" w:rsidRPr="0035220E" w:rsidRDefault="00330CF1" w:rsidP="00155FD0">
      <w:pPr>
        <w:jc w:val="center"/>
        <w:rPr>
          <w:rFonts w:ascii="Arial" w:hAnsi="Arial" w:cs="Arial"/>
        </w:rPr>
      </w:pPr>
    </w:p>
    <w:tbl>
      <w:tblPr>
        <w:tblStyle w:val="TableGrid"/>
        <w:tblW w:w="0" w:type="auto"/>
        <w:tblLook w:val="04A0" w:firstRow="1" w:lastRow="0" w:firstColumn="1" w:lastColumn="0" w:noHBand="0" w:noVBand="1"/>
      </w:tblPr>
      <w:tblGrid>
        <w:gridCol w:w="1008"/>
        <w:gridCol w:w="3060"/>
        <w:gridCol w:w="4590"/>
      </w:tblGrid>
      <w:tr w:rsidR="00330CF1" w:rsidRPr="0035220E" w:rsidTr="00A80C8A">
        <w:tc>
          <w:tcPr>
            <w:tcW w:w="1008" w:type="dxa"/>
          </w:tcPr>
          <w:p w:rsidR="00330CF1" w:rsidRPr="0035220E" w:rsidRDefault="00330CF1" w:rsidP="00A80C8A">
            <w:pPr>
              <w:rPr>
                <w:rFonts w:ascii="Arial" w:hAnsi="Arial" w:cs="Arial"/>
              </w:rPr>
            </w:pPr>
          </w:p>
        </w:tc>
        <w:tc>
          <w:tcPr>
            <w:tcW w:w="3060" w:type="dxa"/>
          </w:tcPr>
          <w:p w:rsidR="00330CF1" w:rsidRPr="0035220E" w:rsidRDefault="00330CF1" w:rsidP="00A80C8A">
            <w:pPr>
              <w:jc w:val="center"/>
              <w:rPr>
                <w:rFonts w:ascii="Arial" w:hAnsi="Arial" w:cs="Arial"/>
              </w:rPr>
            </w:pPr>
            <w:r w:rsidRPr="0035220E">
              <w:rPr>
                <w:rFonts w:ascii="Arial" w:hAnsi="Arial" w:cs="Arial"/>
              </w:rPr>
              <w:t>Male</w:t>
            </w:r>
          </w:p>
        </w:tc>
        <w:tc>
          <w:tcPr>
            <w:tcW w:w="4590" w:type="dxa"/>
          </w:tcPr>
          <w:p w:rsidR="00330CF1" w:rsidRPr="0035220E" w:rsidRDefault="00330CF1" w:rsidP="00A80C8A">
            <w:pPr>
              <w:jc w:val="center"/>
              <w:rPr>
                <w:rFonts w:ascii="Arial" w:hAnsi="Arial" w:cs="Arial"/>
              </w:rPr>
            </w:pPr>
            <w:r w:rsidRPr="0035220E">
              <w:rPr>
                <w:rFonts w:ascii="Arial" w:hAnsi="Arial" w:cs="Arial"/>
              </w:rPr>
              <w:t>Female</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 xml:space="preserve">  0</w:t>
            </w:r>
          </w:p>
        </w:tc>
        <w:tc>
          <w:tcPr>
            <w:tcW w:w="3060" w:type="dxa"/>
          </w:tcPr>
          <w:p w:rsidR="00330CF1" w:rsidRPr="0035220E" w:rsidRDefault="00330CF1" w:rsidP="00A80C8A">
            <w:pPr>
              <w:jc w:val="center"/>
              <w:rPr>
                <w:rFonts w:ascii="Arial" w:hAnsi="Arial" w:cs="Arial"/>
              </w:rPr>
            </w:pPr>
            <w:r w:rsidRPr="0035220E">
              <w:rPr>
                <w:rFonts w:ascii="Arial" w:hAnsi="Arial" w:cs="Arial"/>
              </w:rPr>
              <w:t>1164.7 ± 33.5125</w:t>
            </w:r>
          </w:p>
        </w:tc>
        <w:tc>
          <w:tcPr>
            <w:tcW w:w="4590" w:type="dxa"/>
          </w:tcPr>
          <w:p w:rsidR="00330CF1" w:rsidRPr="0035220E" w:rsidRDefault="00330CF1" w:rsidP="00A80C8A">
            <w:pPr>
              <w:jc w:val="center"/>
              <w:rPr>
                <w:rFonts w:ascii="Arial" w:hAnsi="Arial" w:cs="Arial"/>
              </w:rPr>
            </w:pPr>
            <w:r w:rsidRPr="0035220E">
              <w:rPr>
                <w:rFonts w:ascii="Arial" w:hAnsi="Arial" w:cs="Arial"/>
              </w:rPr>
              <w:t>1112 ± 23.0465</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1</w:t>
            </w:r>
          </w:p>
        </w:tc>
        <w:tc>
          <w:tcPr>
            <w:tcW w:w="3060" w:type="dxa"/>
          </w:tcPr>
          <w:p w:rsidR="00330CF1" w:rsidRPr="0035220E" w:rsidRDefault="00330CF1" w:rsidP="00A80C8A">
            <w:pPr>
              <w:jc w:val="center"/>
              <w:rPr>
                <w:rFonts w:ascii="Arial" w:hAnsi="Arial" w:cs="Arial"/>
              </w:rPr>
            </w:pPr>
            <w:r w:rsidRPr="0035220E">
              <w:rPr>
                <w:rFonts w:ascii="Arial" w:hAnsi="Arial" w:cs="Arial"/>
              </w:rPr>
              <w:t>1316.3 ± 36.6222</w:t>
            </w:r>
          </w:p>
        </w:tc>
        <w:tc>
          <w:tcPr>
            <w:tcW w:w="4590" w:type="dxa"/>
          </w:tcPr>
          <w:p w:rsidR="00330CF1" w:rsidRPr="0035220E" w:rsidRDefault="00330CF1" w:rsidP="00A80C8A">
            <w:pPr>
              <w:jc w:val="center"/>
              <w:rPr>
                <w:rFonts w:ascii="Arial" w:hAnsi="Arial" w:cs="Arial"/>
              </w:rPr>
            </w:pPr>
            <w:r w:rsidRPr="0035220E">
              <w:rPr>
                <w:rFonts w:ascii="Arial" w:hAnsi="Arial" w:cs="Arial"/>
              </w:rPr>
              <w:t>1228.6 ± 18.1057</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2</w:t>
            </w:r>
          </w:p>
        </w:tc>
        <w:tc>
          <w:tcPr>
            <w:tcW w:w="3060" w:type="dxa"/>
          </w:tcPr>
          <w:p w:rsidR="00330CF1" w:rsidRPr="0035220E" w:rsidRDefault="00330CF1" w:rsidP="00A80C8A">
            <w:pPr>
              <w:jc w:val="center"/>
              <w:rPr>
                <w:rFonts w:ascii="Arial" w:hAnsi="Arial" w:cs="Arial"/>
              </w:rPr>
            </w:pPr>
            <w:r w:rsidRPr="0035220E">
              <w:rPr>
                <w:rFonts w:ascii="Arial" w:hAnsi="Arial" w:cs="Arial"/>
              </w:rPr>
              <w:t>1479.4 ± 48.3161</w:t>
            </w:r>
          </w:p>
        </w:tc>
        <w:tc>
          <w:tcPr>
            <w:tcW w:w="4590" w:type="dxa"/>
          </w:tcPr>
          <w:p w:rsidR="00330CF1" w:rsidRPr="0035220E" w:rsidRDefault="00330CF1" w:rsidP="00A80C8A">
            <w:pPr>
              <w:jc w:val="center"/>
              <w:rPr>
                <w:rFonts w:ascii="Arial" w:hAnsi="Arial" w:cs="Arial"/>
              </w:rPr>
            </w:pPr>
            <w:r w:rsidRPr="0035220E">
              <w:rPr>
                <w:rFonts w:ascii="Arial" w:hAnsi="Arial" w:cs="Arial"/>
              </w:rPr>
              <w:t>1239.6 ± 22.6778</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3</w:t>
            </w:r>
          </w:p>
        </w:tc>
        <w:tc>
          <w:tcPr>
            <w:tcW w:w="3060" w:type="dxa"/>
          </w:tcPr>
          <w:p w:rsidR="00330CF1" w:rsidRPr="0035220E" w:rsidRDefault="00330CF1" w:rsidP="00A80C8A">
            <w:pPr>
              <w:jc w:val="center"/>
              <w:rPr>
                <w:rFonts w:ascii="Arial" w:hAnsi="Arial" w:cs="Arial"/>
              </w:rPr>
            </w:pPr>
            <w:r w:rsidRPr="0035220E">
              <w:rPr>
                <w:rFonts w:ascii="Arial" w:hAnsi="Arial" w:cs="Arial"/>
              </w:rPr>
              <w:t>1628.3 ± 51.7208</w:t>
            </w:r>
          </w:p>
        </w:tc>
        <w:tc>
          <w:tcPr>
            <w:tcW w:w="4590" w:type="dxa"/>
          </w:tcPr>
          <w:p w:rsidR="00330CF1" w:rsidRPr="0035220E" w:rsidRDefault="00330CF1" w:rsidP="00A80C8A">
            <w:pPr>
              <w:jc w:val="center"/>
              <w:rPr>
                <w:rFonts w:ascii="Arial" w:hAnsi="Arial" w:cs="Arial"/>
              </w:rPr>
            </w:pPr>
            <w:r w:rsidRPr="0035220E">
              <w:rPr>
                <w:rFonts w:ascii="Arial" w:hAnsi="Arial" w:cs="Arial"/>
              </w:rPr>
              <w:t>1489.3 ± 25.6485</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4</w:t>
            </w:r>
          </w:p>
        </w:tc>
        <w:tc>
          <w:tcPr>
            <w:tcW w:w="3060" w:type="dxa"/>
          </w:tcPr>
          <w:p w:rsidR="00330CF1" w:rsidRPr="0035220E" w:rsidRDefault="00330CF1" w:rsidP="00A80C8A">
            <w:pPr>
              <w:jc w:val="center"/>
              <w:rPr>
                <w:rFonts w:ascii="Arial" w:hAnsi="Arial" w:cs="Arial"/>
              </w:rPr>
            </w:pPr>
            <w:r w:rsidRPr="0035220E">
              <w:rPr>
                <w:rFonts w:ascii="Arial" w:hAnsi="Arial" w:cs="Arial"/>
              </w:rPr>
              <w:t>1801.3 ± 64.4565</w:t>
            </w:r>
          </w:p>
        </w:tc>
        <w:tc>
          <w:tcPr>
            <w:tcW w:w="4590" w:type="dxa"/>
          </w:tcPr>
          <w:p w:rsidR="00330CF1" w:rsidRPr="0035220E" w:rsidRDefault="00330CF1" w:rsidP="00A80C8A">
            <w:pPr>
              <w:jc w:val="center"/>
              <w:rPr>
                <w:rFonts w:ascii="Arial" w:hAnsi="Arial" w:cs="Arial"/>
              </w:rPr>
            </w:pPr>
            <w:r w:rsidRPr="0035220E">
              <w:rPr>
                <w:rFonts w:ascii="Arial" w:hAnsi="Arial" w:cs="Arial"/>
              </w:rPr>
              <w:t>1640 ± 33.1661</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5</w:t>
            </w:r>
          </w:p>
        </w:tc>
        <w:tc>
          <w:tcPr>
            <w:tcW w:w="3060" w:type="dxa"/>
          </w:tcPr>
          <w:p w:rsidR="00330CF1" w:rsidRPr="0035220E" w:rsidRDefault="00330CF1" w:rsidP="00A80C8A">
            <w:pPr>
              <w:jc w:val="center"/>
              <w:rPr>
                <w:rFonts w:ascii="Arial" w:hAnsi="Arial" w:cs="Arial"/>
              </w:rPr>
            </w:pPr>
            <w:r w:rsidRPr="0035220E">
              <w:rPr>
                <w:rFonts w:ascii="Arial" w:hAnsi="Arial" w:cs="Arial"/>
              </w:rPr>
              <w:t>1963.1 ± 66.1077</w:t>
            </w:r>
          </w:p>
        </w:tc>
        <w:tc>
          <w:tcPr>
            <w:tcW w:w="4590" w:type="dxa"/>
          </w:tcPr>
          <w:p w:rsidR="00330CF1" w:rsidRPr="0035220E" w:rsidRDefault="00330CF1" w:rsidP="00A80C8A">
            <w:pPr>
              <w:jc w:val="center"/>
              <w:rPr>
                <w:rFonts w:ascii="Arial" w:hAnsi="Arial" w:cs="Arial"/>
              </w:rPr>
            </w:pPr>
            <w:r w:rsidRPr="0035220E">
              <w:rPr>
                <w:rFonts w:ascii="Arial" w:hAnsi="Arial" w:cs="Arial"/>
              </w:rPr>
              <w:t>1789.8  ± 34.8164</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6</w:t>
            </w:r>
          </w:p>
        </w:tc>
        <w:tc>
          <w:tcPr>
            <w:tcW w:w="3060" w:type="dxa"/>
          </w:tcPr>
          <w:p w:rsidR="00330CF1" w:rsidRPr="0035220E" w:rsidRDefault="00330CF1" w:rsidP="00A80C8A">
            <w:pPr>
              <w:jc w:val="center"/>
              <w:rPr>
                <w:rFonts w:ascii="Arial" w:hAnsi="Arial" w:cs="Arial"/>
              </w:rPr>
            </w:pPr>
            <w:r w:rsidRPr="0035220E">
              <w:rPr>
                <w:rFonts w:ascii="Arial" w:hAnsi="Arial" w:cs="Arial"/>
              </w:rPr>
              <w:t>2108.1 ± 65.2558</w:t>
            </w:r>
          </w:p>
        </w:tc>
        <w:tc>
          <w:tcPr>
            <w:tcW w:w="4590" w:type="dxa"/>
          </w:tcPr>
          <w:p w:rsidR="00330CF1" w:rsidRPr="0035220E" w:rsidRDefault="00330CF1" w:rsidP="00A80C8A">
            <w:pPr>
              <w:jc w:val="center"/>
              <w:rPr>
                <w:rFonts w:ascii="Arial" w:hAnsi="Arial" w:cs="Arial"/>
              </w:rPr>
            </w:pPr>
            <w:r w:rsidRPr="0035220E">
              <w:rPr>
                <w:rFonts w:ascii="Arial" w:hAnsi="Arial" w:cs="Arial"/>
              </w:rPr>
              <w:t>1863.4 ± 45.0595</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7</w:t>
            </w:r>
          </w:p>
        </w:tc>
        <w:tc>
          <w:tcPr>
            <w:tcW w:w="3060" w:type="dxa"/>
          </w:tcPr>
          <w:p w:rsidR="00330CF1" w:rsidRPr="0035220E" w:rsidRDefault="00330CF1" w:rsidP="00A80C8A">
            <w:pPr>
              <w:jc w:val="center"/>
              <w:rPr>
                <w:rFonts w:ascii="Arial" w:hAnsi="Arial" w:cs="Arial"/>
              </w:rPr>
            </w:pPr>
            <w:r w:rsidRPr="0035220E">
              <w:rPr>
                <w:rFonts w:ascii="Arial" w:hAnsi="Arial" w:cs="Arial"/>
              </w:rPr>
              <w:t>2291.2 ± 71.3528</w:t>
            </w:r>
          </w:p>
        </w:tc>
        <w:tc>
          <w:tcPr>
            <w:tcW w:w="4590" w:type="dxa"/>
          </w:tcPr>
          <w:p w:rsidR="00330CF1" w:rsidRPr="0035220E" w:rsidRDefault="00330CF1" w:rsidP="00A80C8A">
            <w:pPr>
              <w:jc w:val="center"/>
              <w:rPr>
                <w:rFonts w:ascii="Arial" w:hAnsi="Arial" w:cs="Arial"/>
              </w:rPr>
            </w:pPr>
            <w:r w:rsidRPr="0035220E">
              <w:rPr>
                <w:rFonts w:ascii="Arial" w:hAnsi="Arial" w:cs="Arial"/>
              </w:rPr>
              <w:t>2011.5 ± 36.4432</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8</w:t>
            </w:r>
          </w:p>
        </w:tc>
        <w:tc>
          <w:tcPr>
            <w:tcW w:w="3060" w:type="dxa"/>
          </w:tcPr>
          <w:p w:rsidR="00330CF1" w:rsidRPr="0035220E" w:rsidRDefault="00330CF1" w:rsidP="00A80C8A">
            <w:pPr>
              <w:jc w:val="center"/>
              <w:rPr>
                <w:rFonts w:ascii="Arial" w:hAnsi="Arial" w:cs="Arial"/>
              </w:rPr>
            </w:pPr>
            <w:r w:rsidRPr="0035220E">
              <w:rPr>
                <w:rFonts w:ascii="Arial" w:hAnsi="Arial" w:cs="Arial"/>
              </w:rPr>
              <w:t>2521.8 ± 75.7344</w:t>
            </w:r>
          </w:p>
        </w:tc>
        <w:tc>
          <w:tcPr>
            <w:tcW w:w="4590" w:type="dxa"/>
          </w:tcPr>
          <w:p w:rsidR="00330CF1" w:rsidRPr="0035220E" w:rsidRDefault="00330CF1" w:rsidP="00A80C8A">
            <w:pPr>
              <w:jc w:val="center"/>
              <w:rPr>
                <w:rFonts w:ascii="Arial" w:hAnsi="Arial" w:cs="Arial"/>
              </w:rPr>
            </w:pPr>
            <w:r w:rsidRPr="0035220E">
              <w:rPr>
                <w:rFonts w:ascii="Arial" w:hAnsi="Arial" w:cs="Arial"/>
              </w:rPr>
              <w:t>2162.8 ± 48.8221</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9</w:t>
            </w:r>
          </w:p>
        </w:tc>
        <w:tc>
          <w:tcPr>
            <w:tcW w:w="3060" w:type="dxa"/>
          </w:tcPr>
          <w:p w:rsidR="00330CF1" w:rsidRPr="0035220E" w:rsidRDefault="00330CF1" w:rsidP="00A80C8A">
            <w:pPr>
              <w:jc w:val="center"/>
              <w:rPr>
                <w:rFonts w:ascii="Arial" w:hAnsi="Arial" w:cs="Arial"/>
              </w:rPr>
            </w:pPr>
            <w:r w:rsidRPr="0035220E">
              <w:rPr>
                <w:rFonts w:ascii="Arial" w:hAnsi="Arial" w:cs="Arial"/>
              </w:rPr>
              <w:t>2633.4 ± 71.0037</w:t>
            </w:r>
          </w:p>
        </w:tc>
        <w:tc>
          <w:tcPr>
            <w:tcW w:w="4590" w:type="dxa"/>
          </w:tcPr>
          <w:p w:rsidR="00330CF1" w:rsidRPr="0035220E" w:rsidRDefault="00330CF1" w:rsidP="00A80C8A">
            <w:pPr>
              <w:jc w:val="center"/>
              <w:rPr>
                <w:rFonts w:ascii="Arial" w:hAnsi="Arial" w:cs="Arial"/>
              </w:rPr>
            </w:pPr>
            <w:r w:rsidRPr="0035220E">
              <w:rPr>
                <w:rFonts w:ascii="Arial" w:hAnsi="Arial" w:cs="Arial"/>
              </w:rPr>
              <w:t>2253.6 ± 59.03024</w:t>
            </w:r>
          </w:p>
        </w:tc>
      </w:tr>
      <w:tr w:rsidR="00330CF1" w:rsidRPr="0035220E" w:rsidTr="00A80C8A">
        <w:trPr>
          <w:trHeight w:val="260"/>
        </w:trPr>
        <w:tc>
          <w:tcPr>
            <w:tcW w:w="1008" w:type="dxa"/>
          </w:tcPr>
          <w:p w:rsidR="00330CF1" w:rsidRPr="0035220E" w:rsidRDefault="00330CF1" w:rsidP="00A80C8A">
            <w:pPr>
              <w:jc w:val="center"/>
              <w:rPr>
                <w:rFonts w:ascii="Arial" w:hAnsi="Arial" w:cs="Arial"/>
              </w:rPr>
            </w:pPr>
            <w:r w:rsidRPr="0035220E">
              <w:rPr>
                <w:rFonts w:ascii="Arial" w:hAnsi="Arial" w:cs="Arial"/>
              </w:rPr>
              <w:t>10</w:t>
            </w:r>
          </w:p>
        </w:tc>
        <w:tc>
          <w:tcPr>
            <w:tcW w:w="3060" w:type="dxa"/>
          </w:tcPr>
          <w:p w:rsidR="00330CF1" w:rsidRPr="0035220E" w:rsidRDefault="00330CF1" w:rsidP="00A80C8A">
            <w:pPr>
              <w:jc w:val="center"/>
              <w:rPr>
                <w:rFonts w:ascii="Arial" w:hAnsi="Arial" w:cs="Arial"/>
              </w:rPr>
            </w:pPr>
            <w:r w:rsidRPr="0035220E">
              <w:rPr>
                <w:rFonts w:ascii="Arial" w:hAnsi="Arial" w:cs="Arial"/>
              </w:rPr>
              <w:t>2717.7 ± 81.6835</w:t>
            </w:r>
          </w:p>
        </w:tc>
        <w:tc>
          <w:tcPr>
            <w:tcW w:w="4590" w:type="dxa"/>
          </w:tcPr>
          <w:p w:rsidR="00330CF1" w:rsidRPr="0035220E" w:rsidRDefault="00330CF1" w:rsidP="00A80C8A">
            <w:pPr>
              <w:jc w:val="center"/>
              <w:rPr>
                <w:rFonts w:ascii="Arial" w:hAnsi="Arial" w:cs="Arial"/>
              </w:rPr>
            </w:pPr>
            <w:r w:rsidRPr="0035220E">
              <w:rPr>
                <w:rFonts w:ascii="Arial" w:hAnsi="Arial" w:cs="Arial"/>
              </w:rPr>
              <w:t>2359.5 ± 52.5628</w:t>
            </w:r>
          </w:p>
        </w:tc>
      </w:tr>
    </w:tbl>
    <w:p w:rsidR="00330CF1" w:rsidRPr="0035220E" w:rsidRDefault="00330CF1" w:rsidP="00155FD0">
      <w:pPr>
        <w:rPr>
          <w:rFonts w:ascii="Arial" w:hAnsi="Arial" w:cs="Arial"/>
        </w:rPr>
      </w:pPr>
    </w:p>
    <w:p w:rsidR="00330CF1" w:rsidRDefault="00330CF1" w:rsidP="00155FD0"/>
    <w:p w:rsidR="00330CF1" w:rsidRDefault="00330CF1" w:rsidP="00155FD0"/>
    <w:p w:rsidR="00330CF1" w:rsidRDefault="00330CF1" w:rsidP="00155FD0"/>
    <w:p w:rsidR="00330CF1" w:rsidRDefault="00330CF1" w:rsidP="00155FD0"/>
    <w:p w:rsidR="00330CF1" w:rsidRPr="00544AB5" w:rsidRDefault="00330CF1" w:rsidP="00155FD0">
      <w:pPr>
        <w:jc w:val="center"/>
        <w:rPr>
          <w:rFonts w:ascii="Arial" w:hAnsi="Arial" w:cs="Arial"/>
        </w:rPr>
      </w:pPr>
      <w:r w:rsidRPr="00544AB5">
        <w:rPr>
          <w:rFonts w:ascii="Arial" w:hAnsi="Arial" w:cs="Arial"/>
          <w:b/>
        </w:rPr>
        <w:t>Table A-8</w:t>
      </w:r>
      <w:r w:rsidRPr="00544AB5">
        <w:rPr>
          <w:rFonts w:ascii="Arial" w:hAnsi="Arial" w:cs="Arial"/>
        </w:rPr>
        <w:t xml:space="preserve"> Mean Weekly height for male vs female kittens</w:t>
      </w:r>
    </w:p>
    <w:p w:rsidR="00330CF1" w:rsidRPr="00544AB5" w:rsidRDefault="00330CF1" w:rsidP="00155FD0">
      <w:pPr>
        <w:jc w:val="center"/>
        <w:rPr>
          <w:rFonts w:ascii="Arial" w:hAnsi="Arial" w:cs="Arial"/>
        </w:rPr>
      </w:pPr>
      <w:r w:rsidRPr="00544AB5">
        <w:rPr>
          <w:rFonts w:ascii="Arial" w:hAnsi="Arial" w:cs="Arial"/>
        </w:rPr>
        <w:t>(Mean ± SEM)</w:t>
      </w:r>
    </w:p>
    <w:p w:rsidR="00330CF1" w:rsidRPr="0035220E" w:rsidRDefault="00330CF1" w:rsidP="00155FD0">
      <w:pPr>
        <w:jc w:val="center"/>
        <w:rPr>
          <w:rFonts w:ascii="Arial" w:hAnsi="Arial" w:cs="Arial"/>
        </w:rPr>
      </w:pPr>
    </w:p>
    <w:tbl>
      <w:tblPr>
        <w:tblStyle w:val="TableGrid"/>
        <w:tblW w:w="0" w:type="auto"/>
        <w:tblLook w:val="04A0" w:firstRow="1" w:lastRow="0" w:firstColumn="1" w:lastColumn="0" w:noHBand="0" w:noVBand="1"/>
      </w:tblPr>
      <w:tblGrid>
        <w:gridCol w:w="1008"/>
        <w:gridCol w:w="3060"/>
        <w:gridCol w:w="4590"/>
      </w:tblGrid>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Week</w:t>
            </w:r>
          </w:p>
        </w:tc>
        <w:tc>
          <w:tcPr>
            <w:tcW w:w="3060" w:type="dxa"/>
          </w:tcPr>
          <w:p w:rsidR="00330CF1" w:rsidRPr="0035220E" w:rsidRDefault="00330CF1" w:rsidP="00A80C8A">
            <w:pPr>
              <w:jc w:val="center"/>
              <w:rPr>
                <w:rFonts w:ascii="Arial" w:hAnsi="Arial" w:cs="Arial"/>
              </w:rPr>
            </w:pPr>
            <w:r w:rsidRPr="0035220E">
              <w:rPr>
                <w:rFonts w:ascii="Arial" w:hAnsi="Arial" w:cs="Arial"/>
              </w:rPr>
              <w:t>Males</w:t>
            </w:r>
          </w:p>
        </w:tc>
        <w:tc>
          <w:tcPr>
            <w:tcW w:w="4590" w:type="dxa"/>
          </w:tcPr>
          <w:p w:rsidR="00330CF1" w:rsidRPr="0035220E" w:rsidRDefault="00330CF1" w:rsidP="00A80C8A">
            <w:pPr>
              <w:jc w:val="center"/>
              <w:rPr>
                <w:rFonts w:ascii="Arial" w:hAnsi="Arial" w:cs="Arial"/>
              </w:rPr>
            </w:pPr>
            <w:r w:rsidRPr="0035220E">
              <w:rPr>
                <w:rFonts w:ascii="Arial" w:hAnsi="Arial" w:cs="Arial"/>
              </w:rPr>
              <w:t>Females</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0</w:t>
            </w:r>
          </w:p>
        </w:tc>
        <w:tc>
          <w:tcPr>
            <w:tcW w:w="3060" w:type="dxa"/>
          </w:tcPr>
          <w:p w:rsidR="00330CF1" w:rsidRPr="0035220E" w:rsidRDefault="00330CF1" w:rsidP="00A80C8A">
            <w:pPr>
              <w:jc w:val="center"/>
              <w:rPr>
                <w:rFonts w:ascii="Arial" w:hAnsi="Arial" w:cs="Arial"/>
              </w:rPr>
            </w:pPr>
            <w:r w:rsidRPr="0035220E">
              <w:rPr>
                <w:rFonts w:ascii="Arial" w:hAnsi="Arial" w:cs="Arial"/>
              </w:rPr>
              <w:t>19.1 ± 0.4121</w:t>
            </w:r>
          </w:p>
        </w:tc>
        <w:tc>
          <w:tcPr>
            <w:tcW w:w="4590" w:type="dxa"/>
          </w:tcPr>
          <w:p w:rsidR="00330CF1" w:rsidRPr="0035220E" w:rsidRDefault="00330CF1" w:rsidP="00A80C8A">
            <w:pPr>
              <w:jc w:val="center"/>
              <w:rPr>
                <w:rFonts w:ascii="Arial" w:hAnsi="Arial" w:cs="Arial"/>
              </w:rPr>
            </w:pPr>
            <w:r w:rsidRPr="0035220E">
              <w:rPr>
                <w:rFonts w:ascii="Arial" w:hAnsi="Arial" w:cs="Arial"/>
              </w:rPr>
              <w:t>18.8 ± 0.3779</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1</w:t>
            </w:r>
          </w:p>
        </w:tc>
        <w:tc>
          <w:tcPr>
            <w:tcW w:w="3060" w:type="dxa"/>
          </w:tcPr>
          <w:p w:rsidR="00330CF1" w:rsidRPr="0035220E" w:rsidRDefault="00330CF1" w:rsidP="00A80C8A">
            <w:pPr>
              <w:jc w:val="center"/>
              <w:rPr>
                <w:rFonts w:ascii="Arial" w:hAnsi="Arial" w:cs="Arial"/>
              </w:rPr>
            </w:pPr>
            <w:r w:rsidRPr="0035220E">
              <w:rPr>
                <w:rFonts w:ascii="Arial" w:hAnsi="Arial" w:cs="Arial"/>
              </w:rPr>
              <w:t>20.0 ± 0.2392</w:t>
            </w:r>
          </w:p>
        </w:tc>
        <w:tc>
          <w:tcPr>
            <w:tcW w:w="4590" w:type="dxa"/>
          </w:tcPr>
          <w:p w:rsidR="00330CF1" w:rsidRPr="0035220E" w:rsidRDefault="00330CF1" w:rsidP="00A80C8A">
            <w:pPr>
              <w:jc w:val="center"/>
              <w:rPr>
                <w:rFonts w:ascii="Arial" w:hAnsi="Arial" w:cs="Arial"/>
              </w:rPr>
            </w:pPr>
            <w:r w:rsidRPr="0035220E">
              <w:rPr>
                <w:rFonts w:ascii="Arial" w:hAnsi="Arial" w:cs="Arial"/>
              </w:rPr>
              <w:t>19.3 ± 0.3527</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2</w:t>
            </w:r>
          </w:p>
        </w:tc>
        <w:tc>
          <w:tcPr>
            <w:tcW w:w="3060" w:type="dxa"/>
          </w:tcPr>
          <w:p w:rsidR="00330CF1" w:rsidRPr="0035220E" w:rsidRDefault="00330CF1" w:rsidP="00A80C8A">
            <w:pPr>
              <w:jc w:val="center"/>
              <w:rPr>
                <w:rFonts w:ascii="Arial" w:hAnsi="Arial" w:cs="Arial"/>
              </w:rPr>
            </w:pPr>
            <w:r w:rsidRPr="0035220E">
              <w:rPr>
                <w:rFonts w:ascii="Arial" w:hAnsi="Arial" w:cs="Arial"/>
              </w:rPr>
              <w:t>21.5 ± 0.1646</w:t>
            </w:r>
          </w:p>
        </w:tc>
        <w:tc>
          <w:tcPr>
            <w:tcW w:w="4590" w:type="dxa"/>
          </w:tcPr>
          <w:p w:rsidR="00330CF1" w:rsidRPr="0035220E" w:rsidRDefault="00330CF1" w:rsidP="00A80C8A">
            <w:pPr>
              <w:jc w:val="center"/>
              <w:rPr>
                <w:rFonts w:ascii="Arial" w:hAnsi="Arial" w:cs="Arial"/>
              </w:rPr>
            </w:pPr>
            <w:r w:rsidRPr="0035220E">
              <w:rPr>
                <w:rFonts w:ascii="Arial" w:hAnsi="Arial" w:cs="Arial"/>
              </w:rPr>
              <w:t>20.3 ± 0.3125</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3</w:t>
            </w:r>
          </w:p>
        </w:tc>
        <w:tc>
          <w:tcPr>
            <w:tcW w:w="3060" w:type="dxa"/>
          </w:tcPr>
          <w:p w:rsidR="00330CF1" w:rsidRPr="0035220E" w:rsidRDefault="00330CF1" w:rsidP="00A80C8A">
            <w:pPr>
              <w:jc w:val="center"/>
              <w:rPr>
                <w:rFonts w:ascii="Arial" w:hAnsi="Arial" w:cs="Arial"/>
              </w:rPr>
            </w:pPr>
            <w:r w:rsidRPr="0035220E">
              <w:rPr>
                <w:rFonts w:ascii="Arial" w:hAnsi="Arial" w:cs="Arial"/>
              </w:rPr>
              <w:t>22.4 ± 0.1479</w:t>
            </w:r>
          </w:p>
        </w:tc>
        <w:tc>
          <w:tcPr>
            <w:tcW w:w="4590" w:type="dxa"/>
          </w:tcPr>
          <w:p w:rsidR="00330CF1" w:rsidRPr="0035220E" w:rsidRDefault="00330CF1" w:rsidP="00A80C8A">
            <w:pPr>
              <w:jc w:val="center"/>
              <w:rPr>
                <w:rFonts w:ascii="Arial" w:hAnsi="Arial" w:cs="Arial"/>
              </w:rPr>
            </w:pPr>
            <w:r w:rsidRPr="0035220E">
              <w:rPr>
                <w:rFonts w:ascii="Arial" w:hAnsi="Arial" w:cs="Arial"/>
              </w:rPr>
              <w:t>21.4 ± 0.2397</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4</w:t>
            </w:r>
          </w:p>
        </w:tc>
        <w:tc>
          <w:tcPr>
            <w:tcW w:w="3060" w:type="dxa"/>
          </w:tcPr>
          <w:p w:rsidR="00330CF1" w:rsidRPr="0035220E" w:rsidRDefault="00330CF1" w:rsidP="00A80C8A">
            <w:pPr>
              <w:jc w:val="center"/>
              <w:rPr>
                <w:rFonts w:ascii="Arial" w:hAnsi="Arial" w:cs="Arial"/>
              </w:rPr>
            </w:pPr>
            <w:r w:rsidRPr="0035220E">
              <w:rPr>
                <w:rFonts w:ascii="Arial" w:hAnsi="Arial" w:cs="Arial"/>
              </w:rPr>
              <w:t>23.3 ± 0.1875</w:t>
            </w:r>
          </w:p>
        </w:tc>
        <w:tc>
          <w:tcPr>
            <w:tcW w:w="4590" w:type="dxa"/>
          </w:tcPr>
          <w:p w:rsidR="00330CF1" w:rsidRPr="0035220E" w:rsidRDefault="00330CF1" w:rsidP="00A80C8A">
            <w:pPr>
              <w:jc w:val="center"/>
              <w:rPr>
                <w:rFonts w:ascii="Arial" w:hAnsi="Arial" w:cs="Arial"/>
              </w:rPr>
            </w:pPr>
            <w:r w:rsidRPr="0035220E">
              <w:rPr>
                <w:rFonts w:ascii="Arial" w:hAnsi="Arial" w:cs="Arial"/>
              </w:rPr>
              <w:t>22.4 ± 0.1990</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5</w:t>
            </w:r>
          </w:p>
        </w:tc>
        <w:tc>
          <w:tcPr>
            <w:tcW w:w="3060" w:type="dxa"/>
          </w:tcPr>
          <w:p w:rsidR="00330CF1" w:rsidRPr="0035220E" w:rsidRDefault="00330CF1" w:rsidP="00A80C8A">
            <w:pPr>
              <w:jc w:val="center"/>
              <w:rPr>
                <w:rFonts w:ascii="Arial" w:hAnsi="Arial" w:cs="Arial"/>
              </w:rPr>
            </w:pPr>
            <w:r w:rsidRPr="0035220E">
              <w:rPr>
                <w:rFonts w:ascii="Arial" w:hAnsi="Arial" w:cs="Arial"/>
              </w:rPr>
              <w:t>23.9 ± 0.1386</w:t>
            </w:r>
          </w:p>
        </w:tc>
        <w:tc>
          <w:tcPr>
            <w:tcW w:w="4590" w:type="dxa"/>
          </w:tcPr>
          <w:p w:rsidR="00330CF1" w:rsidRPr="0035220E" w:rsidRDefault="00330CF1" w:rsidP="00A80C8A">
            <w:pPr>
              <w:jc w:val="center"/>
              <w:rPr>
                <w:rFonts w:ascii="Arial" w:hAnsi="Arial" w:cs="Arial"/>
              </w:rPr>
            </w:pPr>
            <w:r w:rsidRPr="0035220E">
              <w:rPr>
                <w:rFonts w:ascii="Arial" w:hAnsi="Arial" w:cs="Arial"/>
              </w:rPr>
              <w:t>23.3 ± 0.1619</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6</w:t>
            </w:r>
          </w:p>
        </w:tc>
        <w:tc>
          <w:tcPr>
            <w:tcW w:w="3060" w:type="dxa"/>
          </w:tcPr>
          <w:p w:rsidR="00330CF1" w:rsidRPr="0035220E" w:rsidRDefault="00330CF1" w:rsidP="00A80C8A">
            <w:pPr>
              <w:jc w:val="center"/>
              <w:rPr>
                <w:rFonts w:ascii="Arial" w:hAnsi="Arial" w:cs="Arial"/>
              </w:rPr>
            </w:pPr>
            <w:r w:rsidRPr="0035220E">
              <w:rPr>
                <w:rFonts w:ascii="Arial" w:hAnsi="Arial" w:cs="Arial"/>
              </w:rPr>
              <w:t>24.6 ± 0.1529</w:t>
            </w:r>
          </w:p>
        </w:tc>
        <w:tc>
          <w:tcPr>
            <w:tcW w:w="4590" w:type="dxa"/>
          </w:tcPr>
          <w:p w:rsidR="00330CF1" w:rsidRPr="0035220E" w:rsidRDefault="00330CF1" w:rsidP="00A80C8A">
            <w:pPr>
              <w:jc w:val="center"/>
              <w:rPr>
                <w:rFonts w:ascii="Arial" w:hAnsi="Arial" w:cs="Arial"/>
              </w:rPr>
            </w:pPr>
            <w:r w:rsidRPr="0035220E">
              <w:rPr>
                <w:rFonts w:ascii="Arial" w:hAnsi="Arial" w:cs="Arial"/>
              </w:rPr>
              <w:t>23.8 ± 0.1875</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7</w:t>
            </w:r>
          </w:p>
        </w:tc>
        <w:tc>
          <w:tcPr>
            <w:tcW w:w="3060" w:type="dxa"/>
          </w:tcPr>
          <w:p w:rsidR="00330CF1" w:rsidRPr="0035220E" w:rsidRDefault="00330CF1" w:rsidP="00A80C8A">
            <w:pPr>
              <w:jc w:val="center"/>
              <w:rPr>
                <w:rFonts w:ascii="Arial" w:hAnsi="Arial" w:cs="Arial"/>
              </w:rPr>
            </w:pPr>
            <w:r w:rsidRPr="0035220E">
              <w:rPr>
                <w:rFonts w:ascii="Arial" w:hAnsi="Arial" w:cs="Arial"/>
              </w:rPr>
              <w:t>25.4 ± 0.2213</w:t>
            </w:r>
          </w:p>
        </w:tc>
        <w:tc>
          <w:tcPr>
            <w:tcW w:w="4590" w:type="dxa"/>
          </w:tcPr>
          <w:p w:rsidR="00330CF1" w:rsidRPr="0035220E" w:rsidRDefault="00330CF1" w:rsidP="00A80C8A">
            <w:pPr>
              <w:jc w:val="center"/>
              <w:rPr>
                <w:rFonts w:ascii="Arial" w:hAnsi="Arial" w:cs="Arial"/>
              </w:rPr>
            </w:pPr>
            <w:r w:rsidRPr="0035220E">
              <w:rPr>
                <w:rFonts w:ascii="Arial" w:hAnsi="Arial" w:cs="Arial"/>
              </w:rPr>
              <w:t>24.4 ± 0.3098</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8</w:t>
            </w:r>
          </w:p>
        </w:tc>
        <w:tc>
          <w:tcPr>
            <w:tcW w:w="3060" w:type="dxa"/>
          </w:tcPr>
          <w:p w:rsidR="00330CF1" w:rsidRPr="0035220E" w:rsidRDefault="00330CF1" w:rsidP="00A80C8A">
            <w:pPr>
              <w:jc w:val="center"/>
              <w:rPr>
                <w:rFonts w:ascii="Arial" w:hAnsi="Arial" w:cs="Arial"/>
              </w:rPr>
            </w:pPr>
            <w:r w:rsidRPr="0035220E">
              <w:rPr>
                <w:rFonts w:ascii="Arial" w:hAnsi="Arial" w:cs="Arial"/>
              </w:rPr>
              <w:t>26.0 ± 0.2189</w:t>
            </w:r>
          </w:p>
        </w:tc>
        <w:tc>
          <w:tcPr>
            <w:tcW w:w="4590" w:type="dxa"/>
          </w:tcPr>
          <w:p w:rsidR="00330CF1" w:rsidRPr="0035220E" w:rsidRDefault="00330CF1" w:rsidP="00A80C8A">
            <w:pPr>
              <w:jc w:val="center"/>
              <w:rPr>
                <w:rFonts w:ascii="Arial" w:hAnsi="Arial" w:cs="Arial"/>
              </w:rPr>
            </w:pPr>
            <w:r w:rsidRPr="0035220E">
              <w:rPr>
                <w:rFonts w:ascii="Arial" w:hAnsi="Arial" w:cs="Arial"/>
              </w:rPr>
              <w:t>25.2 ± 0.3772</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9</w:t>
            </w:r>
          </w:p>
        </w:tc>
        <w:tc>
          <w:tcPr>
            <w:tcW w:w="3060" w:type="dxa"/>
          </w:tcPr>
          <w:p w:rsidR="00330CF1" w:rsidRPr="0035220E" w:rsidRDefault="00330CF1" w:rsidP="00A80C8A">
            <w:pPr>
              <w:jc w:val="center"/>
              <w:rPr>
                <w:rFonts w:ascii="Arial" w:hAnsi="Arial" w:cs="Arial"/>
              </w:rPr>
            </w:pPr>
            <w:r w:rsidRPr="0035220E">
              <w:rPr>
                <w:rFonts w:ascii="Arial" w:hAnsi="Arial" w:cs="Arial"/>
              </w:rPr>
              <w:t>26.8 ± 0.1935</w:t>
            </w:r>
          </w:p>
        </w:tc>
        <w:tc>
          <w:tcPr>
            <w:tcW w:w="4590" w:type="dxa"/>
          </w:tcPr>
          <w:p w:rsidR="00330CF1" w:rsidRPr="0035220E" w:rsidRDefault="00330CF1" w:rsidP="00A80C8A">
            <w:pPr>
              <w:jc w:val="center"/>
              <w:rPr>
                <w:rFonts w:ascii="Arial" w:hAnsi="Arial" w:cs="Arial"/>
              </w:rPr>
            </w:pPr>
            <w:r w:rsidRPr="0035220E">
              <w:rPr>
                <w:rFonts w:ascii="Arial" w:hAnsi="Arial" w:cs="Arial"/>
              </w:rPr>
              <w:t>26.2 ± 0.3265</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10</w:t>
            </w:r>
          </w:p>
        </w:tc>
        <w:tc>
          <w:tcPr>
            <w:tcW w:w="3060" w:type="dxa"/>
          </w:tcPr>
          <w:p w:rsidR="00330CF1" w:rsidRPr="0035220E" w:rsidRDefault="00330CF1" w:rsidP="00A80C8A">
            <w:pPr>
              <w:jc w:val="center"/>
              <w:rPr>
                <w:rFonts w:ascii="Arial" w:hAnsi="Arial" w:cs="Arial"/>
              </w:rPr>
            </w:pPr>
            <w:r w:rsidRPr="0035220E">
              <w:rPr>
                <w:rFonts w:ascii="Arial" w:hAnsi="Arial" w:cs="Arial"/>
              </w:rPr>
              <w:t>27.3 ± 0.1983</w:t>
            </w:r>
          </w:p>
        </w:tc>
        <w:tc>
          <w:tcPr>
            <w:tcW w:w="4590" w:type="dxa"/>
          </w:tcPr>
          <w:p w:rsidR="00330CF1" w:rsidRPr="0035220E" w:rsidRDefault="00330CF1" w:rsidP="00A80C8A">
            <w:pPr>
              <w:jc w:val="center"/>
              <w:rPr>
                <w:rFonts w:ascii="Arial" w:hAnsi="Arial" w:cs="Arial"/>
              </w:rPr>
            </w:pPr>
            <w:r w:rsidRPr="0035220E">
              <w:rPr>
                <w:rFonts w:ascii="Arial" w:hAnsi="Arial" w:cs="Arial"/>
              </w:rPr>
              <w:t>27 ± 0.1983</w:t>
            </w:r>
          </w:p>
        </w:tc>
      </w:tr>
    </w:tbl>
    <w:p w:rsidR="00330CF1" w:rsidRDefault="00330CF1" w:rsidP="00155FD0">
      <w:pPr>
        <w:jc w:val="center"/>
      </w:pPr>
    </w:p>
    <w:p w:rsidR="00330CF1" w:rsidRPr="0035220E" w:rsidRDefault="00330CF1" w:rsidP="00155FD0"/>
    <w:p w:rsidR="00330CF1" w:rsidRDefault="00330CF1" w:rsidP="00155FD0">
      <w:pPr>
        <w:pStyle w:val="Heading2"/>
        <w:jc w:val="left"/>
      </w:pPr>
    </w:p>
    <w:p w:rsidR="00330CF1" w:rsidRDefault="00330CF1" w:rsidP="00155FD0"/>
    <w:p w:rsidR="00330CF1" w:rsidRDefault="00330CF1" w:rsidP="00155FD0"/>
    <w:p w:rsidR="00330CF1" w:rsidRDefault="00330CF1" w:rsidP="00155FD0"/>
    <w:p w:rsidR="00330CF1" w:rsidRDefault="00330CF1" w:rsidP="00155FD0"/>
    <w:p w:rsidR="00330CF1" w:rsidRPr="00667E49" w:rsidRDefault="00330CF1" w:rsidP="00155FD0"/>
    <w:p w:rsidR="00330CF1" w:rsidRPr="00544AB5" w:rsidRDefault="00330CF1" w:rsidP="00155FD0">
      <w:pPr>
        <w:jc w:val="center"/>
        <w:rPr>
          <w:rFonts w:ascii="Arial" w:hAnsi="Arial" w:cs="Arial"/>
        </w:rPr>
      </w:pPr>
      <w:r w:rsidRPr="00544AB5">
        <w:rPr>
          <w:rFonts w:ascii="Arial" w:hAnsi="Arial" w:cs="Arial"/>
          <w:b/>
        </w:rPr>
        <w:t>Table A-9</w:t>
      </w:r>
      <w:r w:rsidRPr="00544AB5">
        <w:rPr>
          <w:rFonts w:ascii="Arial" w:hAnsi="Arial" w:cs="Arial"/>
        </w:rPr>
        <w:t xml:space="preserve"> Weekly length for male vs female by week</w:t>
      </w:r>
    </w:p>
    <w:p w:rsidR="00330CF1" w:rsidRPr="00544AB5" w:rsidRDefault="00330CF1" w:rsidP="00155FD0">
      <w:pPr>
        <w:jc w:val="center"/>
        <w:rPr>
          <w:rFonts w:ascii="Arial" w:hAnsi="Arial" w:cs="Arial"/>
        </w:rPr>
      </w:pPr>
      <w:r w:rsidRPr="00544AB5">
        <w:rPr>
          <w:rFonts w:ascii="Arial" w:hAnsi="Arial" w:cs="Arial"/>
        </w:rPr>
        <w:t>(Mean ± SEM)</w:t>
      </w:r>
    </w:p>
    <w:p w:rsidR="00330CF1" w:rsidRPr="0035220E" w:rsidRDefault="00330CF1" w:rsidP="00155FD0">
      <w:pPr>
        <w:jc w:val="center"/>
        <w:rPr>
          <w:rFonts w:ascii="Arial" w:hAnsi="Arial" w:cs="Arial"/>
        </w:rPr>
      </w:pPr>
    </w:p>
    <w:tbl>
      <w:tblPr>
        <w:tblStyle w:val="TableGrid"/>
        <w:tblW w:w="0" w:type="auto"/>
        <w:tblLook w:val="04A0" w:firstRow="1" w:lastRow="0" w:firstColumn="1" w:lastColumn="0" w:noHBand="0" w:noVBand="1"/>
      </w:tblPr>
      <w:tblGrid>
        <w:gridCol w:w="1008"/>
        <w:gridCol w:w="3150"/>
        <w:gridCol w:w="4410"/>
      </w:tblGrid>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Week</w:t>
            </w:r>
          </w:p>
        </w:tc>
        <w:tc>
          <w:tcPr>
            <w:tcW w:w="3150" w:type="dxa"/>
          </w:tcPr>
          <w:p w:rsidR="00330CF1" w:rsidRPr="0035220E" w:rsidRDefault="00330CF1" w:rsidP="00A80C8A">
            <w:pPr>
              <w:jc w:val="center"/>
              <w:rPr>
                <w:rFonts w:ascii="Arial" w:hAnsi="Arial" w:cs="Arial"/>
              </w:rPr>
            </w:pPr>
            <w:r w:rsidRPr="0035220E">
              <w:rPr>
                <w:rFonts w:ascii="Arial" w:hAnsi="Arial" w:cs="Arial"/>
              </w:rPr>
              <w:t>Males</w:t>
            </w:r>
          </w:p>
        </w:tc>
        <w:tc>
          <w:tcPr>
            <w:tcW w:w="4410" w:type="dxa"/>
          </w:tcPr>
          <w:p w:rsidR="00330CF1" w:rsidRPr="0035220E" w:rsidRDefault="00330CF1" w:rsidP="00A80C8A">
            <w:pPr>
              <w:jc w:val="center"/>
              <w:rPr>
                <w:rFonts w:ascii="Arial" w:hAnsi="Arial" w:cs="Arial"/>
              </w:rPr>
            </w:pPr>
            <w:r w:rsidRPr="0035220E">
              <w:rPr>
                <w:rFonts w:ascii="Arial" w:hAnsi="Arial" w:cs="Arial"/>
              </w:rPr>
              <w:t>Females</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0</w:t>
            </w:r>
          </w:p>
        </w:tc>
        <w:tc>
          <w:tcPr>
            <w:tcW w:w="3150" w:type="dxa"/>
          </w:tcPr>
          <w:p w:rsidR="00330CF1" w:rsidRPr="0035220E" w:rsidRDefault="00330CF1" w:rsidP="00A80C8A">
            <w:pPr>
              <w:jc w:val="center"/>
              <w:rPr>
                <w:rFonts w:ascii="Arial" w:hAnsi="Arial" w:cs="Arial"/>
              </w:rPr>
            </w:pPr>
            <w:r w:rsidRPr="0035220E">
              <w:rPr>
                <w:rFonts w:ascii="Arial" w:hAnsi="Arial" w:cs="Arial"/>
              </w:rPr>
              <w:t>36.7 ± 0.4448</w:t>
            </w:r>
          </w:p>
        </w:tc>
        <w:tc>
          <w:tcPr>
            <w:tcW w:w="4410" w:type="dxa"/>
          </w:tcPr>
          <w:p w:rsidR="00330CF1" w:rsidRPr="0035220E" w:rsidRDefault="00330CF1" w:rsidP="00A80C8A">
            <w:pPr>
              <w:jc w:val="center"/>
              <w:rPr>
                <w:rFonts w:ascii="Arial" w:hAnsi="Arial" w:cs="Arial"/>
              </w:rPr>
            </w:pPr>
            <w:r w:rsidRPr="0035220E">
              <w:rPr>
                <w:rFonts w:ascii="Arial" w:hAnsi="Arial" w:cs="Arial"/>
              </w:rPr>
              <w:t>36.9 ± 0.7759</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1</w:t>
            </w:r>
          </w:p>
        </w:tc>
        <w:tc>
          <w:tcPr>
            <w:tcW w:w="3150" w:type="dxa"/>
          </w:tcPr>
          <w:p w:rsidR="00330CF1" w:rsidRPr="0035220E" w:rsidRDefault="00330CF1" w:rsidP="00A80C8A">
            <w:pPr>
              <w:jc w:val="center"/>
              <w:rPr>
                <w:rFonts w:ascii="Arial" w:hAnsi="Arial" w:cs="Arial"/>
              </w:rPr>
            </w:pPr>
            <w:r w:rsidRPr="0035220E">
              <w:rPr>
                <w:rFonts w:ascii="Arial" w:hAnsi="Arial" w:cs="Arial"/>
              </w:rPr>
              <w:t>38.5 ± 0.4233</w:t>
            </w:r>
          </w:p>
        </w:tc>
        <w:tc>
          <w:tcPr>
            <w:tcW w:w="4410" w:type="dxa"/>
          </w:tcPr>
          <w:p w:rsidR="00330CF1" w:rsidRPr="0035220E" w:rsidRDefault="00330CF1" w:rsidP="00A80C8A">
            <w:pPr>
              <w:jc w:val="center"/>
              <w:rPr>
                <w:rFonts w:ascii="Arial" w:hAnsi="Arial" w:cs="Arial"/>
              </w:rPr>
            </w:pPr>
            <w:r w:rsidRPr="0035220E">
              <w:rPr>
                <w:rFonts w:ascii="Arial" w:hAnsi="Arial" w:cs="Arial"/>
              </w:rPr>
              <w:t>38.2 ± 0.6050</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2</w:t>
            </w:r>
          </w:p>
        </w:tc>
        <w:tc>
          <w:tcPr>
            <w:tcW w:w="3150" w:type="dxa"/>
          </w:tcPr>
          <w:p w:rsidR="00330CF1" w:rsidRPr="0035220E" w:rsidRDefault="00330CF1" w:rsidP="00A80C8A">
            <w:pPr>
              <w:jc w:val="center"/>
              <w:rPr>
                <w:rFonts w:ascii="Arial" w:hAnsi="Arial" w:cs="Arial"/>
              </w:rPr>
            </w:pPr>
            <w:r w:rsidRPr="0035220E">
              <w:rPr>
                <w:rFonts w:ascii="Arial" w:hAnsi="Arial" w:cs="Arial"/>
              </w:rPr>
              <w:t>40.1 ± 0.4287</w:t>
            </w:r>
          </w:p>
        </w:tc>
        <w:tc>
          <w:tcPr>
            <w:tcW w:w="4410" w:type="dxa"/>
          </w:tcPr>
          <w:p w:rsidR="00330CF1" w:rsidRPr="0035220E" w:rsidRDefault="00330CF1" w:rsidP="00A80C8A">
            <w:pPr>
              <w:jc w:val="center"/>
              <w:rPr>
                <w:rFonts w:ascii="Arial" w:hAnsi="Arial" w:cs="Arial"/>
              </w:rPr>
            </w:pPr>
            <w:r w:rsidRPr="0035220E">
              <w:rPr>
                <w:rFonts w:ascii="Arial" w:hAnsi="Arial" w:cs="Arial"/>
              </w:rPr>
              <w:t>40.3 ± 0.4623</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3</w:t>
            </w:r>
          </w:p>
        </w:tc>
        <w:tc>
          <w:tcPr>
            <w:tcW w:w="3150" w:type="dxa"/>
          </w:tcPr>
          <w:p w:rsidR="00330CF1" w:rsidRPr="0035220E" w:rsidRDefault="00330CF1" w:rsidP="00A80C8A">
            <w:pPr>
              <w:jc w:val="center"/>
              <w:rPr>
                <w:rFonts w:ascii="Arial" w:hAnsi="Arial" w:cs="Arial"/>
              </w:rPr>
            </w:pPr>
            <w:r w:rsidRPr="0035220E">
              <w:rPr>
                <w:rFonts w:ascii="Arial" w:hAnsi="Arial" w:cs="Arial"/>
              </w:rPr>
              <w:t>42.5 ± 0.4383</w:t>
            </w:r>
          </w:p>
        </w:tc>
        <w:tc>
          <w:tcPr>
            <w:tcW w:w="4410" w:type="dxa"/>
          </w:tcPr>
          <w:p w:rsidR="00330CF1" w:rsidRPr="0035220E" w:rsidRDefault="00330CF1" w:rsidP="00A80C8A">
            <w:pPr>
              <w:jc w:val="center"/>
              <w:rPr>
                <w:rFonts w:ascii="Arial" w:hAnsi="Arial" w:cs="Arial"/>
              </w:rPr>
            </w:pPr>
            <w:r w:rsidRPr="0035220E">
              <w:rPr>
                <w:rFonts w:ascii="Arial" w:hAnsi="Arial" w:cs="Arial"/>
              </w:rPr>
              <w:t>40.8 ± 0.4904</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4</w:t>
            </w:r>
          </w:p>
        </w:tc>
        <w:tc>
          <w:tcPr>
            <w:tcW w:w="3150" w:type="dxa"/>
          </w:tcPr>
          <w:p w:rsidR="00330CF1" w:rsidRPr="0035220E" w:rsidRDefault="00330CF1" w:rsidP="00A80C8A">
            <w:pPr>
              <w:jc w:val="center"/>
              <w:rPr>
                <w:rFonts w:ascii="Arial" w:hAnsi="Arial" w:cs="Arial"/>
              </w:rPr>
            </w:pPr>
            <w:r w:rsidRPr="0035220E">
              <w:rPr>
                <w:rFonts w:ascii="Arial" w:hAnsi="Arial" w:cs="Arial"/>
              </w:rPr>
              <w:t>43.3 ± 0.3952</w:t>
            </w:r>
          </w:p>
        </w:tc>
        <w:tc>
          <w:tcPr>
            <w:tcW w:w="4410" w:type="dxa"/>
          </w:tcPr>
          <w:p w:rsidR="00330CF1" w:rsidRPr="0035220E" w:rsidRDefault="00330CF1" w:rsidP="00A80C8A">
            <w:pPr>
              <w:jc w:val="center"/>
              <w:rPr>
                <w:rFonts w:ascii="Arial" w:hAnsi="Arial" w:cs="Arial"/>
              </w:rPr>
            </w:pPr>
            <w:r w:rsidRPr="0035220E">
              <w:rPr>
                <w:rFonts w:ascii="Arial" w:hAnsi="Arial" w:cs="Arial"/>
              </w:rPr>
              <w:t>42.1 ± 0.4887</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5</w:t>
            </w:r>
          </w:p>
        </w:tc>
        <w:tc>
          <w:tcPr>
            <w:tcW w:w="3150" w:type="dxa"/>
          </w:tcPr>
          <w:p w:rsidR="00330CF1" w:rsidRPr="0035220E" w:rsidRDefault="00330CF1" w:rsidP="00A80C8A">
            <w:pPr>
              <w:jc w:val="center"/>
              <w:rPr>
                <w:rFonts w:ascii="Arial" w:hAnsi="Arial" w:cs="Arial"/>
              </w:rPr>
            </w:pPr>
            <w:r w:rsidRPr="0035220E">
              <w:rPr>
                <w:rFonts w:ascii="Arial" w:hAnsi="Arial" w:cs="Arial"/>
              </w:rPr>
              <w:t>44.5 ± 0.4926</w:t>
            </w:r>
          </w:p>
        </w:tc>
        <w:tc>
          <w:tcPr>
            <w:tcW w:w="4410" w:type="dxa"/>
          </w:tcPr>
          <w:p w:rsidR="00330CF1" w:rsidRPr="0035220E" w:rsidRDefault="00330CF1" w:rsidP="00A80C8A">
            <w:pPr>
              <w:jc w:val="center"/>
              <w:rPr>
                <w:rFonts w:ascii="Arial" w:hAnsi="Arial" w:cs="Arial"/>
              </w:rPr>
            </w:pPr>
            <w:r w:rsidRPr="0035220E">
              <w:rPr>
                <w:rFonts w:ascii="Arial" w:hAnsi="Arial" w:cs="Arial"/>
              </w:rPr>
              <w:t>43.4 ± 0.4507</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6</w:t>
            </w:r>
          </w:p>
        </w:tc>
        <w:tc>
          <w:tcPr>
            <w:tcW w:w="3150" w:type="dxa"/>
          </w:tcPr>
          <w:p w:rsidR="00330CF1" w:rsidRPr="0035220E" w:rsidRDefault="00330CF1" w:rsidP="00A80C8A">
            <w:pPr>
              <w:jc w:val="center"/>
              <w:rPr>
                <w:rFonts w:ascii="Arial" w:hAnsi="Arial" w:cs="Arial"/>
              </w:rPr>
            </w:pPr>
            <w:r w:rsidRPr="0035220E">
              <w:rPr>
                <w:rFonts w:ascii="Arial" w:hAnsi="Arial" w:cs="Arial"/>
              </w:rPr>
              <w:t>45.9 ± 0.5831</w:t>
            </w:r>
          </w:p>
        </w:tc>
        <w:tc>
          <w:tcPr>
            <w:tcW w:w="4410" w:type="dxa"/>
          </w:tcPr>
          <w:p w:rsidR="00330CF1" w:rsidRPr="0035220E" w:rsidRDefault="00330CF1" w:rsidP="00A80C8A">
            <w:pPr>
              <w:jc w:val="center"/>
              <w:rPr>
                <w:rFonts w:ascii="Arial" w:hAnsi="Arial" w:cs="Arial"/>
              </w:rPr>
            </w:pPr>
            <w:r w:rsidRPr="0035220E">
              <w:rPr>
                <w:rFonts w:ascii="Arial" w:hAnsi="Arial" w:cs="Arial"/>
              </w:rPr>
              <w:t>44.4 ± 0.4574</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7</w:t>
            </w:r>
          </w:p>
        </w:tc>
        <w:tc>
          <w:tcPr>
            <w:tcW w:w="3150" w:type="dxa"/>
          </w:tcPr>
          <w:p w:rsidR="00330CF1" w:rsidRPr="0035220E" w:rsidRDefault="00330CF1" w:rsidP="00A80C8A">
            <w:pPr>
              <w:jc w:val="center"/>
              <w:rPr>
                <w:rFonts w:ascii="Arial" w:hAnsi="Arial" w:cs="Arial"/>
              </w:rPr>
            </w:pPr>
            <w:r w:rsidRPr="0035220E">
              <w:rPr>
                <w:rFonts w:ascii="Arial" w:hAnsi="Arial" w:cs="Arial"/>
              </w:rPr>
              <w:t>46.9 ± 0.5680</w:t>
            </w:r>
          </w:p>
        </w:tc>
        <w:tc>
          <w:tcPr>
            <w:tcW w:w="4410" w:type="dxa"/>
          </w:tcPr>
          <w:p w:rsidR="00330CF1" w:rsidRPr="0035220E" w:rsidRDefault="00330CF1" w:rsidP="00A80C8A">
            <w:pPr>
              <w:jc w:val="center"/>
              <w:rPr>
                <w:rFonts w:ascii="Arial" w:hAnsi="Arial" w:cs="Arial"/>
              </w:rPr>
            </w:pPr>
            <w:r w:rsidRPr="0035220E">
              <w:rPr>
                <w:rFonts w:ascii="Arial" w:hAnsi="Arial" w:cs="Arial"/>
              </w:rPr>
              <w:t>45.2 ± 0.4532</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8</w:t>
            </w:r>
          </w:p>
        </w:tc>
        <w:tc>
          <w:tcPr>
            <w:tcW w:w="3150" w:type="dxa"/>
          </w:tcPr>
          <w:p w:rsidR="00330CF1" w:rsidRPr="0035220E" w:rsidRDefault="00330CF1" w:rsidP="00A80C8A">
            <w:pPr>
              <w:jc w:val="center"/>
              <w:rPr>
                <w:rFonts w:ascii="Arial" w:hAnsi="Arial" w:cs="Arial"/>
              </w:rPr>
            </w:pPr>
            <w:r w:rsidRPr="0035220E">
              <w:rPr>
                <w:rFonts w:ascii="Arial" w:hAnsi="Arial" w:cs="Arial"/>
              </w:rPr>
              <w:t>47.7 ± 0.5475</w:t>
            </w:r>
          </w:p>
        </w:tc>
        <w:tc>
          <w:tcPr>
            <w:tcW w:w="4410" w:type="dxa"/>
          </w:tcPr>
          <w:p w:rsidR="00330CF1" w:rsidRPr="0035220E" w:rsidRDefault="00330CF1" w:rsidP="00A80C8A">
            <w:pPr>
              <w:jc w:val="center"/>
              <w:rPr>
                <w:rFonts w:ascii="Arial" w:hAnsi="Arial" w:cs="Arial"/>
              </w:rPr>
            </w:pPr>
            <w:r w:rsidRPr="0035220E">
              <w:rPr>
                <w:rFonts w:ascii="Arial" w:hAnsi="Arial" w:cs="Arial"/>
              </w:rPr>
              <w:t>46.6 ± 0.4765</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9</w:t>
            </w:r>
          </w:p>
        </w:tc>
        <w:tc>
          <w:tcPr>
            <w:tcW w:w="3150" w:type="dxa"/>
          </w:tcPr>
          <w:p w:rsidR="00330CF1" w:rsidRPr="0035220E" w:rsidRDefault="00330CF1" w:rsidP="00A80C8A">
            <w:pPr>
              <w:jc w:val="center"/>
              <w:rPr>
                <w:rFonts w:ascii="Arial" w:hAnsi="Arial" w:cs="Arial"/>
              </w:rPr>
            </w:pPr>
            <w:r w:rsidRPr="0035220E">
              <w:rPr>
                <w:rFonts w:ascii="Arial" w:hAnsi="Arial" w:cs="Arial"/>
              </w:rPr>
              <w:t>49.3 ± 0.5809</w:t>
            </w:r>
          </w:p>
        </w:tc>
        <w:tc>
          <w:tcPr>
            <w:tcW w:w="4410" w:type="dxa"/>
          </w:tcPr>
          <w:p w:rsidR="00330CF1" w:rsidRPr="0035220E" w:rsidRDefault="00330CF1" w:rsidP="00A80C8A">
            <w:pPr>
              <w:jc w:val="center"/>
              <w:rPr>
                <w:rFonts w:ascii="Arial" w:hAnsi="Arial" w:cs="Arial"/>
              </w:rPr>
            </w:pPr>
            <w:r w:rsidRPr="0035220E">
              <w:rPr>
                <w:rFonts w:ascii="Arial" w:hAnsi="Arial" w:cs="Arial"/>
              </w:rPr>
              <w:t>47.7 ± 0.3125</w:t>
            </w:r>
          </w:p>
        </w:tc>
      </w:tr>
      <w:tr w:rsidR="00330CF1" w:rsidRPr="0035220E" w:rsidTr="00A80C8A">
        <w:tc>
          <w:tcPr>
            <w:tcW w:w="1008" w:type="dxa"/>
          </w:tcPr>
          <w:p w:rsidR="00330CF1" w:rsidRPr="0035220E" w:rsidRDefault="00330CF1" w:rsidP="00A80C8A">
            <w:pPr>
              <w:jc w:val="center"/>
              <w:rPr>
                <w:rFonts w:ascii="Arial" w:hAnsi="Arial" w:cs="Arial"/>
              </w:rPr>
            </w:pPr>
            <w:r w:rsidRPr="0035220E">
              <w:rPr>
                <w:rFonts w:ascii="Arial" w:hAnsi="Arial" w:cs="Arial"/>
              </w:rPr>
              <w:t>10</w:t>
            </w:r>
          </w:p>
        </w:tc>
        <w:tc>
          <w:tcPr>
            <w:tcW w:w="3150" w:type="dxa"/>
          </w:tcPr>
          <w:p w:rsidR="00330CF1" w:rsidRPr="0035220E" w:rsidRDefault="00330CF1" w:rsidP="00A80C8A">
            <w:pPr>
              <w:jc w:val="center"/>
              <w:rPr>
                <w:rFonts w:ascii="Arial" w:hAnsi="Arial" w:cs="Arial"/>
              </w:rPr>
            </w:pPr>
            <w:r w:rsidRPr="0035220E">
              <w:rPr>
                <w:rFonts w:ascii="Arial" w:hAnsi="Arial" w:cs="Arial"/>
              </w:rPr>
              <w:t>50.4 ± 0.7627</w:t>
            </w:r>
          </w:p>
        </w:tc>
        <w:tc>
          <w:tcPr>
            <w:tcW w:w="4410" w:type="dxa"/>
          </w:tcPr>
          <w:p w:rsidR="00330CF1" w:rsidRPr="0035220E" w:rsidRDefault="00330CF1" w:rsidP="00A80C8A">
            <w:pPr>
              <w:jc w:val="center"/>
              <w:rPr>
                <w:rFonts w:ascii="Arial" w:hAnsi="Arial" w:cs="Arial"/>
              </w:rPr>
            </w:pPr>
            <w:r w:rsidRPr="0035220E">
              <w:rPr>
                <w:rFonts w:ascii="Arial" w:hAnsi="Arial" w:cs="Arial"/>
              </w:rPr>
              <w:t>49.1 ± 0.4091</w:t>
            </w:r>
          </w:p>
        </w:tc>
      </w:tr>
    </w:tbl>
    <w:p w:rsidR="00330CF1" w:rsidRDefault="00330CF1" w:rsidP="00155FD0"/>
    <w:p w:rsidR="00330CF1" w:rsidRDefault="00330CF1" w:rsidP="00155FD0">
      <w:pPr>
        <w:pStyle w:val="Heading2"/>
        <w:jc w:val="left"/>
      </w:pPr>
    </w:p>
    <w:p w:rsidR="00330CF1" w:rsidRDefault="00330CF1" w:rsidP="00155FD0">
      <w:pPr>
        <w:pStyle w:val="Heading2"/>
        <w:jc w:val="left"/>
      </w:pPr>
    </w:p>
    <w:p w:rsidR="00330CF1" w:rsidRDefault="00330CF1" w:rsidP="00155FD0">
      <w:pPr>
        <w:pStyle w:val="Heading2"/>
        <w:jc w:val="left"/>
      </w:pPr>
    </w:p>
    <w:p w:rsidR="00330CF1" w:rsidRDefault="00330CF1" w:rsidP="00155FD0">
      <w:pPr>
        <w:pStyle w:val="Heading2"/>
        <w:jc w:val="left"/>
      </w:pPr>
      <w:r>
        <w:t xml:space="preserve"> </w:t>
      </w:r>
    </w:p>
    <w:p w:rsidR="00330CF1" w:rsidRDefault="00330CF1" w:rsidP="00155FD0">
      <w:pPr>
        <w:pStyle w:val="Heading2"/>
        <w:jc w:val="left"/>
      </w:pPr>
      <w:r>
        <w:t xml:space="preserve">    </w:t>
      </w:r>
    </w:p>
    <w:p w:rsidR="00330CF1" w:rsidRDefault="00330CF1" w:rsidP="00155FD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330CF1" w:rsidRDefault="00330CF1" w:rsidP="00155FD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330CF1" w:rsidRDefault="00330CF1" w:rsidP="00155FD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330CF1" w:rsidRDefault="00330CF1" w:rsidP="00155FD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330CF1" w:rsidRDefault="00330CF1" w:rsidP="00155FD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330CF1" w:rsidRDefault="00330CF1" w:rsidP="00155FD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330CF1" w:rsidRDefault="00330CF1" w:rsidP="00155F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StyleHeading1CenteredChar"/>
        </w:rPr>
      </w:pPr>
      <w:bookmarkStart w:id="450" w:name="_Toc305485898"/>
    </w:p>
    <w:p w:rsidR="00330CF1" w:rsidRDefault="00330CF1" w:rsidP="00155F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StyleHeading1CenteredChar"/>
        </w:rPr>
      </w:pPr>
    </w:p>
    <w:p w:rsidR="00330CF1" w:rsidRDefault="00330CF1" w:rsidP="00155F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StyleHeading1CenteredChar"/>
        </w:rPr>
      </w:pPr>
    </w:p>
    <w:p w:rsidR="00330CF1" w:rsidRDefault="00330CF1" w:rsidP="00155F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StyleHeading1CenteredChar"/>
        </w:rPr>
      </w:pPr>
    </w:p>
    <w:p w:rsidR="00330CF1" w:rsidRDefault="00330CF1" w:rsidP="00155F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StyleHeading1CenteredChar"/>
        </w:rPr>
      </w:pPr>
    </w:p>
    <w:p w:rsidR="00330CF1" w:rsidRDefault="00330CF1" w:rsidP="00155F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StyleHeading1CenteredChar"/>
        </w:rPr>
      </w:pPr>
    </w:p>
    <w:p w:rsidR="00330CF1" w:rsidRDefault="00330CF1" w:rsidP="00155F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StyleHeading1CenteredChar"/>
        </w:rPr>
      </w:pPr>
    </w:p>
    <w:p w:rsidR="00330CF1" w:rsidRDefault="00330CF1" w:rsidP="00155F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StyleHeading1CenteredChar"/>
        </w:rPr>
      </w:pPr>
    </w:p>
    <w:p w:rsidR="00330CF1" w:rsidRDefault="00330CF1" w:rsidP="00544A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Pr>
      </w:pPr>
    </w:p>
    <w:p w:rsidR="00330CF1" w:rsidRDefault="00330CF1" w:rsidP="00544A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Pr>
      </w:pPr>
    </w:p>
    <w:p w:rsidR="00330CF1" w:rsidRDefault="00330CF1" w:rsidP="00544A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Pr>
      </w:pPr>
    </w:p>
    <w:p w:rsidR="00330CF1" w:rsidRDefault="00330CF1" w:rsidP="00155F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StyleHeading1CenteredChar"/>
        </w:rPr>
      </w:pPr>
      <w:r w:rsidRPr="003C1575">
        <w:rPr>
          <w:rStyle w:val="StyleHeading1CenteredChar"/>
        </w:rPr>
        <w:t>Vita</w:t>
      </w:r>
      <w:bookmarkEnd w:id="450"/>
    </w:p>
    <w:p w:rsidR="00330CF1" w:rsidRDefault="00330CF1" w:rsidP="00155F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b w:val="0"/>
        </w:rPr>
      </w:pPr>
    </w:p>
    <w:p w:rsidR="00330CF1" w:rsidRPr="00873557" w:rsidRDefault="00330CF1" w:rsidP="0087355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r>
        <w:rPr>
          <w:rStyle w:val="StyleHeading1CenteredChar"/>
          <w:b w:val="0"/>
        </w:rPr>
        <w:t xml:space="preserve">     </w:t>
      </w:r>
      <w:r>
        <w:rPr>
          <w:rFonts w:ascii="Arial" w:hAnsi="Arial" w:cs="Arial"/>
        </w:rPr>
        <w:t xml:space="preserve">Beth Alair Hamper was born in St. Paul, Minnesota on March 6, 1955.  She attended the University of Minnesota and received a Bachelor of Nursing degree in 1980, a Bachelor of Science in Animal Science in 1985, a Bachelor of Music in Piano Performance in 1995 and her doctorate in veterinary medicine in 2003.  After spending a year in private feline exclusive practice, she completed an internship at a veterinary specialty practice in Indianapolis.  In 2007, she came to the University of Tennessee Veterinary Teaching Hospital and completed a residency in small animal nutrition and PhD in Comparative Medicine.  She is a diplomate in the American College of Veterinary Nutrition.  Her </w:t>
      </w:r>
      <w:r w:rsidRPr="00873557">
        <w:rPr>
          <w:rFonts w:ascii="Arial" w:hAnsi="Arial" w:cs="Arial"/>
        </w:rPr>
        <w:t xml:space="preserve">goal’s are to pursue further research in the role that diet and commercial food processing play in alterations in gut flora and its effect on nutrient bioavailability, metabolism, and immune function.  </w:t>
      </w:r>
    </w:p>
    <w:p w:rsidR="00330CF1" w:rsidRDefault="00330CF1" w:rsidP="00155FD0">
      <w:pPr>
        <w:rPr>
          <w:rFonts w:ascii="Arial" w:hAnsi="Arial" w:cs="Arial"/>
        </w:rPr>
      </w:pPr>
    </w:p>
    <w:p w:rsidR="005871F6" w:rsidRDefault="005871F6"/>
    <w:sectPr w:rsidR="005871F6" w:rsidSect="00080105">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CFD" w:rsidRDefault="00C21CFD">
      <w:r>
        <w:separator/>
      </w:r>
    </w:p>
  </w:endnote>
  <w:endnote w:type="continuationSeparator" w:id="0">
    <w:p w:rsidR="00C21CFD" w:rsidRDefault="00C21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Lucida Sans Unicode">
    <w:panose1 w:val="020B0602030504020204"/>
    <w:charset w:val="00"/>
    <w:family w:val="swiss"/>
    <w:pitch w:val="variable"/>
    <w:sig w:usb0="80000AFF" w:usb1="0000396B" w:usb2="00000000" w:usb3="00000000" w:csb0="0000003F" w:csb1="00000000"/>
  </w:font>
  <w:font w:name="Fd95188-Identity-H">
    <w:panose1 w:val="00000000000000000000"/>
    <w:charset w:val="00"/>
    <w:family w:val="auto"/>
    <w:notTrueType/>
    <w:pitch w:val="default"/>
    <w:sig w:usb0="00000003" w:usb1="00000000" w:usb2="00000000" w:usb3="00000000" w:csb0="00000001" w:csb1="00000000"/>
  </w:font>
  <w:font w:name="Gill Sans MT Ext Condensed Bold">
    <w:panose1 w:val="020B0902020104020203"/>
    <w:charset w:val="00"/>
    <w:family w:val="swiss"/>
    <w:pitch w:val="variable"/>
    <w:sig w:usb0="00000007" w:usb1="00000000" w:usb2="00000000" w:usb3="00000000" w:csb0="00000003" w:csb1="00000000"/>
  </w:font>
  <w:font w:name="Times">
    <w:panose1 w:val="02020603050405020304"/>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319" w:rsidRDefault="00330CF1">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424406">
      <w:rPr>
        <w:rFonts w:ascii="Arial" w:hAnsi="Arial" w:cs="Arial"/>
        <w:noProof/>
      </w:rPr>
      <w:t>168</w:t>
    </w:r>
    <w:r>
      <w:rPr>
        <w:rFonts w:ascii="Arial" w:hAnsi="Arial" w:cs="Arial"/>
        <w:noProof/>
      </w:rPr>
      <w:fldChar w:fldCharType="end"/>
    </w:r>
  </w:p>
  <w:p w:rsidR="00A21319" w:rsidRDefault="00330CF1" w:rsidP="00BE1CA7">
    <w:pPr>
      <w:tabs>
        <w:tab w:val="left" w:pos="239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CFD" w:rsidRDefault="00C21CFD">
      <w:r>
        <w:separator/>
      </w:r>
    </w:p>
  </w:footnote>
  <w:footnote w:type="continuationSeparator" w:id="0">
    <w:p w:rsidR="00C21CFD" w:rsidRDefault="00C21C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319" w:rsidRDefault="00C21CFD">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319" w:rsidRDefault="00C21CFD">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452E5"/>
    <w:multiLevelType w:val="hybridMultilevel"/>
    <w:tmpl w:val="9DE4C160"/>
    <w:lvl w:ilvl="0" w:tplc="CD468AC8">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4625E"/>
    <w:multiLevelType w:val="hybridMultilevel"/>
    <w:tmpl w:val="600C0DDE"/>
    <w:lvl w:ilvl="0" w:tplc="B3D6A31E">
      <w:start w:val="1"/>
      <w:numFmt w:val="low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
    <w:nsid w:val="0B3778EB"/>
    <w:multiLevelType w:val="hybridMultilevel"/>
    <w:tmpl w:val="1E04E59A"/>
    <w:lvl w:ilvl="0" w:tplc="125E0E3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981A39"/>
    <w:multiLevelType w:val="hybridMultilevel"/>
    <w:tmpl w:val="A6768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913622"/>
    <w:multiLevelType w:val="hybridMultilevel"/>
    <w:tmpl w:val="C2A60322"/>
    <w:lvl w:ilvl="0" w:tplc="DDFA4B78">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A83683"/>
    <w:multiLevelType w:val="hybridMultilevel"/>
    <w:tmpl w:val="E6107A5C"/>
    <w:lvl w:ilvl="0" w:tplc="648017F8">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0065AF"/>
    <w:multiLevelType w:val="hybridMultilevel"/>
    <w:tmpl w:val="9A202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1B7B38"/>
    <w:multiLevelType w:val="hybridMultilevel"/>
    <w:tmpl w:val="6EBCA462"/>
    <w:lvl w:ilvl="0" w:tplc="234C8422">
      <w:start w:val="93"/>
      <w:numFmt w:val="bullet"/>
      <w:lvlText w:val=""/>
      <w:lvlJc w:val="left"/>
      <w:pPr>
        <w:ind w:left="408" w:hanging="360"/>
      </w:pPr>
      <w:rPr>
        <w:rFonts w:ascii="Wingdings" w:eastAsiaTheme="minorHAnsi" w:hAnsi="Wingdings" w:cstheme="minorBid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8">
    <w:nsid w:val="3005653E"/>
    <w:multiLevelType w:val="multilevel"/>
    <w:tmpl w:val="6B0A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0B4C68"/>
    <w:multiLevelType w:val="hybridMultilevel"/>
    <w:tmpl w:val="515E0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F50B87"/>
    <w:multiLevelType w:val="hybridMultilevel"/>
    <w:tmpl w:val="A4AAB0B8"/>
    <w:lvl w:ilvl="0" w:tplc="052E1A2E">
      <w:start w:val="9"/>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945174"/>
    <w:multiLevelType w:val="hybridMultilevel"/>
    <w:tmpl w:val="E80CA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BD201E"/>
    <w:multiLevelType w:val="multilevel"/>
    <w:tmpl w:val="3CEC747E"/>
    <w:lvl w:ilvl="0">
      <w:start w:val="1"/>
      <w:numFmt w:val="decimal"/>
      <w:lvlText w:val="%1."/>
      <w:lvlJc w:val="left"/>
      <w:pPr>
        <w:ind w:left="720" w:hanging="360"/>
      </w:pPr>
      <w:rPr>
        <w:rFonts w:hint="default"/>
      </w:rPr>
    </w:lvl>
    <w:lvl w:ilvl="1">
      <w:start w:val="47"/>
      <w:numFmt w:val="decimal"/>
      <w:isLgl/>
      <w:lvlText w:val="%1.%2"/>
      <w:lvlJc w:val="left"/>
      <w:pPr>
        <w:ind w:left="972" w:hanging="61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80E1371"/>
    <w:multiLevelType w:val="hybridMultilevel"/>
    <w:tmpl w:val="90767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D416F7"/>
    <w:multiLevelType w:val="hybridMultilevel"/>
    <w:tmpl w:val="29FC2EBA"/>
    <w:lvl w:ilvl="0" w:tplc="2B8E40D2">
      <w:start w:val="9"/>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A06F82"/>
    <w:multiLevelType w:val="hybridMultilevel"/>
    <w:tmpl w:val="15662E0A"/>
    <w:lvl w:ilvl="0" w:tplc="5A6A18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230C59"/>
    <w:multiLevelType w:val="hybridMultilevel"/>
    <w:tmpl w:val="1F4AAEC0"/>
    <w:lvl w:ilvl="0" w:tplc="6ED2EE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775B54"/>
    <w:multiLevelType w:val="hybridMultilevel"/>
    <w:tmpl w:val="79F87D0A"/>
    <w:lvl w:ilvl="0" w:tplc="FA4013A8">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0E4E81"/>
    <w:multiLevelType w:val="hybridMultilevel"/>
    <w:tmpl w:val="95BAA3DE"/>
    <w:lvl w:ilvl="0" w:tplc="86FE531A">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31021FA"/>
    <w:multiLevelType w:val="hybridMultilevel"/>
    <w:tmpl w:val="A956B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7D0BF1"/>
    <w:multiLevelType w:val="hybridMultilevel"/>
    <w:tmpl w:val="36B427A6"/>
    <w:lvl w:ilvl="0" w:tplc="E67CCB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4E6ED0"/>
    <w:multiLevelType w:val="multilevel"/>
    <w:tmpl w:val="4206735C"/>
    <w:lvl w:ilvl="0">
      <w:start w:val="1"/>
      <w:numFmt w:val="decimal"/>
      <w:lvlText w:val="%1."/>
      <w:lvlJc w:val="left"/>
      <w:pPr>
        <w:ind w:left="720" w:hanging="360"/>
      </w:pPr>
      <w:rPr>
        <w:rFonts w:hint="default"/>
      </w:rPr>
    </w:lvl>
    <w:lvl w:ilvl="1">
      <w:start w:val="16"/>
      <w:numFmt w:val="decimal"/>
      <w:isLgl/>
      <w:lvlText w:val="%1.%2"/>
      <w:lvlJc w:val="left"/>
      <w:pPr>
        <w:ind w:left="984" w:hanging="62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6CC179FF"/>
    <w:multiLevelType w:val="hybridMultilevel"/>
    <w:tmpl w:val="6A3E4784"/>
    <w:lvl w:ilvl="0" w:tplc="53763E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CB7DC1"/>
    <w:multiLevelType w:val="hybridMultilevel"/>
    <w:tmpl w:val="01602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CD5B47"/>
    <w:multiLevelType w:val="hybridMultilevel"/>
    <w:tmpl w:val="0E16B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8342FB7"/>
    <w:multiLevelType w:val="hybridMultilevel"/>
    <w:tmpl w:val="BE6CE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CCE3514"/>
    <w:multiLevelType w:val="hybridMultilevel"/>
    <w:tmpl w:val="990E1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DFA452D"/>
    <w:multiLevelType w:val="hybridMultilevel"/>
    <w:tmpl w:val="418ACE8E"/>
    <w:lvl w:ilvl="0" w:tplc="534CE82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2"/>
  </w:num>
  <w:num w:numId="3">
    <w:abstractNumId w:val="2"/>
  </w:num>
  <w:num w:numId="4">
    <w:abstractNumId w:val="21"/>
  </w:num>
  <w:num w:numId="5">
    <w:abstractNumId w:val="5"/>
  </w:num>
  <w:num w:numId="6">
    <w:abstractNumId w:val="0"/>
  </w:num>
  <w:num w:numId="7">
    <w:abstractNumId w:val="8"/>
  </w:num>
  <w:num w:numId="8">
    <w:abstractNumId w:val="7"/>
  </w:num>
  <w:num w:numId="9">
    <w:abstractNumId w:val="3"/>
  </w:num>
  <w:num w:numId="10">
    <w:abstractNumId w:val="9"/>
  </w:num>
  <w:num w:numId="11">
    <w:abstractNumId w:val="1"/>
  </w:num>
  <w:num w:numId="12">
    <w:abstractNumId w:val="19"/>
  </w:num>
  <w:num w:numId="13">
    <w:abstractNumId w:val="14"/>
  </w:num>
  <w:num w:numId="14">
    <w:abstractNumId w:val="10"/>
  </w:num>
  <w:num w:numId="15">
    <w:abstractNumId w:val="25"/>
  </w:num>
  <w:num w:numId="16">
    <w:abstractNumId w:val="22"/>
  </w:num>
  <w:num w:numId="17">
    <w:abstractNumId w:val="26"/>
  </w:num>
  <w:num w:numId="18">
    <w:abstractNumId w:val="16"/>
  </w:num>
  <w:num w:numId="19">
    <w:abstractNumId w:val="18"/>
  </w:num>
  <w:num w:numId="20">
    <w:abstractNumId w:val="17"/>
  </w:num>
  <w:num w:numId="21">
    <w:abstractNumId w:val="4"/>
  </w:num>
  <w:num w:numId="22">
    <w:abstractNumId w:val="11"/>
  </w:num>
  <w:num w:numId="23">
    <w:abstractNumId w:val="13"/>
  </w:num>
  <w:num w:numId="24">
    <w:abstractNumId w:val="24"/>
  </w:num>
  <w:num w:numId="25">
    <w:abstractNumId w:val="6"/>
  </w:num>
  <w:num w:numId="26">
    <w:abstractNumId w:val="27"/>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330CF1"/>
    <w:rsid w:val="00330CF1"/>
    <w:rsid w:val="00424406"/>
    <w:rsid w:val="005871F6"/>
    <w:rsid w:val="00C21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CF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30CF1"/>
    <w:pPr>
      <w:autoSpaceDE w:val="0"/>
      <w:autoSpaceDN w:val="0"/>
      <w:adjustRightInd w:val="0"/>
      <w:outlineLvl w:val="0"/>
    </w:pPr>
    <w:rPr>
      <w:rFonts w:ascii="Arial" w:hAnsi="Arial"/>
      <w:b/>
      <w:bCs/>
      <w:sz w:val="28"/>
    </w:rPr>
  </w:style>
  <w:style w:type="paragraph" w:styleId="Heading2">
    <w:name w:val="heading 2"/>
    <w:basedOn w:val="Normal"/>
    <w:next w:val="Normal"/>
    <w:link w:val="Heading2Char"/>
    <w:qFormat/>
    <w:rsid w:val="00330CF1"/>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330CF1"/>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30CF1"/>
    <w:rPr>
      <w:rFonts w:ascii="Arial" w:eastAsia="Times New Roman" w:hAnsi="Arial" w:cs="Times New Roman"/>
      <w:b/>
      <w:bCs/>
      <w:sz w:val="28"/>
      <w:szCs w:val="24"/>
    </w:rPr>
  </w:style>
  <w:style w:type="character" w:customStyle="1" w:styleId="Heading2Char">
    <w:name w:val="Heading 2 Char"/>
    <w:basedOn w:val="DefaultParagraphFont"/>
    <w:link w:val="Heading2"/>
    <w:rsid w:val="00330CF1"/>
    <w:rPr>
      <w:rFonts w:ascii="Arial" w:eastAsia="Times New Roman" w:hAnsi="Arial" w:cs="Arial"/>
      <w:b/>
      <w:bCs/>
      <w:iCs/>
      <w:sz w:val="28"/>
      <w:szCs w:val="28"/>
    </w:rPr>
  </w:style>
  <w:style w:type="character" w:customStyle="1" w:styleId="Heading3Char">
    <w:name w:val="Heading 3 Char"/>
    <w:basedOn w:val="DefaultParagraphFont"/>
    <w:link w:val="Heading3"/>
    <w:rsid w:val="00330CF1"/>
    <w:rPr>
      <w:rFonts w:ascii="Arial" w:eastAsia="Times New Roman" w:hAnsi="Arial" w:cs="Arial"/>
      <w:b/>
      <w:bCs/>
      <w:i/>
      <w:sz w:val="24"/>
      <w:szCs w:val="26"/>
    </w:rPr>
  </w:style>
  <w:style w:type="paragraph" w:styleId="Footer">
    <w:name w:val="footer"/>
    <w:basedOn w:val="Normal"/>
    <w:link w:val="FooterChar"/>
    <w:rsid w:val="00330CF1"/>
    <w:pPr>
      <w:tabs>
        <w:tab w:val="center" w:pos="4320"/>
        <w:tab w:val="right" w:pos="8640"/>
      </w:tabs>
    </w:pPr>
  </w:style>
  <w:style w:type="character" w:customStyle="1" w:styleId="FooterChar">
    <w:name w:val="Footer Char"/>
    <w:basedOn w:val="DefaultParagraphFont"/>
    <w:link w:val="Footer"/>
    <w:rsid w:val="00330CF1"/>
    <w:rPr>
      <w:rFonts w:ascii="Times New Roman" w:eastAsia="Times New Roman" w:hAnsi="Times New Roman" w:cs="Times New Roman"/>
      <w:sz w:val="24"/>
      <w:szCs w:val="24"/>
    </w:rPr>
  </w:style>
  <w:style w:type="paragraph" w:styleId="Header">
    <w:name w:val="header"/>
    <w:basedOn w:val="Normal"/>
    <w:link w:val="HeaderChar"/>
    <w:rsid w:val="00330CF1"/>
    <w:pPr>
      <w:tabs>
        <w:tab w:val="center" w:pos="4320"/>
        <w:tab w:val="right" w:pos="8640"/>
      </w:tabs>
    </w:pPr>
  </w:style>
  <w:style w:type="character" w:customStyle="1" w:styleId="HeaderChar">
    <w:name w:val="Header Char"/>
    <w:basedOn w:val="DefaultParagraphFont"/>
    <w:link w:val="Header"/>
    <w:rsid w:val="00330CF1"/>
    <w:rPr>
      <w:rFonts w:ascii="Times New Roman" w:eastAsia="Times New Roman" w:hAnsi="Times New Roman" w:cs="Times New Roman"/>
      <w:sz w:val="24"/>
      <w:szCs w:val="24"/>
    </w:rPr>
  </w:style>
  <w:style w:type="paragraph" w:customStyle="1" w:styleId="Level1">
    <w:name w:val="Level 1"/>
    <w:rsid w:val="00330CF1"/>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SYSHYPERTEXT">
    <w:name w:val="SYS_HYPERTEXT"/>
    <w:rsid w:val="00330CF1"/>
    <w:rPr>
      <w:noProof/>
      <w:color w:val="0000FF"/>
      <w:u w:val="single"/>
    </w:rPr>
  </w:style>
  <w:style w:type="character" w:customStyle="1" w:styleId="QuickFormat2">
    <w:name w:val="QuickFormat2"/>
    <w:rsid w:val="00330CF1"/>
    <w:rPr>
      <w:rFonts w:ascii="Arial" w:hAnsi="Arial" w:cs="Arial"/>
    </w:rPr>
  </w:style>
  <w:style w:type="character" w:customStyle="1" w:styleId="QuickFormat3">
    <w:name w:val="QuickFormat3"/>
    <w:rsid w:val="00330CF1"/>
    <w:rPr>
      <w:rFonts w:ascii="Arial" w:hAnsi="Arial" w:cs="Arial"/>
      <w:b/>
      <w:bCs/>
      <w:i/>
      <w:iCs/>
    </w:rPr>
  </w:style>
  <w:style w:type="paragraph" w:styleId="Title">
    <w:name w:val="Title"/>
    <w:basedOn w:val="Normal"/>
    <w:link w:val="TitleChar"/>
    <w:qFormat/>
    <w:rsid w:val="00330CF1"/>
    <w:pPr>
      <w:autoSpaceDE w:val="0"/>
      <w:autoSpaceDN w:val="0"/>
      <w:adjustRightInd w:val="0"/>
      <w:jc w:val="center"/>
    </w:pPr>
    <w:rPr>
      <w:sz w:val="28"/>
      <w:szCs w:val="28"/>
    </w:rPr>
  </w:style>
  <w:style w:type="character" w:customStyle="1" w:styleId="TitleChar">
    <w:name w:val="Title Char"/>
    <w:basedOn w:val="DefaultParagraphFont"/>
    <w:link w:val="Title"/>
    <w:rsid w:val="00330CF1"/>
    <w:rPr>
      <w:rFonts w:ascii="Times New Roman" w:eastAsia="Times New Roman" w:hAnsi="Times New Roman" w:cs="Times New Roman"/>
      <w:sz w:val="28"/>
      <w:szCs w:val="28"/>
    </w:rPr>
  </w:style>
  <w:style w:type="paragraph" w:styleId="BodyText">
    <w:name w:val="Body Text"/>
    <w:basedOn w:val="Normal"/>
    <w:link w:val="BodyTextChar"/>
    <w:rsid w:val="00330CF1"/>
    <w:pPr>
      <w:autoSpaceDE w:val="0"/>
      <w:autoSpaceDN w:val="0"/>
      <w:adjustRightInd w:val="0"/>
    </w:pPr>
    <w:rPr>
      <w:sz w:val="22"/>
      <w:szCs w:val="22"/>
    </w:rPr>
  </w:style>
  <w:style w:type="character" w:customStyle="1" w:styleId="BodyTextChar">
    <w:name w:val="Body Text Char"/>
    <w:basedOn w:val="DefaultParagraphFont"/>
    <w:link w:val="BodyText"/>
    <w:rsid w:val="00330CF1"/>
    <w:rPr>
      <w:rFonts w:ascii="Times New Roman" w:eastAsia="Times New Roman" w:hAnsi="Times New Roman" w:cs="Times New Roman"/>
    </w:rPr>
  </w:style>
  <w:style w:type="paragraph" w:styleId="Subtitle">
    <w:name w:val="Subtitle"/>
    <w:basedOn w:val="Normal"/>
    <w:link w:val="SubtitleChar"/>
    <w:qFormat/>
    <w:rsid w:val="00330CF1"/>
    <w:pPr>
      <w:autoSpaceDE w:val="0"/>
      <w:autoSpaceDN w:val="0"/>
      <w:adjustRightInd w:val="0"/>
    </w:pPr>
    <w:rPr>
      <w:b/>
      <w:bCs/>
    </w:rPr>
  </w:style>
  <w:style w:type="character" w:customStyle="1" w:styleId="SubtitleChar">
    <w:name w:val="Subtitle Char"/>
    <w:basedOn w:val="DefaultParagraphFont"/>
    <w:link w:val="Subtitle"/>
    <w:rsid w:val="00330CF1"/>
    <w:rPr>
      <w:rFonts w:ascii="Times New Roman" w:eastAsia="Times New Roman" w:hAnsi="Times New Roman" w:cs="Times New Roman"/>
      <w:b/>
      <w:bCs/>
      <w:sz w:val="24"/>
      <w:szCs w:val="24"/>
    </w:rPr>
  </w:style>
  <w:style w:type="paragraph" w:styleId="BodyTextIndent">
    <w:name w:val="Body Text Indent"/>
    <w:basedOn w:val="Normal"/>
    <w:link w:val="BodyTextIndentChar"/>
    <w:rsid w:val="00330CF1"/>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330CF1"/>
    <w:rPr>
      <w:rFonts w:ascii="Times New Roman" w:eastAsia="Times New Roman" w:hAnsi="Times New Roman" w:cs="Times New Roman"/>
      <w:sz w:val="32"/>
      <w:szCs w:val="32"/>
    </w:rPr>
  </w:style>
  <w:style w:type="paragraph" w:customStyle="1" w:styleId="QuickFormat6">
    <w:name w:val="QuickFormat6"/>
    <w:rsid w:val="00330CF1"/>
    <w:pPr>
      <w:autoSpaceDE w:val="0"/>
      <w:autoSpaceDN w:val="0"/>
      <w:adjustRightInd w:val="0"/>
      <w:spacing w:after="0" w:line="240" w:lineRule="auto"/>
    </w:pPr>
    <w:rPr>
      <w:rFonts w:ascii="Arial" w:eastAsia="Times New Roman" w:hAnsi="Arial" w:cs="Arial"/>
      <w:sz w:val="24"/>
      <w:szCs w:val="24"/>
    </w:rPr>
  </w:style>
  <w:style w:type="character" w:styleId="PageNumber">
    <w:name w:val="page number"/>
    <w:basedOn w:val="DefaultParagraphFont"/>
    <w:rsid w:val="00330CF1"/>
  </w:style>
  <w:style w:type="paragraph" w:styleId="BodyText2">
    <w:name w:val="Body Text 2"/>
    <w:basedOn w:val="Normal"/>
    <w:link w:val="BodyText2Char"/>
    <w:rsid w:val="00330CF1"/>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330CF1"/>
    <w:rPr>
      <w:rFonts w:ascii="Arial" w:eastAsia="Times New Roman" w:hAnsi="Arial" w:cs="Arial"/>
      <w:noProof/>
      <w:sz w:val="24"/>
      <w:szCs w:val="24"/>
    </w:rPr>
  </w:style>
  <w:style w:type="paragraph" w:styleId="BodyTextIndent2">
    <w:name w:val="Body Text Indent 2"/>
    <w:basedOn w:val="Normal"/>
    <w:link w:val="BodyTextIndent2Char"/>
    <w:rsid w:val="00330CF1"/>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330CF1"/>
    <w:rPr>
      <w:rFonts w:ascii="Arial" w:eastAsia="Times New Roman" w:hAnsi="Arial" w:cs="Arial"/>
      <w:sz w:val="17"/>
      <w:szCs w:val="17"/>
    </w:rPr>
  </w:style>
  <w:style w:type="paragraph" w:styleId="BodyTextIndent3">
    <w:name w:val="Body Text Indent 3"/>
    <w:basedOn w:val="Normal"/>
    <w:link w:val="BodyTextIndent3Char"/>
    <w:rsid w:val="00330CF1"/>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330CF1"/>
    <w:rPr>
      <w:rFonts w:ascii="Arial" w:eastAsia="Times New Roman" w:hAnsi="Arial" w:cs="Arial"/>
      <w:sz w:val="20"/>
      <w:szCs w:val="24"/>
    </w:rPr>
  </w:style>
  <w:style w:type="paragraph" w:styleId="BlockText">
    <w:name w:val="Block Text"/>
    <w:basedOn w:val="Normal"/>
    <w:rsid w:val="00330CF1"/>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330CF1"/>
    <w:pPr>
      <w:spacing w:before="120" w:after="120"/>
    </w:pPr>
    <w:rPr>
      <w:b/>
      <w:bCs/>
      <w:sz w:val="20"/>
      <w:szCs w:val="20"/>
    </w:rPr>
  </w:style>
  <w:style w:type="paragraph" w:styleId="TableofFigures">
    <w:name w:val="table of figures"/>
    <w:basedOn w:val="Normal"/>
    <w:next w:val="Normal"/>
    <w:uiPriority w:val="99"/>
    <w:rsid w:val="00330CF1"/>
    <w:pPr>
      <w:ind w:left="480" w:hanging="480"/>
    </w:pPr>
  </w:style>
  <w:style w:type="character" w:styleId="Hyperlink">
    <w:name w:val="Hyperlink"/>
    <w:uiPriority w:val="99"/>
    <w:rsid w:val="00330CF1"/>
    <w:rPr>
      <w:color w:val="000000" w:themeColor="text1"/>
      <w:u w:val="single"/>
    </w:rPr>
  </w:style>
  <w:style w:type="paragraph" w:styleId="TOC1">
    <w:name w:val="toc 1"/>
    <w:basedOn w:val="Normal"/>
    <w:next w:val="Normal"/>
    <w:autoRedefine/>
    <w:uiPriority w:val="39"/>
    <w:qFormat/>
    <w:rsid w:val="00330CF1"/>
  </w:style>
  <w:style w:type="paragraph" w:styleId="TOC2">
    <w:name w:val="toc 2"/>
    <w:basedOn w:val="Normal"/>
    <w:next w:val="Normal"/>
    <w:autoRedefine/>
    <w:uiPriority w:val="39"/>
    <w:qFormat/>
    <w:rsid w:val="00330CF1"/>
    <w:pPr>
      <w:ind w:left="240"/>
    </w:pPr>
  </w:style>
  <w:style w:type="paragraph" w:styleId="TOC3">
    <w:name w:val="toc 3"/>
    <w:basedOn w:val="Normal"/>
    <w:next w:val="Normal"/>
    <w:autoRedefine/>
    <w:uiPriority w:val="39"/>
    <w:qFormat/>
    <w:rsid w:val="00330CF1"/>
    <w:pPr>
      <w:ind w:left="480"/>
    </w:pPr>
  </w:style>
  <w:style w:type="paragraph" w:styleId="TOC4">
    <w:name w:val="toc 4"/>
    <w:basedOn w:val="Normal"/>
    <w:next w:val="Normal"/>
    <w:autoRedefine/>
    <w:semiHidden/>
    <w:rsid w:val="00330CF1"/>
    <w:pPr>
      <w:ind w:left="720"/>
    </w:pPr>
  </w:style>
  <w:style w:type="paragraph" w:styleId="TOC5">
    <w:name w:val="toc 5"/>
    <w:basedOn w:val="Normal"/>
    <w:next w:val="Normal"/>
    <w:autoRedefine/>
    <w:semiHidden/>
    <w:rsid w:val="00330CF1"/>
    <w:pPr>
      <w:ind w:left="960"/>
    </w:pPr>
  </w:style>
  <w:style w:type="paragraph" w:styleId="TOC6">
    <w:name w:val="toc 6"/>
    <w:basedOn w:val="Normal"/>
    <w:next w:val="Normal"/>
    <w:autoRedefine/>
    <w:semiHidden/>
    <w:rsid w:val="00330CF1"/>
    <w:pPr>
      <w:ind w:left="1200"/>
    </w:pPr>
  </w:style>
  <w:style w:type="paragraph" w:styleId="TOC7">
    <w:name w:val="toc 7"/>
    <w:basedOn w:val="Normal"/>
    <w:next w:val="Normal"/>
    <w:autoRedefine/>
    <w:semiHidden/>
    <w:rsid w:val="00330CF1"/>
    <w:pPr>
      <w:ind w:left="1440"/>
    </w:pPr>
  </w:style>
  <w:style w:type="paragraph" w:styleId="TOC8">
    <w:name w:val="toc 8"/>
    <w:basedOn w:val="Normal"/>
    <w:next w:val="Normal"/>
    <w:autoRedefine/>
    <w:semiHidden/>
    <w:rsid w:val="00330CF1"/>
    <w:pPr>
      <w:ind w:left="1680"/>
    </w:pPr>
  </w:style>
  <w:style w:type="paragraph" w:styleId="TOC9">
    <w:name w:val="toc 9"/>
    <w:basedOn w:val="Normal"/>
    <w:next w:val="Normal"/>
    <w:autoRedefine/>
    <w:semiHidden/>
    <w:rsid w:val="00330CF1"/>
    <w:pPr>
      <w:ind w:left="1920"/>
    </w:pPr>
  </w:style>
  <w:style w:type="paragraph" w:customStyle="1" w:styleId="thesistext">
    <w:name w:val="thesis text"/>
    <w:basedOn w:val="Normal"/>
    <w:autoRedefine/>
    <w:rsid w:val="00330CF1"/>
    <w:pPr>
      <w:spacing w:after="240"/>
      <w:ind w:firstLine="540"/>
    </w:pPr>
    <w:rPr>
      <w:lang w:eastAsia="es-ES"/>
    </w:rPr>
  </w:style>
  <w:style w:type="paragraph" w:customStyle="1" w:styleId="StyleHeading1Centered">
    <w:name w:val="Style Heading 1 + Centered"/>
    <w:basedOn w:val="Heading1"/>
    <w:link w:val="StyleHeading1CenteredChar"/>
    <w:rsid w:val="00330CF1"/>
    <w:pPr>
      <w:jc w:val="center"/>
    </w:pPr>
    <w:rPr>
      <w:caps/>
      <w:szCs w:val="28"/>
    </w:rPr>
  </w:style>
  <w:style w:type="character" w:customStyle="1" w:styleId="StyleHeading1CenteredChar">
    <w:name w:val="Style Heading 1 + Centered Char"/>
    <w:link w:val="StyleHeading1Centered"/>
    <w:rsid w:val="00330CF1"/>
    <w:rPr>
      <w:rFonts w:ascii="Arial" w:eastAsia="Times New Roman" w:hAnsi="Arial" w:cs="Times New Roman"/>
      <w:b/>
      <w:bCs/>
      <w:caps/>
      <w:sz w:val="28"/>
      <w:szCs w:val="28"/>
    </w:rPr>
  </w:style>
  <w:style w:type="paragraph" w:styleId="NoSpacing">
    <w:name w:val="No Spacing"/>
    <w:uiPriority w:val="1"/>
    <w:qFormat/>
    <w:rsid w:val="00330CF1"/>
    <w:pPr>
      <w:spacing w:after="0" w:line="240" w:lineRule="auto"/>
    </w:pPr>
    <w:rPr>
      <w:rFonts w:ascii="Bookman Old Style" w:eastAsia="Calibri" w:hAnsi="Bookman Old Style" w:cs="Times New Roman"/>
      <w:sz w:val="24"/>
      <w:szCs w:val="24"/>
    </w:rPr>
  </w:style>
  <w:style w:type="table" w:styleId="TableGrid">
    <w:name w:val="Table Grid"/>
    <w:basedOn w:val="TableNormal"/>
    <w:rsid w:val="00330CF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330CF1"/>
    <w:pPr>
      <w:keepNext/>
      <w:keepLines/>
      <w:autoSpaceDE/>
      <w:autoSpaceDN/>
      <w:adjustRightInd/>
      <w:spacing w:before="480" w:line="276" w:lineRule="auto"/>
      <w:outlineLvl w:val="9"/>
    </w:pPr>
    <w:rPr>
      <w:rFonts w:ascii="Cambria" w:hAnsi="Cambria"/>
      <w:color w:val="365F91"/>
      <w:szCs w:val="28"/>
    </w:rPr>
  </w:style>
  <w:style w:type="paragraph" w:styleId="BalloonText">
    <w:name w:val="Balloon Text"/>
    <w:basedOn w:val="Normal"/>
    <w:link w:val="BalloonTextChar"/>
    <w:rsid w:val="00330CF1"/>
    <w:rPr>
      <w:rFonts w:ascii="Tahoma" w:hAnsi="Tahoma" w:cs="Tahoma"/>
      <w:sz w:val="16"/>
      <w:szCs w:val="16"/>
    </w:rPr>
  </w:style>
  <w:style w:type="character" w:customStyle="1" w:styleId="BalloonTextChar">
    <w:name w:val="Balloon Text Char"/>
    <w:link w:val="BalloonText"/>
    <w:rsid w:val="00330CF1"/>
    <w:rPr>
      <w:rFonts w:ascii="Tahoma" w:eastAsia="Times New Roman" w:hAnsi="Tahoma" w:cs="Tahoma"/>
      <w:sz w:val="16"/>
      <w:szCs w:val="16"/>
    </w:rPr>
  </w:style>
  <w:style w:type="paragraph" w:styleId="EndnoteText">
    <w:name w:val="endnote text"/>
    <w:basedOn w:val="Normal"/>
    <w:link w:val="EndnoteTextChar"/>
    <w:rsid w:val="00330CF1"/>
    <w:rPr>
      <w:sz w:val="20"/>
      <w:szCs w:val="20"/>
    </w:rPr>
  </w:style>
  <w:style w:type="character" w:customStyle="1" w:styleId="EndnoteTextChar">
    <w:name w:val="Endnote Text Char"/>
    <w:basedOn w:val="DefaultParagraphFont"/>
    <w:link w:val="EndnoteText"/>
    <w:rsid w:val="00330CF1"/>
    <w:rPr>
      <w:rFonts w:ascii="Times New Roman" w:eastAsia="Times New Roman" w:hAnsi="Times New Roman" w:cs="Times New Roman"/>
      <w:sz w:val="20"/>
      <w:szCs w:val="20"/>
    </w:rPr>
  </w:style>
  <w:style w:type="character" w:styleId="EndnoteReference">
    <w:name w:val="endnote reference"/>
    <w:rsid w:val="00330CF1"/>
    <w:rPr>
      <w:vertAlign w:val="superscript"/>
    </w:rPr>
  </w:style>
  <w:style w:type="character" w:styleId="Emphasis">
    <w:name w:val="Emphasis"/>
    <w:uiPriority w:val="20"/>
    <w:qFormat/>
    <w:rsid w:val="00330CF1"/>
    <w:rPr>
      <w:i/>
      <w:iCs/>
    </w:rPr>
  </w:style>
  <w:style w:type="paragraph" w:styleId="ListParagraph">
    <w:name w:val="List Paragraph"/>
    <w:basedOn w:val="Normal"/>
    <w:uiPriority w:val="34"/>
    <w:qFormat/>
    <w:rsid w:val="00330CF1"/>
    <w:pPr>
      <w:ind w:left="720"/>
      <w:contextualSpacing/>
    </w:pPr>
  </w:style>
  <w:style w:type="paragraph" w:styleId="NormalWeb">
    <w:name w:val="Normal (Web)"/>
    <w:basedOn w:val="Normal"/>
    <w:uiPriority w:val="99"/>
    <w:rsid w:val="00330CF1"/>
    <w:pPr>
      <w:spacing w:before="100" w:beforeAutospacing="1" w:after="100" w:afterAutospacing="1"/>
    </w:pPr>
  </w:style>
  <w:style w:type="character" w:styleId="PlaceholderText">
    <w:name w:val="Placeholder Text"/>
    <w:basedOn w:val="DefaultParagraphFont"/>
    <w:uiPriority w:val="99"/>
    <w:semiHidden/>
    <w:rsid w:val="00330CF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CF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30CF1"/>
    <w:pPr>
      <w:autoSpaceDE w:val="0"/>
      <w:autoSpaceDN w:val="0"/>
      <w:adjustRightInd w:val="0"/>
      <w:outlineLvl w:val="0"/>
    </w:pPr>
    <w:rPr>
      <w:rFonts w:ascii="Arial" w:hAnsi="Arial"/>
      <w:b/>
      <w:bCs/>
      <w:sz w:val="28"/>
    </w:rPr>
  </w:style>
  <w:style w:type="paragraph" w:styleId="Heading2">
    <w:name w:val="heading 2"/>
    <w:basedOn w:val="Normal"/>
    <w:next w:val="Normal"/>
    <w:link w:val="Heading2Char"/>
    <w:qFormat/>
    <w:rsid w:val="00330CF1"/>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330CF1"/>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30CF1"/>
    <w:rPr>
      <w:rFonts w:ascii="Arial" w:eastAsia="Times New Roman" w:hAnsi="Arial" w:cs="Times New Roman"/>
      <w:b/>
      <w:bCs/>
      <w:sz w:val="28"/>
      <w:szCs w:val="24"/>
    </w:rPr>
  </w:style>
  <w:style w:type="character" w:customStyle="1" w:styleId="Heading2Char">
    <w:name w:val="Heading 2 Char"/>
    <w:basedOn w:val="DefaultParagraphFont"/>
    <w:link w:val="Heading2"/>
    <w:rsid w:val="00330CF1"/>
    <w:rPr>
      <w:rFonts w:ascii="Arial" w:eastAsia="Times New Roman" w:hAnsi="Arial" w:cs="Arial"/>
      <w:b/>
      <w:bCs/>
      <w:iCs/>
      <w:sz w:val="28"/>
      <w:szCs w:val="28"/>
    </w:rPr>
  </w:style>
  <w:style w:type="character" w:customStyle="1" w:styleId="Heading3Char">
    <w:name w:val="Heading 3 Char"/>
    <w:basedOn w:val="DefaultParagraphFont"/>
    <w:link w:val="Heading3"/>
    <w:rsid w:val="00330CF1"/>
    <w:rPr>
      <w:rFonts w:ascii="Arial" w:eastAsia="Times New Roman" w:hAnsi="Arial" w:cs="Arial"/>
      <w:b/>
      <w:bCs/>
      <w:i/>
      <w:sz w:val="24"/>
      <w:szCs w:val="26"/>
    </w:rPr>
  </w:style>
  <w:style w:type="paragraph" w:styleId="Footer">
    <w:name w:val="footer"/>
    <w:basedOn w:val="Normal"/>
    <w:link w:val="FooterChar"/>
    <w:rsid w:val="00330CF1"/>
    <w:pPr>
      <w:tabs>
        <w:tab w:val="center" w:pos="4320"/>
        <w:tab w:val="right" w:pos="8640"/>
      </w:tabs>
    </w:pPr>
  </w:style>
  <w:style w:type="character" w:customStyle="1" w:styleId="FooterChar">
    <w:name w:val="Footer Char"/>
    <w:basedOn w:val="DefaultParagraphFont"/>
    <w:link w:val="Footer"/>
    <w:rsid w:val="00330CF1"/>
    <w:rPr>
      <w:rFonts w:ascii="Times New Roman" w:eastAsia="Times New Roman" w:hAnsi="Times New Roman" w:cs="Times New Roman"/>
      <w:sz w:val="24"/>
      <w:szCs w:val="24"/>
    </w:rPr>
  </w:style>
  <w:style w:type="paragraph" w:styleId="Header">
    <w:name w:val="header"/>
    <w:basedOn w:val="Normal"/>
    <w:link w:val="HeaderChar"/>
    <w:rsid w:val="00330CF1"/>
    <w:pPr>
      <w:tabs>
        <w:tab w:val="center" w:pos="4320"/>
        <w:tab w:val="right" w:pos="8640"/>
      </w:tabs>
    </w:pPr>
  </w:style>
  <w:style w:type="character" w:customStyle="1" w:styleId="HeaderChar">
    <w:name w:val="Header Char"/>
    <w:basedOn w:val="DefaultParagraphFont"/>
    <w:link w:val="Header"/>
    <w:rsid w:val="00330CF1"/>
    <w:rPr>
      <w:rFonts w:ascii="Times New Roman" w:eastAsia="Times New Roman" w:hAnsi="Times New Roman" w:cs="Times New Roman"/>
      <w:sz w:val="24"/>
      <w:szCs w:val="24"/>
    </w:rPr>
  </w:style>
  <w:style w:type="paragraph" w:customStyle="1" w:styleId="Level1">
    <w:name w:val="Level 1"/>
    <w:rsid w:val="00330CF1"/>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SYSHYPERTEXT">
    <w:name w:val="SYS_HYPERTEXT"/>
    <w:rsid w:val="00330CF1"/>
    <w:rPr>
      <w:noProof/>
      <w:color w:val="0000FF"/>
      <w:u w:val="single"/>
    </w:rPr>
  </w:style>
  <w:style w:type="character" w:customStyle="1" w:styleId="QuickFormat2">
    <w:name w:val="QuickFormat2"/>
    <w:rsid w:val="00330CF1"/>
    <w:rPr>
      <w:rFonts w:ascii="Arial" w:hAnsi="Arial" w:cs="Arial"/>
    </w:rPr>
  </w:style>
  <w:style w:type="character" w:customStyle="1" w:styleId="QuickFormat3">
    <w:name w:val="QuickFormat3"/>
    <w:rsid w:val="00330CF1"/>
    <w:rPr>
      <w:rFonts w:ascii="Arial" w:hAnsi="Arial" w:cs="Arial"/>
      <w:b/>
      <w:bCs/>
      <w:i/>
      <w:iCs/>
    </w:rPr>
  </w:style>
  <w:style w:type="paragraph" w:styleId="Title">
    <w:name w:val="Title"/>
    <w:basedOn w:val="Normal"/>
    <w:link w:val="TitleChar"/>
    <w:qFormat/>
    <w:rsid w:val="00330CF1"/>
    <w:pPr>
      <w:autoSpaceDE w:val="0"/>
      <w:autoSpaceDN w:val="0"/>
      <w:adjustRightInd w:val="0"/>
      <w:jc w:val="center"/>
    </w:pPr>
    <w:rPr>
      <w:sz w:val="28"/>
      <w:szCs w:val="28"/>
    </w:rPr>
  </w:style>
  <w:style w:type="character" w:customStyle="1" w:styleId="TitleChar">
    <w:name w:val="Title Char"/>
    <w:basedOn w:val="DefaultParagraphFont"/>
    <w:link w:val="Title"/>
    <w:rsid w:val="00330CF1"/>
    <w:rPr>
      <w:rFonts w:ascii="Times New Roman" w:eastAsia="Times New Roman" w:hAnsi="Times New Roman" w:cs="Times New Roman"/>
      <w:sz w:val="28"/>
      <w:szCs w:val="28"/>
    </w:rPr>
  </w:style>
  <w:style w:type="paragraph" w:styleId="BodyText">
    <w:name w:val="Body Text"/>
    <w:basedOn w:val="Normal"/>
    <w:link w:val="BodyTextChar"/>
    <w:rsid w:val="00330CF1"/>
    <w:pPr>
      <w:autoSpaceDE w:val="0"/>
      <w:autoSpaceDN w:val="0"/>
      <w:adjustRightInd w:val="0"/>
    </w:pPr>
    <w:rPr>
      <w:sz w:val="22"/>
      <w:szCs w:val="22"/>
    </w:rPr>
  </w:style>
  <w:style w:type="character" w:customStyle="1" w:styleId="BodyTextChar">
    <w:name w:val="Body Text Char"/>
    <w:basedOn w:val="DefaultParagraphFont"/>
    <w:link w:val="BodyText"/>
    <w:rsid w:val="00330CF1"/>
    <w:rPr>
      <w:rFonts w:ascii="Times New Roman" w:eastAsia="Times New Roman" w:hAnsi="Times New Roman" w:cs="Times New Roman"/>
    </w:rPr>
  </w:style>
  <w:style w:type="paragraph" w:styleId="Subtitle">
    <w:name w:val="Subtitle"/>
    <w:basedOn w:val="Normal"/>
    <w:link w:val="SubtitleChar"/>
    <w:qFormat/>
    <w:rsid w:val="00330CF1"/>
    <w:pPr>
      <w:autoSpaceDE w:val="0"/>
      <w:autoSpaceDN w:val="0"/>
      <w:adjustRightInd w:val="0"/>
    </w:pPr>
    <w:rPr>
      <w:b/>
      <w:bCs/>
    </w:rPr>
  </w:style>
  <w:style w:type="character" w:customStyle="1" w:styleId="SubtitleChar">
    <w:name w:val="Subtitle Char"/>
    <w:basedOn w:val="DefaultParagraphFont"/>
    <w:link w:val="Subtitle"/>
    <w:rsid w:val="00330CF1"/>
    <w:rPr>
      <w:rFonts w:ascii="Times New Roman" w:eastAsia="Times New Roman" w:hAnsi="Times New Roman" w:cs="Times New Roman"/>
      <w:b/>
      <w:bCs/>
      <w:sz w:val="24"/>
      <w:szCs w:val="24"/>
    </w:rPr>
  </w:style>
  <w:style w:type="paragraph" w:styleId="BodyTextIndent">
    <w:name w:val="Body Text Indent"/>
    <w:basedOn w:val="Normal"/>
    <w:link w:val="BodyTextIndentChar"/>
    <w:rsid w:val="00330CF1"/>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330CF1"/>
    <w:rPr>
      <w:rFonts w:ascii="Times New Roman" w:eastAsia="Times New Roman" w:hAnsi="Times New Roman" w:cs="Times New Roman"/>
      <w:sz w:val="32"/>
      <w:szCs w:val="32"/>
    </w:rPr>
  </w:style>
  <w:style w:type="paragraph" w:customStyle="1" w:styleId="QuickFormat6">
    <w:name w:val="QuickFormat6"/>
    <w:rsid w:val="00330CF1"/>
    <w:pPr>
      <w:autoSpaceDE w:val="0"/>
      <w:autoSpaceDN w:val="0"/>
      <w:adjustRightInd w:val="0"/>
      <w:spacing w:after="0" w:line="240" w:lineRule="auto"/>
    </w:pPr>
    <w:rPr>
      <w:rFonts w:ascii="Arial" w:eastAsia="Times New Roman" w:hAnsi="Arial" w:cs="Arial"/>
      <w:sz w:val="24"/>
      <w:szCs w:val="24"/>
    </w:rPr>
  </w:style>
  <w:style w:type="character" w:styleId="PageNumber">
    <w:name w:val="page number"/>
    <w:basedOn w:val="DefaultParagraphFont"/>
    <w:rsid w:val="00330CF1"/>
  </w:style>
  <w:style w:type="paragraph" w:styleId="BodyText2">
    <w:name w:val="Body Text 2"/>
    <w:basedOn w:val="Normal"/>
    <w:link w:val="BodyText2Char"/>
    <w:rsid w:val="00330CF1"/>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330CF1"/>
    <w:rPr>
      <w:rFonts w:ascii="Arial" w:eastAsia="Times New Roman" w:hAnsi="Arial" w:cs="Arial"/>
      <w:noProof/>
      <w:sz w:val="24"/>
      <w:szCs w:val="24"/>
    </w:rPr>
  </w:style>
  <w:style w:type="paragraph" w:styleId="BodyTextIndent2">
    <w:name w:val="Body Text Indent 2"/>
    <w:basedOn w:val="Normal"/>
    <w:link w:val="BodyTextIndent2Char"/>
    <w:rsid w:val="00330CF1"/>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330CF1"/>
    <w:rPr>
      <w:rFonts w:ascii="Arial" w:eastAsia="Times New Roman" w:hAnsi="Arial" w:cs="Arial"/>
      <w:sz w:val="17"/>
      <w:szCs w:val="17"/>
    </w:rPr>
  </w:style>
  <w:style w:type="paragraph" w:styleId="BodyTextIndent3">
    <w:name w:val="Body Text Indent 3"/>
    <w:basedOn w:val="Normal"/>
    <w:link w:val="BodyTextIndent3Char"/>
    <w:rsid w:val="00330CF1"/>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330CF1"/>
    <w:rPr>
      <w:rFonts w:ascii="Arial" w:eastAsia="Times New Roman" w:hAnsi="Arial" w:cs="Arial"/>
      <w:sz w:val="20"/>
      <w:szCs w:val="24"/>
    </w:rPr>
  </w:style>
  <w:style w:type="paragraph" w:styleId="BlockText">
    <w:name w:val="Block Text"/>
    <w:basedOn w:val="Normal"/>
    <w:rsid w:val="00330CF1"/>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330CF1"/>
    <w:pPr>
      <w:spacing w:before="120" w:after="120"/>
    </w:pPr>
    <w:rPr>
      <w:b/>
      <w:bCs/>
      <w:sz w:val="20"/>
      <w:szCs w:val="20"/>
    </w:rPr>
  </w:style>
  <w:style w:type="paragraph" w:styleId="TableofFigures">
    <w:name w:val="table of figures"/>
    <w:basedOn w:val="Normal"/>
    <w:next w:val="Normal"/>
    <w:uiPriority w:val="99"/>
    <w:rsid w:val="00330CF1"/>
    <w:pPr>
      <w:ind w:left="480" w:hanging="480"/>
    </w:pPr>
  </w:style>
  <w:style w:type="character" w:styleId="Hyperlink">
    <w:name w:val="Hyperlink"/>
    <w:uiPriority w:val="99"/>
    <w:rsid w:val="00330CF1"/>
    <w:rPr>
      <w:color w:val="000000" w:themeColor="text1"/>
      <w:u w:val="single"/>
    </w:rPr>
  </w:style>
  <w:style w:type="paragraph" w:styleId="TOC1">
    <w:name w:val="toc 1"/>
    <w:basedOn w:val="Normal"/>
    <w:next w:val="Normal"/>
    <w:autoRedefine/>
    <w:uiPriority w:val="39"/>
    <w:qFormat/>
    <w:rsid w:val="00330CF1"/>
  </w:style>
  <w:style w:type="paragraph" w:styleId="TOC2">
    <w:name w:val="toc 2"/>
    <w:basedOn w:val="Normal"/>
    <w:next w:val="Normal"/>
    <w:autoRedefine/>
    <w:uiPriority w:val="39"/>
    <w:qFormat/>
    <w:rsid w:val="00330CF1"/>
    <w:pPr>
      <w:ind w:left="240"/>
    </w:pPr>
  </w:style>
  <w:style w:type="paragraph" w:styleId="TOC3">
    <w:name w:val="toc 3"/>
    <w:basedOn w:val="Normal"/>
    <w:next w:val="Normal"/>
    <w:autoRedefine/>
    <w:uiPriority w:val="39"/>
    <w:qFormat/>
    <w:rsid w:val="00330CF1"/>
    <w:pPr>
      <w:ind w:left="480"/>
    </w:pPr>
  </w:style>
  <w:style w:type="paragraph" w:styleId="TOC4">
    <w:name w:val="toc 4"/>
    <w:basedOn w:val="Normal"/>
    <w:next w:val="Normal"/>
    <w:autoRedefine/>
    <w:semiHidden/>
    <w:rsid w:val="00330CF1"/>
    <w:pPr>
      <w:ind w:left="720"/>
    </w:pPr>
  </w:style>
  <w:style w:type="paragraph" w:styleId="TOC5">
    <w:name w:val="toc 5"/>
    <w:basedOn w:val="Normal"/>
    <w:next w:val="Normal"/>
    <w:autoRedefine/>
    <w:semiHidden/>
    <w:rsid w:val="00330CF1"/>
    <w:pPr>
      <w:ind w:left="960"/>
    </w:pPr>
  </w:style>
  <w:style w:type="paragraph" w:styleId="TOC6">
    <w:name w:val="toc 6"/>
    <w:basedOn w:val="Normal"/>
    <w:next w:val="Normal"/>
    <w:autoRedefine/>
    <w:semiHidden/>
    <w:rsid w:val="00330CF1"/>
    <w:pPr>
      <w:ind w:left="1200"/>
    </w:pPr>
  </w:style>
  <w:style w:type="paragraph" w:styleId="TOC7">
    <w:name w:val="toc 7"/>
    <w:basedOn w:val="Normal"/>
    <w:next w:val="Normal"/>
    <w:autoRedefine/>
    <w:semiHidden/>
    <w:rsid w:val="00330CF1"/>
    <w:pPr>
      <w:ind w:left="1440"/>
    </w:pPr>
  </w:style>
  <w:style w:type="paragraph" w:styleId="TOC8">
    <w:name w:val="toc 8"/>
    <w:basedOn w:val="Normal"/>
    <w:next w:val="Normal"/>
    <w:autoRedefine/>
    <w:semiHidden/>
    <w:rsid w:val="00330CF1"/>
    <w:pPr>
      <w:ind w:left="1680"/>
    </w:pPr>
  </w:style>
  <w:style w:type="paragraph" w:styleId="TOC9">
    <w:name w:val="toc 9"/>
    <w:basedOn w:val="Normal"/>
    <w:next w:val="Normal"/>
    <w:autoRedefine/>
    <w:semiHidden/>
    <w:rsid w:val="00330CF1"/>
    <w:pPr>
      <w:ind w:left="1920"/>
    </w:pPr>
  </w:style>
  <w:style w:type="paragraph" w:customStyle="1" w:styleId="thesistext">
    <w:name w:val="thesis text"/>
    <w:basedOn w:val="Normal"/>
    <w:autoRedefine/>
    <w:rsid w:val="00330CF1"/>
    <w:pPr>
      <w:spacing w:after="240"/>
      <w:ind w:firstLine="540"/>
    </w:pPr>
    <w:rPr>
      <w:lang w:eastAsia="es-ES"/>
    </w:rPr>
  </w:style>
  <w:style w:type="paragraph" w:customStyle="1" w:styleId="StyleHeading1Centered">
    <w:name w:val="Style Heading 1 + Centered"/>
    <w:basedOn w:val="Heading1"/>
    <w:link w:val="StyleHeading1CenteredChar"/>
    <w:rsid w:val="00330CF1"/>
    <w:pPr>
      <w:jc w:val="center"/>
    </w:pPr>
    <w:rPr>
      <w:caps/>
      <w:szCs w:val="28"/>
    </w:rPr>
  </w:style>
  <w:style w:type="character" w:customStyle="1" w:styleId="StyleHeading1CenteredChar">
    <w:name w:val="Style Heading 1 + Centered Char"/>
    <w:link w:val="StyleHeading1Centered"/>
    <w:rsid w:val="00330CF1"/>
    <w:rPr>
      <w:rFonts w:ascii="Arial" w:eastAsia="Times New Roman" w:hAnsi="Arial" w:cs="Times New Roman"/>
      <w:b/>
      <w:bCs/>
      <w:caps/>
      <w:sz w:val="28"/>
      <w:szCs w:val="28"/>
    </w:rPr>
  </w:style>
  <w:style w:type="paragraph" w:styleId="NoSpacing">
    <w:name w:val="No Spacing"/>
    <w:uiPriority w:val="1"/>
    <w:qFormat/>
    <w:rsid w:val="00330CF1"/>
    <w:pPr>
      <w:spacing w:after="0" w:line="240" w:lineRule="auto"/>
    </w:pPr>
    <w:rPr>
      <w:rFonts w:ascii="Bookman Old Style" w:eastAsia="Calibri" w:hAnsi="Bookman Old Style" w:cs="Times New Roman"/>
      <w:sz w:val="24"/>
      <w:szCs w:val="24"/>
    </w:rPr>
  </w:style>
  <w:style w:type="table" w:styleId="TableGrid">
    <w:name w:val="Table Grid"/>
    <w:basedOn w:val="TableNormal"/>
    <w:rsid w:val="00330CF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330CF1"/>
    <w:pPr>
      <w:keepNext/>
      <w:keepLines/>
      <w:autoSpaceDE/>
      <w:autoSpaceDN/>
      <w:adjustRightInd/>
      <w:spacing w:before="480" w:line="276" w:lineRule="auto"/>
      <w:outlineLvl w:val="9"/>
    </w:pPr>
    <w:rPr>
      <w:rFonts w:ascii="Cambria" w:hAnsi="Cambria"/>
      <w:color w:val="365F91"/>
      <w:szCs w:val="28"/>
    </w:rPr>
  </w:style>
  <w:style w:type="paragraph" w:styleId="BalloonText">
    <w:name w:val="Balloon Text"/>
    <w:basedOn w:val="Normal"/>
    <w:link w:val="BalloonTextChar"/>
    <w:rsid w:val="00330CF1"/>
    <w:rPr>
      <w:rFonts w:ascii="Tahoma" w:hAnsi="Tahoma" w:cs="Tahoma"/>
      <w:sz w:val="16"/>
      <w:szCs w:val="16"/>
    </w:rPr>
  </w:style>
  <w:style w:type="character" w:customStyle="1" w:styleId="BalloonTextChar">
    <w:name w:val="Balloon Text Char"/>
    <w:link w:val="BalloonText"/>
    <w:rsid w:val="00330CF1"/>
    <w:rPr>
      <w:rFonts w:ascii="Tahoma" w:eastAsia="Times New Roman" w:hAnsi="Tahoma" w:cs="Tahoma"/>
      <w:sz w:val="16"/>
      <w:szCs w:val="16"/>
    </w:rPr>
  </w:style>
  <w:style w:type="paragraph" w:styleId="EndnoteText">
    <w:name w:val="endnote text"/>
    <w:basedOn w:val="Normal"/>
    <w:link w:val="EndnoteTextChar"/>
    <w:rsid w:val="00330CF1"/>
    <w:rPr>
      <w:sz w:val="20"/>
      <w:szCs w:val="20"/>
    </w:rPr>
  </w:style>
  <w:style w:type="character" w:customStyle="1" w:styleId="EndnoteTextChar">
    <w:name w:val="Endnote Text Char"/>
    <w:basedOn w:val="DefaultParagraphFont"/>
    <w:link w:val="EndnoteText"/>
    <w:rsid w:val="00330CF1"/>
    <w:rPr>
      <w:rFonts w:ascii="Times New Roman" w:eastAsia="Times New Roman" w:hAnsi="Times New Roman" w:cs="Times New Roman"/>
      <w:sz w:val="20"/>
      <w:szCs w:val="20"/>
    </w:rPr>
  </w:style>
  <w:style w:type="character" w:styleId="EndnoteReference">
    <w:name w:val="endnote reference"/>
    <w:rsid w:val="00330CF1"/>
    <w:rPr>
      <w:vertAlign w:val="superscript"/>
    </w:rPr>
  </w:style>
  <w:style w:type="character" w:styleId="Emphasis">
    <w:name w:val="Emphasis"/>
    <w:uiPriority w:val="20"/>
    <w:qFormat/>
    <w:rsid w:val="00330CF1"/>
    <w:rPr>
      <w:i/>
      <w:iCs/>
    </w:rPr>
  </w:style>
  <w:style w:type="paragraph" w:styleId="ListParagraph">
    <w:name w:val="List Paragraph"/>
    <w:basedOn w:val="Normal"/>
    <w:uiPriority w:val="34"/>
    <w:qFormat/>
    <w:rsid w:val="00330CF1"/>
    <w:pPr>
      <w:ind w:left="720"/>
      <w:contextualSpacing/>
    </w:pPr>
  </w:style>
  <w:style w:type="paragraph" w:styleId="NormalWeb">
    <w:name w:val="Normal (Web)"/>
    <w:basedOn w:val="Normal"/>
    <w:uiPriority w:val="99"/>
    <w:rsid w:val="00330CF1"/>
    <w:pPr>
      <w:spacing w:before="100" w:beforeAutospacing="1" w:after="100" w:afterAutospacing="1"/>
    </w:pPr>
  </w:style>
  <w:style w:type="character" w:styleId="PlaceholderText">
    <w:name w:val="Placeholder Text"/>
    <w:basedOn w:val="DefaultParagraphFont"/>
    <w:uiPriority w:val="99"/>
    <w:semiHidden/>
    <w:rsid w:val="00330C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3.png"/><Relationship Id="rId21" Type="http://schemas.openxmlformats.org/officeDocument/2006/relationships/image" Target="media/image9.png"/><Relationship Id="rId34" Type="http://schemas.openxmlformats.org/officeDocument/2006/relationships/image" Target="media/image20.emf"/><Relationship Id="rId42" Type="http://schemas.openxmlformats.org/officeDocument/2006/relationships/oleObject" Target="embeddings/oleObject4.bin"/><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6.pn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5.emf"/><Relationship Id="rId54" Type="http://schemas.openxmlformats.org/officeDocument/2006/relationships/image" Target="media/image35.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19.emf"/><Relationship Id="rId37" Type="http://schemas.openxmlformats.org/officeDocument/2006/relationships/image" Target="media/image22.emf"/><Relationship Id="rId40" Type="http://schemas.openxmlformats.org/officeDocument/2006/relationships/image" Target="media/image24.png"/><Relationship Id="rId45" Type="http://schemas.openxmlformats.org/officeDocument/2006/relationships/image" Target="media/image27.emf"/><Relationship Id="rId53" Type="http://schemas.openxmlformats.org/officeDocument/2006/relationships/image" Target="media/image34.png"/><Relationship Id="rId58" Type="http://schemas.openxmlformats.org/officeDocument/2006/relationships/image" Target="media/image38.png"/><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1.png"/><Relationship Id="rId49" Type="http://schemas.openxmlformats.org/officeDocument/2006/relationships/image" Target="media/image30.png"/><Relationship Id="rId57" Type="http://schemas.openxmlformats.org/officeDocument/2006/relationships/oleObject" Target="embeddings/oleObject7.bin"/><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png"/><Relationship Id="rId31" Type="http://schemas.microsoft.com/office/2007/relationships/hdphoto" Target="media/hdphoto3.wdp"/><Relationship Id="rId44" Type="http://schemas.openxmlformats.org/officeDocument/2006/relationships/oleObject" Target="embeddings/oleObject5.bin"/><Relationship Id="rId52" Type="http://schemas.openxmlformats.org/officeDocument/2006/relationships/image" Target="media/image33.png"/><Relationship Id="rId60" Type="http://schemas.openxmlformats.org/officeDocument/2006/relationships/image" Target="media/image4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oleObject" Target="embeddings/oleObject2.bin"/><Relationship Id="rId43" Type="http://schemas.openxmlformats.org/officeDocument/2006/relationships/image" Target="media/image26.emf"/><Relationship Id="rId48" Type="http://schemas.openxmlformats.org/officeDocument/2006/relationships/image" Target="media/image29.png"/><Relationship Id="rId56" Type="http://schemas.openxmlformats.org/officeDocument/2006/relationships/image" Target="media/image37.emf"/><Relationship Id="rId8" Type="http://schemas.openxmlformats.org/officeDocument/2006/relationships/header" Target="header1.xml"/><Relationship Id="rId51" Type="http://schemas.openxmlformats.org/officeDocument/2006/relationships/image" Target="media/image32.png"/><Relationship Id="rId3" Type="http://schemas.microsoft.com/office/2007/relationships/stylesWithEffects" Target="stylesWithEffects.xml"/><Relationship Id="rId12" Type="http://schemas.openxmlformats.org/officeDocument/2006/relationships/image" Target="media/image2.png"/><Relationship Id="rId17" Type="http://schemas.microsoft.com/office/2007/relationships/hdphoto" Target="media/hdphoto2.wdp"/><Relationship Id="rId25" Type="http://schemas.openxmlformats.org/officeDocument/2006/relationships/image" Target="media/image13.png"/><Relationship Id="rId33" Type="http://schemas.openxmlformats.org/officeDocument/2006/relationships/oleObject" Target="embeddings/oleObject1.bin"/><Relationship Id="rId38" Type="http://schemas.openxmlformats.org/officeDocument/2006/relationships/oleObject" Target="embeddings/oleObject3.bin"/><Relationship Id="rId46" Type="http://schemas.openxmlformats.org/officeDocument/2006/relationships/oleObject" Target="embeddings/oleObject6.bin"/><Relationship Id="rId59"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182</Pages>
  <Words>61518</Words>
  <Characters>350658</Characters>
  <Application>Microsoft Office Word</Application>
  <DocSecurity>0</DocSecurity>
  <Lines>2922</Lines>
  <Paragraphs>822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411354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Hamper</dc:creator>
  <cp:keywords/>
  <dc:description/>
  <cp:lastModifiedBy>Beth Hamper</cp:lastModifiedBy>
  <cp:revision>2</cp:revision>
  <dcterms:created xsi:type="dcterms:W3CDTF">2012-05-16T14:30:00Z</dcterms:created>
  <dcterms:modified xsi:type="dcterms:W3CDTF">2012-05-16T18:52:00Z</dcterms:modified>
</cp:coreProperties>
</file>