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BA65C" w14:textId="77777777" w:rsidR="00207B01" w:rsidRPr="000C7549" w:rsidRDefault="00207B01" w:rsidP="00207B01">
      <w:pPr>
        <w:pStyle w:val="Title"/>
      </w:pPr>
      <w:bookmarkStart w:id="0" w:name="_Hlk75285326"/>
      <w:bookmarkStart w:id="1" w:name="OLE_LINK1"/>
      <w:bookmarkStart w:id="2" w:name="OLE_LINK2"/>
      <w:bookmarkEnd w:id="0"/>
      <w:r w:rsidRPr="000C7549">
        <w:rPr>
          <w:lang w:val="en-US"/>
        </w:rPr>
        <w:t xml:space="preserve">SUPPLEMENTING </w:t>
      </w:r>
      <w:r w:rsidRPr="000C7549">
        <w:t>EAST TENNESSEE LANDSCAPES FOR POLLINATORS WITH NATIVE PERENNIALS</w:t>
      </w:r>
    </w:p>
    <w:p w14:paraId="71CA0005" w14:textId="77777777" w:rsidR="00207B01" w:rsidRPr="000C7549" w:rsidRDefault="00207B01" w:rsidP="00207B01">
      <w:pPr>
        <w:pStyle w:val="Title"/>
        <w:spacing w:line="480" w:lineRule="auto"/>
      </w:pPr>
      <w:r w:rsidRPr="000C7549">
        <w:tab/>
      </w:r>
    </w:p>
    <w:p w14:paraId="6D6FAF88" w14:textId="77777777" w:rsidR="00207B01" w:rsidRPr="000C7549" w:rsidRDefault="00207B01" w:rsidP="00207B01">
      <w:pPr>
        <w:pStyle w:val="Title"/>
        <w:spacing w:line="480" w:lineRule="auto"/>
        <w:ind w:left="2160" w:firstLine="720"/>
        <w:jc w:val="left"/>
      </w:pPr>
    </w:p>
    <w:p w14:paraId="70ADEE03" w14:textId="77777777" w:rsidR="00207B01" w:rsidRPr="000C7549" w:rsidRDefault="00207B01" w:rsidP="00207B01">
      <w:pPr>
        <w:pStyle w:val="Title"/>
        <w:spacing w:line="480" w:lineRule="auto"/>
        <w:ind w:left="2160" w:firstLine="720"/>
        <w:jc w:val="left"/>
      </w:pPr>
    </w:p>
    <w:p w14:paraId="5B90E1CC" w14:textId="77777777" w:rsidR="00207B01" w:rsidRPr="000C7549" w:rsidRDefault="00207B01" w:rsidP="00BD50DC">
      <w:pPr>
        <w:pStyle w:val="Title"/>
        <w:spacing w:line="480" w:lineRule="auto"/>
      </w:pPr>
      <w:r w:rsidRPr="000C7549">
        <w:t>A Thesis Presented for the</w:t>
      </w:r>
    </w:p>
    <w:p w14:paraId="603340EC" w14:textId="77777777" w:rsidR="00207B01" w:rsidRPr="000C7549" w:rsidRDefault="00207B01" w:rsidP="00BD50DC">
      <w:pPr>
        <w:pStyle w:val="Title"/>
        <w:spacing w:line="480" w:lineRule="auto"/>
      </w:pPr>
      <w:r w:rsidRPr="000C7549">
        <w:t>Master of Science</w:t>
      </w:r>
    </w:p>
    <w:p w14:paraId="294E9A91" w14:textId="77777777" w:rsidR="00207B01" w:rsidRPr="000C7549" w:rsidRDefault="00207B01" w:rsidP="00BD50DC">
      <w:pPr>
        <w:pStyle w:val="Title"/>
        <w:spacing w:line="480" w:lineRule="auto"/>
      </w:pPr>
      <w:r w:rsidRPr="000C7549">
        <w:t>Degree</w:t>
      </w:r>
    </w:p>
    <w:p w14:paraId="478C77AE" w14:textId="77777777" w:rsidR="00207B01" w:rsidRPr="000C7549" w:rsidRDefault="00207B01" w:rsidP="00BD50DC">
      <w:pPr>
        <w:pStyle w:val="Title"/>
        <w:spacing w:line="480" w:lineRule="auto"/>
      </w:pPr>
      <w:r w:rsidRPr="000C7549">
        <w:t>The University of Tennessee, Knoxville</w:t>
      </w:r>
    </w:p>
    <w:p w14:paraId="72D8213B" w14:textId="77777777" w:rsidR="00207B01" w:rsidRPr="000C7549" w:rsidRDefault="00207B01" w:rsidP="00207B01">
      <w:pPr>
        <w:pStyle w:val="Title"/>
        <w:spacing w:line="480" w:lineRule="auto"/>
      </w:pPr>
    </w:p>
    <w:p w14:paraId="687FB829" w14:textId="77777777" w:rsidR="00207B01" w:rsidRPr="000C7549" w:rsidRDefault="00207B01" w:rsidP="00207B01">
      <w:pPr>
        <w:pStyle w:val="Title"/>
        <w:spacing w:line="480" w:lineRule="auto"/>
      </w:pPr>
    </w:p>
    <w:p w14:paraId="06C8F41C" w14:textId="77777777" w:rsidR="00207B01" w:rsidRPr="000C7549" w:rsidRDefault="00207B01" w:rsidP="00207B01">
      <w:pPr>
        <w:pStyle w:val="Title"/>
        <w:spacing w:line="480" w:lineRule="auto"/>
      </w:pPr>
    </w:p>
    <w:p w14:paraId="66498945" w14:textId="77777777" w:rsidR="00207B01" w:rsidRPr="000C7549" w:rsidRDefault="00207B01" w:rsidP="00207B01">
      <w:pPr>
        <w:pStyle w:val="Title"/>
        <w:spacing w:line="480" w:lineRule="auto"/>
      </w:pPr>
    </w:p>
    <w:p w14:paraId="2E2417A0" w14:textId="77777777" w:rsidR="00207B01" w:rsidRPr="000C7549" w:rsidRDefault="00207B01" w:rsidP="00207B01">
      <w:pPr>
        <w:pStyle w:val="Title"/>
        <w:spacing w:line="480" w:lineRule="auto"/>
      </w:pPr>
    </w:p>
    <w:p w14:paraId="39AB1CC2" w14:textId="77777777" w:rsidR="00207B01" w:rsidRPr="000C7549" w:rsidRDefault="00207B01" w:rsidP="00207B01">
      <w:pPr>
        <w:pStyle w:val="Title"/>
        <w:spacing w:line="480" w:lineRule="auto"/>
      </w:pPr>
    </w:p>
    <w:p w14:paraId="747B0AD3" w14:textId="77777777" w:rsidR="00207B01" w:rsidRPr="000C7549" w:rsidRDefault="00207B01" w:rsidP="00207B01">
      <w:pPr>
        <w:pStyle w:val="Title"/>
        <w:spacing w:line="480" w:lineRule="auto"/>
        <w:jc w:val="left"/>
      </w:pPr>
    </w:p>
    <w:p w14:paraId="2F5B4461" w14:textId="77777777" w:rsidR="00207B01" w:rsidRPr="000C7549" w:rsidRDefault="00207B01" w:rsidP="00207B01">
      <w:pPr>
        <w:pStyle w:val="Title"/>
        <w:spacing w:line="480" w:lineRule="auto"/>
      </w:pPr>
    </w:p>
    <w:p w14:paraId="5B5AFD4D" w14:textId="77777777" w:rsidR="00207B01" w:rsidRPr="000C7549" w:rsidRDefault="00207B01" w:rsidP="00207B01">
      <w:pPr>
        <w:pStyle w:val="Title"/>
        <w:spacing w:line="480" w:lineRule="auto"/>
      </w:pPr>
      <w:r w:rsidRPr="000C7549">
        <w:t>Amani Khalil</w:t>
      </w:r>
    </w:p>
    <w:p w14:paraId="4CB4586D" w14:textId="26FDE250" w:rsidR="00207B01" w:rsidRPr="000C7549" w:rsidRDefault="00BD50D6" w:rsidP="00207B01">
      <w:pPr>
        <w:pStyle w:val="Title"/>
        <w:spacing w:line="480" w:lineRule="auto"/>
      </w:pPr>
      <w:r w:rsidRPr="000C7549">
        <w:t>August</w:t>
      </w:r>
      <w:r w:rsidR="00207B01" w:rsidRPr="000C7549">
        <w:t xml:space="preserve"> 2021</w:t>
      </w:r>
    </w:p>
    <w:p w14:paraId="3DB12530" w14:textId="77777777" w:rsidR="00207B01" w:rsidRPr="000C7549" w:rsidRDefault="00207B01" w:rsidP="00207B01">
      <w:pPr>
        <w:spacing w:line="480" w:lineRule="auto"/>
        <w:rPr>
          <w:rFonts w:ascii="Arial" w:hAnsi="Arial" w:cs="Arial"/>
        </w:rPr>
      </w:pPr>
    </w:p>
    <w:p w14:paraId="4FEC893D" w14:textId="77777777" w:rsidR="00207B01" w:rsidRPr="000C7549" w:rsidRDefault="00207B01" w:rsidP="00207B01">
      <w:pPr>
        <w:spacing w:line="480" w:lineRule="auto"/>
        <w:rPr>
          <w:rFonts w:ascii="Arial" w:hAnsi="Arial" w:cs="Arial"/>
        </w:rPr>
      </w:pPr>
    </w:p>
    <w:p w14:paraId="4059CB17" w14:textId="77777777" w:rsidR="00207B01" w:rsidRPr="000C7549" w:rsidRDefault="00207B01" w:rsidP="00207B01">
      <w:pPr>
        <w:pStyle w:val="Title"/>
        <w:spacing w:line="480" w:lineRule="auto"/>
      </w:pPr>
      <w:r w:rsidRPr="000C7549">
        <w:br w:type="page"/>
      </w:r>
      <w:r w:rsidRPr="000C7549">
        <w:lastRenderedPageBreak/>
        <w:t>DEDICATION</w:t>
      </w:r>
    </w:p>
    <w:p w14:paraId="4FD11AB4" w14:textId="4CACD751" w:rsidR="00207B01" w:rsidRPr="000C7549" w:rsidRDefault="00207B01" w:rsidP="00207B01">
      <w:pPr>
        <w:spacing w:line="480" w:lineRule="auto"/>
        <w:jc w:val="center"/>
        <w:rPr>
          <w:rFonts w:ascii="Arial" w:hAnsi="Arial" w:cs="Arial"/>
          <w:i/>
          <w:iCs/>
        </w:rPr>
      </w:pPr>
      <w:r w:rsidRPr="000C7549">
        <w:rPr>
          <w:rFonts w:ascii="Arial" w:hAnsi="Arial" w:cs="Arial"/>
          <w:i/>
          <w:iCs/>
        </w:rPr>
        <w:t>To everyone that</w:t>
      </w:r>
      <w:r w:rsidR="00B62CB3" w:rsidRPr="000C7549">
        <w:rPr>
          <w:rFonts w:ascii="Arial" w:hAnsi="Arial" w:cs="Arial"/>
          <w:i/>
          <w:iCs/>
        </w:rPr>
        <w:t xml:space="preserve"> </w:t>
      </w:r>
      <w:r w:rsidR="00AA3062" w:rsidRPr="000C7549">
        <w:rPr>
          <w:rFonts w:ascii="Arial" w:hAnsi="Arial" w:cs="Arial"/>
          <w:i/>
          <w:iCs/>
        </w:rPr>
        <w:t>helped</w:t>
      </w:r>
      <w:r w:rsidRPr="000C7549">
        <w:rPr>
          <w:rFonts w:ascii="Arial" w:hAnsi="Arial" w:cs="Arial"/>
          <w:i/>
          <w:iCs/>
        </w:rPr>
        <w:t xml:space="preserve"> me along this windy road, this </w:t>
      </w:r>
      <w:r w:rsidR="00336F78" w:rsidRPr="000C7549">
        <w:rPr>
          <w:rFonts w:ascii="Arial" w:hAnsi="Arial" w:cs="Arial"/>
          <w:i/>
          <w:iCs/>
        </w:rPr>
        <w:t>is</w:t>
      </w:r>
      <w:r w:rsidRPr="000C7549">
        <w:rPr>
          <w:rFonts w:ascii="Arial" w:hAnsi="Arial" w:cs="Arial"/>
          <w:i/>
          <w:iCs/>
        </w:rPr>
        <w:t xml:space="preserve"> for you. </w:t>
      </w:r>
    </w:p>
    <w:p w14:paraId="23FA5411" w14:textId="77777777" w:rsidR="00207B01" w:rsidRPr="000C7549" w:rsidRDefault="00207B01" w:rsidP="00207B01">
      <w:pPr>
        <w:pStyle w:val="Title"/>
        <w:spacing w:line="480" w:lineRule="auto"/>
      </w:pPr>
      <w:r w:rsidRPr="000C7549">
        <w:br w:type="page"/>
      </w:r>
      <w:r w:rsidRPr="000C7549">
        <w:lastRenderedPageBreak/>
        <w:t>ACKNOWLEDGEMENTS</w:t>
      </w:r>
    </w:p>
    <w:p w14:paraId="5577E07F" w14:textId="0916DEE1" w:rsidR="00207B01" w:rsidRPr="000C7549" w:rsidRDefault="00207B01" w:rsidP="00EC3681">
      <w:pPr>
        <w:spacing w:line="480" w:lineRule="auto"/>
        <w:ind w:firstLine="720"/>
        <w:rPr>
          <w:rFonts w:ascii="Arial" w:hAnsi="Arial" w:cs="Arial"/>
        </w:rPr>
      </w:pPr>
      <w:r w:rsidRPr="000C7549">
        <w:rPr>
          <w:rFonts w:ascii="Arial" w:hAnsi="Arial" w:cs="Arial"/>
        </w:rPr>
        <w:t>None of this work would have been possible without the following individuals for their support and assistance in establishing our research plots, Director John (Walt) Hitch of the Plateau AgResearch and Education Center, Director Kevin P. Hoyt of the Forest Resources AgResearch and Education Center, Director James Newburn and Holly Jones of the UT Gardens, and Director Bobby Simpson and Bill Lively of the East Tennessee AgResearch and Education Center, and all of the support staff at each of these University of Tennessee affiliated locations. I would like to formally acknowledge the financial support for my assistantship from the University of Tennessee, the University of Tennessee Institute of Agriculture, the Entomology and Plant Pathology Department</w:t>
      </w:r>
      <w:r w:rsidR="001A6CD9" w:rsidRPr="000C7549">
        <w:rPr>
          <w:rFonts w:ascii="Arial" w:hAnsi="Arial" w:cs="Arial"/>
        </w:rPr>
        <w:t>,</w:t>
      </w:r>
      <w:r w:rsidRPr="000C7549">
        <w:rPr>
          <w:rFonts w:ascii="Arial" w:hAnsi="Arial" w:cs="Arial"/>
        </w:rPr>
        <w:t xml:space="preserve"> and the Ecology and Evolutionary Biology Department for my Graduate Assistantship funding. Additional funding was supported by Bayer AG, Feed a Bee grant. I would also like to acknowledge my committee members Dr. Mona Papeş and Dr. Virginia Sykes, for their time and expertise throughout my research. Last, but certainly not least, I want to extend my sincere appreciation to Dr. Laura Russo and </w:t>
      </w:r>
      <w:r w:rsidR="006A3F5A" w:rsidRPr="000C7549">
        <w:rPr>
          <w:rFonts w:ascii="Arial" w:hAnsi="Arial" w:cs="Arial"/>
        </w:rPr>
        <w:t>the Russo lab</w:t>
      </w:r>
      <w:r w:rsidRPr="000C7549">
        <w:rPr>
          <w:rFonts w:ascii="Arial" w:hAnsi="Arial" w:cs="Arial"/>
        </w:rPr>
        <w:t xml:space="preserve">. I’m forever grateful to Dr. Russo, for her patience and </w:t>
      </w:r>
      <w:r w:rsidR="00E44B11" w:rsidRPr="000C7549">
        <w:rPr>
          <w:rFonts w:ascii="Arial" w:hAnsi="Arial" w:cs="Arial"/>
        </w:rPr>
        <w:t>open-mindedness</w:t>
      </w:r>
      <w:r w:rsidRPr="000C7549">
        <w:rPr>
          <w:rFonts w:ascii="Arial" w:hAnsi="Arial" w:cs="Arial"/>
        </w:rPr>
        <w:t xml:space="preserve">, and for opening an </w:t>
      </w:r>
      <w:r w:rsidR="00E44B11" w:rsidRPr="000C7549">
        <w:rPr>
          <w:rFonts w:ascii="Arial" w:hAnsi="Arial" w:cs="Arial"/>
        </w:rPr>
        <w:t>out-of-the-blue</w:t>
      </w:r>
      <w:r w:rsidRPr="000C7549">
        <w:rPr>
          <w:rFonts w:ascii="Arial" w:hAnsi="Arial" w:cs="Arial"/>
        </w:rPr>
        <w:t xml:space="preserve"> email almost four years ago. Here’s to turtle science! </w:t>
      </w:r>
    </w:p>
    <w:p w14:paraId="72EC5D8C" w14:textId="77777777" w:rsidR="00207B01" w:rsidRPr="000C7549" w:rsidRDefault="00207B01" w:rsidP="00207B01">
      <w:pPr>
        <w:spacing w:line="480" w:lineRule="auto"/>
        <w:rPr>
          <w:rFonts w:ascii="Arial" w:hAnsi="Arial" w:cs="Arial"/>
        </w:rPr>
      </w:pPr>
    </w:p>
    <w:p w14:paraId="70CDB5E6" w14:textId="77777777" w:rsidR="00207B01" w:rsidRPr="000C7549" w:rsidRDefault="00207B01" w:rsidP="00207B01">
      <w:pPr>
        <w:spacing w:line="480" w:lineRule="auto"/>
        <w:rPr>
          <w:rFonts w:ascii="Arial" w:hAnsi="Arial" w:cs="Arial"/>
        </w:rPr>
      </w:pPr>
    </w:p>
    <w:p w14:paraId="1EC82414" w14:textId="77777777" w:rsidR="00207B01" w:rsidRPr="000C7549" w:rsidRDefault="00207B01" w:rsidP="00207B01">
      <w:pPr>
        <w:spacing w:line="480" w:lineRule="auto"/>
        <w:rPr>
          <w:rFonts w:ascii="Arial" w:hAnsi="Arial" w:cs="Arial"/>
        </w:rPr>
      </w:pPr>
    </w:p>
    <w:p w14:paraId="7F1CDFEA" w14:textId="77777777" w:rsidR="00207B01" w:rsidRPr="000C7549" w:rsidRDefault="00207B01" w:rsidP="00207B01">
      <w:pPr>
        <w:pStyle w:val="Title"/>
        <w:spacing w:line="480" w:lineRule="auto"/>
      </w:pPr>
      <w:r w:rsidRPr="000C7549">
        <w:br w:type="page"/>
      </w:r>
      <w:r w:rsidRPr="000C7549">
        <w:lastRenderedPageBreak/>
        <w:t>ABSTRACT</w:t>
      </w:r>
    </w:p>
    <w:p w14:paraId="767A7D6A" w14:textId="5FE331CA" w:rsidR="00E11413" w:rsidRPr="00E411AD" w:rsidRDefault="00207B01" w:rsidP="00956693">
      <w:pPr>
        <w:spacing w:line="480" w:lineRule="auto"/>
        <w:ind w:firstLine="720"/>
        <w:rPr>
          <w:rFonts w:ascii="Arial" w:hAnsi="Arial" w:cs="Arial"/>
          <w:color w:val="000000" w:themeColor="text1"/>
        </w:rPr>
      </w:pPr>
      <w:r w:rsidRPr="00E411AD">
        <w:rPr>
          <w:rFonts w:ascii="Arial" w:hAnsi="Arial" w:cs="Arial"/>
          <w:color w:val="000000" w:themeColor="text1"/>
        </w:rPr>
        <w:t xml:space="preserve">Tennessee, home to the Great Smoky Mountains, is a biodiversity hotspot for many plant and animal species, yet it receives relatively few conservation dollars </w:t>
      </w:r>
      <w:r w:rsidRPr="00E411AD">
        <w:rPr>
          <w:rFonts w:ascii="Arial" w:hAnsi="Arial" w:cs="Arial"/>
          <w:color w:val="000000" w:themeColor="text1"/>
        </w:rPr>
        <w:fldChar w:fldCharType="begin"/>
      </w:r>
      <w:r w:rsidRPr="00E411AD">
        <w:rPr>
          <w:rFonts w:ascii="Arial" w:hAnsi="Arial" w:cs="Arial"/>
          <w:color w:val="000000" w:themeColor="text1"/>
        </w:rPr>
        <w:instrText xml:space="preserve"> ADDIN ZOTERO_ITEM CSL_CITATION {"citationID":"waIBQkTn","properties":{"formattedCitation":"(Jenkins et al., 2015)","plainCitation":"(Jenkins et al., 2015)","noteIndex":0},"citationItems":[{"id":38,"uris":["http://zotero.org/users/6034784/items/FPA3IXUU"],"uri":["http://zotero.org/users/6034784/items/FPA3IXUU"],"itemData":{"id":38,"type":"article-journal","abstract":"Because habitat loss is the main cause of extinction, where and how much society chooses to protect is vital for saving species. The United States is well positioned economically and politically to pursue habitat conservation should it be a societal goal. We assessed the US protected area portfolio with respect to biodiversity in the country. New synthesis maps for terrestrial vertebrates, freshwater fish, and trees permit comparison with protected areas to identify priorities for future conservation investment. Although the total area protected is substantial, its geographic configuration is nearly the opposite of patterns of endemism within the country. Most protected lands are in the West, whereas the vulnerable species are largely in the Southeast. Private land protections are significant, but they are not concentrated where the priorities are. To adequately protect the nation’s unique biodiversity, we recommend specific areas deserving additional protection, some of them including public lands, but many others requiring private investment.","container-title":"Proceedings of the National Academy of Sciences","DOI":"10.1073/pnas.1418034112","ISSN":"0027-8424, 1091-6490","issue":"16","journalAbbreviation":"Proc Natl Acad Sci USA","language":"en","page":"5081-5086","source":"DOI.org (Crossref)","title":"US protected lands mismatch biodiversity priorities","volume":"112","author":[{"family":"Jenkins","given":"Clinton N."},{"family":"Van Houtan","given":"Kyle S."},{"family":"Pimm","given":"Stuart L."},{"family":"Sexton","given":"Joseph O."}],"issued":{"date-parts":[["2015",4,21]]}}}],"schema":"https://github.com/citation-style-language/schema/raw/master/csl-citation.json"} </w:instrText>
      </w:r>
      <w:r w:rsidRPr="00E411AD">
        <w:rPr>
          <w:rFonts w:ascii="Arial" w:hAnsi="Arial" w:cs="Arial"/>
          <w:color w:val="000000" w:themeColor="text1"/>
        </w:rPr>
        <w:fldChar w:fldCharType="separate"/>
      </w:r>
      <w:r w:rsidRPr="00E411AD">
        <w:rPr>
          <w:rFonts w:ascii="Arial" w:hAnsi="Arial" w:cs="Arial"/>
          <w:color w:val="000000" w:themeColor="text1"/>
        </w:rPr>
        <w:t>(Jenkins et al., 2015)</w:t>
      </w:r>
      <w:r w:rsidRPr="00E411AD">
        <w:rPr>
          <w:rFonts w:ascii="Arial" w:hAnsi="Arial" w:cs="Arial"/>
          <w:color w:val="000000" w:themeColor="text1"/>
        </w:rPr>
        <w:fldChar w:fldCharType="end"/>
      </w:r>
      <w:r w:rsidRPr="00E411AD">
        <w:rPr>
          <w:rFonts w:ascii="Arial" w:hAnsi="Arial" w:cs="Arial"/>
          <w:color w:val="000000" w:themeColor="text1"/>
        </w:rPr>
        <w:t xml:space="preserve">. </w:t>
      </w:r>
      <w:r w:rsidR="00162B1F" w:rsidRPr="00E411AD">
        <w:rPr>
          <w:rFonts w:ascii="Arial" w:hAnsi="Arial" w:cs="Arial"/>
          <w:color w:val="000000" w:themeColor="text1"/>
        </w:rPr>
        <w:t xml:space="preserve">Despite East Tennessee’s </w:t>
      </w:r>
      <w:r w:rsidRPr="00E411AD">
        <w:rPr>
          <w:rFonts w:ascii="Arial" w:hAnsi="Arial" w:cs="Arial"/>
          <w:color w:val="000000" w:themeColor="text1"/>
        </w:rPr>
        <w:t>biodiversity hotspot</w:t>
      </w:r>
      <w:r w:rsidR="00162B1F" w:rsidRPr="00E411AD">
        <w:rPr>
          <w:rFonts w:ascii="Arial" w:hAnsi="Arial" w:cs="Arial"/>
          <w:color w:val="000000" w:themeColor="text1"/>
        </w:rPr>
        <w:t xml:space="preserve"> status</w:t>
      </w:r>
      <w:r w:rsidRPr="00E411AD">
        <w:rPr>
          <w:rFonts w:ascii="Arial" w:hAnsi="Arial" w:cs="Arial"/>
          <w:color w:val="000000" w:themeColor="text1"/>
        </w:rPr>
        <w:t>, little is known about the abundance or diversity of insect pollinators. In order to both estimate pollinator communities in East Tennessee and pollinator forage preferences for native Tennessee plants, we established four plots</w:t>
      </w:r>
      <w:r w:rsidR="00956693" w:rsidRPr="00E411AD">
        <w:rPr>
          <w:rFonts w:ascii="Arial" w:hAnsi="Arial" w:cs="Arial"/>
          <w:color w:val="000000" w:themeColor="text1"/>
        </w:rPr>
        <w:t xml:space="preserve"> comprised of three plant families across five common land use types</w:t>
      </w:r>
      <w:r w:rsidR="00E411AD" w:rsidRPr="00E411AD">
        <w:rPr>
          <w:rFonts w:ascii="Arial" w:hAnsi="Arial" w:cs="Arial"/>
          <w:color w:val="000000" w:themeColor="text1"/>
        </w:rPr>
        <w:t xml:space="preserve"> (Urban, Semi-natural, Cattle </w:t>
      </w:r>
      <w:r w:rsidR="003A6000">
        <w:rPr>
          <w:rFonts w:ascii="Arial" w:hAnsi="Arial" w:cs="Arial"/>
          <w:color w:val="000000" w:themeColor="text1"/>
        </w:rPr>
        <w:t>Pasture</w:t>
      </w:r>
      <w:r w:rsidR="00E411AD" w:rsidRPr="00E411AD">
        <w:rPr>
          <w:rFonts w:ascii="Arial" w:hAnsi="Arial" w:cs="Arial"/>
          <w:color w:val="000000" w:themeColor="text1"/>
        </w:rPr>
        <w:t>, Mixed Use Agriculture, and Organic Agriculture)</w:t>
      </w:r>
      <w:r w:rsidR="00956693" w:rsidRPr="00E411AD">
        <w:rPr>
          <w:rFonts w:ascii="Arial" w:hAnsi="Arial" w:cs="Arial"/>
          <w:color w:val="000000" w:themeColor="text1"/>
        </w:rPr>
        <w:t xml:space="preserve">. Each plot represented a plant family, while the one plot included a combination of all three plant families. </w:t>
      </w:r>
    </w:p>
    <w:p w14:paraId="1C53D978" w14:textId="5F1F4600" w:rsidR="00207B01" w:rsidRPr="00E411AD" w:rsidRDefault="00207B01" w:rsidP="00EC3681">
      <w:pPr>
        <w:spacing w:line="480" w:lineRule="auto"/>
        <w:ind w:firstLine="720"/>
        <w:rPr>
          <w:rFonts w:ascii="Arial" w:hAnsi="Arial" w:cs="Arial"/>
          <w:color w:val="000000" w:themeColor="text1"/>
        </w:rPr>
      </w:pPr>
      <w:r w:rsidRPr="00E411AD">
        <w:rPr>
          <w:rFonts w:ascii="Arial" w:hAnsi="Arial" w:cs="Arial"/>
          <w:color w:val="000000" w:themeColor="text1"/>
        </w:rPr>
        <w:t>Over two field seasons</w:t>
      </w:r>
      <w:r w:rsidR="00E44B11" w:rsidRPr="00E411AD">
        <w:rPr>
          <w:rFonts w:ascii="Arial" w:hAnsi="Arial" w:cs="Arial"/>
          <w:color w:val="000000" w:themeColor="text1"/>
        </w:rPr>
        <w:t>,</w:t>
      </w:r>
      <w:r w:rsidRPr="00E411AD">
        <w:rPr>
          <w:rFonts w:ascii="Arial" w:hAnsi="Arial" w:cs="Arial"/>
          <w:color w:val="000000" w:themeColor="text1"/>
        </w:rPr>
        <w:t xml:space="preserve"> we collected nearly 7,300 insect specimens with a total sampling effort of 101.3 hours. A majority of the specimens we collected were wild bees, over 4,500 individuals from 99 species. The plant species with the highest visitation rate was </w:t>
      </w:r>
      <w:r w:rsidRPr="00E411AD">
        <w:rPr>
          <w:rFonts w:ascii="Arial" w:hAnsi="Arial" w:cs="Arial"/>
          <w:i/>
          <w:iCs/>
          <w:color w:val="000000" w:themeColor="text1"/>
        </w:rPr>
        <w:t>Pycnanthemum muticum</w:t>
      </w:r>
      <w:r w:rsidRPr="00E411AD">
        <w:rPr>
          <w:rFonts w:ascii="Arial" w:hAnsi="Arial" w:cs="Arial"/>
          <w:color w:val="000000" w:themeColor="text1"/>
        </w:rPr>
        <w:t>. The treatment with the highest visitation rate was our Mixed treatment. In other words, the most diverse plot</w:t>
      </w:r>
      <w:r w:rsidR="00162B1F" w:rsidRPr="00E411AD">
        <w:rPr>
          <w:rFonts w:ascii="Arial" w:hAnsi="Arial" w:cs="Arial"/>
          <w:color w:val="000000" w:themeColor="text1"/>
        </w:rPr>
        <w:t>s</w:t>
      </w:r>
      <w:r w:rsidRPr="00E411AD">
        <w:rPr>
          <w:rFonts w:ascii="Arial" w:hAnsi="Arial" w:cs="Arial"/>
          <w:color w:val="000000" w:themeColor="text1"/>
        </w:rPr>
        <w:t xml:space="preserve">, at the family level, were the most attractive to pollinators. We were also able to characterize the pollinator community in the region, thus providing </w:t>
      </w:r>
      <w:r w:rsidR="00E44B11" w:rsidRPr="00E411AD">
        <w:rPr>
          <w:rFonts w:ascii="Arial" w:hAnsi="Arial" w:cs="Arial"/>
          <w:color w:val="000000" w:themeColor="text1"/>
        </w:rPr>
        <w:t>species-level</w:t>
      </w:r>
      <w:r w:rsidRPr="00E411AD">
        <w:rPr>
          <w:rFonts w:ascii="Arial" w:hAnsi="Arial" w:cs="Arial"/>
          <w:color w:val="000000" w:themeColor="text1"/>
        </w:rPr>
        <w:t xml:space="preserve"> data for bees found across three eastern Tennessee counties.</w:t>
      </w:r>
    </w:p>
    <w:p w14:paraId="74C4E659" w14:textId="77777777" w:rsidR="00E411AD" w:rsidRPr="00E411AD" w:rsidRDefault="00207B01" w:rsidP="00E411AD">
      <w:pPr>
        <w:spacing w:line="480" w:lineRule="auto"/>
        <w:rPr>
          <w:rFonts w:ascii="Arial" w:hAnsi="Arial" w:cs="Arial"/>
          <w:color w:val="000000" w:themeColor="text1"/>
        </w:rPr>
      </w:pPr>
      <w:r w:rsidRPr="00E411AD">
        <w:rPr>
          <w:rFonts w:ascii="Arial" w:hAnsi="Arial" w:cs="Arial"/>
          <w:color w:val="000000" w:themeColor="text1"/>
        </w:rPr>
        <w:t xml:space="preserve">We expanded our findings to explore potential </w:t>
      </w:r>
      <w:r w:rsidR="00E44B11" w:rsidRPr="00E411AD">
        <w:rPr>
          <w:rFonts w:ascii="Arial" w:hAnsi="Arial" w:cs="Arial"/>
          <w:color w:val="000000" w:themeColor="text1"/>
        </w:rPr>
        <w:t>landscape</w:t>
      </w:r>
      <w:r w:rsidR="00162B1F" w:rsidRPr="00E411AD">
        <w:rPr>
          <w:rFonts w:ascii="Arial" w:hAnsi="Arial" w:cs="Arial"/>
          <w:color w:val="000000" w:themeColor="text1"/>
        </w:rPr>
        <w:t xml:space="preserve"> </w:t>
      </w:r>
      <w:r w:rsidR="00E44B11" w:rsidRPr="00E411AD">
        <w:rPr>
          <w:rFonts w:ascii="Arial" w:hAnsi="Arial" w:cs="Arial"/>
          <w:color w:val="000000" w:themeColor="text1"/>
        </w:rPr>
        <w:t>level</w:t>
      </w:r>
      <w:r w:rsidRPr="00E411AD">
        <w:rPr>
          <w:rFonts w:ascii="Arial" w:hAnsi="Arial" w:cs="Arial"/>
          <w:color w:val="000000" w:themeColor="text1"/>
        </w:rPr>
        <w:t xml:space="preserve"> effects on pollinator communities. Through landscape analysis, we did not find any relationships between species richness or abundance and land cover </w:t>
      </w:r>
      <w:r w:rsidRPr="00E411AD">
        <w:rPr>
          <w:rFonts w:ascii="Arial" w:hAnsi="Arial" w:cs="Arial"/>
          <w:color w:val="000000" w:themeColor="text1"/>
        </w:rPr>
        <w:lastRenderedPageBreak/>
        <w:t xml:space="preserve">classification. However, these findings may be largely due to the relative heterogeneity at each of the study sites. </w:t>
      </w:r>
      <w:r w:rsidR="00E411AD" w:rsidRPr="00E411AD">
        <w:rPr>
          <w:rFonts w:ascii="Arial" w:hAnsi="Arial" w:cs="Arial"/>
          <w:color w:val="000000" w:themeColor="text1"/>
        </w:rPr>
        <w:t xml:space="preserve">We found the highest abundances and species richness in our agriculture study sites, which offers substantial support to the incorporation of native perennial plantings in agricultural systems. We found the Organic Agriculture block to have the greatest bee species abundance and bee species richness.  </w:t>
      </w:r>
    </w:p>
    <w:p w14:paraId="57CA912E" w14:textId="4DCD442B" w:rsidR="00207B01" w:rsidRPr="00E411AD" w:rsidRDefault="00207B01" w:rsidP="00E411AD">
      <w:pPr>
        <w:spacing w:line="480" w:lineRule="auto"/>
        <w:ind w:firstLine="720"/>
        <w:rPr>
          <w:rFonts w:ascii="Arial" w:hAnsi="Arial" w:cs="Arial"/>
          <w:color w:val="000000" w:themeColor="text1"/>
        </w:rPr>
      </w:pPr>
      <w:r w:rsidRPr="00E411AD">
        <w:rPr>
          <w:rFonts w:ascii="Arial" w:hAnsi="Arial" w:cs="Arial"/>
          <w:color w:val="000000" w:themeColor="text1"/>
        </w:rPr>
        <w:t xml:space="preserve">Ultimately, as the first study in East Tennessee to document pollinator forage preferences for native perennial plantings across multiple land use types, we found strong support for the integration of native perennial plantings to support pollinator conservation across the region. </w:t>
      </w:r>
    </w:p>
    <w:p w14:paraId="0CE7EBE0" w14:textId="77777777" w:rsidR="00207B01" w:rsidRPr="000C7549" w:rsidRDefault="00207B01" w:rsidP="00207B01">
      <w:pPr>
        <w:spacing w:line="480" w:lineRule="auto"/>
        <w:rPr>
          <w:rFonts w:ascii="Arial" w:hAnsi="Arial" w:cs="Arial"/>
        </w:rPr>
      </w:pPr>
    </w:p>
    <w:p w14:paraId="3850B370" w14:textId="77777777" w:rsidR="00207B01" w:rsidRPr="000C7549" w:rsidRDefault="00207B01" w:rsidP="00207B01">
      <w:pPr>
        <w:spacing w:line="480" w:lineRule="auto"/>
        <w:rPr>
          <w:rFonts w:ascii="Arial" w:hAnsi="Arial" w:cs="Arial"/>
        </w:rPr>
      </w:pPr>
    </w:p>
    <w:p w14:paraId="0B0098F9" w14:textId="77777777" w:rsidR="00207B01" w:rsidRPr="000C7549" w:rsidRDefault="00207B01" w:rsidP="00207B01">
      <w:pPr>
        <w:spacing w:line="480" w:lineRule="auto"/>
        <w:rPr>
          <w:rFonts w:ascii="Arial" w:hAnsi="Arial" w:cs="Arial"/>
        </w:rPr>
      </w:pPr>
      <w:r w:rsidRPr="000C7549">
        <w:rPr>
          <w:rFonts w:ascii="Arial" w:hAnsi="Arial" w:cs="Arial"/>
        </w:rPr>
        <w:br w:type="page"/>
      </w:r>
    </w:p>
    <w:p w14:paraId="30F92E4C" w14:textId="77777777" w:rsidR="00207B01" w:rsidRPr="000C7549" w:rsidRDefault="00207B01" w:rsidP="00D730F0">
      <w:pPr>
        <w:pStyle w:val="Title"/>
      </w:pPr>
      <w:r w:rsidRPr="000C7549">
        <w:lastRenderedPageBreak/>
        <w:t>TABLE OF CONTENTS</w:t>
      </w:r>
    </w:p>
    <w:p w14:paraId="6C68EF65" w14:textId="0D895D27" w:rsidR="00D730F0" w:rsidRDefault="00207B01" w:rsidP="00D730F0">
      <w:pPr>
        <w:pStyle w:val="TOC1"/>
        <w:spacing w:line="240" w:lineRule="auto"/>
        <w:rPr>
          <w:rFonts w:asciiTheme="minorHAnsi" w:eastAsiaTheme="minorEastAsia" w:hAnsiTheme="minorHAnsi" w:cstheme="minorBidi"/>
          <w:noProof/>
        </w:rPr>
      </w:pPr>
      <w:r w:rsidRPr="000C7549">
        <w:fldChar w:fldCharType="begin"/>
      </w:r>
      <w:r w:rsidRPr="000C7549">
        <w:instrText xml:space="preserve"> TOC \o "1-3" \h \z \u </w:instrText>
      </w:r>
      <w:r w:rsidRPr="000C7549">
        <w:fldChar w:fldCharType="separate"/>
      </w:r>
      <w:hyperlink w:anchor="_Toc76799693" w:history="1">
        <w:r w:rsidR="00D730F0" w:rsidRPr="00EB063E">
          <w:rPr>
            <w:rStyle w:val="Hyperlink"/>
            <w:rFonts w:eastAsiaTheme="majorEastAsia"/>
            <w:noProof/>
          </w:rPr>
          <w:t>INTRODUCTION</w:t>
        </w:r>
        <w:r w:rsidR="00D730F0">
          <w:rPr>
            <w:noProof/>
            <w:webHidden/>
          </w:rPr>
          <w:tab/>
        </w:r>
        <w:r w:rsidR="00D730F0">
          <w:rPr>
            <w:noProof/>
            <w:webHidden/>
          </w:rPr>
          <w:fldChar w:fldCharType="begin"/>
        </w:r>
        <w:r w:rsidR="00D730F0">
          <w:rPr>
            <w:noProof/>
            <w:webHidden/>
          </w:rPr>
          <w:instrText xml:space="preserve"> PAGEREF _Toc76799693 \h </w:instrText>
        </w:r>
        <w:r w:rsidR="00D730F0">
          <w:rPr>
            <w:noProof/>
            <w:webHidden/>
          </w:rPr>
        </w:r>
        <w:r w:rsidR="00D730F0">
          <w:rPr>
            <w:noProof/>
            <w:webHidden/>
          </w:rPr>
          <w:fldChar w:fldCharType="separate"/>
        </w:r>
        <w:r w:rsidR="00D730F0">
          <w:rPr>
            <w:noProof/>
            <w:webHidden/>
          </w:rPr>
          <w:t>1</w:t>
        </w:r>
        <w:r w:rsidR="00D730F0">
          <w:rPr>
            <w:noProof/>
            <w:webHidden/>
          </w:rPr>
          <w:fldChar w:fldCharType="end"/>
        </w:r>
      </w:hyperlink>
    </w:p>
    <w:p w14:paraId="10B4DDD8" w14:textId="0A8F8FD5" w:rsidR="00D730F0" w:rsidRDefault="00D730F0" w:rsidP="00D730F0">
      <w:pPr>
        <w:pStyle w:val="TOC1"/>
        <w:spacing w:line="240" w:lineRule="auto"/>
        <w:rPr>
          <w:rFonts w:asciiTheme="minorHAnsi" w:eastAsiaTheme="minorEastAsia" w:hAnsiTheme="minorHAnsi" w:cstheme="minorBidi"/>
          <w:noProof/>
        </w:rPr>
      </w:pPr>
      <w:hyperlink w:anchor="_Toc76799694" w:history="1">
        <w:r w:rsidRPr="00EB063E">
          <w:rPr>
            <w:rStyle w:val="Hyperlink"/>
            <w:rFonts w:eastAsiaTheme="majorEastAsia"/>
            <w:noProof/>
          </w:rPr>
          <w:t>CHAPTER I AN OVERVIEW OF BEE BIOLOGY AND FLORAL RESOURCE USE</w:t>
        </w:r>
        <w:r>
          <w:rPr>
            <w:noProof/>
            <w:webHidden/>
          </w:rPr>
          <w:tab/>
        </w:r>
        <w:r>
          <w:rPr>
            <w:noProof/>
            <w:webHidden/>
          </w:rPr>
          <w:fldChar w:fldCharType="begin"/>
        </w:r>
        <w:r>
          <w:rPr>
            <w:noProof/>
            <w:webHidden/>
          </w:rPr>
          <w:instrText xml:space="preserve"> PAGEREF _Toc76799694 \h </w:instrText>
        </w:r>
        <w:r>
          <w:rPr>
            <w:noProof/>
            <w:webHidden/>
          </w:rPr>
        </w:r>
        <w:r>
          <w:rPr>
            <w:noProof/>
            <w:webHidden/>
          </w:rPr>
          <w:fldChar w:fldCharType="separate"/>
        </w:r>
        <w:r>
          <w:rPr>
            <w:noProof/>
            <w:webHidden/>
          </w:rPr>
          <w:t>4</w:t>
        </w:r>
        <w:r>
          <w:rPr>
            <w:noProof/>
            <w:webHidden/>
          </w:rPr>
          <w:fldChar w:fldCharType="end"/>
        </w:r>
      </w:hyperlink>
    </w:p>
    <w:p w14:paraId="05AF6D88" w14:textId="7CF84EF4" w:rsidR="00D730F0" w:rsidRDefault="00D730F0" w:rsidP="00D730F0">
      <w:pPr>
        <w:pStyle w:val="TOC2"/>
        <w:spacing w:line="240" w:lineRule="auto"/>
        <w:rPr>
          <w:rFonts w:asciiTheme="minorHAnsi" w:eastAsiaTheme="minorEastAsia" w:hAnsiTheme="minorHAnsi" w:cstheme="minorBidi"/>
          <w:noProof/>
        </w:rPr>
      </w:pPr>
      <w:hyperlink w:anchor="_Toc76799695" w:history="1">
        <w:r w:rsidRPr="00EB063E">
          <w:rPr>
            <w:rStyle w:val="Hyperlink"/>
            <w:rFonts w:eastAsiaTheme="majorEastAsia"/>
            <w:noProof/>
          </w:rPr>
          <w:t>Abstract</w:t>
        </w:r>
        <w:r>
          <w:rPr>
            <w:noProof/>
            <w:webHidden/>
          </w:rPr>
          <w:tab/>
        </w:r>
        <w:r>
          <w:rPr>
            <w:noProof/>
            <w:webHidden/>
          </w:rPr>
          <w:fldChar w:fldCharType="begin"/>
        </w:r>
        <w:r>
          <w:rPr>
            <w:noProof/>
            <w:webHidden/>
          </w:rPr>
          <w:instrText xml:space="preserve"> PAGEREF _Toc76799695 \h </w:instrText>
        </w:r>
        <w:r>
          <w:rPr>
            <w:noProof/>
            <w:webHidden/>
          </w:rPr>
        </w:r>
        <w:r>
          <w:rPr>
            <w:noProof/>
            <w:webHidden/>
          </w:rPr>
          <w:fldChar w:fldCharType="separate"/>
        </w:r>
        <w:r>
          <w:rPr>
            <w:noProof/>
            <w:webHidden/>
          </w:rPr>
          <w:t>5</w:t>
        </w:r>
        <w:r>
          <w:rPr>
            <w:noProof/>
            <w:webHidden/>
          </w:rPr>
          <w:fldChar w:fldCharType="end"/>
        </w:r>
      </w:hyperlink>
    </w:p>
    <w:p w14:paraId="3609A784" w14:textId="73025E33" w:rsidR="00D730F0" w:rsidRDefault="00D730F0" w:rsidP="00D730F0">
      <w:pPr>
        <w:pStyle w:val="TOC1"/>
        <w:spacing w:line="240" w:lineRule="auto"/>
        <w:rPr>
          <w:rFonts w:asciiTheme="minorHAnsi" w:eastAsiaTheme="minorEastAsia" w:hAnsiTheme="minorHAnsi" w:cstheme="minorBidi"/>
          <w:noProof/>
        </w:rPr>
      </w:pPr>
      <w:hyperlink w:anchor="_Toc76799696" w:history="1">
        <w:r w:rsidRPr="00EB063E">
          <w:rPr>
            <w:rStyle w:val="Hyperlink"/>
            <w:rFonts w:eastAsiaTheme="majorEastAsia"/>
            <w:noProof/>
          </w:rPr>
          <w:t>CHAPTER II USING NATIVE PERENNIALS TO CHARACTERIZE POLLINATOR COMMUNITIES IN EAST TENNESSEE</w:t>
        </w:r>
        <w:r>
          <w:rPr>
            <w:noProof/>
            <w:webHidden/>
          </w:rPr>
          <w:tab/>
        </w:r>
        <w:r>
          <w:rPr>
            <w:noProof/>
            <w:webHidden/>
          </w:rPr>
          <w:fldChar w:fldCharType="begin"/>
        </w:r>
        <w:r>
          <w:rPr>
            <w:noProof/>
            <w:webHidden/>
          </w:rPr>
          <w:instrText xml:space="preserve"> PAGEREF _Toc76799696 \h </w:instrText>
        </w:r>
        <w:r>
          <w:rPr>
            <w:noProof/>
            <w:webHidden/>
          </w:rPr>
        </w:r>
        <w:r>
          <w:rPr>
            <w:noProof/>
            <w:webHidden/>
          </w:rPr>
          <w:fldChar w:fldCharType="separate"/>
        </w:r>
        <w:r>
          <w:rPr>
            <w:noProof/>
            <w:webHidden/>
          </w:rPr>
          <w:t>13</w:t>
        </w:r>
        <w:r>
          <w:rPr>
            <w:noProof/>
            <w:webHidden/>
          </w:rPr>
          <w:fldChar w:fldCharType="end"/>
        </w:r>
      </w:hyperlink>
    </w:p>
    <w:p w14:paraId="2B6C33C5" w14:textId="29DCFD5A" w:rsidR="00D730F0" w:rsidRDefault="00D730F0" w:rsidP="00D730F0">
      <w:pPr>
        <w:pStyle w:val="TOC2"/>
        <w:spacing w:line="240" w:lineRule="auto"/>
        <w:rPr>
          <w:rFonts w:asciiTheme="minorHAnsi" w:eastAsiaTheme="minorEastAsia" w:hAnsiTheme="minorHAnsi" w:cstheme="minorBidi"/>
          <w:noProof/>
        </w:rPr>
      </w:pPr>
      <w:hyperlink w:anchor="_Toc76799697" w:history="1">
        <w:r w:rsidRPr="00EB063E">
          <w:rPr>
            <w:rStyle w:val="Hyperlink"/>
            <w:rFonts w:eastAsiaTheme="majorEastAsia"/>
            <w:noProof/>
          </w:rPr>
          <w:t>Abstract</w:t>
        </w:r>
        <w:r>
          <w:rPr>
            <w:noProof/>
            <w:webHidden/>
          </w:rPr>
          <w:tab/>
        </w:r>
        <w:r>
          <w:rPr>
            <w:noProof/>
            <w:webHidden/>
          </w:rPr>
          <w:fldChar w:fldCharType="begin"/>
        </w:r>
        <w:r>
          <w:rPr>
            <w:noProof/>
            <w:webHidden/>
          </w:rPr>
          <w:instrText xml:space="preserve"> PAGEREF _Toc76799697 \h </w:instrText>
        </w:r>
        <w:r>
          <w:rPr>
            <w:noProof/>
            <w:webHidden/>
          </w:rPr>
        </w:r>
        <w:r>
          <w:rPr>
            <w:noProof/>
            <w:webHidden/>
          </w:rPr>
          <w:fldChar w:fldCharType="separate"/>
        </w:r>
        <w:r>
          <w:rPr>
            <w:noProof/>
            <w:webHidden/>
          </w:rPr>
          <w:t>14</w:t>
        </w:r>
        <w:r>
          <w:rPr>
            <w:noProof/>
            <w:webHidden/>
          </w:rPr>
          <w:fldChar w:fldCharType="end"/>
        </w:r>
      </w:hyperlink>
    </w:p>
    <w:p w14:paraId="710AC49C" w14:textId="2CD28CDE" w:rsidR="00D730F0" w:rsidRDefault="00D730F0" w:rsidP="00D730F0">
      <w:pPr>
        <w:pStyle w:val="TOC2"/>
        <w:spacing w:line="240" w:lineRule="auto"/>
        <w:rPr>
          <w:rFonts w:asciiTheme="minorHAnsi" w:eastAsiaTheme="minorEastAsia" w:hAnsiTheme="minorHAnsi" w:cstheme="minorBidi"/>
          <w:noProof/>
        </w:rPr>
      </w:pPr>
      <w:hyperlink w:anchor="_Toc76799698" w:history="1">
        <w:r w:rsidRPr="00EB063E">
          <w:rPr>
            <w:rStyle w:val="Hyperlink"/>
            <w:rFonts w:eastAsiaTheme="majorEastAsia"/>
            <w:noProof/>
          </w:rPr>
          <w:t>Introduction</w:t>
        </w:r>
        <w:r>
          <w:rPr>
            <w:noProof/>
            <w:webHidden/>
          </w:rPr>
          <w:tab/>
        </w:r>
        <w:r>
          <w:rPr>
            <w:noProof/>
            <w:webHidden/>
          </w:rPr>
          <w:fldChar w:fldCharType="begin"/>
        </w:r>
        <w:r>
          <w:rPr>
            <w:noProof/>
            <w:webHidden/>
          </w:rPr>
          <w:instrText xml:space="preserve"> PAGEREF _Toc76799698 \h </w:instrText>
        </w:r>
        <w:r>
          <w:rPr>
            <w:noProof/>
            <w:webHidden/>
          </w:rPr>
        </w:r>
        <w:r>
          <w:rPr>
            <w:noProof/>
            <w:webHidden/>
          </w:rPr>
          <w:fldChar w:fldCharType="separate"/>
        </w:r>
        <w:r>
          <w:rPr>
            <w:noProof/>
            <w:webHidden/>
          </w:rPr>
          <w:t>15</w:t>
        </w:r>
        <w:r>
          <w:rPr>
            <w:noProof/>
            <w:webHidden/>
          </w:rPr>
          <w:fldChar w:fldCharType="end"/>
        </w:r>
      </w:hyperlink>
    </w:p>
    <w:p w14:paraId="45258FC7" w14:textId="65F58605" w:rsidR="00D730F0" w:rsidRDefault="00D730F0" w:rsidP="00D730F0">
      <w:pPr>
        <w:pStyle w:val="TOC2"/>
        <w:spacing w:line="240" w:lineRule="auto"/>
        <w:rPr>
          <w:rFonts w:asciiTheme="minorHAnsi" w:eastAsiaTheme="minorEastAsia" w:hAnsiTheme="minorHAnsi" w:cstheme="minorBidi"/>
          <w:noProof/>
        </w:rPr>
      </w:pPr>
      <w:hyperlink w:anchor="_Toc76799699" w:history="1">
        <w:r w:rsidRPr="00EB063E">
          <w:rPr>
            <w:rStyle w:val="Hyperlink"/>
            <w:rFonts w:eastAsiaTheme="majorEastAsia"/>
            <w:noProof/>
          </w:rPr>
          <w:t>Methods</w:t>
        </w:r>
        <w:r>
          <w:rPr>
            <w:noProof/>
            <w:webHidden/>
          </w:rPr>
          <w:tab/>
        </w:r>
        <w:r>
          <w:rPr>
            <w:noProof/>
            <w:webHidden/>
          </w:rPr>
          <w:fldChar w:fldCharType="begin"/>
        </w:r>
        <w:r>
          <w:rPr>
            <w:noProof/>
            <w:webHidden/>
          </w:rPr>
          <w:instrText xml:space="preserve"> PAGEREF _Toc76799699 \h </w:instrText>
        </w:r>
        <w:r>
          <w:rPr>
            <w:noProof/>
            <w:webHidden/>
          </w:rPr>
        </w:r>
        <w:r>
          <w:rPr>
            <w:noProof/>
            <w:webHidden/>
          </w:rPr>
          <w:fldChar w:fldCharType="separate"/>
        </w:r>
        <w:r>
          <w:rPr>
            <w:noProof/>
            <w:webHidden/>
          </w:rPr>
          <w:t>18</w:t>
        </w:r>
        <w:r>
          <w:rPr>
            <w:noProof/>
            <w:webHidden/>
          </w:rPr>
          <w:fldChar w:fldCharType="end"/>
        </w:r>
      </w:hyperlink>
    </w:p>
    <w:p w14:paraId="4D09AFEA" w14:textId="483C02A2" w:rsidR="00D730F0" w:rsidRDefault="00D730F0" w:rsidP="00D730F0">
      <w:pPr>
        <w:pStyle w:val="TOC2"/>
        <w:spacing w:line="240" w:lineRule="auto"/>
        <w:rPr>
          <w:rFonts w:asciiTheme="minorHAnsi" w:eastAsiaTheme="minorEastAsia" w:hAnsiTheme="minorHAnsi" w:cstheme="minorBidi"/>
          <w:noProof/>
        </w:rPr>
      </w:pPr>
      <w:hyperlink w:anchor="_Toc76799700" w:history="1">
        <w:r w:rsidRPr="00EB063E">
          <w:rPr>
            <w:rStyle w:val="Hyperlink"/>
            <w:rFonts w:eastAsiaTheme="majorEastAsia"/>
            <w:noProof/>
          </w:rPr>
          <w:t>Data Analysis</w:t>
        </w:r>
        <w:r>
          <w:rPr>
            <w:noProof/>
            <w:webHidden/>
          </w:rPr>
          <w:tab/>
        </w:r>
        <w:r>
          <w:rPr>
            <w:noProof/>
            <w:webHidden/>
          </w:rPr>
          <w:fldChar w:fldCharType="begin"/>
        </w:r>
        <w:r>
          <w:rPr>
            <w:noProof/>
            <w:webHidden/>
          </w:rPr>
          <w:instrText xml:space="preserve"> PAGEREF _Toc76799700 \h </w:instrText>
        </w:r>
        <w:r>
          <w:rPr>
            <w:noProof/>
            <w:webHidden/>
          </w:rPr>
        </w:r>
        <w:r>
          <w:rPr>
            <w:noProof/>
            <w:webHidden/>
          </w:rPr>
          <w:fldChar w:fldCharType="separate"/>
        </w:r>
        <w:r>
          <w:rPr>
            <w:noProof/>
            <w:webHidden/>
          </w:rPr>
          <w:t>21</w:t>
        </w:r>
        <w:r>
          <w:rPr>
            <w:noProof/>
            <w:webHidden/>
          </w:rPr>
          <w:fldChar w:fldCharType="end"/>
        </w:r>
      </w:hyperlink>
    </w:p>
    <w:p w14:paraId="07AE900F" w14:textId="09C4B380" w:rsidR="00D730F0" w:rsidRDefault="00D730F0" w:rsidP="00D730F0">
      <w:pPr>
        <w:pStyle w:val="TOC2"/>
        <w:spacing w:line="240" w:lineRule="auto"/>
        <w:rPr>
          <w:rFonts w:asciiTheme="minorHAnsi" w:eastAsiaTheme="minorEastAsia" w:hAnsiTheme="minorHAnsi" w:cstheme="minorBidi"/>
          <w:noProof/>
        </w:rPr>
      </w:pPr>
      <w:hyperlink w:anchor="_Toc76799701" w:history="1">
        <w:r w:rsidRPr="00EB063E">
          <w:rPr>
            <w:rStyle w:val="Hyperlink"/>
            <w:rFonts w:eastAsiaTheme="majorEastAsia"/>
            <w:noProof/>
          </w:rPr>
          <w:t>Results</w:t>
        </w:r>
        <w:r>
          <w:rPr>
            <w:noProof/>
            <w:webHidden/>
          </w:rPr>
          <w:tab/>
        </w:r>
        <w:r>
          <w:rPr>
            <w:noProof/>
            <w:webHidden/>
          </w:rPr>
          <w:fldChar w:fldCharType="begin"/>
        </w:r>
        <w:r>
          <w:rPr>
            <w:noProof/>
            <w:webHidden/>
          </w:rPr>
          <w:instrText xml:space="preserve"> PAGEREF _Toc76799701 \h </w:instrText>
        </w:r>
        <w:r>
          <w:rPr>
            <w:noProof/>
            <w:webHidden/>
          </w:rPr>
        </w:r>
        <w:r>
          <w:rPr>
            <w:noProof/>
            <w:webHidden/>
          </w:rPr>
          <w:fldChar w:fldCharType="separate"/>
        </w:r>
        <w:r>
          <w:rPr>
            <w:noProof/>
            <w:webHidden/>
          </w:rPr>
          <w:t>22</w:t>
        </w:r>
        <w:r>
          <w:rPr>
            <w:noProof/>
            <w:webHidden/>
          </w:rPr>
          <w:fldChar w:fldCharType="end"/>
        </w:r>
      </w:hyperlink>
    </w:p>
    <w:p w14:paraId="4ED94014" w14:textId="0407A2E6" w:rsidR="00D730F0" w:rsidRDefault="00D730F0" w:rsidP="00D730F0">
      <w:pPr>
        <w:pStyle w:val="TOC2"/>
        <w:spacing w:line="240" w:lineRule="auto"/>
        <w:rPr>
          <w:rFonts w:asciiTheme="minorHAnsi" w:eastAsiaTheme="minorEastAsia" w:hAnsiTheme="minorHAnsi" w:cstheme="minorBidi"/>
          <w:noProof/>
        </w:rPr>
      </w:pPr>
      <w:hyperlink w:anchor="_Toc76799702" w:history="1">
        <w:r w:rsidRPr="00EB063E">
          <w:rPr>
            <w:rStyle w:val="Hyperlink"/>
            <w:rFonts w:eastAsiaTheme="majorEastAsia"/>
            <w:noProof/>
          </w:rPr>
          <w:t>Discussion</w:t>
        </w:r>
        <w:r>
          <w:rPr>
            <w:noProof/>
            <w:webHidden/>
          </w:rPr>
          <w:tab/>
        </w:r>
        <w:r>
          <w:rPr>
            <w:noProof/>
            <w:webHidden/>
          </w:rPr>
          <w:fldChar w:fldCharType="begin"/>
        </w:r>
        <w:r>
          <w:rPr>
            <w:noProof/>
            <w:webHidden/>
          </w:rPr>
          <w:instrText xml:space="preserve"> PAGEREF _Toc76799702 \h </w:instrText>
        </w:r>
        <w:r>
          <w:rPr>
            <w:noProof/>
            <w:webHidden/>
          </w:rPr>
        </w:r>
        <w:r>
          <w:rPr>
            <w:noProof/>
            <w:webHidden/>
          </w:rPr>
          <w:fldChar w:fldCharType="separate"/>
        </w:r>
        <w:r>
          <w:rPr>
            <w:noProof/>
            <w:webHidden/>
          </w:rPr>
          <w:t>25</w:t>
        </w:r>
        <w:r>
          <w:rPr>
            <w:noProof/>
            <w:webHidden/>
          </w:rPr>
          <w:fldChar w:fldCharType="end"/>
        </w:r>
      </w:hyperlink>
    </w:p>
    <w:p w14:paraId="7F7C14AE" w14:textId="77F3BF23" w:rsidR="00D730F0" w:rsidRDefault="00D730F0" w:rsidP="00D730F0">
      <w:pPr>
        <w:pStyle w:val="TOC2"/>
        <w:spacing w:line="240" w:lineRule="auto"/>
        <w:rPr>
          <w:rFonts w:asciiTheme="minorHAnsi" w:eastAsiaTheme="minorEastAsia" w:hAnsiTheme="minorHAnsi" w:cstheme="minorBidi"/>
          <w:noProof/>
        </w:rPr>
      </w:pPr>
      <w:hyperlink w:anchor="_Toc76799703" w:history="1">
        <w:r w:rsidRPr="00EB063E">
          <w:rPr>
            <w:rStyle w:val="Hyperlink"/>
            <w:rFonts w:eastAsiaTheme="majorEastAsia"/>
            <w:noProof/>
          </w:rPr>
          <w:t>Conclusion</w:t>
        </w:r>
        <w:r>
          <w:rPr>
            <w:noProof/>
            <w:webHidden/>
          </w:rPr>
          <w:tab/>
        </w:r>
        <w:r>
          <w:rPr>
            <w:noProof/>
            <w:webHidden/>
          </w:rPr>
          <w:fldChar w:fldCharType="begin"/>
        </w:r>
        <w:r>
          <w:rPr>
            <w:noProof/>
            <w:webHidden/>
          </w:rPr>
          <w:instrText xml:space="preserve"> PAGEREF _Toc76799703 \h </w:instrText>
        </w:r>
        <w:r>
          <w:rPr>
            <w:noProof/>
            <w:webHidden/>
          </w:rPr>
        </w:r>
        <w:r>
          <w:rPr>
            <w:noProof/>
            <w:webHidden/>
          </w:rPr>
          <w:fldChar w:fldCharType="separate"/>
        </w:r>
        <w:r>
          <w:rPr>
            <w:noProof/>
            <w:webHidden/>
          </w:rPr>
          <w:t>26</w:t>
        </w:r>
        <w:r>
          <w:rPr>
            <w:noProof/>
            <w:webHidden/>
          </w:rPr>
          <w:fldChar w:fldCharType="end"/>
        </w:r>
      </w:hyperlink>
    </w:p>
    <w:p w14:paraId="56325A1C" w14:textId="216AE65C" w:rsidR="00D730F0" w:rsidRDefault="00D730F0" w:rsidP="00D730F0">
      <w:pPr>
        <w:pStyle w:val="TOC1"/>
        <w:spacing w:line="240" w:lineRule="auto"/>
        <w:rPr>
          <w:rFonts w:asciiTheme="minorHAnsi" w:eastAsiaTheme="minorEastAsia" w:hAnsiTheme="minorHAnsi" w:cstheme="minorBidi"/>
          <w:noProof/>
        </w:rPr>
      </w:pPr>
      <w:hyperlink w:anchor="_Toc76799704" w:history="1">
        <w:r w:rsidRPr="00EB063E">
          <w:rPr>
            <w:rStyle w:val="Hyperlink"/>
            <w:rFonts w:eastAsiaTheme="majorEastAsia"/>
            <w:noProof/>
          </w:rPr>
          <w:t>CHAPTER III EFFECT OF LAND COVER ON POLLINATOR COMMUNITIES</w:t>
        </w:r>
        <w:r>
          <w:rPr>
            <w:noProof/>
            <w:webHidden/>
          </w:rPr>
          <w:tab/>
        </w:r>
        <w:r>
          <w:rPr>
            <w:noProof/>
            <w:webHidden/>
          </w:rPr>
          <w:fldChar w:fldCharType="begin"/>
        </w:r>
        <w:r>
          <w:rPr>
            <w:noProof/>
            <w:webHidden/>
          </w:rPr>
          <w:instrText xml:space="preserve"> PAGEREF _Toc76799704 \h </w:instrText>
        </w:r>
        <w:r>
          <w:rPr>
            <w:noProof/>
            <w:webHidden/>
          </w:rPr>
        </w:r>
        <w:r>
          <w:rPr>
            <w:noProof/>
            <w:webHidden/>
          </w:rPr>
          <w:fldChar w:fldCharType="separate"/>
        </w:r>
        <w:r>
          <w:rPr>
            <w:noProof/>
            <w:webHidden/>
          </w:rPr>
          <w:t>28</w:t>
        </w:r>
        <w:r>
          <w:rPr>
            <w:noProof/>
            <w:webHidden/>
          </w:rPr>
          <w:fldChar w:fldCharType="end"/>
        </w:r>
      </w:hyperlink>
    </w:p>
    <w:p w14:paraId="64B7CA99" w14:textId="2DB51574" w:rsidR="00D730F0" w:rsidRDefault="00D730F0" w:rsidP="00D730F0">
      <w:pPr>
        <w:pStyle w:val="TOC2"/>
        <w:spacing w:line="240" w:lineRule="auto"/>
        <w:rPr>
          <w:rFonts w:asciiTheme="minorHAnsi" w:eastAsiaTheme="minorEastAsia" w:hAnsiTheme="minorHAnsi" w:cstheme="minorBidi"/>
          <w:noProof/>
        </w:rPr>
      </w:pPr>
      <w:hyperlink w:anchor="_Toc76799705" w:history="1">
        <w:r w:rsidRPr="00EB063E">
          <w:rPr>
            <w:rStyle w:val="Hyperlink"/>
            <w:rFonts w:eastAsiaTheme="majorEastAsia"/>
            <w:noProof/>
          </w:rPr>
          <w:t>Abstract</w:t>
        </w:r>
        <w:r>
          <w:rPr>
            <w:noProof/>
            <w:webHidden/>
          </w:rPr>
          <w:tab/>
        </w:r>
        <w:r>
          <w:rPr>
            <w:noProof/>
            <w:webHidden/>
          </w:rPr>
          <w:fldChar w:fldCharType="begin"/>
        </w:r>
        <w:r>
          <w:rPr>
            <w:noProof/>
            <w:webHidden/>
          </w:rPr>
          <w:instrText xml:space="preserve"> PAGEREF _Toc76799705 \h </w:instrText>
        </w:r>
        <w:r>
          <w:rPr>
            <w:noProof/>
            <w:webHidden/>
          </w:rPr>
        </w:r>
        <w:r>
          <w:rPr>
            <w:noProof/>
            <w:webHidden/>
          </w:rPr>
          <w:fldChar w:fldCharType="separate"/>
        </w:r>
        <w:r>
          <w:rPr>
            <w:noProof/>
            <w:webHidden/>
          </w:rPr>
          <w:t>29</w:t>
        </w:r>
        <w:r>
          <w:rPr>
            <w:noProof/>
            <w:webHidden/>
          </w:rPr>
          <w:fldChar w:fldCharType="end"/>
        </w:r>
      </w:hyperlink>
    </w:p>
    <w:p w14:paraId="79E43508" w14:textId="693FF4EF" w:rsidR="00D730F0" w:rsidRDefault="00D730F0" w:rsidP="00D730F0">
      <w:pPr>
        <w:pStyle w:val="TOC2"/>
        <w:spacing w:line="240" w:lineRule="auto"/>
        <w:rPr>
          <w:rFonts w:asciiTheme="minorHAnsi" w:eastAsiaTheme="minorEastAsia" w:hAnsiTheme="minorHAnsi" w:cstheme="minorBidi"/>
          <w:noProof/>
        </w:rPr>
      </w:pPr>
      <w:hyperlink w:anchor="_Toc76799706" w:history="1">
        <w:r w:rsidRPr="00EB063E">
          <w:rPr>
            <w:rStyle w:val="Hyperlink"/>
            <w:rFonts w:eastAsiaTheme="majorEastAsia"/>
            <w:noProof/>
          </w:rPr>
          <w:t>Introduction</w:t>
        </w:r>
        <w:r>
          <w:rPr>
            <w:noProof/>
            <w:webHidden/>
          </w:rPr>
          <w:tab/>
        </w:r>
        <w:r>
          <w:rPr>
            <w:noProof/>
            <w:webHidden/>
          </w:rPr>
          <w:fldChar w:fldCharType="begin"/>
        </w:r>
        <w:r>
          <w:rPr>
            <w:noProof/>
            <w:webHidden/>
          </w:rPr>
          <w:instrText xml:space="preserve"> PAGEREF _Toc76799706 \h </w:instrText>
        </w:r>
        <w:r>
          <w:rPr>
            <w:noProof/>
            <w:webHidden/>
          </w:rPr>
        </w:r>
        <w:r>
          <w:rPr>
            <w:noProof/>
            <w:webHidden/>
          </w:rPr>
          <w:fldChar w:fldCharType="separate"/>
        </w:r>
        <w:r>
          <w:rPr>
            <w:noProof/>
            <w:webHidden/>
          </w:rPr>
          <w:t>30</w:t>
        </w:r>
        <w:r>
          <w:rPr>
            <w:noProof/>
            <w:webHidden/>
          </w:rPr>
          <w:fldChar w:fldCharType="end"/>
        </w:r>
      </w:hyperlink>
    </w:p>
    <w:p w14:paraId="42D371DC" w14:textId="7DE8169C" w:rsidR="00D730F0" w:rsidRDefault="00D730F0" w:rsidP="00D730F0">
      <w:pPr>
        <w:pStyle w:val="TOC2"/>
        <w:spacing w:line="240" w:lineRule="auto"/>
        <w:rPr>
          <w:rFonts w:asciiTheme="minorHAnsi" w:eastAsiaTheme="minorEastAsia" w:hAnsiTheme="minorHAnsi" w:cstheme="minorBidi"/>
          <w:noProof/>
        </w:rPr>
      </w:pPr>
      <w:hyperlink w:anchor="_Toc76799707" w:history="1">
        <w:r w:rsidRPr="00EB063E">
          <w:rPr>
            <w:rStyle w:val="Hyperlink"/>
            <w:rFonts w:eastAsiaTheme="majorEastAsia"/>
            <w:noProof/>
          </w:rPr>
          <w:t>Methods</w:t>
        </w:r>
        <w:r>
          <w:rPr>
            <w:noProof/>
            <w:webHidden/>
          </w:rPr>
          <w:tab/>
        </w:r>
        <w:r>
          <w:rPr>
            <w:noProof/>
            <w:webHidden/>
          </w:rPr>
          <w:fldChar w:fldCharType="begin"/>
        </w:r>
        <w:r>
          <w:rPr>
            <w:noProof/>
            <w:webHidden/>
          </w:rPr>
          <w:instrText xml:space="preserve"> PAGEREF _Toc76799707 \h </w:instrText>
        </w:r>
        <w:r>
          <w:rPr>
            <w:noProof/>
            <w:webHidden/>
          </w:rPr>
        </w:r>
        <w:r>
          <w:rPr>
            <w:noProof/>
            <w:webHidden/>
          </w:rPr>
          <w:fldChar w:fldCharType="separate"/>
        </w:r>
        <w:r>
          <w:rPr>
            <w:noProof/>
            <w:webHidden/>
          </w:rPr>
          <w:t>33</w:t>
        </w:r>
        <w:r>
          <w:rPr>
            <w:noProof/>
            <w:webHidden/>
          </w:rPr>
          <w:fldChar w:fldCharType="end"/>
        </w:r>
      </w:hyperlink>
    </w:p>
    <w:p w14:paraId="44C3EBCC" w14:textId="4E80950E" w:rsidR="00D730F0" w:rsidRDefault="00D730F0" w:rsidP="00D730F0">
      <w:pPr>
        <w:pStyle w:val="TOC2"/>
        <w:spacing w:line="240" w:lineRule="auto"/>
        <w:rPr>
          <w:rFonts w:asciiTheme="minorHAnsi" w:eastAsiaTheme="minorEastAsia" w:hAnsiTheme="minorHAnsi" w:cstheme="minorBidi"/>
          <w:noProof/>
        </w:rPr>
      </w:pPr>
      <w:hyperlink w:anchor="_Toc76799708" w:history="1">
        <w:r w:rsidRPr="00EB063E">
          <w:rPr>
            <w:rStyle w:val="Hyperlink"/>
            <w:rFonts w:eastAsiaTheme="majorEastAsia"/>
            <w:noProof/>
          </w:rPr>
          <w:t>Data Analysis</w:t>
        </w:r>
        <w:r>
          <w:rPr>
            <w:noProof/>
            <w:webHidden/>
          </w:rPr>
          <w:tab/>
        </w:r>
        <w:r>
          <w:rPr>
            <w:noProof/>
            <w:webHidden/>
          </w:rPr>
          <w:fldChar w:fldCharType="begin"/>
        </w:r>
        <w:r>
          <w:rPr>
            <w:noProof/>
            <w:webHidden/>
          </w:rPr>
          <w:instrText xml:space="preserve"> PAGEREF _Toc76799708 \h </w:instrText>
        </w:r>
        <w:r>
          <w:rPr>
            <w:noProof/>
            <w:webHidden/>
          </w:rPr>
        </w:r>
        <w:r>
          <w:rPr>
            <w:noProof/>
            <w:webHidden/>
          </w:rPr>
          <w:fldChar w:fldCharType="separate"/>
        </w:r>
        <w:r>
          <w:rPr>
            <w:noProof/>
            <w:webHidden/>
          </w:rPr>
          <w:t>36</w:t>
        </w:r>
        <w:r>
          <w:rPr>
            <w:noProof/>
            <w:webHidden/>
          </w:rPr>
          <w:fldChar w:fldCharType="end"/>
        </w:r>
      </w:hyperlink>
    </w:p>
    <w:p w14:paraId="2B39DA03" w14:textId="6DD39473" w:rsidR="00D730F0" w:rsidRDefault="00D730F0" w:rsidP="00D730F0">
      <w:pPr>
        <w:pStyle w:val="TOC2"/>
        <w:spacing w:line="240" w:lineRule="auto"/>
        <w:rPr>
          <w:rFonts w:asciiTheme="minorHAnsi" w:eastAsiaTheme="minorEastAsia" w:hAnsiTheme="minorHAnsi" w:cstheme="minorBidi"/>
          <w:noProof/>
        </w:rPr>
      </w:pPr>
      <w:hyperlink w:anchor="_Toc76799709" w:history="1">
        <w:r w:rsidRPr="00EB063E">
          <w:rPr>
            <w:rStyle w:val="Hyperlink"/>
            <w:rFonts w:eastAsiaTheme="majorEastAsia"/>
            <w:noProof/>
          </w:rPr>
          <w:t>Results</w:t>
        </w:r>
        <w:r>
          <w:rPr>
            <w:noProof/>
            <w:webHidden/>
          </w:rPr>
          <w:tab/>
        </w:r>
        <w:r>
          <w:rPr>
            <w:noProof/>
            <w:webHidden/>
          </w:rPr>
          <w:fldChar w:fldCharType="begin"/>
        </w:r>
        <w:r>
          <w:rPr>
            <w:noProof/>
            <w:webHidden/>
          </w:rPr>
          <w:instrText xml:space="preserve"> PAGEREF _Toc76799709 \h </w:instrText>
        </w:r>
        <w:r>
          <w:rPr>
            <w:noProof/>
            <w:webHidden/>
          </w:rPr>
        </w:r>
        <w:r>
          <w:rPr>
            <w:noProof/>
            <w:webHidden/>
          </w:rPr>
          <w:fldChar w:fldCharType="separate"/>
        </w:r>
        <w:r>
          <w:rPr>
            <w:noProof/>
            <w:webHidden/>
          </w:rPr>
          <w:t>36</w:t>
        </w:r>
        <w:r>
          <w:rPr>
            <w:noProof/>
            <w:webHidden/>
          </w:rPr>
          <w:fldChar w:fldCharType="end"/>
        </w:r>
      </w:hyperlink>
    </w:p>
    <w:p w14:paraId="656D63F4" w14:textId="57EC1683" w:rsidR="00D730F0" w:rsidRDefault="00D730F0" w:rsidP="00D730F0">
      <w:pPr>
        <w:pStyle w:val="TOC2"/>
        <w:spacing w:line="240" w:lineRule="auto"/>
        <w:rPr>
          <w:rFonts w:asciiTheme="minorHAnsi" w:eastAsiaTheme="minorEastAsia" w:hAnsiTheme="minorHAnsi" w:cstheme="minorBidi"/>
          <w:noProof/>
        </w:rPr>
      </w:pPr>
      <w:hyperlink w:anchor="_Toc76799710" w:history="1">
        <w:r w:rsidRPr="00EB063E">
          <w:rPr>
            <w:rStyle w:val="Hyperlink"/>
            <w:rFonts w:eastAsiaTheme="majorEastAsia"/>
            <w:noProof/>
          </w:rPr>
          <w:t>Discussion</w:t>
        </w:r>
        <w:r>
          <w:rPr>
            <w:noProof/>
            <w:webHidden/>
          </w:rPr>
          <w:tab/>
        </w:r>
        <w:r>
          <w:rPr>
            <w:noProof/>
            <w:webHidden/>
          </w:rPr>
          <w:fldChar w:fldCharType="begin"/>
        </w:r>
        <w:r>
          <w:rPr>
            <w:noProof/>
            <w:webHidden/>
          </w:rPr>
          <w:instrText xml:space="preserve"> PAGEREF _Toc76799710 \h </w:instrText>
        </w:r>
        <w:r>
          <w:rPr>
            <w:noProof/>
            <w:webHidden/>
          </w:rPr>
        </w:r>
        <w:r>
          <w:rPr>
            <w:noProof/>
            <w:webHidden/>
          </w:rPr>
          <w:fldChar w:fldCharType="separate"/>
        </w:r>
        <w:r>
          <w:rPr>
            <w:noProof/>
            <w:webHidden/>
          </w:rPr>
          <w:t>38</w:t>
        </w:r>
        <w:r>
          <w:rPr>
            <w:noProof/>
            <w:webHidden/>
          </w:rPr>
          <w:fldChar w:fldCharType="end"/>
        </w:r>
      </w:hyperlink>
    </w:p>
    <w:p w14:paraId="30A070B1" w14:textId="6418DCDF" w:rsidR="00D730F0" w:rsidRDefault="00D730F0" w:rsidP="00D730F0">
      <w:pPr>
        <w:pStyle w:val="TOC2"/>
        <w:spacing w:line="240" w:lineRule="auto"/>
        <w:rPr>
          <w:rFonts w:asciiTheme="minorHAnsi" w:eastAsiaTheme="minorEastAsia" w:hAnsiTheme="minorHAnsi" w:cstheme="minorBidi"/>
          <w:noProof/>
        </w:rPr>
      </w:pPr>
      <w:hyperlink w:anchor="_Toc76799711" w:history="1">
        <w:r w:rsidRPr="00EB063E">
          <w:rPr>
            <w:rStyle w:val="Hyperlink"/>
            <w:rFonts w:eastAsiaTheme="majorEastAsia"/>
            <w:noProof/>
          </w:rPr>
          <w:t>Conclusion</w:t>
        </w:r>
        <w:r>
          <w:rPr>
            <w:noProof/>
            <w:webHidden/>
          </w:rPr>
          <w:tab/>
        </w:r>
        <w:r>
          <w:rPr>
            <w:noProof/>
            <w:webHidden/>
          </w:rPr>
          <w:fldChar w:fldCharType="begin"/>
        </w:r>
        <w:r>
          <w:rPr>
            <w:noProof/>
            <w:webHidden/>
          </w:rPr>
          <w:instrText xml:space="preserve"> PAGEREF _Toc76799711 \h </w:instrText>
        </w:r>
        <w:r>
          <w:rPr>
            <w:noProof/>
            <w:webHidden/>
          </w:rPr>
        </w:r>
        <w:r>
          <w:rPr>
            <w:noProof/>
            <w:webHidden/>
          </w:rPr>
          <w:fldChar w:fldCharType="separate"/>
        </w:r>
        <w:r>
          <w:rPr>
            <w:noProof/>
            <w:webHidden/>
          </w:rPr>
          <w:t>40</w:t>
        </w:r>
        <w:r>
          <w:rPr>
            <w:noProof/>
            <w:webHidden/>
          </w:rPr>
          <w:fldChar w:fldCharType="end"/>
        </w:r>
      </w:hyperlink>
    </w:p>
    <w:p w14:paraId="1610031B" w14:textId="229F18C4" w:rsidR="00D730F0" w:rsidRDefault="00D730F0" w:rsidP="00D730F0">
      <w:pPr>
        <w:pStyle w:val="TOC1"/>
        <w:spacing w:line="240" w:lineRule="auto"/>
        <w:rPr>
          <w:rFonts w:asciiTheme="minorHAnsi" w:eastAsiaTheme="minorEastAsia" w:hAnsiTheme="minorHAnsi" w:cstheme="minorBidi"/>
          <w:noProof/>
        </w:rPr>
      </w:pPr>
      <w:hyperlink w:anchor="_Toc76799712" w:history="1">
        <w:r w:rsidRPr="00EB063E">
          <w:rPr>
            <w:rStyle w:val="Hyperlink"/>
            <w:rFonts w:eastAsiaTheme="majorEastAsia"/>
            <w:noProof/>
          </w:rPr>
          <w:t>LIST OF REFERENCES</w:t>
        </w:r>
        <w:r>
          <w:rPr>
            <w:noProof/>
            <w:webHidden/>
          </w:rPr>
          <w:tab/>
        </w:r>
        <w:r>
          <w:rPr>
            <w:noProof/>
            <w:webHidden/>
          </w:rPr>
          <w:fldChar w:fldCharType="begin"/>
        </w:r>
        <w:r>
          <w:rPr>
            <w:noProof/>
            <w:webHidden/>
          </w:rPr>
          <w:instrText xml:space="preserve"> PAGEREF _Toc76799712 \h </w:instrText>
        </w:r>
        <w:r>
          <w:rPr>
            <w:noProof/>
            <w:webHidden/>
          </w:rPr>
        </w:r>
        <w:r>
          <w:rPr>
            <w:noProof/>
            <w:webHidden/>
          </w:rPr>
          <w:fldChar w:fldCharType="separate"/>
        </w:r>
        <w:r>
          <w:rPr>
            <w:noProof/>
            <w:webHidden/>
          </w:rPr>
          <w:t>43</w:t>
        </w:r>
        <w:r>
          <w:rPr>
            <w:noProof/>
            <w:webHidden/>
          </w:rPr>
          <w:fldChar w:fldCharType="end"/>
        </w:r>
      </w:hyperlink>
    </w:p>
    <w:p w14:paraId="7F53DD40" w14:textId="528B6449" w:rsidR="00D730F0" w:rsidRDefault="00D730F0" w:rsidP="00D730F0">
      <w:pPr>
        <w:pStyle w:val="TOC1"/>
        <w:spacing w:line="240" w:lineRule="auto"/>
        <w:rPr>
          <w:rFonts w:asciiTheme="minorHAnsi" w:eastAsiaTheme="minorEastAsia" w:hAnsiTheme="minorHAnsi" w:cstheme="minorBidi"/>
          <w:noProof/>
        </w:rPr>
      </w:pPr>
      <w:hyperlink w:anchor="_Toc76799713" w:history="1">
        <w:r w:rsidRPr="00EB063E">
          <w:rPr>
            <w:rStyle w:val="Hyperlink"/>
            <w:rFonts w:eastAsiaTheme="majorEastAsia"/>
            <w:noProof/>
          </w:rPr>
          <w:t>APPENDIX</w:t>
        </w:r>
        <w:r>
          <w:rPr>
            <w:noProof/>
            <w:webHidden/>
          </w:rPr>
          <w:tab/>
        </w:r>
        <w:r>
          <w:rPr>
            <w:noProof/>
            <w:webHidden/>
          </w:rPr>
          <w:fldChar w:fldCharType="begin"/>
        </w:r>
        <w:r>
          <w:rPr>
            <w:noProof/>
            <w:webHidden/>
          </w:rPr>
          <w:instrText xml:space="preserve"> PAGEREF _Toc76799713 \h </w:instrText>
        </w:r>
        <w:r>
          <w:rPr>
            <w:noProof/>
            <w:webHidden/>
          </w:rPr>
        </w:r>
        <w:r>
          <w:rPr>
            <w:noProof/>
            <w:webHidden/>
          </w:rPr>
          <w:fldChar w:fldCharType="separate"/>
        </w:r>
        <w:r>
          <w:rPr>
            <w:noProof/>
            <w:webHidden/>
          </w:rPr>
          <w:t>64</w:t>
        </w:r>
        <w:r>
          <w:rPr>
            <w:noProof/>
            <w:webHidden/>
          </w:rPr>
          <w:fldChar w:fldCharType="end"/>
        </w:r>
      </w:hyperlink>
    </w:p>
    <w:p w14:paraId="4F5BD42A" w14:textId="743451E2" w:rsidR="00D730F0" w:rsidRDefault="00D730F0" w:rsidP="00D730F0">
      <w:pPr>
        <w:pStyle w:val="TOC1"/>
        <w:spacing w:line="240" w:lineRule="auto"/>
        <w:rPr>
          <w:rFonts w:asciiTheme="minorHAnsi" w:eastAsiaTheme="minorEastAsia" w:hAnsiTheme="minorHAnsi" w:cstheme="minorBidi"/>
          <w:noProof/>
        </w:rPr>
      </w:pPr>
      <w:hyperlink w:anchor="_Toc76799714" w:history="1">
        <w:r w:rsidRPr="00EB063E">
          <w:rPr>
            <w:rStyle w:val="Hyperlink"/>
            <w:rFonts w:eastAsiaTheme="majorEastAsia"/>
            <w:noProof/>
          </w:rPr>
          <w:t>VITA</w:t>
        </w:r>
        <w:r>
          <w:rPr>
            <w:noProof/>
            <w:webHidden/>
          </w:rPr>
          <w:tab/>
        </w:r>
        <w:r>
          <w:rPr>
            <w:noProof/>
            <w:webHidden/>
          </w:rPr>
          <w:fldChar w:fldCharType="begin"/>
        </w:r>
        <w:r>
          <w:rPr>
            <w:noProof/>
            <w:webHidden/>
          </w:rPr>
          <w:instrText xml:space="preserve"> PAGEREF _Toc76799714 \h </w:instrText>
        </w:r>
        <w:r>
          <w:rPr>
            <w:noProof/>
            <w:webHidden/>
          </w:rPr>
        </w:r>
        <w:r>
          <w:rPr>
            <w:noProof/>
            <w:webHidden/>
          </w:rPr>
          <w:fldChar w:fldCharType="separate"/>
        </w:r>
        <w:r>
          <w:rPr>
            <w:noProof/>
            <w:webHidden/>
          </w:rPr>
          <w:t>81</w:t>
        </w:r>
        <w:r>
          <w:rPr>
            <w:noProof/>
            <w:webHidden/>
          </w:rPr>
          <w:fldChar w:fldCharType="end"/>
        </w:r>
      </w:hyperlink>
    </w:p>
    <w:p w14:paraId="2CD01A6B" w14:textId="10E7291A" w:rsidR="00207B01" w:rsidRPr="000C7549" w:rsidRDefault="00207B01" w:rsidP="00D730F0">
      <w:pPr>
        <w:pStyle w:val="Title"/>
        <w:rPr>
          <w:bCs/>
          <w:noProof/>
        </w:rPr>
      </w:pPr>
      <w:r w:rsidRPr="000C7549">
        <w:rPr>
          <w:bCs/>
          <w:noProof/>
        </w:rPr>
        <w:fldChar w:fldCharType="end"/>
      </w:r>
    </w:p>
    <w:p w14:paraId="4692438D" w14:textId="77777777" w:rsidR="00207B01" w:rsidRPr="000C7549" w:rsidRDefault="00207B01" w:rsidP="00207B01">
      <w:pPr>
        <w:pStyle w:val="Title"/>
        <w:spacing w:line="480" w:lineRule="auto"/>
        <w:rPr>
          <w:bCs/>
          <w:noProof/>
        </w:rPr>
      </w:pPr>
    </w:p>
    <w:p w14:paraId="74365967" w14:textId="77777777" w:rsidR="00207B01" w:rsidRPr="000C7549" w:rsidRDefault="00207B01" w:rsidP="00207B01">
      <w:pPr>
        <w:pStyle w:val="Title"/>
        <w:spacing w:line="480" w:lineRule="auto"/>
        <w:rPr>
          <w:bCs/>
          <w:noProof/>
        </w:rPr>
      </w:pPr>
    </w:p>
    <w:p w14:paraId="6410B4CF" w14:textId="77777777" w:rsidR="00207B01" w:rsidRPr="000C7549" w:rsidRDefault="00207B01" w:rsidP="00207B01">
      <w:pPr>
        <w:pStyle w:val="Title"/>
        <w:spacing w:line="480" w:lineRule="auto"/>
        <w:rPr>
          <w:bCs/>
          <w:noProof/>
        </w:rPr>
      </w:pPr>
    </w:p>
    <w:p w14:paraId="6FF554B8" w14:textId="77777777" w:rsidR="00207B01" w:rsidRPr="000C7549" w:rsidRDefault="00207B01" w:rsidP="00207B01">
      <w:pPr>
        <w:pStyle w:val="Title"/>
        <w:spacing w:line="480" w:lineRule="auto"/>
        <w:rPr>
          <w:bCs/>
          <w:noProof/>
        </w:rPr>
      </w:pPr>
    </w:p>
    <w:p w14:paraId="31C009C9" w14:textId="77777777" w:rsidR="00207B01" w:rsidRPr="000C7549" w:rsidRDefault="00207B01" w:rsidP="00207B01">
      <w:pPr>
        <w:pStyle w:val="Title"/>
        <w:spacing w:line="480" w:lineRule="auto"/>
        <w:rPr>
          <w:bCs/>
          <w:noProof/>
        </w:rPr>
      </w:pPr>
    </w:p>
    <w:p w14:paraId="2F443013" w14:textId="77777777" w:rsidR="00207B01" w:rsidRPr="000C7549" w:rsidRDefault="00207B01" w:rsidP="00207B01">
      <w:pPr>
        <w:pStyle w:val="Title"/>
        <w:spacing w:line="480" w:lineRule="auto"/>
        <w:rPr>
          <w:bCs/>
          <w:noProof/>
        </w:rPr>
      </w:pPr>
    </w:p>
    <w:p w14:paraId="65F50A63" w14:textId="77777777" w:rsidR="00207B01" w:rsidRPr="000C7549" w:rsidRDefault="00207B01" w:rsidP="00207B01">
      <w:pPr>
        <w:pStyle w:val="Title"/>
        <w:spacing w:line="480" w:lineRule="auto"/>
        <w:rPr>
          <w:bCs/>
          <w:noProof/>
        </w:rPr>
      </w:pPr>
    </w:p>
    <w:p w14:paraId="5CED8C1A" w14:textId="77777777" w:rsidR="00207B01" w:rsidRPr="000C7549" w:rsidRDefault="00207B01" w:rsidP="007777F2">
      <w:pPr>
        <w:pStyle w:val="Title"/>
        <w:spacing w:line="480" w:lineRule="auto"/>
        <w:jc w:val="left"/>
        <w:rPr>
          <w:bCs/>
          <w:noProof/>
        </w:rPr>
      </w:pPr>
    </w:p>
    <w:p w14:paraId="2024B0CB" w14:textId="77777777" w:rsidR="00207B01" w:rsidRPr="000C7549" w:rsidRDefault="00207B01" w:rsidP="00BD50DC">
      <w:pPr>
        <w:pStyle w:val="Title"/>
        <w:rPr>
          <w:bCs/>
          <w:noProof/>
        </w:rPr>
      </w:pPr>
      <w:r w:rsidRPr="000C7549">
        <w:lastRenderedPageBreak/>
        <w:t>LIST OF TABLES</w:t>
      </w:r>
    </w:p>
    <w:p w14:paraId="4492099A" w14:textId="4ECDEEE3" w:rsidR="00D730F0" w:rsidRDefault="00207B01">
      <w:pPr>
        <w:pStyle w:val="TableofFigures"/>
        <w:tabs>
          <w:tab w:val="right" w:leader="dot" w:pos="8630"/>
        </w:tabs>
        <w:rPr>
          <w:rFonts w:asciiTheme="minorHAnsi" w:eastAsiaTheme="minorEastAsia" w:hAnsiTheme="minorHAnsi" w:cstheme="minorBidi"/>
          <w:noProof/>
        </w:rPr>
      </w:pPr>
      <w:r w:rsidRPr="000C7549">
        <w:fldChar w:fldCharType="begin"/>
      </w:r>
      <w:r w:rsidRPr="000C7549">
        <w:instrText xml:space="preserve"> TOC \h \z \c "Table" </w:instrText>
      </w:r>
      <w:r w:rsidRPr="000C7549">
        <w:fldChar w:fldCharType="separate"/>
      </w:r>
      <w:hyperlink w:anchor="_Toc76799602" w:history="1">
        <w:r w:rsidR="00D730F0" w:rsidRPr="00EA081E">
          <w:rPr>
            <w:rStyle w:val="Hyperlink"/>
            <w:noProof/>
          </w:rPr>
          <w:t>Table 1. Native Study Plants.</w:t>
        </w:r>
        <w:r w:rsidR="00D730F0">
          <w:rPr>
            <w:noProof/>
            <w:webHidden/>
          </w:rPr>
          <w:tab/>
        </w:r>
        <w:r w:rsidR="00D730F0">
          <w:rPr>
            <w:noProof/>
            <w:webHidden/>
          </w:rPr>
          <w:fldChar w:fldCharType="begin"/>
        </w:r>
        <w:r w:rsidR="00D730F0">
          <w:rPr>
            <w:noProof/>
            <w:webHidden/>
          </w:rPr>
          <w:instrText xml:space="preserve"> PAGEREF _Toc76799602 \h </w:instrText>
        </w:r>
        <w:r w:rsidR="00D730F0">
          <w:rPr>
            <w:noProof/>
            <w:webHidden/>
          </w:rPr>
        </w:r>
        <w:r w:rsidR="00D730F0">
          <w:rPr>
            <w:noProof/>
            <w:webHidden/>
          </w:rPr>
          <w:fldChar w:fldCharType="separate"/>
        </w:r>
        <w:r w:rsidR="00D730F0">
          <w:rPr>
            <w:noProof/>
            <w:webHidden/>
          </w:rPr>
          <w:t>75</w:t>
        </w:r>
        <w:r w:rsidR="00D730F0">
          <w:rPr>
            <w:noProof/>
            <w:webHidden/>
          </w:rPr>
          <w:fldChar w:fldCharType="end"/>
        </w:r>
      </w:hyperlink>
    </w:p>
    <w:p w14:paraId="3187235A" w14:textId="2B4E32A0" w:rsidR="00D730F0" w:rsidRDefault="00D730F0">
      <w:pPr>
        <w:pStyle w:val="TableofFigures"/>
        <w:tabs>
          <w:tab w:val="right" w:leader="dot" w:pos="8630"/>
        </w:tabs>
        <w:rPr>
          <w:rFonts w:asciiTheme="minorHAnsi" w:eastAsiaTheme="minorEastAsia" w:hAnsiTheme="minorHAnsi" w:cstheme="minorBidi"/>
          <w:noProof/>
        </w:rPr>
      </w:pPr>
      <w:hyperlink w:anchor="_Toc76799603" w:history="1">
        <w:r w:rsidRPr="00EA081E">
          <w:rPr>
            <w:rStyle w:val="Hyperlink"/>
            <w:noProof/>
          </w:rPr>
          <w:t>Table 2. Bee Specimens 2019 and 2020, Family, Genus, Species and Count</w:t>
        </w:r>
        <w:r>
          <w:rPr>
            <w:noProof/>
            <w:webHidden/>
          </w:rPr>
          <w:tab/>
        </w:r>
        <w:r>
          <w:rPr>
            <w:noProof/>
            <w:webHidden/>
          </w:rPr>
          <w:fldChar w:fldCharType="begin"/>
        </w:r>
        <w:r>
          <w:rPr>
            <w:noProof/>
            <w:webHidden/>
          </w:rPr>
          <w:instrText xml:space="preserve"> PAGEREF _Toc76799603 \h </w:instrText>
        </w:r>
        <w:r>
          <w:rPr>
            <w:noProof/>
            <w:webHidden/>
          </w:rPr>
        </w:r>
        <w:r>
          <w:rPr>
            <w:noProof/>
            <w:webHidden/>
          </w:rPr>
          <w:fldChar w:fldCharType="separate"/>
        </w:r>
        <w:r>
          <w:rPr>
            <w:noProof/>
            <w:webHidden/>
          </w:rPr>
          <w:t>75</w:t>
        </w:r>
        <w:r>
          <w:rPr>
            <w:noProof/>
            <w:webHidden/>
          </w:rPr>
          <w:fldChar w:fldCharType="end"/>
        </w:r>
      </w:hyperlink>
    </w:p>
    <w:p w14:paraId="2863F556" w14:textId="190C0D93" w:rsidR="00D730F0" w:rsidRDefault="00D730F0">
      <w:pPr>
        <w:pStyle w:val="TableofFigures"/>
        <w:tabs>
          <w:tab w:val="right" w:leader="dot" w:pos="8630"/>
        </w:tabs>
        <w:rPr>
          <w:rFonts w:asciiTheme="minorHAnsi" w:eastAsiaTheme="minorEastAsia" w:hAnsiTheme="minorHAnsi" w:cstheme="minorBidi"/>
          <w:noProof/>
        </w:rPr>
      </w:pPr>
      <w:hyperlink w:anchor="_Toc76799604" w:history="1">
        <w:r w:rsidRPr="00EA081E">
          <w:rPr>
            <w:rStyle w:val="Hyperlink"/>
            <w:noProof/>
          </w:rPr>
          <w:t>Table 3.  Non-Bee Specimens 2019, Order, Family, Percentage and Count</w:t>
        </w:r>
        <w:r>
          <w:rPr>
            <w:noProof/>
            <w:webHidden/>
          </w:rPr>
          <w:tab/>
        </w:r>
        <w:r>
          <w:rPr>
            <w:noProof/>
            <w:webHidden/>
          </w:rPr>
          <w:fldChar w:fldCharType="begin"/>
        </w:r>
        <w:r>
          <w:rPr>
            <w:noProof/>
            <w:webHidden/>
          </w:rPr>
          <w:instrText xml:space="preserve"> PAGEREF _Toc76799604 \h </w:instrText>
        </w:r>
        <w:r>
          <w:rPr>
            <w:noProof/>
            <w:webHidden/>
          </w:rPr>
        </w:r>
        <w:r>
          <w:rPr>
            <w:noProof/>
            <w:webHidden/>
          </w:rPr>
          <w:fldChar w:fldCharType="separate"/>
        </w:r>
        <w:r>
          <w:rPr>
            <w:noProof/>
            <w:webHidden/>
          </w:rPr>
          <w:t>78</w:t>
        </w:r>
        <w:r>
          <w:rPr>
            <w:noProof/>
            <w:webHidden/>
          </w:rPr>
          <w:fldChar w:fldCharType="end"/>
        </w:r>
      </w:hyperlink>
    </w:p>
    <w:p w14:paraId="1DC79C37" w14:textId="330D8A35" w:rsidR="00D730F0" w:rsidRDefault="00D730F0">
      <w:pPr>
        <w:pStyle w:val="TableofFigures"/>
        <w:tabs>
          <w:tab w:val="right" w:leader="dot" w:pos="8630"/>
        </w:tabs>
        <w:rPr>
          <w:rFonts w:asciiTheme="minorHAnsi" w:eastAsiaTheme="minorEastAsia" w:hAnsiTheme="minorHAnsi" w:cstheme="minorBidi"/>
          <w:noProof/>
        </w:rPr>
      </w:pPr>
      <w:hyperlink w:anchor="_Toc76799605" w:history="1">
        <w:r w:rsidRPr="00EA081E">
          <w:rPr>
            <w:rStyle w:val="Hyperlink"/>
            <w:noProof/>
          </w:rPr>
          <w:t>Table 4. Non-Bee Specimens 2020, Order, Family, Percentage and Count</w:t>
        </w:r>
        <w:r>
          <w:rPr>
            <w:noProof/>
            <w:webHidden/>
          </w:rPr>
          <w:tab/>
        </w:r>
        <w:r>
          <w:rPr>
            <w:noProof/>
            <w:webHidden/>
          </w:rPr>
          <w:fldChar w:fldCharType="begin"/>
        </w:r>
        <w:r>
          <w:rPr>
            <w:noProof/>
            <w:webHidden/>
          </w:rPr>
          <w:instrText xml:space="preserve"> PAGEREF _Toc76799605 \h </w:instrText>
        </w:r>
        <w:r>
          <w:rPr>
            <w:noProof/>
            <w:webHidden/>
          </w:rPr>
        </w:r>
        <w:r>
          <w:rPr>
            <w:noProof/>
            <w:webHidden/>
          </w:rPr>
          <w:fldChar w:fldCharType="separate"/>
        </w:r>
        <w:r>
          <w:rPr>
            <w:noProof/>
            <w:webHidden/>
          </w:rPr>
          <w:t>79</w:t>
        </w:r>
        <w:r>
          <w:rPr>
            <w:noProof/>
            <w:webHidden/>
          </w:rPr>
          <w:fldChar w:fldCharType="end"/>
        </w:r>
      </w:hyperlink>
    </w:p>
    <w:p w14:paraId="0DC0B7C2" w14:textId="085ABF64" w:rsidR="00D730F0" w:rsidRDefault="00D730F0">
      <w:pPr>
        <w:pStyle w:val="TableofFigures"/>
        <w:tabs>
          <w:tab w:val="right" w:leader="dot" w:pos="8630"/>
        </w:tabs>
        <w:rPr>
          <w:rFonts w:asciiTheme="minorHAnsi" w:eastAsiaTheme="minorEastAsia" w:hAnsiTheme="minorHAnsi" w:cstheme="minorBidi"/>
          <w:noProof/>
        </w:rPr>
      </w:pPr>
      <w:hyperlink w:anchor="_Toc76799606" w:history="1">
        <w:r w:rsidRPr="00EA081E">
          <w:rPr>
            <w:rStyle w:val="Hyperlink"/>
            <w:noProof/>
          </w:rPr>
          <w:t>Table 5. Landscape Analysis per Site, National Land Cover Database (ESRI, 2016)</w:t>
        </w:r>
        <w:r>
          <w:rPr>
            <w:noProof/>
            <w:webHidden/>
          </w:rPr>
          <w:tab/>
        </w:r>
        <w:r>
          <w:rPr>
            <w:noProof/>
            <w:webHidden/>
          </w:rPr>
          <w:fldChar w:fldCharType="begin"/>
        </w:r>
        <w:r>
          <w:rPr>
            <w:noProof/>
            <w:webHidden/>
          </w:rPr>
          <w:instrText xml:space="preserve"> PAGEREF _Toc76799606 \h </w:instrText>
        </w:r>
        <w:r>
          <w:rPr>
            <w:noProof/>
            <w:webHidden/>
          </w:rPr>
        </w:r>
        <w:r>
          <w:rPr>
            <w:noProof/>
            <w:webHidden/>
          </w:rPr>
          <w:fldChar w:fldCharType="separate"/>
        </w:r>
        <w:r>
          <w:rPr>
            <w:noProof/>
            <w:webHidden/>
          </w:rPr>
          <w:t>80</w:t>
        </w:r>
        <w:r>
          <w:rPr>
            <w:noProof/>
            <w:webHidden/>
          </w:rPr>
          <w:fldChar w:fldCharType="end"/>
        </w:r>
      </w:hyperlink>
    </w:p>
    <w:p w14:paraId="66346700" w14:textId="355655C9" w:rsidR="00207B01" w:rsidRPr="000C7549" w:rsidRDefault="00207B01" w:rsidP="00BD50DC">
      <w:pPr>
        <w:rPr>
          <w:rFonts w:ascii="Arial" w:hAnsi="Arial" w:cs="Arial"/>
        </w:rPr>
      </w:pPr>
      <w:r w:rsidRPr="000C7549">
        <w:rPr>
          <w:rFonts w:ascii="Arial" w:hAnsi="Arial" w:cs="Arial"/>
        </w:rPr>
        <w:fldChar w:fldCharType="end"/>
      </w:r>
    </w:p>
    <w:p w14:paraId="03604AC3" w14:textId="77777777" w:rsidR="00207B01" w:rsidRPr="000C7549" w:rsidRDefault="00207B01" w:rsidP="00207B01">
      <w:pPr>
        <w:spacing w:line="480" w:lineRule="auto"/>
        <w:rPr>
          <w:rFonts w:ascii="Arial" w:hAnsi="Arial" w:cs="Arial"/>
        </w:rPr>
      </w:pPr>
    </w:p>
    <w:p w14:paraId="2020D390" w14:textId="77777777" w:rsidR="00207B01" w:rsidRPr="000C7549" w:rsidRDefault="00207B01" w:rsidP="00207B01">
      <w:pPr>
        <w:spacing w:line="480" w:lineRule="auto"/>
        <w:rPr>
          <w:rFonts w:ascii="Arial" w:hAnsi="Arial" w:cs="Arial"/>
        </w:rPr>
      </w:pPr>
    </w:p>
    <w:p w14:paraId="2661020C" w14:textId="77777777" w:rsidR="00207B01" w:rsidRPr="000C7549" w:rsidRDefault="00207B01" w:rsidP="00207B01">
      <w:pPr>
        <w:spacing w:line="480" w:lineRule="auto"/>
        <w:rPr>
          <w:rFonts w:ascii="Arial" w:hAnsi="Arial" w:cs="Arial"/>
        </w:rPr>
      </w:pPr>
    </w:p>
    <w:p w14:paraId="72984BD1" w14:textId="77777777" w:rsidR="00207B01" w:rsidRPr="000C7549" w:rsidRDefault="00207B01" w:rsidP="00207B01">
      <w:pPr>
        <w:spacing w:line="480" w:lineRule="auto"/>
        <w:rPr>
          <w:rFonts w:ascii="Arial" w:hAnsi="Arial" w:cs="Arial"/>
        </w:rPr>
      </w:pPr>
    </w:p>
    <w:p w14:paraId="57A17960" w14:textId="77777777" w:rsidR="00207B01" w:rsidRPr="000C7549" w:rsidRDefault="00207B01" w:rsidP="00207B01">
      <w:pPr>
        <w:spacing w:line="480" w:lineRule="auto"/>
        <w:rPr>
          <w:rFonts w:ascii="Arial" w:hAnsi="Arial" w:cs="Arial"/>
        </w:rPr>
      </w:pPr>
    </w:p>
    <w:p w14:paraId="68BA39CE" w14:textId="77777777" w:rsidR="00207B01" w:rsidRPr="000C7549" w:rsidRDefault="00207B01" w:rsidP="00207B01">
      <w:pPr>
        <w:spacing w:line="480" w:lineRule="auto"/>
        <w:rPr>
          <w:rFonts w:ascii="Arial" w:hAnsi="Arial" w:cs="Arial"/>
        </w:rPr>
      </w:pPr>
    </w:p>
    <w:p w14:paraId="4B487D2F" w14:textId="77777777" w:rsidR="00207B01" w:rsidRPr="000C7549" w:rsidRDefault="00207B01" w:rsidP="00207B01">
      <w:pPr>
        <w:spacing w:line="480" w:lineRule="auto"/>
        <w:rPr>
          <w:rFonts w:ascii="Arial" w:hAnsi="Arial" w:cs="Arial"/>
        </w:rPr>
      </w:pPr>
    </w:p>
    <w:p w14:paraId="36F75CC0" w14:textId="77777777" w:rsidR="00207B01" w:rsidRPr="000C7549" w:rsidRDefault="00207B01" w:rsidP="00207B01">
      <w:pPr>
        <w:spacing w:line="480" w:lineRule="auto"/>
        <w:rPr>
          <w:rFonts w:ascii="Arial" w:hAnsi="Arial" w:cs="Arial"/>
        </w:rPr>
      </w:pPr>
    </w:p>
    <w:p w14:paraId="4AAE0213" w14:textId="77777777" w:rsidR="00207B01" w:rsidRPr="000C7549" w:rsidRDefault="00207B01" w:rsidP="00BD50DC">
      <w:pPr>
        <w:pStyle w:val="Title"/>
      </w:pPr>
      <w:r w:rsidRPr="000C7549">
        <w:br w:type="page"/>
      </w:r>
      <w:r w:rsidRPr="000C7549">
        <w:lastRenderedPageBreak/>
        <w:t>LIST OF FIGURES</w:t>
      </w:r>
    </w:p>
    <w:p w14:paraId="708FA9B1" w14:textId="4846CF79" w:rsidR="00D730F0" w:rsidRDefault="00207B01">
      <w:pPr>
        <w:pStyle w:val="TableofFigures"/>
        <w:tabs>
          <w:tab w:val="right" w:leader="dot" w:pos="8630"/>
        </w:tabs>
        <w:rPr>
          <w:rFonts w:asciiTheme="minorHAnsi" w:eastAsiaTheme="minorEastAsia" w:hAnsiTheme="minorHAnsi" w:cstheme="minorBidi"/>
          <w:noProof/>
        </w:rPr>
      </w:pPr>
      <w:r w:rsidRPr="000C7549">
        <w:fldChar w:fldCharType="begin"/>
      </w:r>
      <w:r w:rsidRPr="000C7549">
        <w:instrText xml:space="preserve"> TOC \h \z \c "Figure" </w:instrText>
      </w:r>
      <w:r w:rsidRPr="000C7549">
        <w:fldChar w:fldCharType="separate"/>
      </w:r>
      <w:hyperlink w:anchor="_Toc76799610" w:history="1">
        <w:r w:rsidR="00D730F0" w:rsidRPr="00D618B4">
          <w:rPr>
            <w:rStyle w:val="Hyperlink"/>
            <w:noProof/>
          </w:rPr>
          <w:t>Figure 1. Plot Design</w:t>
        </w:r>
        <w:r w:rsidR="00D730F0">
          <w:rPr>
            <w:noProof/>
            <w:webHidden/>
          </w:rPr>
          <w:tab/>
        </w:r>
        <w:r w:rsidR="00D730F0">
          <w:rPr>
            <w:noProof/>
            <w:webHidden/>
          </w:rPr>
          <w:fldChar w:fldCharType="begin"/>
        </w:r>
        <w:r w:rsidR="00D730F0">
          <w:rPr>
            <w:noProof/>
            <w:webHidden/>
          </w:rPr>
          <w:instrText xml:space="preserve"> PAGEREF _Toc76799610 \h </w:instrText>
        </w:r>
        <w:r w:rsidR="00D730F0">
          <w:rPr>
            <w:noProof/>
            <w:webHidden/>
          </w:rPr>
        </w:r>
        <w:r w:rsidR="00D730F0">
          <w:rPr>
            <w:noProof/>
            <w:webHidden/>
          </w:rPr>
          <w:fldChar w:fldCharType="separate"/>
        </w:r>
        <w:r w:rsidR="00D730F0">
          <w:rPr>
            <w:noProof/>
            <w:webHidden/>
          </w:rPr>
          <w:t>65</w:t>
        </w:r>
        <w:r w:rsidR="00D730F0">
          <w:rPr>
            <w:noProof/>
            <w:webHidden/>
          </w:rPr>
          <w:fldChar w:fldCharType="end"/>
        </w:r>
      </w:hyperlink>
    </w:p>
    <w:p w14:paraId="526DE4E9" w14:textId="7C44D424" w:rsidR="00D730F0" w:rsidRDefault="00D730F0">
      <w:pPr>
        <w:pStyle w:val="TableofFigures"/>
        <w:tabs>
          <w:tab w:val="right" w:leader="dot" w:pos="8630"/>
        </w:tabs>
        <w:rPr>
          <w:rFonts w:asciiTheme="minorHAnsi" w:eastAsiaTheme="minorEastAsia" w:hAnsiTheme="minorHAnsi" w:cstheme="minorBidi"/>
          <w:noProof/>
        </w:rPr>
      </w:pPr>
      <w:hyperlink w:anchor="_Toc76799611" w:history="1">
        <w:r w:rsidRPr="00D618B4">
          <w:rPr>
            <w:rStyle w:val="Hyperlink"/>
            <w:noProof/>
          </w:rPr>
          <w:t>Figure 2. Average Pollinator Abundance per Block</w:t>
        </w:r>
        <w:r>
          <w:rPr>
            <w:noProof/>
            <w:webHidden/>
          </w:rPr>
          <w:tab/>
        </w:r>
        <w:r>
          <w:rPr>
            <w:noProof/>
            <w:webHidden/>
          </w:rPr>
          <w:fldChar w:fldCharType="begin"/>
        </w:r>
        <w:r>
          <w:rPr>
            <w:noProof/>
            <w:webHidden/>
          </w:rPr>
          <w:instrText xml:space="preserve"> PAGEREF _Toc76799611 \h </w:instrText>
        </w:r>
        <w:r>
          <w:rPr>
            <w:noProof/>
            <w:webHidden/>
          </w:rPr>
        </w:r>
        <w:r>
          <w:rPr>
            <w:noProof/>
            <w:webHidden/>
          </w:rPr>
          <w:fldChar w:fldCharType="separate"/>
        </w:r>
        <w:r>
          <w:rPr>
            <w:noProof/>
            <w:webHidden/>
          </w:rPr>
          <w:t>65</w:t>
        </w:r>
        <w:r>
          <w:rPr>
            <w:noProof/>
            <w:webHidden/>
          </w:rPr>
          <w:fldChar w:fldCharType="end"/>
        </w:r>
      </w:hyperlink>
    </w:p>
    <w:p w14:paraId="5CF390FD" w14:textId="49FC3FCD" w:rsidR="00D730F0" w:rsidRDefault="00D730F0">
      <w:pPr>
        <w:pStyle w:val="TableofFigures"/>
        <w:tabs>
          <w:tab w:val="right" w:leader="dot" w:pos="8630"/>
        </w:tabs>
        <w:rPr>
          <w:rFonts w:asciiTheme="minorHAnsi" w:eastAsiaTheme="minorEastAsia" w:hAnsiTheme="minorHAnsi" w:cstheme="minorBidi"/>
          <w:noProof/>
        </w:rPr>
      </w:pPr>
      <w:hyperlink w:anchor="_Toc76799612" w:history="1">
        <w:r w:rsidRPr="00D618B4">
          <w:rPr>
            <w:rStyle w:val="Hyperlink"/>
            <w:noProof/>
          </w:rPr>
          <w:t>Figure 3. Floral Phenology</w:t>
        </w:r>
        <w:r>
          <w:rPr>
            <w:noProof/>
            <w:webHidden/>
          </w:rPr>
          <w:tab/>
        </w:r>
        <w:r>
          <w:rPr>
            <w:noProof/>
            <w:webHidden/>
          </w:rPr>
          <w:fldChar w:fldCharType="begin"/>
        </w:r>
        <w:r>
          <w:rPr>
            <w:noProof/>
            <w:webHidden/>
          </w:rPr>
          <w:instrText xml:space="preserve"> PAGEREF _Toc76799612 \h </w:instrText>
        </w:r>
        <w:r>
          <w:rPr>
            <w:noProof/>
            <w:webHidden/>
          </w:rPr>
        </w:r>
        <w:r>
          <w:rPr>
            <w:noProof/>
            <w:webHidden/>
          </w:rPr>
          <w:fldChar w:fldCharType="separate"/>
        </w:r>
        <w:r>
          <w:rPr>
            <w:noProof/>
            <w:webHidden/>
          </w:rPr>
          <w:t>66</w:t>
        </w:r>
        <w:r>
          <w:rPr>
            <w:noProof/>
            <w:webHidden/>
          </w:rPr>
          <w:fldChar w:fldCharType="end"/>
        </w:r>
      </w:hyperlink>
    </w:p>
    <w:p w14:paraId="070E2BA8" w14:textId="1ECE4479" w:rsidR="00D730F0" w:rsidRDefault="00D730F0">
      <w:pPr>
        <w:pStyle w:val="TableofFigures"/>
        <w:tabs>
          <w:tab w:val="right" w:leader="dot" w:pos="8630"/>
        </w:tabs>
        <w:rPr>
          <w:rFonts w:asciiTheme="minorHAnsi" w:eastAsiaTheme="minorEastAsia" w:hAnsiTheme="minorHAnsi" w:cstheme="minorBidi"/>
          <w:noProof/>
        </w:rPr>
      </w:pPr>
      <w:hyperlink w:anchor="_Toc76799613" w:history="1">
        <w:r w:rsidRPr="00D618B4">
          <w:rPr>
            <w:rStyle w:val="Hyperlink"/>
            <w:noProof/>
          </w:rPr>
          <w:t>Figure 4. Average Floral Display per Plant Species per Individual Sample</w:t>
        </w:r>
        <w:r>
          <w:rPr>
            <w:noProof/>
            <w:webHidden/>
          </w:rPr>
          <w:tab/>
        </w:r>
        <w:r>
          <w:rPr>
            <w:noProof/>
            <w:webHidden/>
          </w:rPr>
          <w:fldChar w:fldCharType="begin"/>
        </w:r>
        <w:r>
          <w:rPr>
            <w:noProof/>
            <w:webHidden/>
          </w:rPr>
          <w:instrText xml:space="preserve"> PAGEREF _Toc76799613 \h </w:instrText>
        </w:r>
        <w:r>
          <w:rPr>
            <w:noProof/>
            <w:webHidden/>
          </w:rPr>
        </w:r>
        <w:r>
          <w:rPr>
            <w:noProof/>
            <w:webHidden/>
          </w:rPr>
          <w:fldChar w:fldCharType="separate"/>
        </w:r>
        <w:r>
          <w:rPr>
            <w:noProof/>
            <w:webHidden/>
          </w:rPr>
          <w:t>67</w:t>
        </w:r>
        <w:r>
          <w:rPr>
            <w:noProof/>
            <w:webHidden/>
          </w:rPr>
          <w:fldChar w:fldCharType="end"/>
        </w:r>
      </w:hyperlink>
    </w:p>
    <w:p w14:paraId="45AD752B" w14:textId="48CBAE6C" w:rsidR="00D730F0" w:rsidRDefault="00D730F0">
      <w:pPr>
        <w:pStyle w:val="TableofFigures"/>
        <w:tabs>
          <w:tab w:val="right" w:leader="dot" w:pos="8630"/>
        </w:tabs>
        <w:rPr>
          <w:rFonts w:asciiTheme="minorHAnsi" w:eastAsiaTheme="minorEastAsia" w:hAnsiTheme="minorHAnsi" w:cstheme="minorBidi"/>
          <w:noProof/>
        </w:rPr>
      </w:pPr>
      <w:hyperlink w:anchor="_Toc76799614" w:history="1">
        <w:r w:rsidRPr="00D618B4">
          <w:rPr>
            <w:rStyle w:val="Hyperlink"/>
            <w:noProof/>
          </w:rPr>
          <w:t>Figure 5. Floral Display and Abundance</w:t>
        </w:r>
        <w:r>
          <w:rPr>
            <w:noProof/>
            <w:webHidden/>
          </w:rPr>
          <w:tab/>
        </w:r>
        <w:r>
          <w:rPr>
            <w:noProof/>
            <w:webHidden/>
          </w:rPr>
          <w:fldChar w:fldCharType="begin"/>
        </w:r>
        <w:r>
          <w:rPr>
            <w:noProof/>
            <w:webHidden/>
          </w:rPr>
          <w:instrText xml:space="preserve"> PAGEREF _Toc76799614 \h </w:instrText>
        </w:r>
        <w:r>
          <w:rPr>
            <w:noProof/>
            <w:webHidden/>
          </w:rPr>
        </w:r>
        <w:r>
          <w:rPr>
            <w:noProof/>
            <w:webHidden/>
          </w:rPr>
          <w:fldChar w:fldCharType="separate"/>
        </w:r>
        <w:r>
          <w:rPr>
            <w:noProof/>
            <w:webHidden/>
          </w:rPr>
          <w:t>68</w:t>
        </w:r>
        <w:r>
          <w:rPr>
            <w:noProof/>
            <w:webHidden/>
          </w:rPr>
          <w:fldChar w:fldCharType="end"/>
        </w:r>
      </w:hyperlink>
    </w:p>
    <w:p w14:paraId="2A74C1BF" w14:textId="5F523236" w:rsidR="00D730F0" w:rsidRDefault="00D730F0">
      <w:pPr>
        <w:pStyle w:val="TableofFigures"/>
        <w:tabs>
          <w:tab w:val="right" w:leader="dot" w:pos="8630"/>
        </w:tabs>
        <w:rPr>
          <w:rFonts w:asciiTheme="minorHAnsi" w:eastAsiaTheme="minorEastAsia" w:hAnsiTheme="minorHAnsi" w:cstheme="minorBidi"/>
          <w:noProof/>
        </w:rPr>
      </w:pPr>
      <w:hyperlink w:anchor="_Toc76799615" w:history="1">
        <w:r w:rsidRPr="00D618B4">
          <w:rPr>
            <w:rStyle w:val="Hyperlink"/>
            <w:noProof/>
          </w:rPr>
          <w:t>Figure 6. Linear Model Summary Output, Abundance and Floral Display</w:t>
        </w:r>
        <w:r>
          <w:rPr>
            <w:noProof/>
            <w:webHidden/>
          </w:rPr>
          <w:tab/>
        </w:r>
        <w:r>
          <w:rPr>
            <w:noProof/>
            <w:webHidden/>
          </w:rPr>
          <w:fldChar w:fldCharType="begin"/>
        </w:r>
        <w:r>
          <w:rPr>
            <w:noProof/>
            <w:webHidden/>
          </w:rPr>
          <w:instrText xml:space="preserve"> PAGEREF _Toc76799615 \h </w:instrText>
        </w:r>
        <w:r>
          <w:rPr>
            <w:noProof/>
            <w:webHidden/>
          </w:rPr>
        </w:r>
        <w:r>
          <w:rPr>
            <w:noProof/>
            <w:webHidden/>
          </w:rPr>
          <w:fldChar w:fldCharType="separate"/>
        </w:r>
        <w:r>
          <w:rPr>
            <w:noProof/>
            <w:webHidden/>
          </w:rPr>
          <w:t>68</w:t>
        </w:r>
        <w:r>
          <w:rPr>
            <w:noProof/>
            <w:webHidden/>
          </w:rPr>
          <w:fldChar w:fldCharType="end"/>
        </w:r>
      </w:hyperlink>
    </w:p>
    <w:p w14:paraId="5C398F08" w14:textId="100C947A" w:rsidR="00D730F0" w:rsidRDefault="00D730F0">
      <w:pPr>
        <w:pStyle w:val="TableofFigures"/>
        <w:tabs>
          <w:tab w:val="right" w:leader="dot" w:pos="8630"/>
        </w:tabs>
        <w:rPr>
          <w:rFonts w:asciiTheme="minorHAnsi" w:eastAsiaTheme="minorEastAsia" w:hAnsiTheme="minorHAnsi" w:cstheme="minorBidi"/>
          <w:noProof/>
        </w:rPr>
      </w:pPr>
      <w:hyperlink w:anchor="_Toc76799616" w:history="1">
        <w:r w:rsidRPr="00D618B4">
          <w:rPr>
            <w:rStyle w:val="Hyperlink"/>
            <w:noProof/>
          </w:rPr>
          <w:t>Figure 7a. Average Visitation Rate Per Plant Species 2020</w:t>
        </w:r>
        <w:r>
          <w:rPr>
            <w:noProof/>
            <w:webHidden/>
          </w:rPr>
          <w:tab/>
        </w:r>
        <w:r>
          <w:rPr>
            <w:noProof/>
            <w:webHidden/>
          </w:rPr>
          <w:fldChar w:fldCharType="begin"/>
        </w:r>
        <w:r>
          <w:rPr>
            <w:noProof/>
            <w:webHidden/>
          </w:rPr>
          <w:instrText xml:space="preserve"> PAGEREF _Toc76799616 \h </w:instrText>
        </w:r>
        <w:r>
          <w:rPr>
            <w:noProof/>
            <w:webHidden/>
          </w:rPr>
        </w:r>
        <w:r>
          <w:rPr>
            <w:noProof/>
            <w:webHidden/>
          </w:rPr>
          <w:fldChar w:fldCharType="separate"/>
        </w:r>
        <w:r>
          <w:rPr>
            <w:noProof/>
            <w:webHidden/>
          </w:rPr>
          <w:t>69</w:t>
        </w:r>
        <w:r>
          <w:rPr>
            <w:noProof/>
            <w:webHidden/>
          </w:rPr>
          <w:fldChar w:fldCharType="end"/>
        </w:r>
      </w:hyperlink>
    </w:p>
    <w:p w14:paraId="27310D29" w14:textId="0E3A8F4C" w:rsidR="00D730F0" w:rsidRDefault="00D730F0">
      <w:pPr>
        <w:pStyle w:val="TableofFigures"/>
        <w:tabs>
          <w:tab w:val="right" w:leader="dot" w:pos="8630"/>
        </w:tabs>
        <w:rPr>
          <w:rFonts w:asciiTheme="minorHAnsi" w:eastAsiaTheme="minorEastAsia" w:hAnsiTheme="minorHAnsi" w:cstheme="minorBidi"/>
          <w:noProof/>
        </w:rPr>
      </w:pPr>
      <w:hyperlink w:anchor="_Toc76799617" w:history="1">
        <w:r w:rsidRPr="00D618B4">
          <w:rPr>
            <w:rStyle w:val="Hyperlink"/>
            <w:noProof/>
          </w:rPr>
          <w:t>Figure 7b. Average Bee Visitation Rate Per Plant Species 2020</w:t>
        </w:r>
        <w:r>
          <w:rPr>
            <w:noProof/>
            <w:webHidden/>
          </w:rPr>
          <w:tab/>
        </w:r>
        <w:r>
          <w:rPr>
            <w:noProof/>
            <w:webHidden/>
          </w:rPr>
          <w:fldChar w:fldCharType="begin"/>
        </w:r>
        <w:r>
          <w:rPr>
            <w:noProof/>
            <w:webHidden/>
          </w:rPr>
          <w:instrText xml:space="preserve"> PAGEREF _Toc76799617 \h </w:instrText>
        </w:r>
        <w:r>
          <w:rPr>
            <w:noProof/>
            <w:webHidden/>
          </w:rPr>
        </w:r>
        <w:r>
          <w:rPr>
            <w:noProof/>
            <w:webHidden/>
          </w:rPr>
          <w:fldChar w:fldCharType="separate"/>
        </w:r>
        <w:r>
          <w:rPr>
            <w:noProof/>
            <w:webHidden/>
          </w:rPr>
          <w:t>69</w:t>
        </w:r>
        <w:r>
          <w:rPr>
            <w:noProof/>
            <w:webHidden/>
          </w:rPr>
          <w:fldChar w:fldCharType="end"/>
        </w:r>
      </w:hyperlink>
    </w:p>
    <w:p w14:paraId="1FD29CE9" w14:textId="60D91462" w:rsidR="00D730F0" w:rsidRDefault="00D730F0">
      <w:pPr>
        <w:pStyle w:val="TableofFigures"/>
        <w:tabs>
          <w:tab w:val="right" w:leader="dot" w:pos="8630"/>
        </w:tabs>
        <w:rPr>
          <w:rFonts w:asciiTheme="minorHAnsi" w:eastAsiaTheme="minorEastAsia" w:hAnsiTheme="minorHAnsi" w:cstheme="minorBidi"/>
          <w:noProof/>
        </w:rPr>
      </w:pPr>
      <w:hyperlink w:anchor="_Toc76799618" w:history="1">
        <w:r w:rsidRPr="00D618B4">
          <w:rPr>
            <w:rStyle w:val="Hyperlink"/>
            <w:noProof/>
          </w:rPr>
          <w:t>Figure 8. Average Visitation Rate Per Treatment 2020</w:t>
        </w:r>
        <w:r>
          <w:rPr>
            <w:noProof/>
            <w:webHidden/>
          </w:rPr>
          <w:tab/>
        </w:r>
        <w:r>
          <w:rPr>
            <w:noProof/>
            <w:webHidden/>
          </w:rPr>
          <w:fldChar w:fldCharType="begin"/>
        </w:r>
        <w:r>
          <w:rPr>
            <w:noProof/>
            <w:webHidden/>
          </w:rPr>
          <w:instrText xml:space="preserve"> PAGEREF _Toc76799618 \h </w:instrText>
        </w:r>
        <w:r>
          <w:rPr>
            <w:noProof/>
            <w:webHidden/>
          </w:rPr>
        </w:r>
        <w:r>
          <w:rPr>
            <w:noProof/>
            <w:webHidden/>
          </w:rPr>
          <w:fldChar w:fldCharType="separate"/>
        </w:r>
        <w:r>
          <w:rPr>
            <w:noProof/>
            <w:webHidden/>
          </w:rPr>
          <w:t>70</w:t>
        </w:r>
        <w:r>
          <w:rPr>
            <w:noProof/>
            <w:webHidden/>
          </w:rPr>
          <w:fldChar w:fldCharType="end"/>
        </w:r>
      </w:hyperlink>
    </w:p>
    <w:p w14:paraId="6DDA6744" w14:textId="5651AA78" w:rsidR="00D730F0" w:rsidRDefault="00D730F0">
      <w:pPr>
        <w:pStyle w:val="TableofFigures"/>
        <w:tabs>
          <w:tab w:val="right" w:leader="dot" w:pos="8630"/>
        </w:tabs>
        <w:rPr>
          <w:rFonts w:asciiTheme="minorHAnsi" w:eastAsiaTheme="minorEastAsia" w:hAnsiTheme="minorHAnsi" w:cstheme="minorBidi"/>
          <w:noProof/>
        </w:rPr>
      </w:pPr>
      <w:hyperlink w:anchor="_Toc76799619" w:history="1">
        <w:r w:rsidRPr="00D618B4">
          <w:rPr>
            <w:rStyle w:val="Hyperlink"/>
            <w:noProof/>
          </w:rPr>
          <w:t>Figure 9. 2000m Buffer Analysis Using NLCD Layer (ESRI, 2016)</w:t>
        </w:r>
        <w:r>
          <w:rPr>
            <w:noProof/>
            <w:webHidden/>
          </w:rPr>
          <w:tab/>
        </w:r>
        <w:r>
          <w:rPr>
            <w:noProof/>
            <w:webHidden/>
          </w:rPr>
          <w:fldChar w:fldCharType="begin"/>
        </w:r>
        <w:r>
          <w:rPr>
            <w:noProof/>
            <w:webHidden/>
          </w:rPr>
          <w:instrText xml:space="preserve"> PAGEREF _Toc76799619 \h </w:instrText>
        </w:r>
        <w:r>
          <w:rPr>
            <w:noProof/>
            <w:webHidden/>
          </w:rPr>
        </w:r>
        <w:r>
          <w:rPr>
            <w:noProof/>
            <w:webHidden/>
          </w:rPr>
          <w:fldChar w:fldCharType="separate"/>
        </w:r>
        <w:r>
          <w:rPr>
            <w:noProof/>
            <w:webHidden/>
          </w:rPr>
          <w:t>70</w:t>
        </w:r>
        <w:r>
          <w:rPr>
            <w:noProof/>
            <w:webHidden/>
          </w:rPr>
          <w:fldChar w:fldCharType="end"/>
        </w:r>
      </w:hyperlink>
    </w:p>
    <w:p w14:paraId="6EB886A0" w14:textId="6F443C16" w:rsidR="00D730F0" w:rsidRDefault="00D730F0">
      <w:pPr>
        <w:pStyle w:val="TableofFigures"/>
        <w:tabs>
          <w:tab w:val="right" w:leader="dot" w:pos="8630"/>
        </w:tabs>
        <w:rPr>
          <w:rFonts w:asciiTheme="minorHAnsi" w:eastAsiaTheme="minorEastAsia" w:hAnsiTheme="minorHAnsi" w:cstheme="minorBidi"/>
          <w:noProof/>
        </w:rPr>
      </w:pPr>
      <w:hyperlink w:anchor="_Toc76799620" w:history="1">
        <w:r w:rsidRPr="00D618B4">
          <w:rPr>
            <w:rStyle w:val="Hyperlink"/>
            <w:noProof/>
          </w:rPr>
          <w:t>Figure 10. Average Bee Abundance per Site</w:t>
        </w:r>
        <w:r>
          <w:rPr>
            <w:noProof/>
            <w:webHidden/>
          </w:rPr>
          <w:tab/>
        </w:r>
        <w:r>
          <w:rPr>
            <w:noProof/>
            <w:webHidden/>
          </w:rPr>
          <w:fldChar w:fldCharType="begin"/>
        </w:r>
        <w:r>
          <w:rPr>
            <w:noProof/>
            <w:webHidden/>
          </w:rPr>
          <w:instrText xml:space="preserve"> PAGEREF _Toc76799620 \h </w:instrText>
        </w:r>
        <w:r>
          <w:rPr>
            <w:noProof/>
            <w:webHidden/>
          </w:rPr>
        </w:r>
        <w:r>
          <w:rPr>
            <w:noProof/>
            <w:webHidden/>
          </w:rPr>
          <w:fldChar w:fldCharType="separate"/>
        </w:r>
        <w:r>
          <w:rPr>
            <w:noProof/>
            <w:webHidden/>
          </w:rPr>
          <w:t>71</w:t>
        </w:r>
        <w:r>
          <w:rPr>
            <w:noProof/>
            <w:webHidden/>
          </w:rPr>
          <w:fldChar w:fldCharType="end"/>
        </w:r>
      </w:hyperlink>
    </w:p>
    <w:p w14:paraId="381189C2" w14:textId="53BC9E20" w:rsidR="00D730F0" w:rsidRDefault="00D730F0">
      <w:pPr>
        <w:pStyle w:val="TableofFigures"/>
        <w:tabs>
          <w:tab w:val="right" w:leader="dot" w:pos="8630"/>
        </w:tabs>
        <w:rPr>
          <w:rFonts w:asciiTheme="minorHAnsi" w:eastAsiaTheme="minorEastAsia" w:hAnsiTheme="minorHAnsi" w:cstheme="minorBidi"/>
          <w:noProof/>
        </w:rPr>
      </w:pPr>
      <w:hyperlink w:anchor="_Toc76799621" w:history="1">
        <w:r w:rsidRPr="00D618B4">
          <w:rPr>
            <w:rStyle w:val="Hyperlink"/>
            <w:noProof/>
          </w:rPr>
          <w:t>Figure 11. Shannon’s Diversity Index per Site</w:t>
        </w:r>
        <w:r>
          <w:rPr>
            <w:noProof/>
            <w:webHidden/>
          </w:rPr>
          <w:tab/>
        </w:r>
        <w:r>
          <w:rPr>
            <w:noProof/>
            <w:webHidden/>
          </w:rPr>
          <w:fldChar w:fldCharType="begin"/>
        </w:r>
        <w:r>
          <w:rPr>
            <w:noProof/>
            <w:webHidden/>
          </w:rPr>
          <w:instrText xml:space="preserve"> PAGEREF _Toc76799621 \h </w:instrText>
        </w:r>
        <w:r>
          <w:rPr>
            <w:noProof/>
            <w:webHidden/>
          </w:rPr>
        </w:r>
        <w:r>
          <w:rPr>
            <w:noProof/>
            <w:webHidden/>
          </w:rPr>
          <w:fldChar w:fldCharType="separate"/>
        </w:r>
        <w:r>
          <w:rPr>
            <w:noProof/>
            <w:webHidden/>
          </w:rPr>
          <w:t>71</w:t>
        </w:r>
        <w:r>
          <w:rPr>
            <w:noProof/>
            <w:webHidden/>
          </w:rPr>
          <w:fldChar w:fldCharType="end"/>
        </w:r>
      </w:hyperlink>
    </w:p>
    <w:p w14:paraId="13DEA508" w14:textId="1BF4D67A" w:rsidR="00D730F0" w:rsidRDefault="00D730F0">
      <w:pPr>
        <w:pStyle w:val="TableofFigures"/>
        <w:tabs>
          <w:tab w:val="right" w:leader="dot" w:pos="8630"/>
        </w:tabs>
        <w:rPr>
          <w:rFonts w:asciiTheme="minorHAnsi" w:eastAsiaTheme="minorEastAsia" w:hAnsiTheme="minorHAnsi" w:cstheme="minorBidi"/>
          <w:noProof/>
        </w:rPr>
      </w:pPr>
      <w:hyperlink w:anchor="_Toc76799622" w:history="1">
        <w:r w:rsidRPr="00D618B4">
          <w:rPr>
            <w:rStyle w:val="Hyperlink"/>
            <w:noProof/>
          </w:rPr>
          <w:t>Figure 12. Comparison of Average Abundance and Proportion of Natural Land Cover at Selected Radii (500m, 1000m, 2000m)</w:t>
        </w:r>
        <w:r>
          <w:rPr>
            <w:noProof/>
            <w:webHidden/>
          </w:rPr>
          <w:tab/>
        </w:r>
        <w:r>
          <w:rPr>
            <w:noProof/>
            <w:webHidden/>
          </w:rPr>
          <w:fldChar w:fldCharType="begin"/>
        </w:r>
        <w:r>
          <w:rPr>
            <w:noProof/>
            <w:webHidden/>
          </w:rPr>
          <w:instrText xml:space="preserve"> PAGEREF _Toc76799622 \h </w:instrText>
        </w:r>
        <w:r>
          <w:rPr>
            <w:noProof/>
            <w:webHidden/>
          </w:rPr>
        </w:r>
        <w:r>
          <w:rPr>
            <w:noProof/>
            <w:webHidden/>
          </w:rPr>
          <w:fldChar w:fldCharType="separate"/>
        </w:r>
        <w:r>
          <w:rPr>
            <w:noProof/>
            <w:webHidden/>
          </w:rPr>
          <w:t>72</w:t>
        </w:r>
        <w:r>
          <w:rPr>
            <w:noProof/>
            <w:webHidden/>
          </w:rPr>
          <w:fldChar w:fldCharType="end"/>
        </w:r>
      </w:hyperlink>
    </w:p>
    <w:p w14:paraId="5F6DD74E" w14:textId="43C094A4" w:rsidR="00D730F0" w:rsidRDefault="00D730F0">
      <w:pPr>
        <w:pStyle w:val="TableofFigures"/>
        <w:tabs>
          <w:tab w:val="right" w:leader="dot" w:pos="8630"/>
        </w:tabs>
        <w:rPr>
          <w:rFonts w:asciiTheme="minorHAnsi" w:eastAsiaTheme="minorEastAsia" w:hAnsiTheme="minorHAnsi" w:cstheme="minorBidi"/>
          <w:noProof/>
        </w:rPr>
      </w:pPr>
      <w:hyperlink w:anchor="_Toc76799623" w:history="1">
        <w:r w:rsidRPr="00D618B4">
          <w:rPr>
            <w:rStyle w:val="Hyperlink"/>
            <w:noProof/>
          </w:rPr>
          <w:t>Figure 13. Comparison of Average Abundance Across Major Land Cover Classes at 2000m Radius</w:t>
        </w:r>
        <w:r>
          <w:rPr>
            <w:noProof/>
            <w:webHidden/>
          </w:rPr>
          <w:tab/>
        </w:r>
        <w:r>
          <w:rPr>
            <w:noProof/>
            <w:webHidden/>
          </w:rPr>
          <w:fldChar w:fldCharType="begin"/>
        </w:r>
        <w:r>
          <w:rPr>
            <w:noProof/>
            <w:webHidden/>
          </w:rPr>
          <w:instrText xml:space="preserve"> PAGEREF _Toc76799623 \h </w:instrText>
        </w:r>
        <w:r>
          <w:rPr>
            <w:noProof/>
            <w:webHidden/>
          </w:rPr>
        </w:r>
        <w:r>
          <w:rPr>
            <w:noProof/>
            <w:webHidden/>
          </w:rPr>
          <w:fldChar w:fldCharType="separate"/>
        </w:r>
        <w:r>
          <w:rPr>
            <w:noProof/>
            <w:webHidden/>
          </w:rPr>
          <w:t>73</w:t>
        </w:r>
        <w:r>
          <w:rPr>
            <w:noProof/>
            <w:webHidden/>
          </w:rPr>
          <w:fldChar w:fldCharType="end"/>
        </w:r>
      </w:hyperlink>
    </w:p>
    <w:p w14:paraId="13E9BC68" w14:textId="42B7BB8A" w:rsidR="00D730F0" w:rsidRDefault="00D730F0">
      <w:pPr>
        <w:pStyle w:val="TableofFigures"/>
        <w:tabs>
          <w:tab w:val="right" w:leader="dot" w:pos="8630"/>
        </w:tabs>
        <w:rPr>
          <w:rFonts w:asciiTheme="minorHAnsi" w:eastAsiaTheme="minorEastAsia" w:hAnsiTheme="minorHAnsi" w:cstheme="minorBidi"/>
          <w:noProof/>
        </w:rPr>
      </w:pPr>
      <w:hyperlink w:anchor="_Toc76799624" w:history="1">
        <w:r w:rsidRPr="00D618B4">
          <w:rPr>
            <w:rStyle w:val="Hyperlink"/>
            <w:noProof/>
          </w:rPr>
          <w:t>Figure 14. Linear Model Summary Output, Species Richness and Natural Land Cover</w:t>
        </w:r>
        <w:r>
          <w:rPr>
            <w:noProof/>
            <w:webHidden/>
          </w:rPr>
          <w:tab/>
        </w:r>
        <w:r>
          <w:rPr>
            <w:noProof/>
            <w:webHidden/>
          </w:rPr>
          <w:fldChar w:fldCharType="begin"/>
        </w:r>
        <w:r>
          <w:rPr>
            <w:noProof/>
            <w:webHidden/>
          </w:rPr>
          <w:instrText xml:space="preserve"> PAGEREF _Toc76799624 \h </w:instrText>
        </w:r>
        <w:r>
          <w:rPr>
            <w:noProof/>
            <w:webHidden/>
          </w:rPr>
        </w:r>
        <w:r>
          <w:rPr>
            <w:noProof/>
            <w:webHidden/>
          </w:rPr>
          <w:fldChar w:fldCharType="separate"/>
        </w:r>
        <w:r>
          <w:rPr>
            <w:noProof/>
            <w:webHidden/>
          </w:rPr>
          <w:t>74</w:t>
        </w:r>
        <w:r>
          <w:rPr>
            <w:noProof/>
            <w:webHidden/>
          </w:rPr>
          <w:fldChar w:fldCharType="end"/>
        </w:r>
      </w:hyperlink>
    </w:p>
    <w:p w14:paraId="08ED98EF" w14:textId="4382B732" w:rsidR="00D730F0" w:rsidRDefault="00D730F0">
      <w:pPr>
        <w:pStyle w:val="TableofFigures"/>
        <w:tabs>
          <w:tab w:val="right" w:leader="dot" w:pos="8630"/>
        </w:tabs>
        <w:rPr>
          <w:rFonts w:asciiTheme="minorHAnsi" w:eastAsiaTheme="minorEastAsia" w:hAnsiTheme="minorHAnsi" w:cstheme="minorBidi"/>
          <w:noProof/>
        </w:rPr>
      </w:pPr>
      <w:hyperlink w:anchor="_Toc76799625" w:history="1">
        <w:r w:rsidRPr="00D618B4">
          <w:rPr>
            <w:rStyle w:val="Hyperlink"/>
            <w:noProof/>
          </w:rPr>
          <w:t>Figure 15. Linear Model Summary Output, Abundance and Natural Land Cover</w:t>
        </w:r>
        <w:r>
          <w:rPr>
            <w:noProof/>
            <w:webHidden/>
          </w:rPr>
          <w:tab/>
        </w:r>
        <w:r>
          <w:rPr>
            <w:noProof/>
            <w:webHidden/>
          </w:rPr>
          <w:fldChar w:fldCharType="begin"/>
        </w:r>
        <w:r>
          <w:rPr>
            <w:noProof/>
            <w:webHidden/>
          </w:rPr>
          <w:instrText xml:space="preserve"> PAGEREF _Toc76799625 \h </w:instrText>
        </w:r>
        <w:r>
          <w:rPr>
            <w:noProof/>
            <w:webHidden/>
          </w:rPr>
        </w:r>
        <w:r>
          <w:rPr>
            <w:noProof/>
            <w:webHidden/>
          </w:rPr>
          <w:fldChar w:fldCharType="separate"/>
        </w:r>
        <w:r>
          <w:rPr>
            <w:noProof/>
            <w:webHidden/>
          </w:rPr>
          <w:t>74</w:t>
        </w:r>
        <w:r>
          <w:rPr>
            <w:noProof/>
            <w:webHidden/>
          </w:rPr>
          <w:fldChar w:fldCharType="end"/>
        </w:r>
      </w:hyperlink>
    </w:p>
    <w:p w14:paraId="59896B39" w14:textId="1E10B050" w:rsidR="00207B01" w:rsidRPr="000C7549" w:rsidRDefault="00207B01" w:rsidP="00BD50DC">
      <w:pPr>
        <w:pStyle w:val="Title"/>
      </w:pPr>
      <w:r w:rsidRPr="000C7549">
        <w:fldChar w:fldCharType="end"/>
      </w:r>
      <w:r w:rsidRPr="000C7549">
        <w:t xml:space="preserve"> </w:t>
      </w:r>
    </w:p>
    <w:p w14:paraId="7CC0197C" w14:textId="77777777" w:rsidR="00207B01" w:rsidRPr="000C7549" w:rsidRDefault="00207B01" w:rsidP="00207B01">
      <w:pPr>
        <w:spacing w:line="480" w:lineRule="auto"/>
        <w:rPr>
          <w:rFonts w:ascii="Arial" w:hAnsi="Arial" w:cs="Arial"/>
        </w:rPr>
        <w:sectPr w:rsidR="00207B01" w:rsidRPr="000C7549" w:rsidSect="00C9273B">
          <w:footerReference w:type="default" r:id="rId8"/>
          <w:pgSz w:w="12240" w:h="15840" w:code="1"/>
          <w:pgMar w:top="1440" w:right="1800" w:bottom="1872" w:left="1800" w:header="720" w:footer="1440" w:gutter="0"/>
          <w:pgNumType w:fmt="lowerRoman" w:start="1"/>
          <w:cols w:space="720"/>
          <w:noEndnote/>
          <w:titlePg/>
        </w:sectPr>
      </w:pPr>
    </w:p>
    <w:p w14:paraId="13E7748D" w14:textId="41ECFC6F" w:rsidR="00207B01" w:rsidRPr="000C7549" w:rsidRDefault="00207B01" w:rsidP="00BD50DC">
      <w:pPr>
        <w:pStyle w:val="Heading1"/>
        <w:spacing w:line="480" w:lineRule="auto"/>
      </w:pPr>
      <w:bookmarkStart w:id="3" w:name="_Toc289175819"/>
      <w:bookmarkStart w:id="4" w:name="_Toc76799693"/>
      <w:r w:rsidRPr="000C7549">
        <w:lastRenderedPageBreak/>
        <w:t>INTRODUCTION</w:t>
      </w:r>
      <w:bookmarkEnd w:id="3"/>
      <w:bookmarkEnd w:id="4"/>
      <w:r w:rsidRPr="000C7549">
        <w:t xml:space="preserve"> </w:t>
      </w:r>
    </w:p>
    <w:p w14:paraId="316F0849" w14:textId="5153720B" w:rsidR="00207B01" w:rsidRPr="000C7549" w:rsidRDefault="00A94B90" w:rsidP="00EC3681">
      <w:pPr>
        <w:spacing w:line="480" w:lineRule="auto"/>
        <w:ind w:firstLine="720"/>
        <w:rPr>
          <w:rFonts w:ascii="Arial" w:hAnsi="Arial" w:cs="Arial"/>
          <w:color w:val="000000" w:themeColor="text1"/>
        </w:rPr>
      </w:pPr>
      <w:r w:rsidRPr="000C7549">
        <w:rPr>
          <w:rFonts w:ascii="Arial" w:hAnsi="Arial" w:cs="Arial"/>
          <w:color w:val="000000" w:themeColor="text1"/>
        </w:rPr>
        <w:t>Many</w:t>
      </w:r>
      <w:r w:rsidR="00E95E49" w:rsidRPr="000C7549">
        <w:rPr>
          <w:rFonts w:ascii="Arial" w:hAnsi="Arial" w:cs="Arial"/>
          <w:color w:val="000000" w:themeColor="text1"/>
        </w:rPr>
        <w:t xml:space="preserve"> </w:t>
      </w:r>
      <w:r w:rsidR="00207B01" w:rsidRPr="000C7549">
        <w:rPr>
          <w:rFonts w:ascii="Arial" w:hAnsi="Arial" w:cs="Arial"/>
          <w:color w:val="000000" w:themeColor="text1"/>
        </w:rPr>
        <w:t xml:space="preserve">agricultural crops depend on insect pollination </w:t>
      </w:r>
      <w:r w:rsidR="00207B01" w:rsidRPr="000C7549">
        <w:rPr>
          <w:rFonts w:ascii="Arial" w:hAnsi="Arial" w:cs="Arial"/>
          <w:color w:val="000000" w:themeColor="text1"/>
        </w:rPr>
        <w:fldChar w:fldCharType="begin"/>
      </w:r>
      <w:r w:rsidR="000C05DC" w:rsidRPr="000C7549">
        <w:rPr>
          <w:rFonts w:ascii="Arial" w:hAnsi="Arial" w:cs="Arial"/>
          <w:color w:val="000000" w:themeColor="text1"/>
        </w:rPr>
        <w:instrText xml:space="preserve"> ADDIN ZOTERO_ITEM CSL_CITATION {"citationID":"pO7rKvPd","properties":{"formattedCitation":"(A.-M. Klein et al., 2007)","plainCitation":"(A.-M. Klein et al., 2007)","dontUpdate":true,"noteIndex":0},"citationItems":[{"id":41,"uris":["http://zotero.org/users/6034784/items/B87KH2TM"],"uri":["http://zotero.org/users/6034784/items/B87KH2TM"],"itemData":{"id":41,"type":"article-journal","container-title":"Proceedings of the Royal Society B: Biological Sciences","DOI":"10.1098/rspb.2006.3721","ISSN":"0962-8452, 1471-2954","issue":"1608","journalAbbreviation":"Proc. R. Soc. B","language":"en","page":"303-313","source":"DOI.org (Crossref)","title":"Importance of pollinators in changing landscapes for world crops","volume":"274","author":[{"family":"Klein","given":"Alexandra-Maria"},{"family":"Vaissière","given":"Bernard E"},{"family":"Cane","given":"James H"},{"family":"Steffan-Dewenter","given":"Ingolf"},{"family":"Cunningham","given":"Saul A"},{"family":"Kremen","given":"Claire"},{"family":"Tscharntke","given":"Teja"}],"issued":{"date-parts":[["2007",2,7]]}}}],"schema":"https://github.com/citation-style-language/schema/raw/master/csl-citation.json"} </w:instrText>
      </w:r>
      <w:r w:rsidR="00207B01" w:rsidRPr="000C7549">
        <w:rPr>
          <w:rFonts w:ascii="Arial" w:hAnsi="Arial" w:cs="Arial"/>
          <w:color w:val="000000" w:themeColor="text1"/>
        </w:rPr>
        <w:fldChar w:fldCharType="separate"/>
      </w:r>
      <w:r w:rsidR="00207B01" w:rsidRPr="000C7549">
        <w:rPr>
          <w:rFonts w:ascii="Arial" w:hAnsi="Arial" w:cs="Arial"/>
          <w:noProof/>
          <w:color w:val="000000" w:themeColor="text1"/>
        </w:rPr>
        <w:t>(Klein et al., 2007)</w:t>
      </w:r>
      <w:r w:rsidR="00207B01" w:rsidRPr="000C7549">
        <w:rPr>
          <w:rFonts w:ascii="Arial" w:hAnsi="Arial" w:cs="Arial"/>
          <w:color w:val="000000" w:themeColor="text1"/>
        </w:rPr>
        <w:fldChar w:fldCharType="end"/>
      </w:r>
      <w:r w:rsidR="00207B01" w:rsidRPr="000C7549">
        <w:rPr>
          <w:rFonts w:ascii="Arial" w:hAnsi="Arial" w:cs="Arial"/>
          <w:color w:val="000000" w:themeColor="text1"/>
        </w:rPr>
        <w:t xml:space="preserve"> and the</w:t>
      </w:r>
      <w:r w:rsidRPr="000C7549">
        <w:rPr>
          <w:rFonts w:ascii="Arial" w:hAnsi="Arial" w:cs="Arial"/>
          <w:color w:val="000000" w:themeColor="text1"/>
        </w:rPr>
        <w:t xml:space="preserve"> demand for these</w:t>
      </w:r>
      <w:r w:rsidR="00207B01" w:rsidRPr="000C7549">
        <w:rPr>
          <w:rFonts w:ascii="Arial" w:hAnsi="Arial" w:cs="Arial"/>
          <w:color w:val="000000" w:themeColor="text1"/>
        </w:rPr>
        <w:t xml:space="preserve"> insect-pollinated crop plants </w:t>
      </w:r>
      <w:r w:rsidR="003C2B2A" w:rsidRPr="000C7549">
        <w:rPr>
          <w:rFonts w:ascii="Arial" w:hAnsi="Arial" w:cs="Arial"/>
          <w:color w:val="000000" w:themeColor="text1"/>
        </w:rPr>
        <w:t>is</w:t>
      </w:r>
      <w:r w:rsidR="00207B01" w:rsidRPr="000C7549">
        <w:rPr>
          <w:rFonts w:ascii="Arial" w:hAnsi="Arial" w:cs="Arial"/>
          <w:color w:val="000000" w:themeColor="text1"/>
        </w:rPr>
        <w:t xml:space="preserve"> increasing at a faster rate than wind-pollinated plants </w:t>
      </w:r>
      <w:r w:rsidR="00207B01" w:rsidRPr="000C7549">
        <w:rPr>
          <w:rFonts w:ascii="Arial" w:hAnsi="Arial" w:cs="Arial"/>
          <w:color w:val="000000" w:themeColor="text1"/>
        </w:rPr>
        <w:fldChar w:fldCharType="begin"/>
      </w:r>
      <w:r w:rsidR="00207B01" w:rsidRPr="000C7549">
        <w:rPr>
          <w:rFonts w:ascii="Arial" w:hAnsi="Arial" w:cs="Arial"/>
          <w:color w:val="000000" w:themeColor="text1"/>
        </w:rPr>
        <w:instrText xml:space="preserve"> ADDIN ZOTERO_ITEM CSL_CITATION {"citationID":"C2NCVpYs","properties":{"formattedCitation":"(Aizen et al., 2008)","plainCitation":"(Aizen et al., 2008)","noteIndex":0},"citationItems":[{"id":1039,"uris":["http://zotero.org/users/6034784/items/65K29HSV"],"uri":["http://zotero.org/users/6034784/items/65K29HSV"],"itemData":{"id":1039,"type":"article-journal","abstract":"There is evidence that pollinators are declining as a result of local and global environmental degradation 1, 2, 3, 4. Because a sizable proportion of the human diet depends directly or indirectly on animal pollination [5], the issue of how decreases in pollinator stocks could affect global crop production is of paramount importance 6, 7, 8. Using the extensive FAO data set [9], we compared 45 year series (1961–2006) in yield, and total production and cultivated area of pollinator-dependent and nondependent crops [5]. We investigated temporal trends separately for the developed and developing world because differences in agricultural intensification, and socioeconomic and environmental conditions might affect yield and pollinators 10, 11, 12, 13. Since 1961, crop yield (Mt/ha) has increased consistently at average annual growth rates of </w:instrText>
      </w:r>
      <w:r w:rsidR="00207B01" w:rsidRPr="000C7549">
        <w:rPr>
          <w:rFonts w:ascii="Cambria Math" w:hAnsi="Cambria Math" w:cs="Cambria Math"/>
          <w:color w:val="000000" w:themeColor="text1"/>
        </w:rPr>
        <w:instrText>∼</w:instrText>
      </w:r>
      <w:r w:rsidR="00207B01" w:rsidRPr="000C7549">
        <w:rPr>
          <w:rFonts w:ascii="Arial" w:hAnsi="Arial" w:cs="Arial"/>
          <w:color w:val="000000" w:themeColor="text1"/>
        </w:rPr>
        <w:instrText xml:space="preserve">1.5%. Temporal trends were similar between pollinator-dependent and nondependent crops in both the developed and developing world, thus not supporting the view that pollinator shortages are affecting crop yield at the global scale. We further report, however, that agriculture has become more pollinator dependent because of a disproportionate increase in the area cultivated with pollinator-dependent crops. If the trend toward favoring cultivation of pollinator-dependent crops continues, the need for the service provided by declining pollinators will greatly increase in the near future.","container-title":"Current Biology","DOI":"10.1016/j.cub.2008.08.066","ISSN":"0960-9822","issue":"20","journalAbbreviation":"Current Biology","language":"en","page":"1572-1575","source":"ScienceDirect","title":"Long-Term Global Trends in Crop Yield and Production Reveal No Current Pollination Shortage but Increasing Pollinator Dependency","volume":"18","author":[{"family":"Aizen","given":"Marcelo A."},{"family":"Garibaldi","given":"Lucas A."},{"family":"Cunningham","given":"Saul A."},{"family":"Klein","given":"Alexandra M."}],"issued":{"date-parts":[["2008",10,28]]}}}],"schema":"https://github.com/citation-style-language/schema/raw/master/csl-citation.json"} </w:instrText>
      </w:r>
      <w:r w:rsidR="00207B01" w:rsidRPr="000C7549">
        <w:rPr>
          <w:rFonts w:ascii="Arial" w:hAnsi="Arial" w:cs="Arial"/>
          <w:color w:val="000000" w:themeColor="text1"/>
        </w:rPr>
        <w:fldChar w:fldCharType="separate"/>
      </w:r>
      <w:r w:rsidR="00207B01" w:rsidRPr="000C7549">
        <w:rPr>
          <w:rFonts w:ascii="Arial" w:hAnsi="Arial" w:cs="Arial"/>
          <w:noProof/>
          <w:color w:val="000000" w:themeColor="text1"/>
        </w:rPr>
        <w:t>(Aizen et al., 2008)</w:t>
      </w:r>
      <w:r w:rsidR="00207B01" w:rsidRPr="000C7549">
        <w:rPr>
          <w:rFonts w:ascii="Arial" w:hAnsi="Arial" w:cs="Arial"/>
          <w:color w:val="000000" w:themeColor="text1"/>
        </w:rPr>
        <w:fldChar w:fldCharType="end"/>
      </w:r>
      <w:r w:rsidR="00207B01" w:rsidRPr="000C7549">
        <w:rPr>
          <w:rFonts w:ascii="Arial" w:hAnsi="Arial" w:cs="Arial"/>
          <w:color w:val="000000" w:themeColor="text1"/>
        </w:rPr>
        <w:t xml:space="preserve">. In </w:t>
      </w:r>
      <w:r w:rsidRPr="000C7549">
        <w:rPr>
          <w:rFonts w:ascii="Arial" w:hAnsi="Arial" w:cs="Arial"/>
          <w:color w:val="000000" w:themeColor="text1"/>
        </w:rPr>
        <w:t>East Tennessee</w:t>
      </w:r>
      <w:r w:rsidR="00207B01" w:rsidRPr="000C7549">
        <w:rPr>
          <w:rFonts w:ascii="Arial" w:hAnsi="Arial" w:cs="Arial"/>
          <w:color w:val="000000" w:themeColor="text1"/>
        </w:rPr>
        <w:t xml:space="preserve">, there are over 50 small horticultural farms </w:t>
      </w:r>
      <w:r w:rsidR="004D7223" w:rsidRPr="000C7549">
        <w:rPr>
          <w:rFonts w:ascii="Arial" w:hAnsi="Arial" w:cs="Arial"/>
          <w:color w:val="000000" w:themeColor="text1"/>
        </w:rPr>
        <w:t xml:space="preserve">that mainly grow </w:t>
      </w:r>
      <w:r w:rsidR="00207B01" w:rsidRPr="000C7549">
        <w:rPr>
          <w:rFonts w:ascii="Arial" w:hAnsi="Arial" w:cs="Arial"/>
          <w:color w:val="000000" w:themeColor="text1"/>
        </w:rPr>
        <w:t>pollinator-dependent plants (</w:t>
      </w:r>
      <w:r w:rsidR="00207B01" w:rsidRPr="000C7549">
        <w:rPr>
          <w:rFonts w:ascii="Arial" w:hAnsi="Arial" w:cs="Arial"/>
          <w:i/>
          <w:iCs/>
          <w:color w:val="000000" w:themeColor="text1"/>
        </w:rPr>
        <w:t>Nourish Knoxville, personal communication</w:t>
      </w:r>
      <w:r w:rsidR="00207B01" w:rsidRPr="000C7549">
        <w:rPr>
          <w:rFonts w:ascii="Arial" w:hAnsi="Arial" w:cs="Arial"/>
          <w:color w:val="000000" w:themeColor="text1"/>
        </w:rPr>
        <w:t xml:space="preserve">). Although land managers often rent honey bee hives for pollination services, wild bees may be able to provide sufficient pollination services </w:t>
      </w:r>
      <w:r w:rsidR="00207B01" w:rsidRPr="000C7549">
        <w:rPr>
          <w:rFonts w:ascii="Arial" w:hAnsi="Arial" w:cs="Arial"/>
          <w:color w:val="000000" w:themeColor="text1"/>
        </w:rPr>
        <w:fldChar w:fldCharType="begin"/>
      </w:r>
      <w:r w:rsidR="00207B01" w:rsidRPr="000C7549">
        <w:rPr>
          <w:rFonts w:ascii="Arial" w:hAnsi="Arial" w:cs="Arial"/>
          <w:color w:val="000000" w:themeColor="text1"/>
        </w:rPr>
        <w:instrText xml:space="preserve"> ADDIN ZOTERO_ITEM CSL_CITATION {"citationID":"qGzumBvt","properties":{"formattedCitation":"(Russo et al., 2017)","plainCitation":"(Russo et al., 2017)","noteIndex":0},"citationItems":[{"id":1034,"uris":["http://zotero.org/users/6034784/items/CZWRHV2J"],"uri":["http://zotero.org/users/6034784/items/CZWRHV2J"],"itemData":{"id":1034,"type":"article-journal","abstract":"A growing body of evidence suggests that wild bees play an important role in agricultural pollination. It is very difficult, however, to accurately quantify the contribution of wild bees relative to honeybees in most crop systems. We quantified the relative contribution of honeybees and wild bees to the pollination of an economically important, insect-pollinated crop (apple). We use an empirical dataset to identify which of three functional traits (body size, pollen load purity, and flower handling behavior) contribute significantly to seed set. We find that flower handling behavior and abundance were the only functional traits that significantly predict seed set. When we take into account flower handling behavior and abundance, wild bees contributed significantly more to seed set than honeybees in the apple orchards we surveyed. Our findings suggest that land managers may benefit from focusing on supporting communities of wild bees, rather than investing in honeybee hive rental.","container-title":"Agriculture, Ecosystems &amp; Environment","DOI":"10.1016/j.agee.2017.05.033","ISSN":"0167-8809","journalAbbreviation":"Agriculture, Ecosystems &amp; Environment","language":"en","page":"102-108","source":"ScienceDirect","title":"Flower handling behavior and abundance determine the relative contribution of pollinators to seed set in apple orchards","volume":"246","author":[{"family":"Russo","given":"L."},{"family":"Park","given":"M. G."},{"family":"Blitzer","given":"E. J."},{"family":"Danforth","given":"B. N."}],"issued":{"date-parts":[["2017",8,1]]}}}],"schema":"https://github.com/citation-style-language/schema/raw/master/csl-citation.json"} </w:instrText>
      </w:r>
      <w:r w:rsidR="00207B01" w:rsidRPr="000C7549">
        <w:rPr>
          <w:rFonts w:ascii="Arial" w:hAnsi="Arial" w:cs="Arial"/>
          <w:color w:val="000000" w:themeColor="text1"/>
        </w:rPr>
        <w:fldChar w:fldCharType="separate"/>
      </w:r>
      <w:r w:rsidR="00207B01" w:rsidRPr="000C7549">
        <w:rPr>
          <w:rFonts w:ascii="Arial" w:hAnsi="Arial" w:cs="Arial"/>
          <w:noProof/>
          <w:color w:val="000000" w:themeColor="text1"/>
        </w:rPr>
        <w:t>(Russo et al., 2017)</w:t>
      </w:r>
      <w:r w:rsidR="00207B01" w:rsidRPr="000C7549">
        <w:rPr>
          <w:rFonts w:ascii="Arial" w:hAnsi="Arial" w:cs="Arial"/>
          <w:color w:val="000000" w:themeColor="text1"/>
        </w:rPr>
        <w:fldChar w:fldCharType="end"/>
      </w:r>
      <w:r w:rsidR="00207B01" w:rsidRPr="000C7549">
        <w:rPr>
          <w:rFonts w:ascii="Arial" w:hAnsi="Arial" w:cs="Arial"/>
          <w:color w:val="000000" w:themeColor="text1"/>
        </w:rPr>
        <w:t xml:space="preserve"> and have been identified as more efficient pollinators for some crops </w:t>
      </w:r>
      <w:r w:rsidR="00207B01" w:rsidRPr="000C7549">
        <w:rPr>
          <w:rFonts w:ascii="Arial" w:hAnsi="Arial" w:cs="Arial"/>
          <w:color w:val="000000" w:themeColor="text1"/>
        </w:rPr>
        <w:fldChar w:fldCharType="begin"/>
      </w:r>
      <w:r w:rsidR="00207B01" w:rsidRPr="000C7549">
        <w:rPr>
          <w:rFonts w:ascii="Arial" w:hAnsi="Arial" w:cs="Arial"/>
          <w:color w:val="000000" w:themeColor="text1"/>
        </w:rPr>
        <w:instrText xml:space="preserve"> ADDIN ZOTERO_ITEM CSL_CITATION {"citationID":"ec5mDvuv","properties":{"formattedCitation":"(Garibaldi et al., 2013; Kennedy et al., 2013)","plainCitation":"(Garibaldi et al., 2013; Kennedy et al., 2013)","noteIndex":0},"citationItems":[{"id":739,"uris":["http://zotero.org/users/6034784/items/K9USWA2A"],"uri":["http://zotero.org/users/6034784/items/K9USWA2A"],"itemData":{"id":739,"type":"article-journal","container-title":"Science","DOI":"10.1126/science.1230200","ISSN":"0036-8075, 1095-9203","issue":"6127","journalAbbreviation":"Science","language":"en","page":"1608-1611","source":"DOI.org (Crossref)","title":"Wild Pollinators Enhance Fruit Set of Crops Regardless of Honey Bee Abundance","volume":"339","author":[{"family":"Garibaldi","given":"Lucas A."},{"family":"Steffan-Dewenter","given":"I."},{"family":"Winfree","given":"R."},{"family":"Aizen","given":"M. A."},{"family":"Bommarco","given":"R."},{"family":"Cunningham","given":"S. A."},{"family":"Kremen","given":"C."},{"family":"Carvalheiro","given":"L. G."},{"family":"Harder","given":"L. D."},{"family":"Afik","given":"O."},{"family":"Bartomeus","given":"I."},{"family":"Benjamin","given":"F."},{"family":"Boreux","given":"V."},{"family":"Cariveau","given":"D."},{"family":"Chacoff","given":"N. P."},{"family":"Dudenhoffer","given":"J. H."},{"family":"Freitas","given":"B. M."},{"family":"Ghazoul","given":"J."},{"family":"Greenleaf","given":"S."},{"family":"Hipolito","given":"J."},{"family":"Holzschuh","given":"A."},{"family":"Howlett","given":"B."},{"family":"Isaacs","given":"R."},{"family":"Javorek","given":"S. K."},{"family":"Kennedy","given":"C. M."},{"family":"Krewenka","given":"K. M."},{"family":"Krishnan","given":"S."},{"family":"Mandelik","given":"Y."},{"family":"Mayfield","given":"M. M."},{"family":"Motzke","given":"I."},{"family":"Munyuli","given":"T."},{"family":"Nault","given":"B. A."},{"family":"Otieno","given":"M."},{"family":"Petersen","given":"J."},{"family":"Pisanty","given":"G."},{"family":"Potts","given":"S. G."},{"family":"Rader","given":"R."},{"family":"Ricketts","given":"T. H."},{"family":"Rundlof","given":"M."},{"family":"Seymour","given":"C. L."},{"family":"Schuepp","given":"C."},{"family":"Szentgyorgyi","given":"H."},{"family":"Taki","given":"H."},{"family":"Tscharntke","given":"T."},{"family":"Vergara","given":"C. H."},{"family":"Viana","given":"B. F."},{"family":"Wanger","given":"T. C."},{"family":"Westphal","given":"C."},{"family":"Williams","given":"N."},{"family":"Klein","given":"A. M."}],"issued":{"date-parts":[["2013",3,29]]}}},{"id":287,"uris":["http://zotero.org/users/6034784/items/K7JVW9YY"],"uri":["http://zotero.org/users/6034784/items/K7JVW9YY"],"itemData":{"id":287,"type":"article-journal","abstract":"Bees provide essential pollination services that are potentially affected both by local farm management and the surrounding landscape. To better understand these different factors, we modelled the relative effects of landscape composition (nesting and floral resources within foraging distances), landscape configuration (patch shape, interpatch connectivity and habitat aggregation) and farm management (organic vs. conventional and local-scale field diversity), and their interactions, on wild bee abundance and richness for 39 crop systems globally. Bee abundance and richness were higher in diversified and organic fields and in landscapes comprising more high-quality habitats; bee richness on conventional fields with low diversity benefited most from high-quality surrounding land cover. Landscape configuration effects were weak. Bee responses varied slightly by biome. Our synthesis reveals that pollinator persistence will depend on both the maintenance of high-quality habitats around farms and on local management practices that may offset impacts of intensive monoculture agriculture.","container-title":"Ecology Letters","DOI":"10.1111/ele.12082","ISSN":"1461-0248","issue":"5","language":"en","note":"_eprint: https://onlinelibrary.wiley.com/doi/pdf/10.1111/ele.12082","page":"584-599","source":"Wiley Online Library","title":"A global quantitative synthesis of local and landscape effects on wild bee pollinators in agroecosystems","volume":"16","author":[{"family":"Kennedy","given":"Christina M."},{"family":"Lonsdorf","given":"Eric"},{"family":"Neel","given":"Maile C."},{"family":"Williams","given":"Neal M."},{"family":"Ricketts","given":"Taylor H."},{"family":"Winfree","given":"Rachael"},{"family":"Bommarco","given":"Riccardo"},{"family":"Brittain","given":"Claire"},{"family":"Burley","given":"Alana L."},{"family":"Cariveau","given":"Daniel"},{"family":"Carvalheiro","given":"Luísa G."},{"family":"Chacoff","given":"Natacha P."},{"family":"Cunningham","given":"Saul A."},{"family":"Danforth","given":"Bryan N."},{"family":"Dudenhöffer","given":"Jan-Hendrik"},{"family":"Elle","given":"Elizabeth"},{"family":"Gaines","given":"Hannah R."},{"family":"Garibaldi","given":"Lucas A."},{"family":"Gratton","given":"Claudio"},{"family":"Holzschuh","given":"Andrea"},{"family":"Isaacs","given":"Rufus"},{"family":"Javorek","given":"Steven K."},{"family":"Jha","given":"Shalene"},{"family":"Klein","given":"Alexandra M."},{"family":"Krewenka","given":"Kristin"},{"family":"Mandelik","given":"Yael"},{"family":"Mayfield","given":"Margaret M."},{"family":"Morandin","given":"Lora"},{"family":"Neame","given":"Lisa A."},{"family":"Otieno","given":"Mark"},{"family":"Park","given":"Mia"},{"family":"Potts","given":"Simon G."},{"family":"Rundlöf","given":"Maj"},{"family":"Saez","given":"Agustin"},{"family":"Steffan</w:instrText>
      </w:r>
      <w:r w:rsidR="00207B01" w:rsidRPr="000C7549">
        <w:rPr>
          <w:rFonts w:ascii="Cambria Math" w:hAnsi="Cambria Math" w:cs="Cambria Math"/>
          <w:color w:val="000000" w:themeColor="text1"/>
        </w:rPr>
        <w:instrText>‐</w:instrText>
      </w:r>
      <w:r w:rsidR="00207B01" w:rsidRPr="000C7549">
        <w:rPr>
          <w:rFonts w:ascii="Arial" w:hAnsi="Arial" w:cs="Arial"/>
          <w:color w:val="000000" w:themeColor="text1"/>
        </w:rPr>
        <w:instrText xml:space="preserve">Dewenter","given":"Ingolf"},{"family":"Taki","given":"Hisatomo"},{"family":"Viana","given":"Blandina Felipe"},{"family":"Westphal","given":"Catrin"},{"family":"Wilson","given":"Julianna K."},{"family":"Greenleaf","given":"Sarah S."},{"family":"Kremen","given":"Claire"}],"issued":{"date-parts":[["2013"]]}}}],"schema":"https://github.com/citation-style-language/schema/raw/master/csl-citation.json"} </w:instrText>
      </w:r>
      <w:r w:rsidR="00207B01" w:rsidRPr="000C7549">
        <w:rPr>
          <w:rFonts w:ascii="Arial" w:hAnsi="Arial" w:cs="Arial"/>
          <w:color w:val="000000" w:themeColor="text1"/>
        </w:rPr>
        <w:fldChar w:fldCharType="separate"/>
      </w:r>
      <w:r w:rsidR="00207B01" w:rsidRPr="000C7549">
        <w:rPr>
          <w:rFonts w:ascii="Arial" w:hAnsi="Arial" w:cs="Arial"/>
          <w:noProof/>
          <w:color w:val="000000" w:themeColor="text1"/>
        </w:rPr>
        <w:t>(Garibaldi et al., 2013; Kennedy et al., 2013)</w:t>
      </w:r>
      <w:r w:rsidR="00207B01" w:rsidRPr="000C7549">
        <w:rPr>
          <w:rFonts w:ascii="Arial" w:hAnsi="Arial" w:cs="Arial"/>
          <w:color w:val="000000" w:themeColor="text1"/>
        </w:rPr>
        <w:fldChar w:fldCharType="end"/>
      </w:r>
      <w:r w:rsidR="00207B01" w:rsidRPr="000C7549">
        <w:rPr>
          <w:rFonts w:ascii="Arial" w:hAnsi="Arial" w:cs="Arial"/>
          <w:color w:val="000000" w:themeColor="text1"/>
        </w:rPr>
        <w:t xml:space="preserve">. </w:t>
      </w:r>
    </w:p>
    <w:p w14:paraId="059A464A" w14:textId="77777777" w:rsidR="00C9273B" w:rsidRPr="000C7549" w:rsidRDefault="00207B01" w:rsidP="00C9273B">
      <w:pPr>
        <w:spacing w:line="480" w:lineRule="auto"/>
        <w:ind w:firstLine="720"/>
        <w:rPr>
          <w:rFonts w:ascii="Arial" w:hAnsi="Arial" w:cs="Arial"/>
          <w:bCs/>
          <w:color w:val="000000" w:themeColor="text1"/>
        </w:rPr>
      </w:pPr>
      <w:r w:rsidRPr="000C7549">
        <w:rPr>
          <w:rFonts w:ascii="Arial" w:hAnsi="Arial" w:cs="Arial"/>
          <w:color w:val="000000" w:themeColor="text1"/>
        </w:rPr>
        <w:t>Despite our reliance on insect pollinators, increased agricultural intensification and urbanization have led to decreases in natural areas, which previously provide</w:t>
      </w:r>
      <w:r w:rsidR="00E95E49" w:rsidRPr="000C7549">
        <w:rPr>
          <w:rFonts w:ascii="Arial" w:hAnsi="Arial" w:cs="Arial"/>
          <w:color w:val="000000" w:themeColor="text1"/>
        </w:rPr>
        <w:t>d</w:t>
      </w:r>
      <w:r w:rsidRPr="000C7549">
        <w:rPr>
          <w:rFonts w:ascii="Arial" w:hAnsi="Arial" w:cs="Arial"/>
          <w:color w:val="000000" w:themeColor="text1"/>
        </w:rPr>
        <w:t xml:space="preserve"> crucial habitat for a range of pollinators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{"citationID":"P2K3RYFE","properties":{"formattedCitation":"(Kremen et al., 2002)","plainCitation":"(Kremen et al., 2002)","noteIndex":0},"citationItems":[{"id":735,"uris":["http://zotero.org/users/6034784/items/ML8BXH3P"],"uri":["http://zotero.org/users/6034784/items/ML8BXH3P"],"itemData":{"id":735,"type":"article-journal","container-title":"Proceedings of the National Academy of Sciences","DOI":"10.1073/pnas.262413599","ISSN":"0027-8424, 1091-6490","issue":"26","journalAbbreviation":"Proceedings of the National Academy of Sciences","language":"en","page":"16812-16816","source":"DOI.org (Crossref)","title":"Crop pollination from native bees at risk from agricultural intensification","volume":"99","author":[{"family":"Kremen","given":"C."},{"family":"Williams","given":"N. M."},{"family":"Thorp","given":"R. W."}],"issued":{"date-parts":[["2002",12,24]]}}}],"schema":"https://github.com/citation-style-language/schema/raw/master/csl-citation.json"}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(Kremen et al., 2002)</w:t>
      </w:r>
      <w:r w:rsidRPr="000C7549">
        <w:rPr>
          <w:rFonts w:ascii="Arial" w:hAnsi="Arial" w:cs="Arial"/>
          <w:color w:val="000000" w:themeColor="text1"/>
        </w:rPr>
        <w:fldChar w:fldCharType="end"/>
      </w:r>
      <w:r w:rsidRPr="000C7549">
        <w:rPr>
          <w:rFonts w:ascii="Arial" w:hAnsi="Arial" w:cs="Arial"/>
          <w:color w:val="000000" w:themeColor="text1"/>
        </w:rPr>
        <w:t xml:space="preserve">. </w:t>
      </w:r>
      <w:r w:rsidR="00C9273B" w:rsidRPr="000C7549">
        <w:rPr>
          <w:rFonts w:ascii="Arial" w:hAnsi="Arial" w:cs="Arial"/>
          <w:bCs/>
          <w:color w:val="000000" w:themeColor="text1"/>
        </w:rPr>
        <w:t xml:space="preserve">Moreover, as farm ownership has transitioned from many small farms to fewer larger farms, land use has become more specialized to one type of management, e.g. row crop or pasture </w:t>
      </w:r>
      <w:r w:rsidR="00C9273B" w:rsidRPr="000C7549">
        <w:rPr>
          <w:rFonts w:ascii="Arial" w:hAnsi="Arial" w:cs="Arial"/>
          <w:bCs/>
          <w:color w:val="000000" w:themeColor="text1"/>
        </w:rPr>
        <w:fldChar w:fldCharType="begin"/>
      </w:r>
      <w:r w:rsidR="00C9273B" w:rsidRPr="000C7549">
        <w:rPr>
          <w:rFonts w:ascii="Arial" w:hAnsi="Arial" w:cs="Arial"/>
          <w:bCs/>
          <w:color w:val="000000" w:themeColor="text1"/>
        </w:rPr>
        <w:instrText xml:space="preserve"> ADDIN ZOTERO_ITEM CSL_CITATION {"citationID":"sRDrOFal","properties":{"formattedCitation":"(Benton et al., 2003)","plainCitation":"(Benton et al., 2003)","noteIndex":0},"citationItems":[{"id":820,"uris":["http://zotero.org/users/6034784/items/NXNVEN38"],"uri":["http://zotero.org/users/6034784/items/NXNVEN38"],"itemData":{"id":820,"type":"article-journal","abstract":"Agricultural intensification has led to a widespread decline in farmland biodiversity measured across many different taxa. The changes in agricultural practices affect many different aspects of the farmland habitat, but agricultural industry, policy and much previous research has tended to be concerned with specific sectors or practices (e.g. pesticide use or cereal husbandry). Here, we review the empirical literature to synthesize the research effort that has been directed to investigate specific practices or goals to make general statements regarding the causes and consequences of farmland biodiversity decline. We argue that the loss of ecological heterogeneity at multiple spatial and temporal scales is a universal consequence of multivariate agricultural intensification and, therefore, that future research should develop cross-cutting policy frameworks and management solutions that recreate that heterogeneity as the key to restoring and sustaining biodiversity in temperate agricultural systems.","container-title":"Trends in Ecology &amp; Evolution","DOI":"10.1016/S0169-5347(03)00011-9","ISSN":"0169-5347","issue":"4","journalAbbreviation":"Trends in Ecology &amp; Evolution","language":"en","page":"182-188","source":"ScienceDirect","title":"Farmland biodiversity: is habitat heterogeneity the key?","title-short":"Farmland biodiversity","volume":"18","author":[{"family":"Benton","given":"Tim G."},{"family":"Vickery","given":"Juliet A."},{"family":"Wilson","given":"Jeremy D."}],"issued":{"date-parts":[["2003",4,1]]}}}],"schema":"https://github.com/citation-style-language/schema/raw/master/csl-citation.json"} </w:instrText>
      </w:r>
      <w:r w:rsidR="00C9273B" w:rsidRPr="000C7549">
        <w:rPr>
          <w:rFonts w:ascii="Arial" w:hAnsi="Arial" w:cs="Arial"/>
          <w:bCs/>
          <w:color w:val="000000" w:themeColor="text1"/>
        </w:rPr>
        <w:fldChar w:fldCharType="separate"/>
      </w:r>
      <w:r w:rsidR="00C9273B" w:rsidRPr="000C7549">
        <w:rPr>
          <w:rFonts w:ascii="Arial" w:hAnsi="Arial" w:cs="Arial"/>
          <w:bCs/>
          <w:noProof/>
          <w:color w:val="000000" w:themeColor="text1"/>
        </w:rPr>
        <w:t>(Benton et al., 2003)</w:t>
      </w:r>
      <w:r w:rsidR="00C9273B" w:rsidRPr="000C7549">
        <w:rPr>
          <w:rFonts w:ascii="Arial" w:hAnsi="Arial" w:cs="Arial"/>
          <w:bCs/>
          <w:color w:val="000000" w:themeColor="text1"/>
        </w:rPr>
        <w:fldChar w:fldCharType="end"/>
      </w:r>
      <w:r w:rsidR="00C9273B" w:rsidRPr="000C7549">
        <w:rPr>
          <w:rFonts w:ascii="Arial" w:hAnsi="Arial" w:cs="Arial"/>
          <w:bCs/>
          <w:color w:val="000000" w:themeColor="text1"/>
        </w:rPr>
        <w:t xml:space="preserve">. Increased acreage and the removal of nonproductive lands and field boundaries allows for large land parcels to have identical agriculture use </w:t>
      </w:r>
      <w:r w:rsidR="00C9273B" w:rsidRPr="000C7549">
        <w:rPr>
          <w:rFonts w:ascii="Arial" w:hAnsi="Arial" w:cs="Arial"/>
          <w:bCs/>
          <w:color w:val="000000" w:themeColor="text1"/>
        </w:rPr>
        <w:fldChar w:fldCharType="begin"/>
      </w:r>
      <w:r w:rsidR="00C9273B" w:rsidRPr="000C7549">
        <w:rPr>
          <w:rFonts w:ascii="Arial" w:hAnsi="Arial" w:cs="Arial"/>
          <w:bCs/>
          <w:color w:val="000000" w:themeColor="text1"/>
        </w:rPr>
        <w:instrText xml:space="preserve"> ADDIN ZOTERO_ITEM CSL_CITATION {"citationID":"72zPXAPK","properties":{"formattedCitation":"(Robinson &amp; Sutherland, 2002)","plainCitation":"(Robinson &amp; Sutherland, 2002)","noteIndex":0},"citationItems":[{"id":829,"uris":["http://zotero.org/users/6034784/items/FK9HMJZQ"],"uri":["http://zotero.org/users/6034784/items/FK9HMJZQ"],"itemData":{"id":829,"type":"article-journal","abstract":"1 Agriculture represents the dominant land use throughout much of western Europe, and a significant part of European biodiversity is associated with this habitat. We attempted to quantify the changes in agriculture and biodiversity in Britain since the 1940s. 2 There have been widespread declines in the populations of many groups of organisms associated with farmland in Britain and north-west Europe. The declines have been particularly marked amongst habitat specialists; many of the taxa still common on farmland are habitat generalists. 3 Farming practices have become increasingly intensive in the post-war period, with a dramatic reduction in landscape diversity. Since 1945, there has been a 65% decline in the number of farms, a 77% decline in farm labour and an almost fourfold increase in yield. Farms have become more specialized; the greatly increased use of machinery has made operations quicker and more efficient, but has resulted in the removal of 50% of the hedgerow stock. Autumn sowing of crops has become predominant, with winter stubbles now far less prevalent. The number and extent of chemical applications has increased greatly, but the net amount applied, and their persistence, has decreased in recent years. 4 Intensification has had a wide range of impacts on biodiversity, but data for many taxa are too scarce to permit a detailed assessment of the factors involved. Reduction in habitat diversity was important in the 1950s and 1960s; reduction in habitat quality is probably more important now. 5 As a case study, the declines in populations of seed-eating birds populations were assessed in relation to changing agricultural management. Generally, the declines were likely to be caused by a reduced food supply in the non-breeding season, although other factors may be important for particular species. 6 Agriculture will face a number of challenges in the medium term. While research into the mechanisms underlying species and habitat associations, and their interaction with scale, will be critical in under-pinning management, consideration of farmer attitudes and socio-economic factors is likely to be as important. Biodiversity may benefit from integrated farming techniques but these need to incorporate environmental objectives explicitly, rather than as a fringe benefit.","container-title":"Journal of Applied Ecology","DOI":"https://doi.org/10.1046/j.1365-2664.2002.00695.x","ISSN":"1365-2664","issue":"1","language":"en","note":"_eprint: https://besjournals.onlinelibrary.wiley.com/doi/pdf/10.1046/j.1365-2664.2002.00695.x","page":"157-176","source":"Wiley Online Library","title":"Post-war changes in arable farming and biodiversity in Great Britain","volume":"39","author":[{"family":"Robinson","given":"Robert A."},{"family":"Sutherland","given":"William J."}],"issued":{"date-parts":[["2002"]]}}}],"schema":"https://github.com/citation-style-language/schema/raw/master/csl-citation.json"} </w:instrText>
      </w:r>
      <w:r w:rsidR="00C9273B" w:rsidRPr="000C7549">
        <w:rPr>
          <w:rFonts w:ascii="Arial" w:hAnsi="Arial" w:cs="Arial"/>
          <w:bCs/>
          <w:color w:val="000000" w:themeColor="text1"/>
        </w:rPr>
        <w:fldChar w:fldCharType="separate"/>
      </w:r>
      <w:r w:rsidR="00C9273B" w:rsidRPr="000C7549">
        <w:rPr>
          <w:rFonts w:ascii="Arial" w:hAnsi="Arial" w:cs="Arial"/>
          <w:bCs/>
          <w:noProof/>
          <w:color w:val="000000" w:themeColor="text1"/>
        </w:rPr>
        <w:t>(Robinson &amp; Sutherland, 2002)</w:t>
      </w:r>
      <w:r w:rsidR="00C9273B" w:rsidRPr="000C7549">
        <w:rPr>
          <w:rFonts w:ascii="Arial" w:hAnsi="Arial" w:cs="Arial"/>
          <w:bCs/>
          <w:color w:val="000000" w:themeColor="text1"/>
        </w:rPr>
        <w:fldChar w:fldCharType="end"/>
      </w:r>
      <w:r w:rsidR="00C9273B" w:rsidRPr="000C7549">
        <w:rPr>
          <w:rFonts w:ascii="Arial" w:hAnsi="Arial" w:cs="Arial"/>
          <w:bCs/>
          <w:color w:val="000000" w:themeColor="text1"/>
        </w:rPr>
        <w:t xml:space="preserve">. At the farm scale, before the introduction of synthetic weed and pest controls, mixed crop varieties and tillage were common control measures. However,  common agricultural practices have shifted toward maximizing yield through modern machinery, leading to simplified crop rotations and overall reduced crop variety </w:t>
      </w:r>
      <w:r w:rsidR="00C9273B" w:rsidRPr="000C7549">
        <w:rPr>
          <w:rFonts w:ascii="Arial" w:hAnsi="Arial" w:cs="Arial"/>
          <w:bCs/>
          <w:color w:val="000000" w:themeColor="text1"/>
        </w:rPr>
        <w:fldChar w:fldCharType="begin"/>
      </w:r>
      <w:r w:rsidR="00C9273B" w:rsidRPr="000C7549">
        <w:rPr>
          <w:rFonts w:ascii="Arial" w:hAnsi="Arial" w:cs="Arial"/>
          <w:bCs/>
          <w:color w:val="000000" w:themeColor="text1"/>
        </w:rPr>
        <w:instrText xml:space="preserve"> ADDIN ZOTERO_ITEM CSL_CITATION {"citationID":"2YCs2Yz3","properties":{"formattedCitation":"(Robinson &amp; Sutherland, 2002)","plainCitation":"(Robinson &amp; Sutherland, 2002)","noteIndex":0},"citationItems":[{"id":829,"uris":["http://zotero.org/users/6034784/items/FK9HMJZQ"],"uri":["http://zotero.org/users/6034784/items/FK9HMJZQ"],"itemData":{"id":829,"type":"article-journal","abstract":"1 Agriculture represents the dominant land use throughout much of western Europe, and a significant part of European biodiversity is associated with this habitat. We attempted to quantify the changes in agriculture and biodiversity in Britain since the 1940s. 2 There have been widespread declines in the populations of many groups of organisms associated with farmland in Britain and north-west Europe. The declines have been particularly marked amongst habitat specialists; many of the taxa still common on farmland are habitat generalists. 3 Farming practices have become increasingly intensive in the post-war period, with a dramatic reduction in landscape diversity. Since 1945, there has been a 65% decline in the number of farms, a 77% decline in farm labour and an almost fourfold increase in yield. Farms have become more specialized; the greatly increased use of machinery has made operations quicker and more efficient, but has resulted in the removal of 50% of the hedgerow stock. Autumn sowing of crops has become predominant, with winter stubbles now far less prevalent. The number and extent of chemical applications has increased greatly, but the net amount applied, and their persistence, has decreased in recent years. 4 Intensification has had a wide range of impacts on biodiversity, but data for many taxa are too scarce to permit a detailed assessment of the factors involved. Reduction in habitat diversity was important in the 1950s and 1960s; reduction in habitat quality is probably more important now. 5 As a case study, the declines in populations of seed-eating birds populations were assessed in relation to changing agricultural management. Generally, the declines were likely to be caused by a reduced food supply in the non-breeding season, although other factors may be important for particular species. 6 Agriculture will face a number of challenges in the medium term. While research into the mechanisms underlying species and habitat associations, and their interaction with scale, will be critical in under-pinning management, consideration of farmer attitudes and socio-economic factors is likely to be as important. Biodiversity may benefit from integrated farming techniques but these need to incorporate environmental objectives explicitly, rather than as a fringe benefit.","container-title":"Journal of Applied Ecology","DOI":"https://doi.org/10.1046/j.1365-2664.2002.00695.x","ISSN":"1365-2664","issue":"1","language":"en","note":"_eprint: https://besjournals.onlinelibrary.wiley.com/doi/pdf/10.1046/j.1365-2664.2002.00695.x","page":"157-176","source":"Wiley Online Library","title":"Post-war changes in arable farming and biodiversity in Great Britain","volume":"39","author":[{"family":"Robinson","given":"Robert A."},{"family":"Sutherland","given":"William J."}],"issued":{"date-parts":[["2002"]]}}}],"schema":"https://github.com/citation-style-language/schema/raw/master/csl-citation.json"} </w:instrText>
      </w:r>
      <w:r w:rsidR="00C9273B" w:rsidRPr="000C7549">
        <w:rPr>
          <w:rFonts w:ascii="Arial" w:hAnsi="Arial" w:cs="Arial"/>
          <w:bCs/>
          <w:color w:val="000000" w:themeColor="text1"/>
        </w:rPr>
        <w:fldChar w:fldCharType="separate"/>
      </w:r>
      <w:r w:rsidR="00C9273B" w:rsidRPr="000C7549">
        <w:rPr>
          <w:rFonts w:ascii="Arial" w:hAnsi="Arial" w:cs="Arial"/>
          <w:bCs/>
          <w:noProof/>
          <w:color w:val="000000" w:themeColor="text1"/>
        </w:rPr>
        <w:t>(Robinson &amp; Sutherland, 2002)</w:t>
      </w:r>
      <w:r w:rsidR="00C9273B" w:rsidRPr="000C7549">
        <w:rPr>
          <w:rFonts w:ascii="Arial" w:hAnsi="Arial" w:cs="Arial"/>
          <w:bCs/>
          <w:color w:val="000000" w:themeColor="text1"/>
        </w:rPr>
        <w:fldChar w:fldCharType="end"/>
      </w:r>
      <w:r w:rsidR="00C9273B" w:rsidRPr="000C7549">
        <w:rPr>
          <w:rFonts w:ascii="Arial" w:hAnsi="Arial" w:cs="Arial"/>
          <w:bCs/>
          <w:color w:val="000000" w:themeColor="text1"/>
        </w:rPr>
        <w:t xml:space="preserve"> promoting spatial and temporal uniformity </w:t>
      </w:r>
      <w:r w:rsidR="00C9273B" w:rsidRPr="000C7549">
        <w:rPr>
          <w:rFonts w:ascii="Arial" w:hAnsi="Arial" w:cs="Arial"/>
          <w:bCs/>
          <w:color w:val="000000" w:themeColor="text1"/>
        </w:rPr>
        <w:fldChar w:fldCharType="begin"/>
      </w:r>
      <w:r w:rsidR="00C9273B" w:rsidRPr="000C7549">
        <w:rPr>
          <w:rFonts w:ascii="Arial" w:hAnsi="Arial" w:cs="Arial"/>
          <w:bCs/>
          <w:color w:val="000000" w:themeColor="text1"/>
        </w:rPr>
        <w:instrText xml:space="preserve"> ADDIN ZOTERO_ITEM CSL_CITATION {"citationID":"TgZk1Rbd","properties":{"formattedCitation":"(Benton et al., 2003)","plainCitation":"(Benton et al., 2003)","noteIndex":0},"citationItems":[{"id":820,"uris":["http://zotero.org/users/6034784/items/NXNVEN38"],"uri":["http://zotero.org/users/6034784/items/NXNVEN38"],"itemData":{"id":820,"type":"article-journal","abstract":"Agricultural intensification has led to a widespread decline in farmland biodiversity measured across many different taxa. The changes in agricultural practices affect many different aspects of the farmland habitat, but agricultural industry, policy and much previous research has tended to be concerned with specific sectors or practices (e.g. pesticide use or cereal husbandry). Here, we review the empirical literature to synthesize the research effort that has been directed to investigate specific practices or goals to make general statements regarding the causes and consequences of farmland biodiversity decline. We argue that the loss of ecological heterogeneity at multiple spatial and temporal scales is a universal consequence of multivariate agricultural intensification and, therefore, that future research should develop cross-cutting policy frameworks and management solutions that recreate that heterogeneity as the key to restoring and sustaining biodiversity in temperate agricultural systems.","container-title":"Trends in Ecology &amp; Evolution","DOI":"10.1016/S0169-5347(03)00011-9","ISSN":"0169-5347","issue":"4","journalAbbreviation":"Trends in Ecology &amp; Evolution","language":"en","page":"182-188","source":"ScienceDirect","title":"Farmland biodiversity: is habitat heterogeneity the key?","title-short":"Farmland biodiversity","volume":"18","author":[{"family":"Benton","given":"Tim G."},{"family":"Vickery","given":"Juliet A."},{"family":"Wilson","given":"Jeremy D."}],"issued":{"date-parts":[["2003",4,1]]}}}],"schema":"https://github.com/citation-style-language/schema/raw/master/csl-citation.json"} </w:instrText>
      </w:r>
      <w:r w:rsidR="00C9273B" w:rsidRPr="000C7549">
        <w:rPr>
          <w:rFonts w:ascii="Arial" w:hAnsi="Arial" w:cs="Arial"/>
          <w:bCs/>
          <w:color w:val="000000" w:themeColor="text1"/>
        </w:rPr>
        <w:fldChar w:fldCharType="separate"/>
      </w:r>
      <w:r w:rsidR="00C9273B" w:rsidRPr="000C7549">
        <w:rPr>
          <w:rFonts w:ascii="Arial" w:hAnsi="Arial" w:cs="Arial"/>
          <w:bCs/>
          <w:noProof/>
          <w:color w:val="000000" w:themeColor="text1"/>
        </w:rPr>
        <w:t>(Benton et al., 2003)</w:t>
      </w:r>
      <w:r w:rsidR="00C9273B" w:rsidRPr="000C7549">
        <w:rPr>
          <w:rFonts w:ascii="Arial" w:hAnsi="Arial" w:cs="Arial"/>
          <w:bCs/>
          <w:color w:val="000000" w:themeColor="text1"/>
        </w:rPr>
        <w:fldChar w:fldCharType="end"/>
      </w:r>
      <w:r w:rsidR="00C9273B" w:rsidRPr="000C7549">
        <w:rPr>
          <w:rFonts w:ascii="Arial" w:hAnsi="Arial" w:cs="Arial"/>
          <w:bCs/>
          <w:color w:val="000000" w:themeColor="text1"/>
        </w:rPr>
        <w:t xml:space="preserve">. </w:t>
      </w:r>
    </w:p>
    <w:p w14:paraId="68FB9AC8" w14:textId="77777777" w:rsidR="00BD50DC" w:rsidRDefault="00207B01" w:rsidP="00BD50DC">
      <w:pPr>
        <w:spacing w:line="480" w:lineRule="auto"/>
        <w:ind w:firstLine="720"/>
        <w:rPr>
          <w:rFonts w:ascii="Arial" w:hAnsi="Arial" w:cs="Arial"/>
          <w:color w:val="000000" w:themeColor="text1"/>
        </w:rPr>
      </w:pPr>
      <w:r w:rsidRPr="000C7549">
        <w:rPr>
          <w:rFonts w:ascii="Arial" w:hAnsi="Arial" w:cs="Arial"/>
          <w:color w:val="000000" w:themeColor="text1"/>
        </w:rPr>
        <w:lastRenderedPageBreak/>
        <w:t xml:space="preserve">Bees require a variety of floral resources and nesting substrates, as outlined in Chapter 1, adding to the complexity of restoring or supplementing degraded landscapes for pollinator conservation. However, </w:t>
      </w:r>
      <w:r w:rsidR="00E95E49" w:rsidRPr="000C7549">
        <w:rPr>
          <w:rFonts w:ascii="Arial" w:hAnsi="Arial" w:cs="Arial"/>
          <w:color w:val="000000" w:themeColor="text1"/>
        </w:rPr>
        <w:t>establishing</w:t>
      </w:r>
      <w:r w:rsidRPr="000C7549">
        <w:rPr>
          <w:rFonts w:ascii="Arial" w:hAnsi="Arial" w:cs="Arial"/>
          <w:color w:val="000000" w:themeColor="text1"/>
        </w:rPr>
        <w:t xml:space="preserve"> native plantings in agricultural landscapes has been shown to increase pollinator diversity and abundance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{"citationID":"ZVKzsVBf","properties":{"formattedCitation":"(Bennett &amp; Isaacs, 2014; Garibaldi et al., 2014; Isaacs et al., 2009; Morandin et al., 2014; Morandin &amp; Kremen, 2013a, 2013b; Tuell et al., 2008; Williams et al., 2015)","plainCitation":"(Bennett &amp; Isaacs, 2014; Garibaldi et al., 2014; Isaacs et al., 2009; Morandin et al., 2014; Morandin &amp; Kremen, 2013a, 2013b; Tuell et al., 2008; Williams et al., 2015)","noteIndex":0},"citationItems":[{"id":249,"uris":["http://zotero.org/users/6034784/items/JPFU66H4"],"uri":["http://zotero.org/users/6034784/items/JPFU66H4"],"itemData":{"id":249,"type":"article-journal","abstract":"Biofuel cropping systems are considered a potential source of renewable energy and an integral component of a sustainable energy policy. The type of biofuel crop selected for production has the capacity to substantially alter landscape composition, affecting biodiversity conservation and ecosystem services. To understand how increasing production of perennial grasses for biofuels may affect pollinators and pollination services, we identified 20 agricultural fields that varied in their proportion of surrounding grassland cover. Bees and pollination services were measured at each site to determine how bee abundance, diversity, and community composition responded to increasing proportions of grassland, and to quantify how pollination services changed as the proportion of grassland increased in the landscape. Bees were collected from sentinel sunflowers, and pollination services were measured by comparing seed set from open and closed sunflowers at each site. Landscape composition had a significant effect on bee abundance, diversity, and community composition with a greater abundance of bees and a more diverse bee community found visiting flowers at sites with more of the surrounding landscape in perennial grassland. In contrast, the bee community in low grassland sites was dominated by Apis mellifera, suggesting that pollination in these landscapes may be more sensitive to declines in this species. Despite these differences, the level of sunflower pollination was similar across sites, even though the bee community responded to changes in landscape composition. Increasing grassland cover through the addition of perennial biofuel plantings would be expected to support a more diverse bee community and a greater abundance of bees, yielding reliable pollination services.","container-title":"Agriculture, Ecosystems &amp; Environment","DOI":"10.1016/j.agee.2014.04.016","ISSN":"0167-8809","journalAbbreviation":"Agriculture, Ecosystems &amp; Environment","language":"en","page":"1-8","source":"ScienceDirect","title":"Landscape composition influences pollinators and pollination services in perennial biofuel plantings","volume":"193","author":[{"family":"Bennett","given":"Ashley B."},{"family":"Isaacs","given":"Rufus"}],"issued":{"date-parts":[["2014",8,1]]}}},{"id":324,"uris":["http://zotero.org/users/6034784/items/EQIWL5V9"],"uri":["http://zotero.org/users/6034784/items/EQIWL5V9"],"itemData":{"id":324,"type":"article-journal","container-title":"Frontiers in Ecology and the Environment","DOI":"10.1890/130330","ISSN":"1540-9295","issue":"8","journalAbbreviation":"Frontiers in Ecology and the Environment","language":"en","page":"439-447","source":"DOI.org (Crossref)","title":"From research to action: enhancing crop yield through wild pollinators","title-short":"From research to action","volume":"12","author":[{"family":"Garibaldi","given":"Lucas A"},{"family":"Carvalheiro","given":"Luísa G"},{"family":"Leonhardt","given":"Sara D"},{"family":"Aizen","given":"Marcelo A"},{"family":"Blaauw","given":"Brett R"},{"family":"Isaacs","given":"Rufus"},{"family":"Kuhlmann","given":"Michael"},{"family":"Kleijn","given":"David"},{"family":"Klein","given":"Alexandra M"},{"family":"Kremen","given":"Claire"},{"family":"Morandin","given":"Lora"},{"family":"Scheper","given":"Jeroen"},{"family":"Winfree","given":"Rachael"}],"issued":{"date-parts":[["2014",10]]}}},{"id":375,"uris":["http://zotero.org/users/6034784/items/EPZRMYSG"],"uri":["http://zotero.org/users/6034784/items/EPZRMYSG"],"itemData":{"id":375,"type":"article-journal","abstract":"Beneficial arthropods, including native bees, predators, and parasitoids, provide valuable ecosystem services worth $8 billion to US agriculture each year. These arthropod-mediated ecosystem services (AMES) include crop pollination and pest control, which help to maintain agricultural productivity and reduce the need for pesticide inputs. Maximizing survival and reproduction of beneficial arthropods requires provision of pollen and nectar resources that are often scarce in modern agricultural landscapes. Increasingly, native plants are being evaluated for this purpose. Native plants can outperform recommended non-natives and also provide local adaptation, habitat permanency, and support of native biodiversity. We predict that the success of insect conservation programs using flowering plants to increase AMES on farmland will depend on landscape context, with the greatest success in landscapes of moderate complexity. Reintegration of native plants into agricultural landscapes has the potential to support multiple conservation goals, and will require the collaboration of researchers, conservation educators, and native plant experts.","container-title":"Frontiers in Ecology and the Environment","DOI":"https://doi.org/10.1890/080035","ISSN":"1540-9309","issue":"4","language":"en","note":"_eprint: https://onlinelibrary.wiley.com/doi/pdf/10.1890/080035","page":"196-203","source":"Wiley Online Library","title":"Maximizing arthropod-mediated ecosystem services in agricultural landscapes: the role of native plants","title-short":"Maximizing arthropod-mediated ecosystem services in agricultural landscapes","volume":"7","author":[{"family":"Isaacs","given":"Rufus"},{"family":"Tuell","given":"Julianna"},{"family":"Fiedler","given":"Anna"},{"family":"Gardiner","given":"Mary"},{"family":"Landis","given":"Doug"}],"issued":{"date-parts":[["2009"]]}}},{"id":1000,"uris":["http://zotero.org/users/6034784/items/DHB6GSK6"],"uri":["http://zotero.org/users/6034784/items/DHB6GSK6"],"itemData":{"id":1000,"type":"article-journal","container-title":"Agriculture, Ecosystems &amp; Environment","note":"publisher: Elsevier","page":"164–170","source":"Google Scholar","title":"Hedgerows enhance beneficial insects on adjacent tomato fields in an intensive agricultural landscape","volume":"189","author":[{"family":"Morandin","given":"Lora A."},{"family":"Long","given":"Rachael F."},{"family":"Kremen","given":"Claire"}],"issued":{"date-parts":[["2014"]]}}},{"id":433,"uris":["http://zotero.org/users/6034784/items/SAU9MIZM"],"uri":["http://zotero.org/users/6034784/items/SAU9MIZM"],"itemData":{"id":433,"type":"article-journal","abstract":"Habitat restoration to promote wild pollinator populations is becoming increasingly common in agricultural lands. Yet, little is known about how wild bees, globally the most important wild pollinators, use resources in restored habitats. We compared bee use of native and exotic plants in two types of restored native plant hedgerows: mature hedgerows (&gt;10 years from establishment) designed for natural enemy enhancement and new hedgerows (≤2 years from establishment) designed to enhance bee populations. Bees were collected from flowers using timed aerial netting and flowering plant cover was estimated by species using cover classes. At mature hedgerow sites, wild bee abundance, richness, and diversity were greater on native plants than exotic plants. At new sites, where native plants were small and had limited floral display, abundance of bees was greater on native plants than exotic plants; but, controlling for floral cover, there was no difference in bee diversity and richness between the two plant types. At both mature and new hedgerows, wild bees preferred to forage from native plants than exotic plants. Honey bees, which were from managed colonies, also preferred native plants at mature hedgerow sites but exhibited no preference at new sites. Our study shows that wild bees, and managed bees in some cases, prefer to forage on native plants in hedgerows over co-occurring weedy, exotic plants. Semi-quantitative ranking identified which native plants were most preferred. Hedgerow restoration with native plants may help enhance wild bee abundance and diversity, and maintain honey bee health, in agricultural areas.","container-title":"Restoration Ecology","DOI":"https://doi.org/10.1111/j.1526-100X.2012.00876.x","ISSN":"1526-100X","issue":"1","language":"en","note":"_eprint: https://onlinelibrary.wiley.com/doi/pdf/10.1111/j.1526-100X.2012.00876.x","page":"26-32","source":"Wiley Online Library","title":"Bee Preference for Native versus Exotic Plants in Restored Agricultural Hedgerows","volume":"21","author":[{"family":"Morandin","given":"Lora A."},{"family":"Kremen","given":"Claire"}],"issued":{"date-parts":[["2013"]]}}},{"id":1002,"uris":["http://zotero.org/users/6034784/items/I27KBGZ2"],"uri":["http://zotero.org/users/6034784/items/I27KBGZ2"],"itemData":{"id":1002,"type":"article-journal","container-title":"Ecological Applications","issue":"4","note":"publisher: Wiley Online Library","page":"829–839","source":"Google Scholar","title":"Hedgerow restoration promotes pollinator populations and exports native bees to adjacent fields","volume":"23","author":[{"family":"Morandin","given":"Lora A."},{"family":"Kremen","given":"Claire"}],"issued":{"date-parts":[["2013"]]}}},{"id":380,"uris":["http://zotero.org/users/6034784/items/UHEGJTVH"],"uri":["http://zotero.org/users/6034784/items/UHEGJTVH"],"itemData":{"id":380,"type":"article-journal","abstract":"Abstract. Addition of floral resources to agricultural field margins has been shown to increase abundance of beneficial insects in crop fields, but most plants","container-title":"Environmental Entomology","DOI":"10.1603/0046-225X(2008)37[707:VBWAMB]2.0.CO;2","ISSN":"0046-225X","issue":"3","journalAbbreviation":"Environ Entomol","language":"en","note":"publisher: Oxford Academic","page":"707-718","source":"academic.oup.com","title":"Visitation by Wild and Managed Bees (Hymenoptera: Apoidea) to Eastern U.S. Native Plants for Use in Conservation Programs","title-short":"Visitation by Wild and Managed Bees (Hymenoptera","volume":"37","author":[{"family":"Tuell","given":"Julianna K."},{"family":"Fiedler","given":"Anna K."},{"family":"Landis","given":"Douglas"},{"family":"Isaacs","given":"Rufus"}],"issued":{"date-parts":[["2008",6,1]]}}},{"id":954,"uris":["http://zotero.org/users/6034784/items/EA46AP47"],"uri":["http://zotero.org/users/6034784/items/EA46AP47"],"itemData":{"id":954,"type":"article-journal","abstract":"Global trends in pollinator-dependent crops have raised awareness of the need to support managed and wild bee populations to ensure sustainable crop production. Provision of sufﬁcient forage resources is a key element for promoting bee populations within human impacted landscapes, particularly those in agricultural lands where demand for pollination service is high and land use and management practices have reduced available ﬂowering resources. Recent government incentives in North America and Europe support the planting of wildﬂowers to beneﬁt pollinators; surprisingly, in North America there has been almost no rigorous testing of the performance of wildﬂower mixes, or their ability to support wild bee abundance and diversity. We tested different wildﬂower mixes in a spatially replicated, multiyear study in three regions of North America where production of pollinatordependent crops is high: Florida, Michigan, and California. In each region, we quantiﬁed ﬂowering among wildﬂower mixes composed of annual and perennial species, and with high and low relative diversity. We measured the abundance and species richness of wild bees, honey bees, and syrphid ﬂies at each mix over two seasons. In each region, some but not all wildﬂower mixes provided signiﬁcantly greater ﬂoral display area than unmanaged weedy control plots. Mixes also attracted greater abundance and richness of wild bees, although the identity of best mixes varied among regions. By partitioning ﬂoral display size from mix identity we show the importance of display size for attracting abundant and diverse wild bees. Season-long monitoring also revealed that designing mixes to provide continuous bloom throughout the growing season is critical to supporting the greatest pollinator species richness. Contrary to expectation, perennials bloomed in their ﬁrst season, and complementarity in attraction of pollinators among annuals and perennials suggests that inclusion of functionally diverse species may provide the greatest beneﬁt. Wildﬂower mixes may be particularly important for providing resources for some taxa, such as bumble bees, which are known to be in decline in several regions of North America. No mix consistently attained the full diversity that was planted. Further study is needed on how to achieve the desired ﬂoral display and diversity from seed mixes.","container-title":"Ecological Applications","DOI":"10.1890/14-1748.1","ISSN":"1051-0761","issue":"8","journalAbbreviation":"Ecological Applications","language":"en","page":"2119-2131","source":"DOI.org (Crossref)","title":"Native wildflower plantings support wild bee abundance and diversity in agricultural landscapes across the United States","volume":"25","author":[{"family":"Williams","given":"Neal M."},{"family":"Ward","given":"Kimiora L."},{"family":"Pope","given":"Nathaniel"},{"family":"Isaacs","given":"Rufus"},{"family":"Wilson","given":"Julianna"},{"family":"May","given":"Emily A."},{"family":"Ellis","given":"Jamie"},{"family":"Daniels","given":"Jaret"},{"family":"Pence","given":"Akers"},{"family":"Ullmann","given":"Katharina"},{"family":"Peters","given":"Jeff"}],"issued":{"date-parts":[["2015",12]]}}}],"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(Bennett &amp; Isaacs, 2014; Garibaldi et al., 2014; Isaacs et al., 2009; Morandin et al., 2014; Morandin &amp; Kremen, 2013a, 2013b; Tuell et al., 2008; Williams et al., 2015)</w:t>
      </w:r>
      <w:r w:rsidRPr="000C7549">
        <w:rPr>
          <w:rFonts w:ascii="Arial" w:hAnsi="Arial" w:cs="Arial"/>
          <w:color w:val="000000" w:themeColor="text1"/>
        </w:rPr>
        <w:fldChar w:fldCharType="end"/>
      </w:r>
      <w:r w:rsidRPr="000C7549">
        <w:rPr>
          <w:rFonts w:ascii="Arial" w:hAnsi="Arial" w:cs="Arial"/>
          <w:color w:val="000000" w:themeColor="text1"/>
        </w:rPr>
        <w:t>. Although these</w:t>
      </w:r>
      <w:r w:rsidR="00E95E49" w:rsidRPr="000C7549">
        <w:rPr>
          <w:rFonts w:ascii="Arial" w:hAnsi="Arial" w:cs="Arial"/>
          <w:color w:val="000000" w:themeColor="text1"/>
        </w:rPr>
        <w:t xml:space="preserve"> efforts</w:t>
      </w:r>
      <w:r w:rsidRPr="000C7549">
        <w:rPr>
          <w:rFonts w:ascii="Arial" w:hAnsi="Arial" w:cs="Arial"/>
          <w:color w:val="000000" w:themeColor="text1"/>
        </w:rPr>
        <w:t xml:space="preserve"> have largely been tested in agricultural landscapes, studies have also </w:t>
      </w:r>
      <w:r w:rsidR="004D7223" w:rsidRPr="000C7549">
        <w:rPr>
          <w:rFonts w:ascii="Arial" w:hAnsi="Arial" w:cs="Arial"/>
          <w:color w:val="000000" w:themeColor="text1"/>
        </w:rPr>
        <w:t>researched</w:t>
      </w:r>
      <w:r w:rsidRPr="000C7549">
        <w:rPr>
          <w:rFonts w:ascii="Arial" w:hAnsi="Arial" w:cs="Arial"/>
          <w:color w:val="000000" w:themeColor="text1"/>
        </w:rPr>
        <w:t xml:space="preserve"> the role of native plants in urban systems and found forage preferences for native over non-native plants in urban gardens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{"citationID":"x1F2dPqB","properties":{"formattedCitation":"(Baldock et al., 2019)","plainCitation":"(Baldock et al., 2019)","noteIndex":0},"citationItems":[{"id":1009,"uris":["http://zotero.org/users/6034784/items/YFHXPENJ"],"uri":["http://zotero.org/users/6034784/items/YFHXPENJ"],"itemData":{"id":1009,"type":"article-journal","abstract":"Urban areas are often perceived to have lower biodiversity than the wider countryside, but a few small-scale studies suggest that some urban land uses can support substantial pollinator populations. We present a large-scale, well-replicated study of floral resources and pollinators in 360 sites incorporating all major land uses in four British cities. Using a systems approach, we developed Bayesian network models integrating pollinator dispersal and resource switching to estimate city-scale effects of management interventions on plant-pollinator community robustness to species loss. We show that residential gardens and allotments (community gardens) are pollinator ‘hotspots’: gardens due to their extensive area, and allotments due to their high pollinator diversity and leverage on city-scale plant-pollinator community robustness. Household income was positively associated with pollinator abundance in gardens, highlighting the influence of socio-economic factors. Our results underpin urban planning recommendations to enhance pollinator conservation, using increasing city-scale community robustness as our measure of success.","container-title":"Nature ecology &amp; evolution","DOI":"10.1038/s41559-018-0769-y","ISSN":"2397-334X","issue":"3","journalAbbreviation":"Nat Ecol Evol","note":"PMID: 30643247\nPMCID: PMC6445365","page":"363-373","source":"PubMed Central","title":"A systems approach reveals urban pollinator hotspots and conservation opportunities","volume":"3","author":[{"family":"Baldock","given":"Katherine C. R."},{"family":"Goddard","given":"Mark A."},{"family":"Hicks","given":"Damien M."},{"family":"Kunin","given":"William E."},{"family":"Mitschunas","given":"Nadine"},{"family":"Morse","given":"Helen"},{"family":"Osgathorpe","given":"Lynne M."},{"family":"Potts","given":"Simon G."},{"family":"Robertson","given":"Kirsty M."},{"family":"Scott","given":"Anna V."},{"family":"Staniczenko","given":"Phillip P. A."},{"family":"Stone","given":"Graham N."},{"family":"Vaughan","given":"Ian P."},{"family":"Memmott","given":"Jane"}],"issued":{"date-parts":[["2019",3]]}}}],"schema":"https://github.com/citation-style-language/schema/raw/master/csl-citation.json"}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(Baldock et al., 2019)</w:t>
      </w:r>
      <w:r w:rsidRPr="000C7549">
        <w:rPr>
          <w:rFonts w:ascii="Arial" w:hAnsi="Arial" w:cs="Arial"/>
          <w:color w:val="000000" w:themeColor="text1"/>
        </w:rPr>
        <w:fldChar w:fldCharType="end"/>
      </w:r>
      <w:r w:rsidRPr="000C7549">
        <w:rPr>
          <w:rFonts w:ascii="Arial" w:hAnsi="Arial" w:cs="Arial"/>
          <w:color w:val="000000" w:themeColor="text1"/>
        </w:rPr>
        <w:t xml:space="preserve">. </w:t>
      </w:r>
    </w:p>
    <w:p w14:paraId="0B9DA1CE" w14:textId="112F91DE" w:rsidR="00207B01" w:rsidRPr="00BD50DC" w:rsidRDefault="00207B01" w:rsidP="00BD50DC">
      <w:pPr>
        <w:spacing w:line="480" w:lineRule="auto"/>
        <w:ind w:firstLine="720"/>
        <w:rPr>
          <w:rFonts w:ascii="Arial" w:hAnsi="Arial" w:cs="Arial"/>
          <w:color w:val="000000" w:themeColor="text1"/>
        </w:rPr>
      </w:pPr>
      <w:r w:rsidRPr="000C7549">
        <w:rPr>
          <w:rFonts w:ascii="Arial" w:hAnsi="Arial" w:cs="Arial"/>
          <w:color w:val="000000" w:themeColor="text1"/>
        </w:rPr>
        <w:t>Following these findings, we aimed to characterize the pollinator community and the role of native perennial plantings as forage resources in East Tennessee (Chapter 2). We collected flower-visiting insects on 18 selected plant species from three plant families for two field seasons</w:t>
      </w:r>
      <w:r w:rsidRPr="000C7549">
        <w:rPr>
          <w:rFonts w:ascii="Arial" w:hAnsi="Arial" w:cs="Arial"/>
        </w:rPr>
        <w:t xml:space="preserve">, 2019 and 2020. The goal of our study was to both describe the bee community in the region and provide local planting recommendations for </w:t>
      </w:r>
      <w:r w:rsidR="00E95E49" w:rsidRPr="000C7549">
        <w:rPr>
          <w:rFonts w:ascii="Arial" w:hAnsi="Arial" w:cs="Arial"/>
        </w:rPr>
        <w:t>local pollinator conservation initiatives</w:t>
      </w:r>
      <w:r w:rsidRPr="000C7549">
        <w:rPr>
          <w:rFonts w:ascii="Arial" w:hAnsi="Arial" w:cs="Arial"/>
        </w:rPr>
        <w:t>.</w:t>
      </w:r>
    </w:p>
    <w:p w14:paraId="0D2E1946" w14:textId="0840908E" w:rsidR="00207B01" w:rsidRPr="000C7549" w:rsidRDefault="00207B01" w:rsidP="00EC3681">
      <w:pPr>
        <w:spacing w:line="480" w:lineRule="auto"/>
        <w:ind w:firstLine="720"/>
        <w:rPr>
          <w:rFonts w:ascii="Arial" w:hAnsi="Arial" w:cs="Arial"/>
        </w:rPr>
      </w:pPr>
      <w:r w:rsidRPr="000C7549">
        <w:rPr>
          <w:rFonts w:ascii="Arial" w:hAnsi="Arial" w:cs="Arial"/>
        </w:rPr>
        <w:t xml:space="preserve">Bees vary substantially in body size and are capable of foraging at a wide range of distances; thus, it is vital to analyze the effects of the greater landscape. Increased agriculture in the landscape has been found to </w:t>
      </w:r>
      <w:r w:rsidR="003C2B2A" w:rsidRPr="000C7549">
        <w:rPr>
          <w:rFonts w:ascii="Arial" w:hAnsi="Arial" w:cs="Arial"/>
        </w:rPr>
        <w:t xml:space="preserve">negatively affect </w:t>
      </w:r>
      <w:r w:rsidRPr="000C7549">
        <w:rPr>
          <w:rFonts w:ascii="Arial" w:hAnsi="Arial" w:cs="Arial"/>
        </w:rPr>
        <w:t xml:space="preserve">bee species richness and abundance </w:t>
      </w:r>
      <w:r w:rsidRPr="000C7549">
        <w:rPr>
          <w:rFonts w:ascii="Arial" w:hAnsi="Arial" w:cs="Arial"/>
        </w:rPr>
        <w:fldChar w:fldCharType="begin"/>
      </w:r>
      <w:r w:rsidRPr="000C7549">
        <w:rPr>
          <w:rFonts w:ascii="Arial" w:hAnsi="Arial" w:cs="Arial"/>
        </w:rPr>
        <w:instrText xml:space="preserve"> ADDIN ZOTERO_ITEM CSL_CITATION {"citationID":"eYeSeZzY","properties":{"formattedCitation":"(Connelly et al., 2015; Nicholson et al., 2017; Russo et al., 2015; Watson et al., 2011)","plainCitation":"(Connelly et al., 2015; Nicholson et al., 2017; Russo et al., 2015; Watson et al., 2011)","noteIndex":0},"citationItems":[{"id":276,"uris":["http://zotero.org/users/6034784/items/DKY7SXCF"],"uri":["http://zotero.org/users/6034784/items/DKY7SXCF"],"itemData":{"id":276,"type":"article-journal","abstract":"Successful conservation of pollination services depends upon an understanding of the processes that influence pollinator diversity within the landscape, as well as the relationship between pollinator community composition and the provision of services. In this study, the influence of landscape simplification on the composition of pollinator communities and the provisioning of pollination services to cultivated strawberry was evaluated (Fragaria×ananassa). Additionally the relative pollination efficiency for the five most common bee genera visiting strawberry flowers was measured. Pollinators were collected during bloom with pan traps on 14 commercial farms all growing the same strawberry variety in the Finger Lakes Region, NY, USA. The farms were chosen to represent a gradient in the proportion of agricultural land uses in the surrounding landscape from 0.09 to 0.60. Landscapes with greater proportions of agricultural area had lower pollinator abundances and species richness. While yield was positively correlated with pollinator abundance, species richness had little effect on the level of pollination services. This conclusion was supported by the finding that visitor identity did not explain pollination efficiency in strawberry. Our results show that a high proportion of agricultural land in the landscape negatively impacts wild pollinators and pollination services to strawberry.","container-title":"Agriculture, Ecosystems &amp; Environment","DOI":"10.1016/j.agee.2015.05.004","ISSN":"0167-8809","journalAbbreviation":"Agriculture, Ecosystems &amp; Environment","language":"en","page":"51-56","source":"ScienceDirect","title":"Landscape simplification decreases wild bee pollination services to strawberry","volume":"211","author":[{"family":"Connelly","given":"Heather"},{"family":"Poveda","given":"Katja"},{"family":"Loeb","given":"Gregory"}],"issued":{"date-parts":[["2015",12,15]]}}},{"id":313,"uris":["http://zotero.org/users/6034784/items/WL9R9A4H"],"uri":["http://zotero.org/users/6034784/items/WL9R9A4H"],"itemData":{"id":313,"type":"article-journal","container-title":"Agriculture, Ecosystems &amp; Environment","DOI":"10.1016/j.agee.2017.08.030","ISSN":"01678809","journalAbbreviation":"Agriculture, Ecosystems &amp; Environment","language":"en","page":"113-122","source":"DOI.org (Crossref)","title":"Farm and landscape factors interact to affect the supply of pollination services","volume":"250","author":[{"family":"Nicholson","given":"Charlie C."},{"family":"Koh","given":"Insu"},{"family":"Richardson","given":"Leif L."},{"family":"Beauchemin","given":"Anna"},{"family":"Ricketts","given":"Taylor H."}],"issued":{"date-parts":[["2017",12]]}}},{"id":305,"uris":["http://zotero.org/users/6034784/items/AILW3AR7"],"uri":["http://zotero.org/users/6034784/items/AILW3AR7"],"itemData":{"id":305,"type":"article-journal","container-title":"Ecology and Evolution","DOI":"10.1002/ece3.1582","ISSN":"2045-7758, 2045-7758","issue":"17","journalAbbreviation":"Ecol Evol","language":"en","page":"3531-3540","source":"DOI.org (Crossref)","title":"The challenge of accurately documenting bee species richness in agroecosystems: bee diversity in eastern apple orchards","title-short":"The challenge of accurately documenting bee species richness in agroecosystems","volume":"5","author":[{"family":"Russo","given":"Laura"},{"family":"Park","given":"Mia"},{"family":"Gibbs","given":"Jason"},{"family":"Danforth","given":"Bryan"}],"issued":{"date-parts":[["2015",9]]}}},{"id":301,"uris":["http://zotero.org/users/6034784/items/YXWF8Y4M"],"uri":["http://zotero.org/users/6034784/items/YXWF8Y4M"],"itemData":{"id":301,"type":"article-journal","container-title":"Environmental Entomology","DOI":"10.1603/EN10231","ISSN":"0046-225X, 1938-2936","issue":"3","journalAbbreviation":"Environ Entomol","language":"en","page":"621-632","source":"DOI.org (Crossref)","title":"Forested Landscapes Promote Richness and Abundance of Native Bees (Hymenoptera: Apoidea: Anthophila) in Wisconsin Apple Orchards","title-short":"Forested Landscapes Promote Richness and Abundance of Native Bees (Hymenoptera","volume":"40","author":[{"family":"Watson","given":"J. C."},{"family":"Wolf","given":"A. T."},{"family":"Ascher","given":"J. S."}],"issued":{"date-parts":[["2011",6,1]]}}}],"schema":"https://github.com/citation-style-language/schema/raw/master/csl-citation.json"} </w:instrText>
      </w:r>
      <w:r w:rsidRPr="000C7549">
        <w:rPr>
          <w:rFonts w:ascii="Arial" w:hAnsi="Arial" w:cs="Arial"/>
        </w:rPr>
        <w:fldChar w:fldCharType="separate"/>
      </w:r>
      <w:r w:rsidRPr="000C7549">
        <w:rPr>
          <w:rFonts w:ascii="Arial" w:hAnsi="Arial" w:cs="Arial"/>
          <w:noProof/>
        </w:rPr>
        <w:t>(Connelly et al., 2015; Nicholson et al., 2017; Russo et al., 2015; Watson et al., 2011)</w:t>
      </w:r>
      <w:r w:rsidRPr="000C7549">
        <w:rPr>
          <w:rFonts w:ascii="Arial" w:hAnsi="Arial" w:cs="Arial"/>
        </w:rPr>
        <w:fldChar w:fldCharType="end"/>
      </w:r>
      <w:r w:rsidRPr="000C7549">
        <w:rPr>
          <w:rFonts w:ascii="Arial" w:hAnsi="Arial" w:cs="Arial"/>
        </w:rPr>
        <w:t xml:space="preserve">, while increased natural areas in the landscape </w:t>
      </w:r>
      <w:r w:rsidR="004D7223" w:rsidRPr="000C7549">
        <w:rPr>
          <w:rFonts w:ascii="Arial" w:hAnsi="Arial" w:cs="Arial"/>
        </w:rPr>
        <w:t xml:space="preserve">have been found to have a  </w:t>
      </w:r>
      <w:r w:rsidRPr="000C7549">
        <w:rPr>
          <w:rFonts w:ascii="Arial" w:hAnsi="Arial" w:cs="Arial"/>
        </w:rPr>
        <w:t xml:space="preserve">positive </w:t>
      </w:r>
      <w:r w:rsidR="004D7223" w:rsidRPr="000C7549">
        <w:rPr>
          <w:rFonts w:ascii="Arial" w:hAnsi="Arial" w:cs="Arial"/>
        </w:rPr>
        <w:t>relationship with</w:t>
      </w:r>
      <w:r w:rsidRPr="000C7549">
        <w:rPr>
          <w:rFonts w:ascii="Arial" w:hAnsi="Arial" w:cs="Arial"/>
        </w:rPr>
        <w:t xml:space="preserve"> bee species richness and abundance </w:t>
      </w:r>
      <w:r w:rsidRPr="000C7549">
        <w:rPr>
          <w:rFonts w:ascii="Arial" w:hAnsi="Arial" w:cs="Arial"/>
        </w:rPr>
        <w:fldChar w:fldCharType="begin"/>
      </w:r>
      <w:r w:rsidR="000C05DC" w:rsidRPr="000C7549">
        <w:rPr>
          <w:rFonts w:ascii="Arial" w:hAnsi="Arial" w:cs="Arial"/>
        </w:rPr>
        <w:instrText xml:space="preserve"> ADDIN ZOTERO_ITEM CSL_CITATION {"citationID":"3yUKNj9M","properties":{"formattedCitation":"(Cusser et al., 2016; S. S. Greenleaf &amp; Kremen, 2006; A.-M. Klein et al., 2012; McKechnie et al., 2017; Nicholson et al., 2017; Smith et al., 2013; Watson et al., 2011)","plainCitation":"(Cusser et al., 2016; S. S. Greenleaf &amp; Kremen, 2006; A.-M. Klein et al., 2012; McKechnie et al., 2017; Nicholson et al., 2017; Smith et al., 2013; Watson et al., 2011)","dontUpdate":true,"noteIndex":0},"citationItems":[{"id":307,"uris":["http://zotero.org/users/6034784/items/ZBNNJE2T"],"uri":["http://zotero.org/users/6034784/items/ZBNNJE2T"],"itemData":{"id":307,"type":"article-journal","container-title":"Agriculture, Ecosystems &amp; Environment","DOI":"10.1016/j.agee.2016.04.020","ISSN":"01678809","journalAbbreviation":"Agriculture, Ecosystems &amp; Environment","language":"en","page":"33-42","source":"DOI.org (Crossref)","title":"Natural land cover drives pollinator abundance and richness, leading to reductions in pollen limitation in cotton agroecosystems","volume":"226","author":[{"family":"Cusser","given":"Sarah"},{"family":"Neff","given":"John L."},{"family":"Jha","given":"Shalene"}],"issued":{"date-parts":[["2016",6]]}}},{"id":308,"uris":["http://zotero.org/users/6034784/items/PWXI64N7"],"uri":["http://zotero.org/users/6034784/items/PWXI64N7"],"itemData":{"id":308,"type":"article-journal","container-title":"Proceedings of the National Academy of Sciences","DOI":"10.1073/pnas.0600929103","ISSN":"0027-8424, 1091-6490","issue":"37","journalAbbreviation":"Proceedings of the National Academy of Sciences","language":"en","page":"13890-13895","source":"DOI.org (Crossref)","title":"Wild bees enhance honey bees' pollination of hybrid sunflower","volume":"103","author":[{"family":"Greenleaf","given":"S. S."},{"family":"Kremen","given":"C."}],"issued":{"date-parts":[["2006",9,12]]}}},{"id":290,"uris":["http://zotero.org/users/6034784/items/QZZE6Y47"],"uri":["http://zotero.org/users/6034784/items/QZZE6Y47"],"itemData":{"id":290,"type":"article-journal","abstract":"1. Global declines in honeybees have led to concerns about negative impacts on food production because of low levels of pollination. This is exemplified in California where the demand for honeybees Apis mellifera to pollinate almond Prunus dulcis is increasing, but problems with honeybee health suggest it may not be sustainable to rely solely on the pollination service of a single species. 2. We investigated the effect of the quantity of surrounding natural habitat, organic management and strips of semi-natural vegetation on flower visitation frequency of wild and managed pollinators and fruit set in 23 California almond orchards (15 conventional, 8 organic). Five conventional and four organic orchards were surrounded by a low percentage (&lt;5%) of natural or semi-natural habitat in a 1-km radius and another five conventional and four organic orchards were surrounded by a high percentage of these habitats (&gt;30%). A further five conventional orchards with a low percentage of surrounding natural habitat had an adjacent strip of semi-natural vegetation and were included in the study to represent a realistic option for orchard management in intensive agricultural landscapes. 3. Wild bee species visited almond flowers but only in orchards with adjacent semi-natural habitat or vegetation strips. Organic management increased the flower visitation frequencies of hover flies and wild bees. The presence of a strip of semi-natural vegetation in orchards with a low percentage of surrounding natural habitat increased the number of species and the flower visitation frequency by wild pollinators but only at orchard edges and not to the degree seen when natural habitat was abundant. 4. Wild bee species richness and flower visitation frequency, but not honeybee frequency, were related to fruit set. Fruit set increased with increasing percentage of natural habitat surrounding the orchards. Organic farming or the presence of a vegetation strip did not increase fruit set. 5. Synthesis and applications. The restoration of high quality habitat strips along the edges of crop fields in highly intensified agricultural landscapes should be encouraged and monitored to conserve pollinators and to determine whether benefits for agriculture can be realized. Although honeybees are the main and most important pollinating insects for many plants, wild pollinators may be necessary to ensure high fruit set. Organic farming alone will not sustain wild pollination services for almond in California.","container-title":"Journal of Applied Ecology","DOI":"10.1111/j.1365-2664.2012.02144.x","ISSN":"1365-2664","issue":"3","language":"en","note":"_eprint: https://besjournals.onlinelibrary.wiley.com/doi/pdf/10.1111/j.1365-2664.2012.02144.x","page":"723-732","source":"Wiley Online Library","title":"Wild pollination services to California almond rely on semi-natural habitat","volume":"49","author":[{"family":"Klein","given":"Alexandra-Maria"},{"family":"Brittain","given":"Claire"},{"family":"Hendrix","given":"Stephen D."},{"family":"Thorp","given":"Robbin"},{"family":"Williams","given":"Neal"},{"family":"Kremen","given":"Claire"}],"issued":{"date-parts":[["2012"]]}}},{"id":322,"uris":["http://zotero.org/users/6034784/items/Z3YVZHBI"],"uri":["http://zotero.org/users/6034784/items/Z3YVZHBI"],"itemData":{"id":322,"type":"article-journal","container-title":"Agriculture, Ecosystems &amp; Environment","DOI":"10.1016/j.agee.2016.12.005","ISSN":"01678809","journalAbbreviation":"Agriculture, Ecosystems &amp; Environment","language":"en","page":"154-161","source":"DOI.org (Crossref)","title":"Forested field edges support a greater diversity of wild pollinators in lowbush blueberry (Vaccinium angustifolium)","volume":"237","author":[{"family":"McKechnie","given":"Irene M."},{"family":"Thomsen","given":"Christina J.M."},{"family":"Sargent","given":"Risa D."}],"issued":{"date-parts":[["2017",1]]}}},{"id":313,"uris":["http://zotero.org/users/6034784/items/WL9R9A4H"],"uri":["http://zotero.org/users/6034784/items/WL9R9A4H"],"itemData":{"id":313,"type":"article-journal","container-title":"Agriculture, Ecosystems &amp; Environment","DOI":"10.1016/j.agee.2017.08.030","ISSN":"01678809","journalAbbreviation":"Agriculture, Ecosystems &amp; Environment","language":"en","page":"113-122","source":"DOI.org (Crossref)","title":"Farm and landscape factors interact to affect the supply of pollination services","volume":"250","author":[{"family":"Nicholson","given":"Charlie C."},{"family":"Koh","given":"Insu"},{"family":"Richardson","given":"Leif L."},{"family":"Beauchemin","given":"Anna"},{"family":"Ricketts","given":"Taylor H."}],"issued":{"date-parts":[["2017",12]]}}},{"id":320,"uris":["http://zotero.org/users/6034784/items/T5J6NE55"],"uri":["http://zotero.org/users/6034784/items/T5J6NE55"],"itemData":{"id":320,"type":"article-journal","container-title":"Journal of Economic Entomology","DOI":"10.1603/EC12007","ISSN":"00220493, 00220493","issue":"1","journalAbbreviation":"jnl. econ. entom.","language":"en","page":"97-106","source":"DOI.org (Crossref)","title":"Wild Bees Visiting Cucumber on Midwestern U.S. Organic Farms Benefit From Near-Farm Semi-Natural Areas","volume":"106","author":[{"family":"Smith","given":"A. A."},{"family":"Bentley","given":"M."},{"family":"Reynolds","given":"H. L."}],"issued":{"date-parts":[["2013",2,1]]}}},{"id":301,"uris":["http://zotero.org/users/6034784/items/YXWF8Y4M"],"uri":["http://zotero.org/users/6034784/items/YXWF8Y4M"],"itemData":{"id":301,"type":"article-journal","container-title":"Environmental Entomology","DOI":"10.1603/EN10231","ISSN":"0046-225X, 1938-2936","issue":"3","journalAbbreviation":"Environ Entomol","language":"en","page":"621-632","source":"DOI.org (Crossref)","title":"Forested Landscapes Promote Richness and Abundance of Native Bees (Hymenoptera: Apoidea: Anthophila) in Wisconsin Apple Orchards","title-short":"Forested Landscapes Promote Richness and Abundance of Native Bees (Hymenoptera","volume":"40","author":[{"family":"Watson","given":"J. C."},{"family":"Wolf","given":"A. T."},{"family":"Ascher","given":"J. S."}],"issued":{"date-parts":[["2011",6,1]]}}}],"schema":"https://github.com/citation-style-language/schema/raw/master/csl-citation.json"} </w:instrText>
      </w:r>
      <w:r w:rsidRPr="000C7549">
        <w:rPr>
          <w:rFonts w:ascii="Arial" w:hAnsi="Arial" w:cs="Arial"/>
        </w:rPr>
        <w:fldChar w:fldCharType="separate"/>
      </w:r>
      <w:r w:rsidRPr="000C7549">
        <w:rPr>
          <w:rFonts w:ascii="Arial" w:hAnsi="Arial" w:cs="Arial"/>
          <w:noProof/>
        </w:rPr>
        <w:t xml:space="preserve">(Cusser et al., 2016; Greenleaf &amp; Kremen, 2006; Klein et al., 2012; McKechnie et al., 2017; Nicholson </w:t>
      </w:r>
      <w:r w:rsidRPr="000C7549">
        <w:rPr>
          <w:rFonts w:ascii="Arial" w:hAnsi="Arial" w:cs="Arial"/>
          <w:noProof/>
        </w:rPr>
        <w:lastRenderedPageBreak/>
        <w:t>et al., 2017; Smith et al., 2013; Watson et al., 2011)</w:t>
      </w:r>
      <w:r w:rsidRPr="000C7549">
        <w:rPr>
          <w:rFonts w:ascii="Arial" w:hAnsi="Arial" w:cs="Arial"/>
        </w:rPr>
        <w:fldChar w:fldCharType="end"/>
      </w:r>
      <w:r w:rsidRPr="000C7549">
        <w:rPr>
          <w:rFonts w:ascii="Arial" w:hAnsi="Arial" w:cs="Arial"/>
        </w:rPr>
        <w:t xml:space="preserve">. Given the established effects of agricultural intensification and natural areas in the surrounding landscape, we investigated the potential impacts of land cover in Chapter 3. </w:t>
      </w:r>
    </w:p>
    <w:p w14:paraId="3C8C5A96" w14:textId="77777777" w:rsidR="00207B01" w:rsidRPr="000C7549" w:rsidRDefault="00207B01" w:rsidP="00207B01">
      <w:pPr>
        <w:spacing w:line="480" w:lineRule="auto"/>
        <w:rPr>
          <w:rFonts w:ascii="Arial" w:hAnsi="Arial" w:cs="Arial"/>
        </w:rPr>
      </w:pPr>
    </w:p>
    <w:p w14:paraId="6F7C0342" w14:textId="77777777" w:rsidR="00207B01" w:rsidRPr="000C7549" w:rsidRDefault="00207B01" w:rsidP="00207B01">
      <w:pPr>
        <w:spacing w:line="480" w:lineRule="auto"/>
        <w:rPr>
          <w:rFonts w:ascii="Arial" w:hAnsi="Arial" w:cs="Arial"/>
        </w:rPr>
      </w:pPr>
    </w:p>
    <w:p w14:paraId="0395E1DB" w14:textId="77777777" w:rsidR="00207B01" w:rsidRPr="000C7549" w:rsidRDefault="00207B01" w:rsidP="00207B01">
      <w:pPr>
        <w:pStyle w:val="Heading1"/>
        <w:spacing w:line="480" w:lineRule="auto"/>
        <w:jc w:val="left"/>
      </w:pPr>
    </w:p>
    <w:p w14:paraId="2806512C" w14:textId="77777777" w:rsidR="00207B01" w:rsidRPr="000C7549" w:rsidRDefault="00207B01" w:rsidP="00207B01">
      <w:pPr>
        <w:spacing w:line="480" w:lineRule="auto"/>
        <w:rPr>
          <w:rFonts w:ascii="Arial" w:hAnsi="Arial" w:cs="Arial"/>
        </w:rPr>
      </w:pPr>
    </w:p>
    <w:p w14:paraId="1564CAD2" w14:textId="77777777" w:rsidR="00207B01" w:rsidRPr="000C7549" w:rsidRDefault="00207B01" w:rsidP="00207B01">
      <w:pPr>
        <w:spacing w:line="480" w:lineRule="auto"/>
        <w:rPr>
          <w:rFonts w:ascii="Arial" w:hAnsi="Arial" w:cs="Arial"/>
        </w:rPr>
      </w:pPr>
    </w:p>
    <w:p w14:paraId="56C598DA" w14:textId="77777777" w:rsidR="00207B01" w:rsidRPr="000C7549" w:rsidRDefault="00207B01" w:rsidP="00207B01">
      <w:pPr>
        <w:pStyle w:val="Heading1"/>
        <w:spacing w:line="480" w:lineRule="auto"/>
      </w:pPr>
    </w:p>
    <w:p w14:paraId="7585D6BB" w14:textId="77777777" w:rsidR="00207B01" w:rsidRPr="000C7549" w:rsidRDefault="00207B01" w:rsidP="00207B01">
      <w:pPr>
        <w:pStyle w:val="Heading1"/>
        <w:spacing w:line="480" w:lineRule="auto"/>
        <w:jc w:val="left"/>
      </w:pPr>
    </w:p>
    <w:p w14:paraId="2A8BC796" w14:textId="77777777" w:rsidR="00207B01" w:rsidRPr="000C7549" w:rsidRDefault="00207B01" w:rsidP="00207B01">
      <w:pPr>
        <w:rPr>
          <w:rFonts w:ascii="Arial" w:hAnsi="Arial" w:cs="Arial"/>
          <w:b/>
          <w:bCs/>
          <w:sz w:val="28"/>
        </w:rPr>
      </w:pPr>
      <w:r w:rsidRPr="000C7549">
        <w:rPr>
          <w:rFonts w:ascii="Arial" w:hAnsi="Arial" w:cs="Arial"/>
          <w:caps/>
        </w:rPr>
        <w:br w:type="page"/>
      </w:r>
    </w:p>
    <w:p w14:paraId="4F747E83" w14:textId="77777777" w:rsidR="00207B01" w:rsidRPr="000C7549" w:rsidRDefault="00207B01" w:rsidP="00207B01">
      <w:pPr>
        <w:pStyle w:val="Heading1"/>
        <w:spacing w:line="480" w:lineRule="auto"/>
      </w:pPr>
      <w:bookmarkStart w:id="5" w:name="_Toc76799694"/>
      <w:r w:rsidRPr="000C7549">
        <w:rPr>
          <w:caps w:val="0"/>
        </w:rPr>
        <w:lastRenderedPageBreak/>
        <w:t>CHAPTER I</w:t>
      </w:r>
      <w:r w:rsidRPr="000C7549">
        <w:rPr>
          <w:caps w:val="0"/>
        </w:rPr>
        <w:br/>
        <w:t>AN OVERVIEW OF BEE BIOLOGY AND FLORAL RESOURCE USE</w:t>
      </w:r>
      <w:bookmarkEnd w:id="5"/>
    </w:p>
    <w:p w14:paraId="43264A32" w14:textId="77777777" w:rsidR="00207B01" w:rsidRPr="000C7549" w:rsidRDefault="00207B01" w:rsidP="00207B01">
      <w:pPr>
        <w:spacing w:line="480" w:lineRule="auto"/>
        <w:jc w:val="center"/>
        <w:rPr>
          <w:rFonts w:ascii="Arial" w:hAnsi="Arial" w:cs="Arial"/>
        </w:rPr>
      </w:pPr>
    </w:p>
    <w:p w14:paraId="2EF93B81" w14:textId="77777777" w:rsidR="00207B01" w:rsidRPr="000C7549" w:rsidRDefault="00207B01" w:rsidP="00207B01">
      <w:pPr>
        <w:spacing w:line="480" w:lineRule="auto"/>
        <w:rPr>
          <w:rFonts w:ascii="Arial" w:hAnsi="Arial" w:cs="Arial"/>
        </w:rPr>
      </w:pPr>
    </w:p>
    <w:p w14:paraId="2A6C8773" w14:textId="77777777" w:rsidR="00207B01" w:rsidRPr="000C7549" w:rsidRDefault="00207B01" w:rsidP="00207B01">
      <w:pPr>
        <w:spacing w:line="480" w:lineRule="auto"/>
        <w:rPr>
          <w:rFonts w:ascii="Arial" w:hAnsi="Arial" w:cs="Arial"/>
        </w:rPr>
      </w:pPr>
    </w:p>
    <w:p w14:paraId="20951A79" w14:textId="77777777" w:rsidR="00207B01" w:rsidRPr="000C7549" w:rsidRDefault="00207B01" w:rsidP="00207B01">
      <w:pPr>
        <w:spacing w:line="480" w:lineRule="auto"/>
        <w:rPr>
          <w:rFonts w:ascii="Arial" w:hAnsi="Arial" w:cs="Arial"/>
        </w:rPr>
      </w:pPr>
    </w:p>
    <w:p w14:paraId="132569AE" w14:textId="77777777" w:rsidR="00207B01" w:rsidRPr="000C7549" w:rsidRDefault="00207B01" w:rsidP="00207B01">
      <w:pPr>
        <w:spacing w:line="480" w:lineRule="auto"/>
        <w:rPr>
          <w:rFonts w:ascii="Arial" w:hAnsi="Arial" w:cs="Arial"/>
        </w:rPr>
      </w:pPr>
    </w:p>
    <w:p w14:paraId="1D53E3E6" w14:textId="77777777" w:rsidR="00207B01" w:rsidRPr="000C7549" w:rsidRDefault="00207B01" w:rsidP="00207B01">
      <w:pPr>
        <w:spacing w:line="480" w:lineRule="auto"/>
        <w:rPr>
          <w:rFonts w:ascii="Arial" w:hAnsi="Arial" w:cs="Arial"/>
        </w:rPr>
      </w:pPr>
    </w:p>
    <w:p w14:paraId="365A9E0F" w14:textId="77777777" w:rsidR="00207B01" w:rsidRPr="000C7549" w:rsidRDefault="00207B01" w:rsidP="00207B01">
      <w:pPr>
        <w:spacing w:line="480" w:lineRule="auto"/>
        <w:rPr>
          <w:rFonts w:ascii="Arial" w:hAnsi="Arial" w:cs="Arial"/>
        </w:rPr>
      </w:pPr>
    </w:p>
    <w:p w14:paraId="4D6E856F" w14:textId="77777777" w:rsidR="00207B01" w:rsidRPr="000C7549" w:rsidRDefault="00207B01" w:rsidP="00207B01">
      <w:pPr>
        <w:spacing w:line="480" w:lineRule="auto"/>
        <w:rPr>
          <w:rFonts w:ascii="Arial" w:hAnsi="Arial" w:cs="Arial"/>
        </w:rPr>
      </w:pPr>
    </w:p>
    <w:p w14:paraId="2401C0F4" w14:textId="77777777" w:rsidR="00207B01" w:rsidRPr="000C7549" w:rsidRDefault="00207B01" w:rsidP="00207B01">
      <w:pPr>
        <w:spacing w:line="480" w:lineRule="auto"/>
        <w:rPr>
          <w:rFonts w:ascii="Arial" w:hAnsi="Arial" w:cs="Arial"/>
        </w:rPr>
      </w:pPr>
    </w:p>
    <w:p w14:paraId="72540B02" w14:textId="77777777" w:rsidR="00207B01" w:rsidRPr="000C7549" w:rsidRDefault="00207B01" w:rsidP="00207B01">
      <w:pPr>
        <w:spacing w:line="480" w:lineRule="auto"/>
        <w:rPr>
          <w:rFonts w:ascii="Arial" w:hAnsi="Arial" w:cs="Arial"/>
        </w:rPr>
      </w:pPr>
    </w:p>
    <w:p w14:paraId="1D3738AD" w14:textId="77777777" w:rsidR="00207B01" w:rsidRPr="000C7549" w:rsidRDefault="00207B01" w:rsidP="00207B01">
      <w:pPr>
        <w:spacing w:line="480" w:lineRule="auto"/>
        <w:rPr>
          <w:rFonts w:ascii="Arial" w:hAnsi="Arial" w:cs="Arial"/>
        </w:rPr>
      </w:pPr>
    </w:p>
    <w:p w14:paraId="6A85FC84" w14:textId="77777777" w:rsidR="00207B01" w:rsidRPr="000C7549" w:rsidRDefault="00207B01" w:rsidP="00207B01">
      <w:pPr>
        <w:spacing w:line="480" w:lineRule="auto"/>
        <w:rPr>
          <w:rFonts w:ascii="Arial" w:hAnsi="Arial" w:cs="Arial"/>
        </w:rPr>
      </w:pPr>
    </w:p>
    <w:p w14:paraId="31355295" w14:textId="77777777" w:rsidR="00207B01" w:rsidRPr="000C7549" w:rsidRDefault="00207B01" w:rsidP="00207B01">
      <w:pPr>
        <w:spacing w:line="480" w:lineRule="auto"/>
        <w:rPr>
          <w:rFonts w:ascii="Arial" w:hAnsi="Arial" w:cs="Arial"/>
        </w:rPr>
      </w:pPr>
    </w:p>
    <w:p w14:paraId="65ADF6EB" w14:textId="77777777" w:rsidR="00207B01" w:rsidRPr="000C7549" w:rsidRDefault="00207B01" w:rsidP="00207B01">
      <w:pPr>
        <w:spacing w:line="480" w:lineRule="auto"/>
        <w:rPr>
          <w:rFonts w:ascii="Arial" w:hAnsi="Arial" w:cs="Arial"/>
        </w:rPr>
      </w:pPr>
    </w:p>
    <w:p w14:paraId="5DE67893" w14:textId="77777777" w:rsidR="00207B01" w:rsidRPr="000C7549" w:rsidRDefault="00207B01" w:rsidP="00207B01">
      <w:pPr>
        <w:spacing w:line="480" w:lineRule="auto"/>
        <w:rPr>
          <w:rFonts w:ascii="Arial" w:hAnsi="Arial" w:cs="Arial"/>
        </w:rPr>
      </w:pPr>
    </w:p>
    <w:p w14:paraId="6DAC8C1F" w14:textId="77777777" w:rsidR="00207B01" w:rsidRPr="000C7549" w:rsidRDefault="00207B01" w:rsidP="00207B01">
      <w:pPr>
        <w:spacing w:line="480" w:lineRule="auto"/>
        <w:rPr>
          <w:rFonts w:ascii="Arial" w:hAnsi="Arial" w:cs="Arial"/>
        </w:rPr>
      </w:pPr>
    </w:p>
    <w:p w14:paraId="0F88709C" w14:textId="77777777" w:rsidR="00207B01" w:rsidRPr="000C7549" w:rsidRDefault="00207B01" w:rsidP="00207B01">
      <w:pPr>
        <w:spacing w:line="480" w:lineRule="auto"/>
        <w:rPr>
          <w:rFonts w:ascii="Arial" w:hAnsi="Arial" w:cs="Arial"/>
        </w:rPr>
      </w:pPr>
    </w:p>
    <w:p w14:paraId="0054C128" w14:textId="77777777" w:rsidR="00207B01" w:rsidRPr="000C7549" w:rsidRDefault="00207B01" w:rsidP="00207B01">
      <w:pPr>
        <w:spacing w:line="480" w:lineRule="auto"/>
        <w:rPr>
          <w:rFonts w:ascii="Arial" w:hAnsi="Arial" w:cs="Arial"/>
        </w:rPr>
      </w:pPr>
    </w:p>
    <w:p w14:paraId="4E82BCA6" w14:textId="77777777" w:rsidR="00207B01" w:rsidRPr="000C7549" w:rsidRDefault="00207B01" w:rsidP="00207B01">
      <w:pPr>
        <w:spacing w:line="480" w:lineRule="auto"/>
        <w:rPr>
          <w:rFonts w:ascii="Arial" w:hAnsi="Arial" w:cs="Arial"/>
        </w:rPr>
      </w:pPr>
    </w:p>
    <w:p w14:paraId="088C1117" w14:textId="77777777" w:rsidR="00207B01" w:rsidRPr="000C7549" w:rsidRDefault="00207B01" w:rsidP="00207B01">
      <w:pPr>
        <w:pStyle w:val="Heading2"/>
        <w:spacing w:line="480" w:lineRule="auto"/>
      </w:pPr>
      <w:bookmarkStart w:id="6" w:name="_Toc76799695"/>
      <w:r w:rsidRPr="000C7549">
        <w:lastRenderedPageBreak/>
        <w:t>Abstract</w:t>
      </w:r>
      <w:bookmarkEnd w:id="6"/>
    </w:p>
    <w:p w14:paraId="2139FC22" w14:textId="457C3047" w:rsidR="00207B01" w:rsidRPr="000C7549" w:rsidRDefault="00207B01" w:rsidP="007777F2">
      <w:pPr>
        <w:spacing w:line="480" w:lineRule="auto"/>
        <w:ind w:firstLine="720"/>
        <w:rPr>
          <w:rFonts w:ascii="Arial" w:hAnsi="Arial" w:cs="Arial"/>
          <w:iCs/>
        </w:rPr>
      </w:pPr>
      <w:r w:rsidRPr="000C7549">
        <w:rPr>
          <w:rFonts w:ascii="Arial" w:hAnsi="Arial" w:cs="Arial"/>
          <w:iCs/>
        </w:rPr>
        <w:t>This thesis addresses the role of floral resource supplementation and land-use in supporting wild pollinators, with a special focus on bee pollinators. As such, within this literature review, we provide a background on bee biology and ecology, as well as an overview of the effects of land-use on bee community composition.</w:t>
      </w:r>
    </w:p>
    <w:p w14:paraId="488A6AEF" w14:textId="77777777" w:rsidR="00207B01" w:rsidRPr="007777F2" w:rsidRDefault="00207B01" w:rsidP="00207B01">
      <w:pPr>
        <w:spacing w:line="480" w:lineRule="auto"/>
        <w:rPr>
          <w:rFonts w:ascii="Arial" w:hAnsi="Arial" w:cs="Arial"/>
          <w:b/>
          <w:bCs/>
          <w:i/>
          <w:iCs/>
        </w:rPr>
      </w:pPr>
      <w:r w:rsidRPr="007777F2">
        <w:rPr>
          <w:rFonts w:ascii="Arial" w:hAnsi="Arial" w:cs="Arial"/>
          <w:b/>
          <w:bCs/>
          <w:i/>
          <w:iCs/>
        </w:rPr>
        <w:t>Bee biology</w:t>
      </w:r>
    </w:p>
    <w:p w14:paraId="7253BCA1" w14:textId="2B12F7F0" w:rsidR="00207B01" w:rsidRPr="000C7549" w:rsidRDefault="00207B01" w:rsidP="00E411AD">
      <w:pPr>
        <w:spacing w:line="480" w:lineRule="auto"/>
        <w:ind w:firstLine="720"/>
        <w:rPr>
          <w:rFonts w:ascii="Arial" w:hAnsi="Arial" w:cs="Arial"/>
          <w:color w:val="000000" w:themeColor="text1"/>
        </w:rPr>
      </w:pPr>
      <w:r w:rsidRPr="000C7549">
        <w:rPr>
          <w:rFonts w:ascii="Arial" w:hAnsi="Arial" w:cs="Arial"/>
        </w:rPr>
        <w:t>Bees are functionally classified as solitary, parasitic, social, and social parasites (Danforth et al., 2019)</w:t>
      </w:r>
      <w:r w:rsidRPr="000C7549">
        <w:rPr>
          <w:rFonts w:ascii="Arial" w:hAnsi="Arial" w:cs="Arial"/>
          <w:color w:val="000000" w:themeColor="text1"/>
        </w:rPr>
        <w:t>.  Social bees include the well-studied Eastern bumble bee (</w:t>
      </w:r>
      <w:r w:rsidRPr="000C7549">
        <w:rPr>
          <w:rFonts w:ascii="Arial" w:hAnsi="Arial" w:cs="Arial"/>
          <w:i/>
          <w:iCs/>
          <w:color w:val="000000" w:themeColor="text1"/>
        </w:rPr>
        <w:t xml:space="preserve">Bombus impatiens) </w:t>
      </w:r>
      <w:r w:rsidRPr="000C7549">
        <w:rPr>
          <w:rFonts w:ascii="Arial" w:hAnsi="Arial" w:cs="Arial"/>
          <w:color w:val="000000" w:themeColor="text1"/>
        </w:rPr>
        <w:t>or European honey bee (</w:t>
      </w:r>
      <w:r w:rsidRPr="000C7549">
        <w:rPr>
          <w:rFonts w:ascii="Arial" w:hAnsi="Arial" w:cs="Arial"/>
          <w:i/>
          <w:iCs/>
          <w:color w:val="000000" w:themeColor="text1"/>
        </w:rPr>
        <w:t>Apis mellifera)</w:t>
      </w:r>
      <w:r w:rsidRPr="000C7549">
        <w:rPr>
          <w:rFonts w:ascii="Arial" w:hAnsi="Arial" w:cs="Arial"/>
          <w:color w:val="000000" w:themeColor="text1"/>
        </w:rPr>
        <w:t>.  However, much less is known about solitary bees that make their nests in a variety of substrates or cavities above ground. Defined by adult female solitary bees construct</w:t>
      </w:r>
      <w:r w:rsidR="009D4436" w:rsidRPr="000C7549">
        <w:rPr>
          <w:rFonts w:ascii="Arial" w:hAnsi="Arial" w:cs="Arial"/>
          <w:color w:val="000000" w:themeColor="text1"/>
        </w:rPr>
        <w:t xml:space="preserve"> and provision</w:t>
      </w:r>
      <w:r w:rsidRPr="000C7549">
        <w:rPr>
          <w:rFonts w:ascii="Arial" w:hAnsi="Arial" w:cs="Arial"/>
          <w:color w:val="000000" w:themeColor="text1"/>
        </w:rPr>
        <w:t xml:space="preserve"> their nests, either through digging or identifying available cavities</w:t>
      </w:r>
      <w:r w:rsidR="00E411AD">
        <w:rPr>
          <w:rFonts w:ascii="Arial" w:hAnsi="Arial" w:cs="Arial"/>
          <w:color w:val="000000" w:themeColor="text1"/>
        </w:rPr>
        <w:t xml:space="preserve"> (</w:t>
      </w:r>
      <w:r w:rsidR="00E411AD" w:rsidRPr="000C7549">
        <w:rPr>
          <w:rFonts w:ascii="Arial" w:hAnsi="Arial" w:cs="Arial"/>
          <w:color w:val="000000" w:themeColor="text1"/>
        </w:rPr>
        <w:fldChar w:fldCharType="begin"/>
      </w:r>
      <w:r w:rsidR="00EE5B67">
        <w:rPr>
          <w:rFonts w:ascii="Arial" w:hAnsi="Arial" w:cs="Arial"/>
          <w:color w:val="000000" w:themeColor="text1"/>
        </w:rPr>
        <w:instrText xml:space="preserve"> ADDIN ZOTERO_ITEM CSL_CITATION {"citationID":"yibuUQ4d","properties":{"formattedCitation":"(Michener, 2007b)","plainCitation":"(Michener, 2007b)","dontUpdate":true,"noteIndex":0},"citationItems":[{"id":"FJJlbcfR/uny0hhcu","uris":["http://zotero.org/users/6034784/items/AHR8BI37"],"uri":["http://zotero.org/users/6034784/items/AHR8BI37"],"itemData":{"id":"xNxVOrjh/abodo25l","type":"book","call-number":"QL566 .M53 2007","edition":"2nd ed","event-place":"Baltimore","ISBN":"978-0-8018-8573-0","language":"en","note":"OCLC: ocm70660080","number-of-pages":"953","publisher":"Johns Hopkins University Press","publisher-place":"Baltimore","source":"Library of Congress ISBN","title":"The bees of the world","author":[{"family":"Michener","given":"Charles D."}],"issued":{"date-parts":[["2007"]]}}}],"schema":"https://github.com/citation-style-language/schema/raw/master/csl-citation.json"} </w:instrText>
      </w:r>
      <w:r w:rsidR="00E411AD" w:rsidRPr="000C7549">
        <w:rPr>
          <w:rFonts w:ascii="Arial" w:hAnsi="Arial" w:cs="Arial"/>
          <w:color w:val="000000" w:themeColor="text1"/>
        </w:rPr>
        <w:fldChar w:fldCharType="separate"/>
      </w:r>
      <w:r w:rsidR="00E411AD" w:rsidRPr="000C7549">
        <w:rPr>
          <w:rFonts w:ascii="Arial" w:hAnsi="Arial" w:cs="Arial"/>
          <w:color w:val="000000" w:themeColor="text1"/>
        </w:rPr>
        <w:t>Michener</w:t>
      </w:r>
      <w:r w:rsidR="00E411AD">
        <w:rPr>
          <w:rFonts w:ascii="Arial" w:hAnsi="Arial" w:cs="Arial"/>
          <w:color w:val="000000" w:themeColor="text1"/>
        </w:rPr>
        <w:t xml:space="preserve">, </w:t>
      </w:r>
      <w:r w:rsidR="00E411AD" w:rsidRPr="000C7549">
        <w:rPr>
          <w:rFonts w:ascii="Arial" w:hAnsi="Arial" w:cs="Arial"/>
          <w:color w:val="000000" w:themeColor="text1"/>
        </w:rPr>
        <w:t>2007)</w:t>
      </w:r>
      <w:r w:rsidR="00E411AD" w:rsidRPr="000C7549">
        <w:rPr>
          <w:rFonts w:ascii="Arial" w:hAnsi="Arial" w:cs="Arial"/>
          <w:color w:val="000000" w:themeColor="text1"/>
        </w:rPr>
        <w:fldChar w:fldCharType="end"/>
      </w:r>
      <w:r w:rsidRPr="000C7549">
        <w:rPr>
          <w:rFonts w:ascii="Arial" w:hAnsi="Arial" w:cs="Arial"/>
          <w:color w:val="000000" w:themeColor="text1"/>
        </w:rPr>
        <w:t>. Females provide the necessary pollen requirements for male or female eggs to mature and emerge independently the following season. Males generally emerge first, followed by the females. Adult males are strictly nect</w:t>
      </w:r>
      <w:r w:rsidR="005D0CEF">
        <w:rPr>
          <w:rFonts w:ascii="Arial" w:hAnsi="Arial" w:cs="Arial"/>
          <w:color w:val="000000" w:themeColor="text1"/>
        </w:rPr>
        <w:t>ar</w:t>
      </w:r>
      <w:r w:rsidRPr="000C7549">
        <w:rPr>
          <w:rFonts w:ascii="Arial" w:hAnsi="Arial" w:cs="Arial"/>
          <w:color w:val="000000" w:themeColor="text1"/>
        </w:rPr>
        <w:t xml:space="preserve">ivores, but may be found with free or released pollen attached to their hairs. Parasitic bees also do not consume or collect pollen but rely solely on nectar in adulthood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{"citationID":"PHfJyOCK","properties":{"formattedCitation":"(Michener, 2007a)","plainCitation":"(Michener, 2007a)","dontUpdate":true,"noteIndex":0},"citationItems":[{"id":499,"uris":["http://zotero.org/users/6034784/items/MKR8KDPZ"],"uri":["http://zotero.org/users/6034784/items/MKR8KDPZ"],"itemData":{"id":499,"type":"book","call-number":"QL566 .M53 2007","edition":"2nd ed","event-place":"Baltimore","ISBN":"978-0-8018-8573-0","language":"en","note":"OCLC: ocm70660080","number-of-pages":"953","publisher":"Johns Hopkins University Press","publisher-place":"Baltimore","source":"Library of Congress ISBN","title":"The bees of the world","author":[{"family":"Michener","given":"Charles D."}],"issued":{"date-parts":[["2007"]]}}}],"schema":"https://github.com/citation-style-language/schema/raw/master/csl-citation.json"}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themeColor="text1"/>
        </w:rPr>
        <w:t>(Michener, 2007)</w:t>
      </w:r>
      <w:r w:rsidRPr="000C7549">
        <w:rPr>
          <w:rFonts w:ascii="Arial" w:hAnsi="Arial" w:cs="Arial"/>
          <w:color w:val="000000" w:themeColor="text1"/>
        </w:rPr>
        <w:fldChar w:fldCharType="end"/>
      </w:r>
      <w:r w:rsidRPr="000C7549">
        <w:rPr>
          <w:rFonts w:ascii="Arial" w:hAnsi="Arial" w:cs="Arial"/>
          <w:color w:val="000000" w:themeColor="text1"/>
        </w:rPr>
        <w:t xml:space="preserve">.  </w:t>
      </w:r>
    </w:p>
    <w:p w14:paraId="1178649A" w14:textId="77777777" w:rsidR="00207B01" w:rsidRPr="000C7549" w:rsidRDefault="00207B01" w:rsidP="00207B01">
      <w:pPr>
        <w:spacing w:line="480" w:lineRule="auto"/>
        <w:rPr>
          <w:rFonts w:ascii="Arial" w:hAnsi="Arial" w:cs="Arial"/>
          <w:i/>
          <w:iCs/>
          <w:color w:val="000000" w:themeColor="text1"/>
        </w:rPr>
      </w:pPr>
      <w:r w:rsidRPr="000C7549">
        <w:rPr>
          <w:rFonts w:ascii="Arial" w:hAnsi="Arial" w:cs="Arial"/>
          <w:i/>
          <w:iCs/>
          <w:color w:val="000000" w:themeColor="text1"/>
        </w:rPr>
        <w:t>Foraging</w:t>
      </w:r>
    </w:p>
    <w:p w14:paraId="52B82D8E" w14:textId="45C60E8A" w:rsidR="00207B01" w:rsidRPr="000C7549" w:rsidRDefault="003C2B2A" w:rsidP="00EC3681">
      <w:pPr>
        <w:spacing w:line="480" w:lineRule="auto"/>
        <w:ind w:firstLine="720"/>
        <w:rPr>
          <w:rFonts w:ascii="Arial" w:hAnsi="Arial" w:cs="Arial"/>
          <w:color w:val="000000" w:themeColor="text1"/>
        </w:rPr>
      </w:pPr>
      <w:r w:rsidRPr="000C7549">
        <w:rPr>
          <w:rFonts w:ascii="Arial" w:hAnsi="Arial" w:cs="Arial"/>
          <w:color w:val="000000" w:themeColor="text1"/>
        </w:rPr>
        <w:t>Short-lived</w:t>
      </w:r>
      <w:r w:rsidR="00207B01" w:rsidRPr="000C7549">
        <w:rPr>
          <w:rFonts w:ascii="Arial" w:hAnsi="Arial" w:cs="Arial"/>
          <w:color w:val="000000" w:themeColor="text1"/>
        </w:rPr>
        <w:t xml:space="preserve"> flowers provide both nectar and pollen throughout the entirety of their lives, while </w:t>
      </w:r>
      <w:r w:rsidRPr="000C7549">
        <w:rPr>
          <w:rFonts w:ascii="Arial" w:hAnsi="Arial" w:cs="Arial"/>
          <w:color w:val="000000" w:themeColor="text1"/>
        </w:rPr>
        <w:t>longer-lived</w:t>
      </w:r>
      <w:r w:rsidR="00207B01" w:rsidRPr="000C7549">
        <w:rPr>
          <w:rFonts w:ascii="Arial" w:hAnsi="Arial" w:cs="Arial"/>
          <w:color w:val="000000" w:themeColor="text1"/>
        </w:rPr>
        <w:t xml:space="preserve"> flowers offer pollen and nectar for a short time </w:t>
      </w:r>
      <w:r w:rsidR="004D7223" w:rsidRPr="000C7549">
        <w:rPr>
          <w:rFonts w:ascii="Arial" w:hAnsi="Arial" w:cs="Arial"/>
          <w:color w:val="000000" w:themeColor="text1"/>
        </w:rPr>
        <w:t>at</w:t>
      </w:r>
      <w:r w:rsidR="00207B01" w:rsidRPr="000C7549">
        <w:rPr>
          <w:rFonts w:ascii="Arial" w:hAnsi="Arial" w:cs="Arial"/>
          <w:color w:val="000000" w:themeColor="text1"/>
        </w:rPr>
        <w:t xml:space="preserve"> first bloom</w:t>
      </w:r>
      <w:r w:rsidR="004D7223" w:rsidRPr="000C7549">
        <w:rPr>
          <w:rFonts w:ascii="Arial" w:hAnsi="Arial" w:cs="Arial"/>
          <w:color w:val="000000" w:themeColor="text1"/>
        </w:rPr>
        <w:t>, but</w:t>
      </w:r>
      <w:r w:rsidR="00207B01" w:rsidRPr="000C7549">
        <w:rPr>
          <w:rFonts w:ascii="Arial" w:hAnsi="Arial" w:cs="Arial"/>
          <w:color w:val="000000" w:themeColor="text1"/>
        </w:rPr>
        <w:t xml:space="preserve"> the</w:t>
      </w:r>
      <w:r w:rsidR="009D4436" w:rsidRPr="000C7549">
        <w:rPr>
          <w:rFonts w:ascii="Arial" w:hAnsi="Arial" w:cs="Arial"/>
          <w:color w:val="000000" w:themeColor="text1"/>
        </w:rPr>
        <w:t>se</w:t>
      </w:r>
      <w:r w:rsidR="00207B01" w:rsidRPr="000C7549">
        <w:rPr>
          <w:rFonts w:ascii="Arial" w:hAnsi="Arial" w:cs="Arial"/>
          <w:color w:val="000000" w:themeColor="text1"/>
        </w:rPr>
        <w:t xml:space="preserve"> resources</w:t>
      </w:r>
      <w:r w:rsidR="004D7223" w:rsidRPr="000C7549">
        <w:rPr>
          <w:rFonts w:ascii="Arial" w:hAnsi="Arial" w:cs="Arial"/>
          <w:color w:val="000000" w:themeColor="text1"/>
        </w:rPr>
        <w:t xml:space="preserve"> then</w:t>
      </w:r>
      <w:r w:rsidR="00207B01" w:rsidRPr="000C7549">
        <w:rPr>
          <w:rFonts w:ascii="Arial" w:hAnsi="Arial" w:cs="Arial"/>
          <w:color w:val="000000" w:themeColor="text1"/>
        </w:rPr>
        <w:t xml:space="preserve"> vary throughout the remaining bloom</w:t>
      </w:r>
      <w:r w:rsidR="009D4436" w:rsidRPr="000C7549">
        <w:rPr>
          <w:rFonts w:ascii="Arial" w:hAnsi="Arial" w:cs="Arial"/>
          <w:color w:val="000000" w:themeColor="text1"/>
        </w:rPr>
        <w:t xml:space="preserve"> period</w:t>
      </w:r>
      <w:r w:rsidR="00207B01" w:rsidRPr="000C7549">
        <w:rPr>
          <w:rFonts w:ascii="Arial" w:hAnsi="Arial" w:cs="Arial"/>
          <w:color w:val="000000" w:themeColor="text1"/>
        </w:rPr>
        <w:t xml:space="preserve"> (Maloof &amp; Inouye, 2000). Other flowers will present nectar first, followed by pollen</w:t>
      </w:r>
      <w:r w:rsidR="00C7725A">
        <w:rPr>
          <w:rFonts w:ascii="Arial" w:hAnsi="Arial" w:cs="Arial"/>
          <w:color w:val="000000" w:themeColor="text1"/>
        </w:rPr>
        <w:t>,</w:t>
      </w:r>
      <w:r w:rsidR="00207B01" w:rsidRPr="000C7549">
        <w:rPr>
          <w:rFonts w:ascii="Arial" w:hAnsi="Arial" w:cs="Arial"/>
          <w:color w:val="000000" w:themeColor="text1"/>
        </w:rPr>
        <w:t xml:space="preserve"> or the reverse. The </w:t>
      </w:r>
      <w:r w:rsidR="00207B01" w:rsidRPr="000C7549">
        <w:rPr>
          <w:rFonts w:ascii="Arial" w:hAnsi="Arial" w:cs="Arial"/>
          <w:color w:val="000000" w:themeColor="text1"/>
        </w:rPr>
        <w:lastRenderedPageBreak/>
        <w:t xml:space="preserve">variation in floral resource presentation may play a role in which bees visit these flowers because many bees will take both pollen and nectar </w:t>
      </w:r>
      <w:r w:rsidRPr="000C7549">
        <w:rPr>
          <w:rFonts w:ascii="Arial" w:hAnsi="Arial" w:cs="Arial"/>
          <w:color w:val="000000" w:themeColor="text1"/>
        </w:rPr>
        <w:t>from</w:t>
      </w:r>
      <w:r w:rsidR="00207B01" w:rsidRPr="000C7549">
        <w:rPr>
          <w:rFonts w:ascii="Arial" w:hAnsi="Arial" w:cs="Arial"/>
          <w:color w:val="000000" w:themeColor="text1"/>
        </w:rPr>
        <w:t xml:space="preserve"> the same flower, if available </w:t>
      </w:r>
      <w:r w:rsidR="00207B01" w:rsidRPr="000C7549">
        <w:rPr>
          <w:rFonts w:ascii="Arial" w:hAnsi="Arial" w:cs="Arial"/>
          <w:color w:val="000000" w:themeColor="text1"/>
        </w:rPr>
        <w:fldChar w:fldCharType="begin"/>
      </w:r>
      <w:r w:rsidR="00EE5B67">
        <w:rPr>
          <w:rFonts w:ascii="Arial" w:hAnsi="Arial" w:cs="Arial"/>
          <w:color w:val="000000" w:themeColor="text1"/>
        </w:rPr>
        <w:instrText xml:space="preserve"> ADDIN ZOTERO_ITEM CSL_CITATION {"citationID":"pTp5LoO4","properties":{"formattedCitation":"(Michener, 2007)","plainCitation":"(Michener, 2007)","dontUpdate":true,"noteIndex":0},"citationItems":[{"id":"FJJlbcfR/uny0hhcu","uris":["http://zotero.org/users/6034784/items/AHR8BI37"],"uri":["http://zotero.org/users/6034784/items/AHR8BI37"],"itemData":{"id":497,"type":"book","call-number":"QL566 .M53 2007","edition":"2nd ed","event-place":"Baltimore","ISBN":"978-0-8018-8573-0","language":"en","note":"OCLC: ocm70660080","number-of-pages":"953","publisher":"Johns Hopkins University Press","publisher-place":"Baltimore","source":"Library of Congress ISBN","title":"The bees of the world","author":[{"family":"Michener","given":"Charles D."}],"issued":{"date-parts":[["2007"]]}}}],"schema":"https://github.com/citation-style-language/schema/raw/master/csl-citation.json"} </w:instrText>
      </w:r>
      <w:r w:rsidR="00207B01" w:rsidRPr="000C7549">
        <w:rPr>
          <w:rFonts w:ascii="Arial" w:hAnsi="Arial" w:cs="Arial"/>
          <w:color w:val="000000" w:themeColor="text1"/>
        </w:rPr>
        <w:fldChar w:fldCharType="separate"/>
      </w:r>
      <w:r w:rsidR="00207B01" w:rsidRPr="000C7549">
        <w:rPr>
          <w:rFonts w:ascii="Arial" w:hAnsi="Arial" w:cs="Arial"/>
          <w:color w:val="000000" w:themeColor="text1"/>
        </w:rPr>
        <w:t>(Michener, 2007)</w:t>
      </w:r>
      <w:r w:rsidR="00207B01" w:rsidRPr="000C7549">
        <w:rPr>
          <w:rFonts w:ascii="Arial" w:hAnsi="Arial" w:cs="Arial"/>
          <w:color w:val="000000" w:themeColor="text1"/>
        </w:rPr>
        <w:fldChar w:fldCharType="end"/>
      </w:r>
      <w:r w:rsidR="00207B01" w:rsidRPr="000C7549">
        <w:rPr>
          <w:rFonts w:ascii="Arial" w:hAnsi="Arial" w:cs="Arial"/>
          <w:color w:val="000000" w:themeColor="text1"/>
        </w:rPr>
        <w:t>. Bees can “learn” how to handle a floral type</w:t>
      </w:r>
      <w:r w:rsidR="00926283">
        <w:rPr>
          <w:rFonts w:ascii="Arial" w:hAnsi="Arial" w:cs="Arial"/>
          <w:color w:val="000000" w:themeColor="text1"/>
        </w:rPr>
        <w:t xml:space="preserve"> and exhibit</w:t>
      </w:r>
      <w:r w:rsidR="004D7223" w:rsidRPr="000C7549">
        <w:rPr>
          <w:rFonts w:ascii="Arial" w:hAnsi="Arial" w:cs="Arial"/>
          <w:color w:val="000000" w:themeColor="text1"/>
        </w:rPr>
        <w:t xml:space="preserve"> floral constancy,</w:t>
      </w:r>
      <w:r w:rsidR="00207B01" w:rsidRPr="000C7549">
        <w:rPr>
          <w:rFonts w:ascii="Arial" w:hAnsi="Arial" w:cs="Arial"/>
          <w:color w:val="000000" w:themeColor="text1"/>
        </w:rPr>
        <w:t xml:space="preserve"> allowing for increased forage efficiency, or increased collection of more pollen grains per unit time </w:t>
      </w:r>
      <w:r w:rsidR="00207B01" w:rsidRPr="000C7549">
        <w:rPr>
          <w:rFonts w:ascii="Arial" w:hAnsi="Arial" w:cs="Arial"/>
          <w:color w:val="000000" w:themeColor="text1"/>
        </w:rPr>
        <w:fldChar w:fldCharType="begin"/>
      </w:r>
      <w:r w:rsidR="00EE5B67">
        <w:rPr>
          <w:rFonts w:ascii="Arial" w:hAnsi="Arial" w:cs="Arial"/>
          <w:color w:val="000000" w:themeColor="text1"/>
        </w:rPr>
        <w:instrText xml:space="preserve"> ADDIN ZOTERO_ITEM CSL_CITATION {"citationID":"u1dI6NNW","properties":{"formattedCitation":"(Michener, 2007a)","plainCitation":"(Michener, 2007a)","dontUpdate":true,"noteIndex":0},"citationItems":[{"id":"FJJlbcfR/uny0hhcu","uris":["http://zotero.org/users/6034784/items/AHR8BI37"],"uri":["http://zotero.org/users/6034784/items/AHR8BI37"],"itemData":{"id":497,"type":"book","call-number":"QL566 .M53 2007","edition":"2nd ed","event-place":"Baltimore","ISBN":"978-0-8018-8573-0","language":"en","note":"OCLC: ocm70660080","number-of-pages":"953","publisher":"Johns Hopkins University Press","publisher-place":"Baltimore","source":"Library of Congress ISBN","title":"The bees of the world","author":[{"family":"Michener","given":"Charles D."}],"issued":{"date-parts":[["2007"]]}}}],"schema":"https://github.com/citation-style-language/schema/raw/master/csl-citation.json"} </w:instrText>
      </w:r>
      <w:r w:rsidR="00207B01" w:rsidRPr="000C7549">
        <w:rPr>
          <w:rFonts w:ascii="Arial" w:hAnsi="Arial" w:cs="Arial"/>
          <w:color w:val="000000" w:themeColor="text1"/>
        </w:rPr>
        <w:fldChar w:fldCharType="separate"/>
      </w:r>
      <w:r w:rsidR="00207B01" w:rsidRPr="000C7549">
        <w:rPr>
          <w:rFonts w:ascii="Arial" w:hAnsi="Arial" w:cs="Arial"/>
          <w:noProof/>
          <w:color w:val="000000" w:themeColor="text1"/>
        </w:rPr>
        <w:t>(Michener, 2007)</w:t>
      </w:r>
      <w:r w:rsidR="00207B01" w:rsidRPr="000C7549">
        <w:rPr>
          <w:rFonts w:ascii="Arial" w:hAnsi="Arial" w:cs="Arial"/>
          <w:color w:val="000000" w:themeColor="text1"/>
        </w:rPr>
        <w:fldChar w:fldCharType="end"/>
      </w:r>
      <w:r w:rsidR="00207B01" w:rsidRPr="000C7549">
        <w:rPr>
          <w:rFonts w:ascii="Arial" w:hAnsi="Arial" w:cs="Arial"/>
          <w:color w:val="000000" w:themeColor="text1"/>
        </w:rPr>
        <w:t xml:space="preserve">. </w:t>
      </w:r>
    </w:p>
    <w:p w14:paraId="7EB8709B" w14:textId="294D4061" w:rsidR="00207B01" w:rsidRPr="000C7549" w:rsidRDefault="00207B01" w:rsidP="00EC3681">
      <w:pPr>
        <w:spacing w:line="480" w:lineRule="auto"/>
        <w:ind w:firstLine="720"/>
        <w:rPr>
          <w:rFonts w:ascii="Arial" w:hAnsi="Arial" w:cs="Arial"/>
          <w:bCs/>
        </w:rPr>
      </w:pPr>
      <w:r w:rsidRPr="000C7549">
        <w:rPr>
          <w:rFonts w:ascii="Arial" w:hAnsi="Arial" w:cs="Arial"/>
          <w:bCs/>
        </w:rPr>
        <w:t>Specialization in flowers refers to strong directional selection on traits related to pollination, such as floral tubes or “unusual rewards”</w:t>
      </w:r>
      <w:r w:rsidR="0051302C">
        <w:rPr>
          <w:rFonts w:ascii="Arial" w:hAnsi="Arial" w:cs="Arial"/>
          <w:bCs/>
        </w:rPr>
        <w:t xml:space="preserve"> that restrict the type of visitor that can access floral rewards</w:t>
      </w:r>
      <w:r w:rsidRPr="000C7549">
        <w:rPr>
          <w:rFonts w:ascii="Arial" w:hAnsi="Arial" w:cs="Arial"/>
          <w:bCs/>
        </w:rPr>
        <w:t xml:space="preserve">. Alternatively, generalization in flowers describes an open floral design with rewards that are attractive and accessible to most flower visitors </w:t>
      </w:r>
      <w:r w:rsidRPr="000C7549">
        <w:rPr>
          <w:rFonts w:ascii="Arial" w:hAnsi="Arial" w:cs="Arial"/>
          <w:bCs/>
        </w:rPr>
        <w:fldChar w:fldCharType="begin"/>
      </w:r>
      <w:r w:rsidRPr="000C7549">
        <w:rPr>
          <w:rFonts w:ascii="Arial" w:hAnsi="Arial" w:cs="Arial"/>
          <w:bCs/>
        </w:rPr>
        <w:instrText xml:space="preserve"> ADDIN ZOTERO_ITEM CSL_CITATION {"citationID":"4YLmX4iX","properties":{"formattedCitation":"(Minckley &amp; Roulston, 2006)","plainCitation":"(Minckley &amp; Roulston, 2006)","noteIndex":0},"citationItems":[{"id":516,"uris":["http://zotero.org/users/6034784/items/M2KYVALW"],"uri":["http://zotero.org/users/6034784/items/M2KYVALW"],"itemData":{"id":516,"type":"article-journal","container-title":"Plant-pollinator interactions: from specialization to generalization","note":"publisher: University of Chicago Press Chicago, Ill","page":"69–98","source":"Google Scholar","title":"Incidental mutualisms and pollen specialization among bees","author":[{"family":"Minckley","given":"Robert L."},{"family":"Roulston","given":"T. H."}],"issued":{"date-parts":[["2006"]]}}}],"schema":"https://github.com/citation-style-language/schema/raw/master/csl-citation.json"} </w:instrText>
      </w:r>
      <w:r w:rsidRPr="000C7549">
        <w:rPr>
          <w:rFonts w:ascii="Arial" w:hAnsi="Arial" w:cs="Arial"/>
          <w:bCs/>
        </w:rPr>
        <w:fldChar w:fldCharType="separate"/>
      </w:r>
      <w:r w:rsidRPr="000C7549">
        <w:rPr>
          <w:rFonts w:ascii="Arial" w:hAnsi="Arial" w:cs="Arial"/>
          <w:bCs/>
          <w:noProof/>
        </w:rPr>
        <w:t>(Minckley &amp; Roulston, 2006)</w:t>
      </w:r>
      <w:r w:rsidRPr="000C7549">
        <w:rPr>
          <w:rFonts w:ascii="Arial" w:hAnsi="Arial" w:cs="Arial"/>
          <w:bCs/>
        </w:rPr>
        <w:fldChar w:fldCharType="end"/>
      </w:r>
      <w:r w:rsidRPr="000C7549">
        <w:rPr>
          <w:rFonts w:ascii="Arial" w:hAnsi="Arial" w:cs="Arial"/>
          <w:bCs/>
        </w:rPr>
        <w:t xml:space="preserve">. However, in order to determine specialization, there must be observation and experimentation </w:t>
      </w:r>
      <w:r w:rsidR="0051302C">
        <w:rPr>
          <w:rFonts w:ascii="Arial" w:hAnsi="Arial" w:cs="Arial"/>
          <w:bCs/>
        </w:rPr>
        <w:t>to characterize</w:t>
      </w:r>
      <w:r w:rsidRPr="000C7549">
        <w:rPr>
          <w:rFonts w:ascii="Arial" w:hAnsi="Arial" w:cs="Arial"/>
          <w:bCs/>
        </w:rPr>
        <w:t xml:space="preserve"> pollinator visitation to flowers with limited visitors </w:t>
      </w:r>
      <w:r w:rsidRPr="000C7549">
        <w:rPr>
          <w:rFonts w:ascii="Arial" w:hAnsi="Arial" w:cs="Arial"/>
          <w:bCs/>
        </w:rPr>
        <w:fldChar w:fldCharType="begin"/>
      </w:r>
      <w:r w:rsidRPr="000C7549">
        <w:rPr>
          <w:rFonts w:ascii="Arial" w:hAnsi="Arial" w:cs="Arial"/>
          <w:bCs/>
        </w:rPr>
        <w:instrText xml:space="preserve"> ADDIN ZOTERO_ITEM CSL_CITATION {"citationID":"Quq6vqhl","properties":{"formattedCitation":"(Minckley &amp; Roulston, 2006)","plainCitation":"(Minckley &amp; Roulston, 2006)","noteIndex":0},"citationItems":[{"id":516,"uris":["http://zotero.org/users/6034784/items/M2KYVALW"],"uri":["http://zotero.org/users/6034784/items/M2KYVALW"],"itemData":{"id":516,"type":"article-journal","container-title":"Plant-pollinator interactions: from specialization to generalization","note":"publisher: University of Chicago Press Chicago, Ill","page":"69–98","source":"Google Scholar","title":"Incidental mutualisms and pollen specialization among bees","author":[{"family":"Minckley","given":"Robert L."},{"family":"Roulston","given":"T. H."}],"issued":{"date-parts":[["2006"]]}}}],"schema":"https://github.com/citation-style-language/schema/raw/master/csl-citation.json"} </w:instrText>
      </w:r>
      <w:r w:rsidRPr="000C7549">
        <w:rPr>
          <w:rFonts w:ascii="Arial" w:hAnsi="Arial" w:cs="Arial"/>
          <w:bCs/>
        </w:rPr>
        <w:fldChar w:fldCharType="separate"/>
      </w:r>
      <w:r w:rsidRPr="000C7549">
        <w:rPr>
          <w:rFonts w:ascii="Arial" w:hAnsi="Arial" w:cs="Arial"/>
          <w:bCs/>
        </w:rPr>
        <w:t>(Minckley &amp; Roulston, 2006)</w:t>
      </w:r>
      <w:r w:rsidRPr="000C7549">
        <w:rPr>
          <w:rFonts w:ascii="Arial" w:hAnsi="Arial" w:cs="Arial"/>
          <w:bCs/>
        </w:rPr>
        <w:fldChar w:fldCharType="end"/>
      </w:r>
      <w:r w:rsidRPr="000C7549">
        <w:rPr>
          <w:rFonts w:ascii="Arial" w:hAnsi="Arial" w:cs="Arial"/>
          <w:bCs/>
        </w:rPr>
        <w:t xml:space="preserve">.  </w:t>
      </w:r>
    </w:p>
    <w:p w14:paraId="1159F5DB" w14:textId="501D0F50" w:rsidR="00207B01" w:rsidRPr="000C7549" w:rsidRDefault="003C2B2A" w:rsidP="004D7223">
      <w:pPr>
        <w:spacing w:line="480" w:lineRule="auto"/>
        <w:ind w:firstLine="720"/>
        <w:rPr>
          <w:rFonts w:ascii="Arial" w:hAnsi="Arial" w:cs="Arial"/>
          <w:color w:val="000000" w:themeColor="text1"/>
        </w:rPr>
      </w:pPr>
      <w:r w:rsidRPr="000C7549">
        <w:rPr>
          <w:rFonts w:ascii="Arial" w:hAnsi="Arial" w:cs="Arial"/>
          <w:color w:val="000000" w:themeColor="text1"/>
        </w:rPr>
        <w:t>Short-lived</w:t>
      </w:r>
      <w:r w:rsidR="00207B01" w:rsidRPr="000C7549">
        <w:rPr>
          <w:rFonts w:ascii="Arial" w:hAnsi="Arial" w:cs="Arial"/>
          <w:color w:val="000000" w:themeColor="text1"/>
        </w:rPr>
        <w:t xml:space="preserve"> solitary bees are limited to flowering plants during their emergence period. These bees </w:t>
      </w:r>
      <w:r w:rsidR="0051302C">
        <w:rPr>
          <w:rFonts w:ascii="Arial" w:hAnsi="Arial" w:cs="Arial"/>
          <w:color w:val="000000" w:themeColor="text1"/>
        </w:rPr>
        <w:t xml:space="preserve">have </w:t>
      </w:r>
      <w:r w:rsidR="00207B01" w:rsidRPr="000C7549">
        <w:rPr>
          <w:rFonts w:ascii="Arial" w:hAnsi="Arial" w:cs="Arial"/>
          <w:color w:val="000000" w:themeColor="text1"/>
        </w:rPr>
        <w:t>a limited window of activity and</w:t>
      </w:r>
      <w:r w:rsidR="0051302C">
        <w:rPr>
          <w:rFonts w:ascii="Arial" w:hAnsi="Arial" w:cs="Arial"/>
          <w:color w:val="000000" w:themeColor="text1"/>
        </w:rPr>
        <w:t>,</w:t>
      </w:r>
      <w:r w:rsidR="00207B01" w:rsidRPr="000C7549">
        <w:rPr>
          <w:rFonts w:ascii="Arial" w:hAnsi="Arial" w:cs="Arial"/>
          <w:color w:val="000000" w:themeColor="text1"/>
        </w:rPr>
        <w:t xml:space="preserve"> as univoltine organisms</w:t>
      </w:r>
      <w:r w:rsidR="0051302C">
        <w:rPr>
          <w:rFonts w:ascii="Arial" w:hAnsi="Arial" w:cs="Arial"/>
          <w:color w:val="000000" w:themeColor="text1"/>
        </w:rPr>
        <w:t xml:space="preserve"> </w:t>
      </w:r>
      <w:r w:rsidR="00207B01" w:rsidRPr="000C7549">
        <w:rPr>
          <w:rFonts w:ascii="Arial" w:hAnsi="Arial" w:cs="Arial"/>
          <w:color w:val="000000" w:themeColor="text1"/>
        </w:rPr>
        <w:t xml:space="preserve"> </w:t>
      </w:r>
      <w:r w:rsidR="0051302C">
        <w:rPr>
          <w:rFonts w:ascii="Arial" w:hAnsi="Arial" w:cs="Arial"/>
          <w:color w:val="000000" w:themeColor="text1"/>
        </w:rPr>
        <w:t>(</w:t>
      </w:r>
      <w:r w:rsidR="00207B01" w:rsidRPr="000C7549">
        <w:rPr>
          <w:rFonts w:ascii="Arial" w:hAnsi="Arial" w:cs="Arial"/>
          <w:color w:val="000000" w:themeColor="text1"/>
        </w:rPr>
        <w:t>species that only have one brood per year</w:t>
      </w:r>
      <w:r w:rsidR="0051302C">
        <w:rPr>
          <w:rFonts w:ascii="Arial" w:hAnsi="Arial" w:cs="Arial"/>
          <w:color w:val="000000" w:themeColor="text1"/>
        </w:rPr>
        <w:t>)</w:t>
      </w:r>
      <w:r w:rsidR="00207B01" w:rsidRPr="000C7549">
        <w:rPr>
          <w:rFonts w:ascii="Arial" w:hAnsi="Arial" w:cs="Arial"/>
          <w:color w:val="000000" w:themeColor="text1"/>
        </w:rPr>
        <w:t xml:space="preserve"> they may be able to fulfill their floral resource requirement utilizing one host plant </w:t>
      </w:r>
      <w:r w:rsidR="00207B01" w:rsidRPr="000C7549">
        <w:rPr>
          <w:rFonts w:ascii="Arial" w:hAnsi="Arial" w:cs="Arial"/>
          <w:color w:val="000000" w:themeColor="text1"/>
        </w:rPr>
        <w:fldChar w:fldCharType="begin"/>
      </w:r>
      <w:r w:rsidR="00207B01" w:rsidRPr="000C7549">
        <w:rPr>
          <w:rFonts w:ascii="Arial" w:hAnsi="Arial" w:cs="Arial"/>
          <w:color w:val="000000" w:themeColor="text1"/>
        </w:rPr>
        <w:instrText xml:space="preserve"> ADDIN ZOTERO_ITEM CSL_CITATION {"citationID":"jIXg8SWp","properties":{"formattedCitation":"(MINCKLEY, 1994; Minckley &amp; Roulston, 2006)","plainCitation":"(MINCKLEY, 1994; Minckley &amp; Roulston, 2006)","dontUpdate":true,"noteIndex":0},"citationItems":[{"id":616,"uris":["http://zotero.org/users/6034784/items/HCD9CXF4"],"uri":["http://zotero.org/users/6034784/items/HCD9CXF4"],"itemData":{"id":616,"type":"article-journal","abstract":"The gross morphology of the reservoir of the mesosomal gland of male large carpenter bees (tribe Xylocopini) was examined in 46 taxa (species and subspecies) in the three genera of the tribe. Males of all but six species of Xylocopa examined possess a cuticle-lined invagination that originates along the suture between the metanotum and propodeum. Size of the reservoir and arrangement of the tubules are consistent within subgenera (with a single exception) but variable among most subgenera. The morphological extremes range from a simple, short invagination that opens medially to a complex set of convoluted tubules that open from paired, laterally-positioned openings and extend forward to the metanotum or scutellum and posteriorly to the propodeal pit. Comparisons of mesosomal shapes between the sexes or between males in taxa with and without this reservoir reveal that structural changes of the posterior elements of the mesosoma are associated with the presence of the large reservoirs. In turn, reservoir size is predictive of male reproductive behaviour. The probable mode of gland function, the potential use and limitations of this structure as a phylogenetic character and the relationship of gland reservoir size to the diversity of mate-locating behaviours found in the Xylocopini are discussed.","container-title":"Biological Journal of the Linnean Society","DOI":"10.1111/j.1095-8312.1994.tb01014.x","ISSN":"0024-4066","issue":"3","journalAbbreviation":"Biological Journal of the Linnean Society","page":"291-308","source":"Silverchair","title":"Comparative morphology of the mesosomal ‘gland’ in male large carpenter bees (Apidae: Xylocopini)","title-short":"Comparative morphology of the mesosomal ‘gland’ in male large carpenter bees (Apidae","volume":"53","author":[{"family":"Minckley","given":"Robert L."}],"issued":{"date-parts":[["1994",11,1]]}}},{"id":516,"uris":["http://zotero.org/users/6034784/items/M2KYVALW"],"uri":["http://zotero.org/users/6034784/items/M2KYVALW"],"itemData":{"id":516,"type":"article-journal","container-title":"Plant-pollinator interactions: from specialization to generalization","note":"publisher: University of Chicago Press Chicago, Ill","page":"69–98","source":"Google Scholar","title":"Incidental mutualisms and pollen specialization among bees","author":[{"family":"Minckley","given":"Robert L."},{"family":"Roulston","given":"T. H."}],"issued":{"date-parts":[["2006"]]}}}],"schema":"https://github.com/citation-style-language/schema/raw/master/csl-citation.json"} </w:instrText>
      </w:r>
      <w:r w:rsidR="00207B01" w:rsidRPr="000C7549">
        <w:rPr>
          <w:rFonts w:ascii="Arial" w:hAnsi="Arial" w:cs="Arial"/>
          <w:color w:val="000000" w:themeColor="text1"/>
        </w:rPr>
        <w:fldChar w:fldCharType="separate"/>
      </w:r>
      <w:r w:rsidR="00207B01" w:rsidRPr="000C7549">
        <w:rPr>
          <w:rFonts w:ascii="Arial" w:hAnsi="Arial" w:cs="Arial"/>
          <w:noProof/>
          <w:color w:val="000000" w:themeColor="text1"/>
        </w:rPr>
        <w:t>(Minckley1994; Minckley &amp; Roulston, 2006)</w:t>
      </w:r>
      <w:r w:rsidR="00207B01" w:rsidRPr="000C7549">
        <w:rPr>
          <w:rFonts w:ascii="Arial" w:hAnsi="Arial" w:cs="Arial"/>
          <w:color w:val="000000" w:themeColor="text1"/>
        </w:rPr>
        <w:fldChar w:fldCharType="end"/>
      </w:r>
      <w:r w:rsidR="00207B01" w:rsidRPr="000C7549">
        <w:rPr>
          <w:rFonts w:ascii="Arial" w:hAnsi="Arial" w:cs="Arial"/>
          <w:color w:val="000000" w:themeColor="text1"/>
        </w:rPr>
        <w:t>.</w:t>
      </w:r>
    </w:p>
    <w:p w14:paraId="72DA2AFD" w14:textId="68A1D716" w:rsidR="00EC3681" w:rsidRPr="000C7549" w:rsidRDefault="00207B01" w:rsidP="00BD50DC">
      <w:pPr>
        <w:spacing w:line="480" w:lineRule="auto"/>
        <w:ind w:firstLine="720"/>
        <w:rPr>
          <w:rFonts w:ascii="Arial" w:hAnsi="Arial" w:cs="Arial"/>
          <w:bCs/>
        </w:rPr>
      </w:pPr>
      <w:r w:rsidRPr="000C7549">
        <w:rPr>
          <w:rFonts w:ascii="Arial" w:hAnsi="Arial" w:cs="Arial"/>
          <w:bCs/>
        </w:rPr>
        <w:t xml:space="preserve">The mutualistic relationships </w:t>
      </w:r>
      <w:r w:rsidR="0051302C">
        <w:rPr>
          <w:rFonts w:ascii="Arial" w:hAnsi="Arial" w:cs="Arial"/>
          <w:bCs/>
        </w:rPr>
        <w:t xml:space="preserve">between plants and their pollinators also affect the abundance of floral </w:t>
      </w:r>
      <w:r w:rsidRPr="000C7549">
        <w:rPr>
          <w:rFonts w:ascii="Arial" w:hAnsi="Arial" w:cs="Arial"/>
          <w:bCs/>
        </w:rPr>
        <w:t>resource</w:t>
      </w:r>
      <w:r w:rsidR="0051302C">
        <w:rPr>
          <w:rFonts w:ascii="Arial" w:hAnsi="Arial" w:cs="Arial"/>
          <w:bCs/>
        </w:rPr>
        <w:t>s</w:t>
      </w:r>
      <w:r w:rsidRPr="000C7549">
        <w:rPr>
          <w:rFonts w:ascii="Arial" w:hAnsi="Arial" w:cs="Arial"/>
          <w:bCs/>
        </w:rPr>
        <w:t xml:space="preserve"> and </w:t>
      </w:r>
      <w:r w:rsidR="0051302C">
        <w:rPr>
          <w:rFonts w:ascii="Arial" w:hAnsi="Arial" w:cs="Arial"/>
          <w:bCs/>
        </w:rPr>
        <w:t xml:space="preserve">the </w:t>
      </w:r>
      <w:r w:rsidRPr="000C7549">
        <w:rPr>
          <w:rFonts w:ascii="Arial" w:hAnsi="Arial" w:cs="Arial"/>
          <w:bCs/>
        </w:rPr>
        <w:t xml:space="preserve">population </w:t>
      </w:r>
      <w:r w:rsidR="0051302C">
        <w:rPr>
          <w:rFonts w:ascii="Arial" w:hAnsi="Arial" w:cs="Arial"/>
          <w:bCs/>
        </w:rPr>
        <w:t>size of both interacting organisms</w:t>
      </w:r>
      <w:r w:rsidRPr="000C7549">
        <w:rPr>
          <w:rFonts w:ascii="Arial" w:hAnsi="Arial" w:cs="Arial"/>
          <w:bCs/>
        </w:rPr>
        <w:t xml:space="preserve">. Lasrson and Franzén (2007) found a linear relationship between </w:t>
      </w:r>
      <w:r w:rsidR="0051302C" w:rsidRPr="000C7549">
        <w:rPr>
          <w:rFonts w:ascii="Arial" w:hAnsi="Arial" w:cs="Arial"/>
          <w:bCs/>
        </w:rPr>
        <w:t>the critically endangered endemic European mining bee species</w:t>
      </w:r>
      <w:r w:rsidR="0051302C">
        <w:rPr>
          <w:rFonts w:ascii="Arial" w:hAnsi="Arial" w:cs="Arial"/>
          <w:bCs/>
        </w:rPr>
        <w:t>,</w:t>
      </w:r>
      <w:r w:rsidR="0051302C" w:rsidRPr="000C7549" w:rsidDel="0051302C">
        <w:rPr>
          <w:rFonts w:ascii="Arial" w:hAnsi="Arial" w:cs="Arial"/>
          <w:bCs/>
          <w:i/>
          <w:iCs/>
        </w:rPr>
        <w:t xml:space="preserve"> </w:t>
      </w:r>
      <w:r w:rsidR="0051302C" w:rsidRPr="000C7549">
        <w:rPr>
          <w:rFonts w:ascii="Arial" w:hAnsi="Arial" w:cs="Arial"/>
          <w:bCs/>
          <w:i/>
          <w:iCs/>
        </w:rPr>
        <w:t>A</w:t>
      </w:r>
      <w:r w:rsidR="0051302C">
        <w:rPr>
          <w:rFonts w:ascii="Arial" w:hAnsi="Arial" w:cs="Arial"/>
          <w:bCs/>
          <w:i/>
          <w:iCs/>
        </w:rPr>
        <w:t>ndrena</w:t>
      </w:r>
      <w:r w:rsidR="0051302C" w:rsidRPr="000C7549">
        <w:rPr>
          <w:rFonts w:ascii="Arial" w:hAnsi="Arial" w:cs="Arial"/>
          <w:bCs/>
          <w:i/>
          <w:iCs/>
        </w:rPr>
        <w:t xml:space="preserve"> </w:t>
      </w:r>
      <w:r w:rsidRPr="000C7549">
        <w:rPr>
          <w:rFonts w:ascii="Arial" w:hAnsi="Arial" w:cs="Arial"/>
          <w:bCs/>
          <w:i/>
          <w:iCs/>
        </w:rPr>
        <w:t>hattorfiana</w:t>
      </w:r>
      <w:r w:rsidR="0051302C">
        <w:rPr>
          <w:rFonts w:ascii="Arial" w:hAnsi="Arial" w:cs="Arial"/>
          <w:bCs/>
          <w:i/>
          <w:iCs/>
        </w:rPr>
        <w:t>,</w:t>
      </w:r>
      <w:r w:rsidRPr="000C7549">
        <w:rPr>
          <w:rFonts w:ascii="Arial" w:hAnsi="Arial" w:cs="Arial"/>
          <w:bCs/>
        </w:rPr>
        <w:t xml:space="preserve"> and </w:t>
      </w:r>
      <w:r w:rsidR="0051302C">
        <w:rPr>
          <w:rFonts w:ascii="Arial" w:hAnsi="Arial" w:cs="Arial"/>
          <w:bCs/>
        </w:rPr>
        <w:t xml:space="preserve">its </w:t>
      </w:r>
      <w:r w:rsidRPr="000C7549">
        <w:rPr>
          <w:rFonts w:ascii="Arial" w:hAnsi="Arial" w:cs="Arial"/>
          <w:bCs/>
        </w:rPr>
        <w:t xml:space="preserve">host plant </w:t>
      </w:r>
      <w:r w:rsidRPr="000C7549">
        <w:rPr>
          <w:rFonts w:ascii="Arial" w:hAnsi="Arial" w:cs="Arial"/>
          <w:bCs/>
          <w:i/>
          <w:iCs/>
        </w:rPr>
        <w:t>Knautia arvensis</w:t>
      </w:r>
      <w:r w:rsidRPr="000C7549">
        <w:rPr>
          <w:rFonts w:ascii="Arial" w:hAnsi="Arial" w:cs="Arial"/>
          <w:bCs/>
        </w:rPr>
        <w:t xml:space="preserve"> </w:t>
      </w:r>
      <w:r w:rsidR="0051302C">
        <w:rPr>
          <w:rFonts w:ascii="Arial" w:hAnsi="Arial" w:cs="Arial"/>
          <w:bCs/>
        </w:rPr>
        <w:t>(</w:t>
      </w:r>
      <w:r w:rsidRPr="000C7549">
        <w:rPr>
          <w:rFonts w:ascii="Arial" w:hAnsi="Arial" w:cs="Arial"/>
          <w:bCs/>
          <w:i/>
          <w:iCs/>
        </w:rPr>
        <w:t>Caprifoliaceae</w:t>
      </w:r>
      <w:r w:rsidR="0051302C">
        <w:rPr>
          <w:rFonts w:ascii="Arial" w:hAnsi="Arial" w:cs="Arial"/>
          <w:bCs/>
          <w:iCs/>
        </w:rPr>
        <w:t>)</w:t>
      </w:r>
      <w:r w:rsidRPr="000C7549">
        <w:rPr>
          <w:rFonts w:ascii="Arial" w:hAnsi="Arial" w:cs="Arial"/>
          <w:bCs/>
        </w:rPr>
        <w:t xml:space="preserve"> </w:t>
      </w:r>
      <w:r w:rsidRPr="000C7549">
        <w:rPr>
          <w:rFonts w:ascii="Arial" w:hAnsi="Arial" w:cs="Arial"/>
          <w:bCs/>
        </w:rPr>
        <w:fldChar w:fldCharType="begin"/>
      </w:r>
      <w:r w:rsidRPr="000C7549">
        <w:rPr>
          <w:rFonts w:ascii="Arial" w:hAnsi="Arial" w:cs="Arial"/>
          <w:bCs/>
        </w:rPr>
        <w:instrText xml:space="preserve"> ADDIN ZOTERO_ITEM CSL_CITATION {"citationID":"zg7Dkv2A","properties":{"formattedCitation":"(Larsson &amp; Franz\\uc0\\u233{}n, 2007)","plainCitation":"(Larsson &amp; Franzén, 2007)","noteIndex":0},"citationItems":[{"id":501,"uris":["http://zotero.org/users/6034784/items/2R6FDVED"],"uri":["http://zotero.org/users/6034784/items/2R6FDVED"],"itemData":{"id":501,"type":"article-journal","abstract":"The native bee fauna provides an important ecosystem function, but a large proportion of this fauna in Europe is threatened as a result of habitat loss and fragmentation. The solitary bee Andrena hattorﬁana is specialised on collecting pollen from the plant-family Dipsacaceae. In northern Europe the major pollen resource is the insect-pollinated herb Knautia arvensis. We quantiﬁed the available K. arvensis resource, measured habitat characteristics and performed a ﬂower-visitor survey in 57 well-deﬁned K. arvensis populations in southern Sweden. There was a strong relationship between bee and plant population sizes. In populations with A. hattorﬁana present (N = 26), the female bees utilised on average 39% (12–80%) of the total available pollen resource. The nest architecture and nesting biology of A. hattorﬁana is described for the ﬁrst time. By excavating nests, we found that the provisioning for one average bee nest (containing 6 cells) required ca. 72 inﬂorescences or 11 plant individuals. The results suggest a certain minimum pollen amount needed to host an A. hattorﬁana population. For example, for a population of ten reproducing A. hattorﬁana $ with the average degree of utilisation, the critical resource was predicted as 156 ± 16 individuals (±SE) of the plant K. arvensis, which corresponds to 780 inﬂorescences or 36,731,978 pollen grains. These ﬁndings suggest that calculations via a ‘pollen budget’ can predict critical resources for a given size of specialised bee population, and thereby provide a tool in conservation.","container-title":"Biological Conservation","DOI":"10.1016/j.biocon.2006.08.030","ISSN":"00063207","issue":"3","journalAbbreviation":"Biological Conservation","language":"en","page":"405-414","source":"DOI.org (Crossref)","title":"Critical resource levels of pollen for the declining bee Andrena hattorfiana (Hymenoptera, Andrenidae)","volume":"134","author":[{"family":"Larsson","given":"Magnus"},{"family":"Franzén","given":"Markus"}],"issued":{"date-parts":[["2007",1]]}}}],"schema":"https://github.com/citation-style-language/schema/raw/master/csl-citation.json"} </w:instrText>
      </w:r>
      <w:r w:rsidRPr="000C7549">
        <w:rPr>
          <w:rFonts w:ascii="Arial" w:hAnsi="Arial" w:cs="Arial"/>
          <w:bCs/>
        </w:rPr>
        <w:fldChar w:fldCharType="separate"/>
      </w:r>
      <w:r w:rsidRPr="000C7549">
        <w:rPr>
          <w:rFonts w:ascii="Arial" w:hAnsi="Arial" w:cs="Arial"/>
        </w:rPr>
        <w:t>(Larsson &amp; Franzén, 2007)</w:t>
      </w:r>
      <w:r w:rsidRPr="000C7549">
        <w:rPr>
          <w:rFonts w:ascii="Arial" w:hAnsi="Arial" w:cs="Arial"/>
          <w:bCs/>
        </w:rPr>
        <w:fldChar w:fldCharType="end"/>
      </w:r>
      <w:r w:rsidRPr="000C7549">
        <w:rPr>
          <w:rFonts w:ascii="Arial" w:hAnsi="Arial" w:cs="Arial"/>
          <w:bCs/>
        </w:rPr>
        <w:t xml:space="preserve">. </w:t>
      </w:r>
      <w:r w:rsidR="0051302C">
        <w:rPr>
          <w:rFonts w:ascii="Arial" w:hAnsi="Arial" w:cs="Arial"/>
          <w:bCs/>
        </w:rPr>
        <w:t>D</w:t>
      </w:r>
      <w:r w:rsidRPr="000C7549">
        <w:rPr>
          <w:rFonts w:ascii="Arial" w:hAnsi="Arial" w:cs="Arial"/>
          <w:bCs/>
        </w:rPr>
        <w:t xml:space="preserve">eclines in </w:t>
      </w:r>
      <w:r w:rsidR="0051302C" w:rsidRPr="000C7549">
        <w:rPr>
          <w:rFonts w:ascii="Arial" w:hAnsi="Arial" w:cs="Arial"/>
          <w:bCs/>
          <w:i/>
          <w:iCs/>
        </w:rPr>
        <w:t>K</w:t>
      </w:r>
      <w:r w:rsidR="0051302C">
        <w:rPr>
          <w:rFonts w:ascii="Arial" w:hAnsi="Arial" w:cs="Arial"/>
          <w:bCs/>
          <w:i/>
          <w:iCs/>
        </w:rPr>
        <w:t>.</w:t>
      </w:r>
      <w:r w:rsidR="0051302C" w:rsidRPr="000C7549">
        <w:rPr>
          <w:rFonts w:ascii="Arial" w:hAnsi="Arial" w:cs="Arial"/>
          <w:bCs/>
          <w:i/>
          <w:iCs/>
        </w:rPr>
        <w:t xml:space="preserve"> </w:t>
      </w:r>
      <w:r w:rsidRPr="000C7549">
        <w:rPr>
          <w:rFonts w:ascii="Arial" w:hAnsi="Arial" w:cs="Arial"/>
          <w:bCs/>
          <w:i/>
          <w:iCs/>
        </w:rPr>
        <w:lastRenderedPageBreak/>
        <w:t xml:space="preserve">arvensis </w:t>
      </w:r>
      <w:r w:rsidRPr="000C7549">
        <w:rPr>
          <w:rFonts w:ascii="Arial" w:hAnsi="Arial" w:cs="Arial"/>
          <w:bCs/>
        </w:rPr>
        <w:t>populations across Europe</w:t>
      </w:r>
      <w:r w:rsidR="0051302C">
        <w:rPr>
          <w:rFonts w:ascii="Arial" w:hAnsi="Arial" w:cs="Arial"/>
          <w:bCs/>
        </w:rPr>
        <w:t xml:space="preserve"> are </w:t>
      </w:r>
      <w:r w:rsidRPr="000C7549">
        <w:rPr>
          <w:rFonts w:ascii="Arial" w:hAnsi="Arial" w:cs="Arial"/>
          <w:bCs/>
        </w:rPr>
        <w:t xml:space="preserve">thought to be the driver of </w:t>
      </w:r>
      <w:r w:rsidR="0051302C" w:rsidRPr="000C7549">
        <w:rPr>
          <w:rFonts w:ascii="Arial" w:hAnsi="Arial" w:cs="Arial"/>
          <w:bCs/>
          <w:i/>
          <w:iCs/>
        </w:rPr>
        <w:t>A</w:t>
      </w:r>
      <w:r w:rsidR="0051302C">
        <w:rPr>
          <w:rFonts w:ascii="Arial" w:hAnsi="Arial" w:cs="Arial"/>
          <w:bCs/>
          <w:i/>
          <w:iCs/>
        </w:rPr>
        <w:t>.</w:t>
      </w:r>
      <w:r w:rsidR="0051302C" w:rsidRPr="000C7549">
        <w:rPr>
          <w:rFonts w:ascii="Arial" w:hAnsi="Arial" w:cs="Arial"/>
          <w:bCs/>
          <w:i/>
          <w:iCs/>
        </w:rPr>
        <w:t xml:space="preserve"> </w:t>
      </w:r>
      <w:r w:rsidRPr="000C7549">
        <w:rPr>
          <w:rFonts w:ascii="Arial" w:hAnsi="Arial" w:cs="Arial"/>
          <w:bCs/>
          <w:i/>
          <w:iCs/>
        </w:rPr>
        <w:t xml:space="preserve">hattorfiana </w:t>
      </w:r>
      <w:r w:rsidRPr="000C7549">
        <w:rPr>
          <w:rFonts w:ascii="Arial" w:hAnsi="Arial" w:cs="Arial"/>
          <w:bCs/>
        </w:rPr>
        <w:t xml:space="preserve">decline. </w:t>
      </w:r>
    </w:p>
    <w:p w14:paraId="70F31006" w14:textId="61DDC848" w:rsidR="00207B01" w:rsidRPr="000C7549" w:rsidRDefault="00207B01" w:rsidP="00207B01">
      <w:pPr>
        <w:spacing w:line="480" w:lineRule="auto"/>
        <w:rPr>
          <w:rFonts w:ascii="Arial" w:hAnsi="Arial" w:cs="Arial"/>
          <w:b/>
          <w:bCs/>
          <w:i/>
          <w:iCs/>
        </w:rPr>
      </w:pPr>
      <w:r w:rsidRPr="000C7549">
        <w:rPr>
          <w:rFonts w:ascii="Arial" w:hAnsi="Arial" w:cs="Arial"/>
          <w:b/>
          <w:bCs/>
          <w:i/>
          <w:iCs/>
        </w:rPr>
        <w:t>Floral resources</w:t>
      </w:r>
      <w:r w:rsidRPr="000C7549">
        <w:rPr>
          <w:rFonts w:ascii="Arial" w:hAnsi="Arial" w:cs="Arial"/>
          <w:i/>
          <w:iCs/>
          <w:color w:val="000000" w:themeColor="text1"/>
        </w:rPr>
        <w:br/>
      </w:r>
      <w:r w:rsidR="00EC3681" w:rsidRPr="000C7549">
        <w:rPr>
          <w:rFonts w:ascii="Arial" w:hAnsi="Arial" w:cs="Arial"/>
          <w:color w:val="000000" w:themeColor="text1"/>
        </w:rPr>
        <w:t xml:space="preserve"> </w:t>
      </w:r>
      <w:r w:rsidR="00EC3681" w:rsidRPr="000C7549">
        <w:rPr>
          <w:rFonts w:ascii="Arial" w:hAnsi="Arial" w:cs="Arial"/>
          <w:color w:val="000000" w:themeColor="text1"/>
        </w:rPr>
        <w:tab/>
      </w:r>
      <w:r w:rsidRPr="000C7549">
        <w:rPr>
          <w:rFonts w:ascii="Arial" w:hAnsi="Arial" w:cs="Arial"/>
          <w:color w:val="000000" w:themeColor="text1"/>
        </w:rPr>
        <w:t xml:space="preserve">Pollen serves as </w:t>
      </w:r>
      <w:r w:rsidR="001A6CD9" w:rsidRPr="000C7549">
        <w:rPr>
          <w:rFonts w:ascii="Arial" w:hAnsi="Arial" w:cs="Arial"/>
          <w:color w:val="000000" w:themeColor="text1"/>
        </w:rPr>
        <w:t xml:space="preserve">a </w:t>
      </w:r>
      <w:r w:rsidRPr="000C7549">
        <w:rPr>
          <w:rFonts w:ascii="Arial" w:hAnsi="Arial" w:cs="Arial"/>
          <w:color w:val="000000" w:themeColor="text1"/>
        </w:rPr>
        <w:t xml:space="preserve">food source for numerous adult insects beyond bees </w:t>
      </w:r>
      <w:r w:rsidRPr="000C7549">
        <w:rPr>
          <w:rFonts w:ascii="Arial" w:hAnsi="Arial" w:cs="Arial"/>
          <w:color w:val="000000" w:themeColor="text1"/>
        </w:rPr>
        <w:fldChar w:fldCharType="begin"/>
      </w:r>
      <w:r w:rsidR="00EE5B67">
        <w:rPr>
          <w:rFonts w:ascii="Arial" w:hAnsi="Arial" w:cs="Arial"/>
          <w:color w:val="000000" w:themeColor="text1"/>
        </w:rPr>
        <w:instrText xml:space="preserve"> ADDIN ZOTERO_ITEM CSL_CITATION {"citationID":"a2voe754m8","properties":{"formattedCitation":"(T. H. Roulston et al., 2000a)","plainCitation":"(T. H. Roulston et al., 2000a)","dontUpdate":true,"noteIndex":0},"citationItems":[{"id":"FJJlbcfR/8tg4gtUs","uris":["http://zotero.org/users/6034784/items/S5XCPFB8"],"uri":["http://zotero.org/users/6034784/items/S5XCPFB8"],"itemData":{"id":482,"type":"article-journal","abstract":"Pollen ranges from 2.5% to 61% protein content. Most pollen proteins are likely to be enzymes that function during pollen tube growth and subsequent fertilization, but the vast range of protein quantity may not reflect only pollen–pistil interactions. Because numerous vertebrate and invertebrate floral visitors consume pollen for protein, protein content may influence floral host choice. Additionally, many floral visitors pollinate their host plants. If protein content influences pollinator visitation, then pollinators are hypothesized to select for increased protein content of host plants. We analyzed or gleaned from the literature crude pollen protein concentrations of 377 plant species from 93 plant families. Using this database, we compared pollen protein concentration with (1) pollination mode, (2) pollen collection by bees, and (3) distance from stigma to ovule, after accounting for phylogeny through paired phylogenetic comparisons and a nested ANOVA including taxonomic rank. We found that pollen protein concentrations were highly conserved within plant genera, families, and divisions. We found that bees did not collect pollen that was unusually rich in protein, whether they pollinated or merely robbed their host plant. Plant species with vibratile pollination systems, which require visitation by pollen-collecting bees in order to transfer pollen, tended to have very protein-rich pollen, but it was not clear whether this was due to plant enhancement of pollinator rewards or to the possession of very small pollen grains. We found that zoophilous species were not statistically richer in pollen protein than anemophilous species after accounting for phylogeny, although the three most species-rich anemophilous clades surveyed were generally poor in protein. Plant genera hosting specialist pollen-collecting bees did not have particularly protein-rich pollen. Both mass of protein per pollen grain and pollen grain volume were correlated with stigma–ovule distance. We suggest that the need for growing pollen tubes probably plays a more important role in determining pollen protein content than rewarding pollinators.","container-title":"Ecological Monographs","DOI":"https://doi.org/10.1890/0012-9615(2000)070[0617:WGPCOP]2.0.CO;2","ISSN":"1557-7015","issue":"4","language":"en","note":"_eprint: https://esajournals.onlinelibrary.wiley.com/doi/pdf/10.1890/0012-9615%282000%29070%5B0617%3AWGPCOP%5D2.0.CO%3B2","page":"617-643","source":"Wiley Online Library","title":"What Governs Protein Content of Pollen: Pollinator Preferences, Pollen–Pistil Interactions, or Phylogeny?","title-short":"What Governs Protein Content of Pollen","volume":"70","author":[{"family":"Roulston","given":"T'ai H."},{"family":"Cane","given":"James H."},{"family":"Buchmann","given":"Stephen L."}],"issued":{"date-parts":[["2000"]]}}}],"schema":"https://github.com/citation-style-language/schema/raw/master/csl-citation.json"}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(Roulston et al., 2000)</w:t>
      </w:r>
      <w:r w:rsidRPr="000C7549">
        <w:rPr>
          <w:rFonts w:ascii="Arial" w:hAnsi="Arial" w:cs="Arial"/>
          <w:color w:val="000000" w:themeColor="text1"/>
        </w:rPr>
        <w:fldChar w:fldCharType="end"/>
      </w:r>
      <w:r w:rsidRPr="000C7549">
        <w:rPr>
          <w:rFonts w:ascii="Arial" w:hAnsi="Arial" w:cs="Arial"/>
          <w:color w:val="000000" w:themeColor="text1"/>
        </w:rPr>
        <w:t xml:space="preserve"> such as Collembola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{"citationID":"iPXrcNK8","properties":{"formattedCitation":"(Scott &amp; Stojanovich, 1963)","plainCitation":"(Scott &amp; Stojanovich, 1963)","noteIndex":0},"citationItems":[{"id":589,"uris":["http://zotero.org/users/6034784/items/5QU8YF94"],"uri":["http://zotero.org/users/6034784/items/5QU8YF94"],"itemData":{"id":589,"type":"article-journal","container-title":"The Florida Entomologist","issue":"2","note":"publisher: JSTOR","page":"189–191","source":"Google Scholar","title":"Digestion of juniper pollen by Collembola","volume":"46","author":[{"family":"Scott","given":"Harold George"},{"family":"Stojanovich","given":"Chester J."}],"issued":{"date-parts":[["1963"]]}}}],"schema":"https://github.com/citation-style-language/schema/raw/master/csl-citation.json"}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(Scott &amp; Stojanovich, 1963)</w:t>
      </w:r>
      <w:r w:rsidRPr="000C7549">
        <w:rPr>
          <w:rFonts w:ascii="Arial" w:hAnsi="Arial" w:cs="Arial"/>
          <w:color w:val="000000" w:themeColor="text1"/>
        </w:rPr>
        <w:fldChar w:fldCharType="end"/>
      </w:r>
      <w:r w:rsidRPr="000C7549">
        <w:rPr>
          <w:rFonts w:ascii="Arial" w:hAnsi="Arial" w:cs="Arial"/>
          <w:color w:val="000000" w:themeColor="text1"/>
        </w:rPr>
        <w:t xml:space="preserve">, thrips (Thysanoptera)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{"citationID":"b76tZaQ5","properties":{"formattedCitation":"(Kirk, 1984)","plainCitation":"(Kirk, 1984)","noteIndex":0},"citationItems":[{"id":599,"uris":["http://zotero.org/users/6034784/items/4Z5PUHE8"],"uri":["http://zotero.org/users/6034784/items/4Z5PUHE8"],"itemData":{"id":599,"type":"article-journal","container-title":"Journal of Zoology","issue":"1","note":"publisher: Wiley Online Library","page":"107–117","source":"Google Scholar","title":"Pollen-feeding in thrips (Insecta: Thysanoptera)","title-short":"Pollen-feeding in thrips (Insecta","volume":"204","author":[{"family":"Kirk","given":"W. D. J."}],"issued":{"date-parts":[["1984"]]}}}],"schema":"https://github.com/citation-style-language/schema/raw/master/csl-citation.json"}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(Kirk, 1984)</w:t>
      </w:r>
      <w:r w:rsidRPr="000C7549">
        <w:rPr>
          <w:rFonts w:ascii="Arial" w:hAnsi="Arial" w:cs="Arial"/>
          <w:color w:val="000000" w:themeColor="text1"/>
        </w:rPr>
        <w:fldChar w:fldCharType="end"/>
      </w:r>
      <w:r w:rsidRPr="000C7549">
        <w:rPr>
          <w:rFonts w:ascii="Arial" w:hAnsi="Arial" w:cs="Arial"/>
          <w:color w:val="000000" w:themeColor="text1"/>
        </w:rPr>
        <w:t xml:space="preserve">, beetles (Coleoptera)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{"citationID":"4lwecMGj","properties":{"formattedCitation":"(Mann &amp; Crowson, 1981)","plainCitation":"(Mann &amp; Crowson, 1981)","noteIndex":0},"citationItems":[{"id":602,"uris":["http://zotero.org/users/6034784/items/CWFNGAUN"],"uri":["http://zotero.org/users/6034784/items/CWFNGAUN"],"itemData":{"id":602,"type":"article-journal","container-title":"Journal of Natural History","DOI":"10.1080/00222938100770531","ISSN":"0022-2933, 1464-5262","issue":"5","journalAbbreviation":"Journal of Natural History","language":"en","page":"727-749","source":"DOI.org (Crossref)","title":"The systematic positions of &lt;i&gt;Orsodacne&lt;/i&gt; Latr. and &lt;i&gt;Syneta&lt;/i&gt; Lac. (Coleoptera Chrysomelidae), in relation to characters of larvae, internal anatomy and tarsal vestiture","volume":"15","author":[{"family":"Mann","given":"J.S."},{"family":"Crowson","given":"R.A."}],"issued":{"date-parts":[["1981",10]]}}}],"schema":"https://github.com/citation-style-language/schema/raw/master/csl-citation.json"}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(Mann &amp; Crowson, 1981)</w:t>
      </w:r>
      <w:r w:rsidRPr="000C7549">
        <w:rPr>
          <w:rFonts w:ascii="Arial" w:hAnsi="Arial" w:cs="Arial"/>
          <w:color w:val="000000" w:themeColor="text1"/>
        </w:rPr>
        <w:fldChar w:fldCharType="end"/>
      </w:r>
      <w:r w:rsidRPr="000C7549">
        <w:rPr>
          <w:rFonts w:ascii="Arial" w:hAnsi="Arial" w:cs="Arial"/>
          <w:color w:val="000000" w:themeColor="text1"/>
        </w:rPr>
        <w:t xml:space="preserve">, flies (Diptera) particularly Syrphidae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{"citationID":"2gjnGCCb","properties":{"formattedCitation":"(HASLETT, 1983)","plainCitation":"(HASLETT, 1983)","dontUpdate":true,"noteIndex":0},"citationItems":[{"id":597,"uris":["http://zotero.org/users/6034784/items/PVJ8XNAP"],"uri":["http://zotero.org/users/6034784/items/PVJ8XNAP"],"itemData":{"id":597,"type":"article-journal","container-title":"Physiological Entomology","issue":"2","note":"publisher: Wiley Online Library","page":"167–171","source":"Google Scholar","title":"A photographic account of pollen digestion by adult hoverflies","volume":"8","author":[{"family":"Haslett","given":"John R."}],"issued":{"date-parts":[["1983"]]}}}],"schema":"https://github.com/citation-style-language/schema/raw/master/csl-citation.json"}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(Haslett, 1983)</w:t>
      </w:r>
      <w:r w:rsidRPr="000C7549">
        <w:rPr>
          <w:rFonts w:ascii="Arial" w:hAnsi="Arial" w:cs="Arial"/>
          <w:color w:val="000000" w:themeColor="text1"/>
        </w:rPr>
        <w:fldChar w:fldCharType="end"/>
      </w:r>
      <w:r w:rsidRPr="000C7549">
        <w:rPr>
          <w:rFonts w:ascii="Arial" w:hAnsi="Arial" w:cs="Arial"/>
          <w:color w:val="000000" w:themeColor="text1"/>
        </w:rPr>
        <w:t xml:space="preserve"> and midges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{"citationID":"emXtZkZM","properties":{"formattedCitation":"(Downes, 1955)","plainCitation":"(Downes, 1955)","noteIndex":0},"citationItems":[{"id":603,"uris":["http://zotero.org/users/6034784/items/338J3UG5"],"uri":["http://zotero.org/users/6034784/items/338J3UG5"],"itemData":{"id":603,"type":"article-journal","container-title":"Transactions of the Royal Entomological Society of London","DOI":"https://doi.org/10.1111/j.1365-2311.1955.tb01264.x","ISSN":"1365-2311","issue":"12","language":"en","note":"_eprint: https://onlinelibrary.wiley.com/doi/pdf/10.1111/j.1365-2311.1955.tb01264.x","page":"439-453","source":"Wiley Online Library","title":"The Food Habits and Description of Atrichopogon Pollinivorus Sp.n. (diptera: Certopogonidae)1","title-short":"The Food Habits and Description of Atrichopogon Pollinivorus Sp.n. (diptera","volume":"106","author":[{"family":"Downes","given":"J. A."}],"issued":{"date-parts":[["1955"]]}}}],"schema":"https://github.com/citation-style-language/schema/raw/master/csl-citation.json"}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(Downes, 1955)</w:t>
      </w:r>
      <w:r w:rsidRPr="000C7549">
        <w:rPr>
          <w:rFonts w:ascii="Arial" w:hAnsi="Arial" w:cs="Arial"/>
          <w:color w:val="000000" w:themeColor="text1"/>
        </w:rPr>
        <w:fldChar w:fldCharType="end"/>
      </w:r>
      <w:r w:rsidRPr="000C7549">
        <w:rPr>
          <w:rFonts w:ascii="Arial" w:hAnsi="Arial" w:cs="Arial"/>
          <w:color w:val="000000" w:themeColor="text1"/>
        </w:rPr>
        <w:t>, butterflies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{"citationID":"lfITmnta","properties":{"formattedCitation":"(Ehrlich &amp; Raven, 1964)","plainCitation":"(Ehrlich &amp; Raven, 1964)","dontUpdate":true,"noteIndex":0},"citationItems":[{"id":615,"uris":["http://zotero.org/users/6034784/items/2NIWSC6N"],"uri":["http://zotero.org/users/6034784/items/2NIWSC6N"],"itemData":{"id":615,"type":"article-journal","abstract":"The reciprocal evolutionary relationships of butterflies and their food plants have been examined on the basis of an extensive survey of patterns of plant utilization and information on factors affecting food plant choice. The evolution of secondary plant substances and the stepwise evolutionary responses to these by phytophagous organisms have clearly been the dominant factors in the evolution of butterflies and other phytophagous groups. Furthermore, these secondary plant substances have probably been critical in the evolution of angiosperm subgroups and perhaps of the angiosperms themselves. The examination of broad patterns of coevolution permits several levels of predictions and shows promise as a route to the understanding of community evolution. Little information useful for the reconstruction of phylogenies is supplied. It is apparent that reciprocal selective responses have been greatly underrated as a factor in the origination of organic diversity. The paramount importance of plant-herbivore interactions in generating terrestrial diversity is suggested. For instance, viewed in this framework the rich diversity of tropical communities may be traced in large part to the hospitality of warm climates toward poikilothermal phytophagous insects.","container-title":"Evolution","DOI":"10.2307/2406212","ISSN":"0014-3820","issue":"4","note":"publisher: [Society for the Study of Evolution, Wiley]","page":"586-608","source":"JSTOR","title":"Butterflies and Plants: A Study in Coevolution","title-short":"Butterflies and Plants","volume":"18","author":[{"family":"Ehrlich","given":"Paul R."},{"family":"Raven","given":"Peter H."}],"issued":{"date-parts":[["1964"]]}}}],"schema":"https://github.com/citation-style-language/schema/raw/master/csl-citation.json"}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Ehrlich &amp; Raven, 1964)</w:t>
      </w:r>
      <w:r w:rsidRPr="000C7549">
        <w:rPr>
          <w:rFonts w:ascii="Arial" w:hAnsi="Arial" w:cs="Arial"/>
          <w:color w:val="000000" w:themeColor="text1"/>
        </w:rPr>
        <w:fldChar w:fldCharType="end"/>
      </w:r>
      <w:r w:rsidRPr="000C7549">
        <w:rPr>
          <w:rFonts w:ascii="Arial" w:hAnsi="Arial" w:cs="Arial"/>
          <w:color w:val="000000" w:themeColor="text1"/>
        </w:rPr>
        <w:t xml:space="preserve">, and moths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{"citationID":"N63jjwqe","properties":{"formattedCitation":"(Hahn &amp; Br\\uc0\\u252{}hl, 2016)","plainCitation":"(Hahn &amp; Brühl, 2016)","noteIndex":0},"citationItems":[{"id":607,"uris":["http://zotero.org/users/6034784/items/6EL4Z47K"],"uri":["http://zotero.org/users/6034784/items/6EL4Z47K"],"itemData":{"id":607,"type":"article-journal","abstract":"Pollination is a crucial plant–animal interaction in ecosystems, and moths (Lepidoptera) are a widespread and species-rich group of ﬂower visitors. In this article, plant and moth species connected via pollination interactions were identiﬁed from the literature, and information on the relevance of moth pollination in various ecosystems, including agroecosystems, was compiled, particularly for Europe and North America. Overall, 227 moth–ﬂower pollination interactions were found, including certain specialized relationships between plants and pollinating seed predators. Most of the interactions could be attributed to the moth families Noctuidae (90 interactions, 56 species) and Sphingidae (85 interactions, 32 species), and to the plant families Orchidaceae (109 interactions, 22 species) and Caryophyllaceae (59 interactions, 16 species). Limited information is available on the role of moth pollination in natural ecosystems (7 studies). In temperate agro-ecosystems, moths are most likely not essential to crop pollination, but they can contribute to the pollination of non-crop plants, which are crucial to maintaining biodiversity in these ecosystems. In general, the role of moths as pollinators appears to be underestimated because only a few studies on moth pollination are available, and long-term, ecosystem-scale research is necessary to address temporal ﬂuctuations in their abundance and community composition.","container-title":"Arthropod-Plant Interactions","DOI":"10.1007/s11829-016-9414-3","ISSN":"1872-8855, 1872-8847","issue":"1","journalAbbreviation":"Arthropod-Plant Interactions","language":"en","page":"21-28","source":"DOI.org (Crossref)","title":"The secret pollinators: an overview of moth pollination with a focus on Europe and North America","title-short":"The secret pollinators","volume":"10","author":[{"family":"Hahn","given":"Melanie"},{"family":"Brühl","given":"Carsten A."}],"issued":{"date-parts":[["2016",2]]}}}],"schema":"https://github.com/citation-style-language/schema/raw/master/csl-citation.json"}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(Hahn &amp; Brühl, 2016)</w:t>
      </w:r>
      <w:r w:rsidRPr="000C7549">
        <w:rPr>
          <w:rFonts w:ascii="Arial" w:hAnsi="Arial" w:cs="Arial"/>
          <w:color w:val="000000" w:themeColor="text1"/>
        </w:rPr>
        <w:fldChar w:fldCharType="end"/>
      </w:r>
      <w:r w:rsidRPr="000C7549">
        <w:rPr>
          <w:rFonts w:ascii="Arial" w:hAnsi="Arial" w:cs="Arial"/>
          <w:color w:val="000000" w:themeColor="text1"/>
        </w:rPr>
        <w:t xml:space="preserve">. Bees and Masarinae wasps, however, are the only groups that actively collect pollen for their larvae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{"citationID":"aPOe5QKy","properties":{"formattedCitation":"(Danforth et al., 2019)","plainCitation":"(Danforth et al., 2019)","noteIndex":0},"citationItems":[{"id":490,"uris":["http://zotero.org/users/6034784/items/JH7NP8UY"],"uri":["http://zotero.org/users/6034784/items/JH7NP8UY"],"itemData":{"id":490,"type":"book","abstract":"The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(Danforth et al., 2019)</w:t>
      </w:r>
      <w:r w:rsidRPr="000C7549">
        <w:rPr>
          <w:rFonts w:ascii="Arial" w:hAnsi="Arial" w:cs="Arial"/>
          <w:color w:val="000000" w:themeColor="text1"/>
        </w:rPr>
        <w:fldChar w:fldCharType="end"/>
      </w:r>
      <w:r w:rsidRPr="000C7549">
        <w:rPr>
          <w:rFonts w:ascii="Arial" w:hAnsi="Arial" w:cs="Arial"/>
          <w:color w:val="000000" w:themeColor="text1"/>
        </w:rPr>
        <w:t xml:space="preserve">. </w:t>
      </w:r>
      <w:r w:rsidRPr="000C7549">
        <w:rPr>
          <w:rFonts w:ascii="Arial" w:hAnsi="Arial" w:cs="Arial"/>
          <w:bCs/>
          <w:color w:val="000000" w:themeColor="text1"/>
        </w:rPr>
        <w:t xml:space="preserve">Very few non-bee insects, such as wasps in the subfamily Masarinae, family </w:t>
      </w:r>
      <w:r w:rsidRPr="000C7549">
        <w:rPr>
          <w:rFonts w:ascii="Arial" w:hAnsi="Arial" w:cs="Arial"/>
          <w:bCs/>
          <w:i/>
          <w:iCs/>
          <w:color w:val="000000" w:themeColor="text1"/>
        </w:rPr>
        <w:t>Vespidae</w:t>
      </w:r>
      <w:r w:rsidRPr="000C7549">
        <w:rPr>
          <w:rFonts w:ascii="Arial" w:hAnsi="Arial" w:cs="Arial"/>
          <w:bCs/>
          <w:color w:val="000000" w:themeColor="text1"/>
        </w:rPr>
        <w:t xml:space="preserve">, and one documented species of </w:t>
      </w:r>
      <w:r w:rsidRPr="000C7549">
        <w:rPr>
          <w:rFonts w:ascii="Arial" w:hAnsi="Arial" w:cs="Arial"/>
          <w:bCs/>
          <w:i/>
          <w:iCs/>
          <w:color w:val="000000" w:themeColor="text1"/>
        </w:rPr>
        <w:t>Sphecidae</w:t>
      </w:r>
      <w:r w:rsidRPr="000C7549">
        <w:rPr>
          <w:rFonts w:ascii="Arial" w:hAnsi="Arial" w:cs="Arial"/>
          <w:bCs/>
          <w:color w:val="000000" w:themeColor="text1"/>
        </w:rPr>
        <w:t xml:space="preserve"> wasp, collect and provide their larvae with pollen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{"citationID":"XXCXJvQL","properties":{"formattedCitation":"(Danforth et al., 2019; Minckley &amp; Roulston, 2006)","plainCitation":"(Danforth et al., 2019; Minckley &amp; Roulston, 2006)","noteIndex":0},"citationItems":[{"id":490,"uris":["http://zotero.org/users/6034784/items/JH7NP8UY"],"uri":["http://zotero.org/users/6034784/items/JH7NP8UY"],"itemData":{"id":490,"type":"book","abstract":"The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id":516,"uris":["http://zotero.org/users/6034784/items/M2KYVALW"],"uri":["http://zotero.org/users/6034784/items/M2KYVALW"],"itemData":{"id":516,"type":"article-journal","container-title":"Plant-pollinator interactions: from specialization to generalization","note":"publisher: University of Chicago Press Chicago, Ill","page":"69–98","source":"Google Scholar","title":"Incidental mutualisms and pollen specialization among bees","author":[{"family":"Minckley","given":"Robert L."},{"family":"Roulston","given":"T. H."}],"issued":{"date-parts":[["2006"]]}}}],"schema":"https://github.com/citation-style-language/schema/raw/master/csl-citation.json"}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color w:val="000000" w:themeColor="text1"/>
        </w:rPr>
        <w:t>(Danforth et al., 2019; Minckley &amp; Roulston, 2006)</w:t>
      </w:r>
      <w:r w:rsidRPr="000C7549">
        <w:rPr>
          <w:rFonts w:ascii="Arial" w:hAnsi="Arial" w:cs="Arial"/>
          <w:color w:val="000000" w:themeColor="text1"/>
        </w:rPr>
        <w:fldChar w:fldCharType="end"/>
      </w:r>
      <w:r w:rsidRPr="000C7549">
        <w:rPr>
          <w:rFonts w:ascii="Arial" w:hAnsi="Arial" w:cs="Arial"/>
          <w:color w:val="000000" w:themeColor="text1"/>
        </w:rPr>
        <w:t>.</w:t>
      </w:r>
    </w:p>
    <w:p w14:paraId="37BAA155" w14:textId="66F96E8A" w:rsidR="00207B01" w:rsidRPr="000C7549" w:rsidRDefault="00207B01" w:rsidP="00EC3681">
      <w:pPr>
        <w:spacing w:line="480" w:lineRule="auto"/>
        <w:ind w:firstLine="720"/>
        <w:rPr>
          <w:rFonts w:ascii="Arial" w:hAnsi="Arial" w:cs="Arial"/>
          <w:color w:val="000000" w:themeColor="text1"/>
        </w:rPr>
      </w:pPr>
      <w:r w:rsidRPr="000C7549">
        <w:rPr>
          <w:rFonts w:ascii="Arial" w:hAnsi="Arial" w:cs="Arial"/>
          <w:color w:val="000000" w:themeColor="text1"/>
        </w:rPr>
        <w:t>Bees collect pollen from a range of flowering plants and, much like the variation of sugar concentration in nectar, pollen protein levels</w:t>
      </w:r>
      <w:r w:rsidR="00E1554D" w:rsidRPr="000C7549">
        <w:rPr>
          <w:rFonts w:ascii="Arial" w:hAnsi="Arial" w:cs="Arial"/>
          <w:color w:val="000000" w:themeColor="text1"/>
        </w:rPr>
        <w:t xml:space="preserve"> also</w:t>
      </w:r>
      <w:r w:rsidRPr="000C7549">
        <w:rPr>
          <w:rFonts w:ascii="Arial" w:hAnsi="Arial" w:cs="Arial"/>
          <w:color w:val="000000" w:themeColor="text1"/>
        </w:rPr>
        <w:t xml:space="preserve"> vary between plants </w:t>
      </w:r>
      <w:r w:rsidRPr="000C7549">
        <w:rPr>
          <w:rFonts w:ascii="Arial" w:hAnsi="Arial" w:cs="Arial"/>
          <w:color w:val="000000" w:themeColor="text1"/>
        </w:rPr>
        <w:fldChar w:fldCharType="begin"/>
      </w:r>
      <w:r w:rsidR="00EE5B67">
        <w:rPr>
          <w:rFonts w:ascii="Arial" w:hAnsi="Arial" w:cs="Arial"/>
          <w:color w:val="000000" w:themeColor="text1"/>
        </w:rPr>
        <w:instrText xml:space="preserve"> ADDIN ZOTERO_ITEM CSL_CITATION {"citationID":"dJzD52V4","properties":{"formattedCitation":"(T. H. Roulston et al., 2000a; Vaudo et al., 2020)","plainCitation":"(T. H. Roulston et al., 2000a; Vaudo et al., 2020)","dontUpdate":true,"noteIndex":0},"citationItems":[{"id":"FJJlbcfR/8tg4gtUs","uris":["http://zotero.org/users/6034784/items/S5XCPFB8"],"uri":["http://zotero.org/users/6034784/items/S5XCPFB8"],"itemData":{"id":482,"type":"article-journal","abstract":"Pollen ranges from 2.5% to 61% protein content. Most pollen proteins are likely to be enzymes that function during pollen tube growth and subsequent fertilization, but the vast range of protein quantity may not reflect only pollen–pistil interactions. Because numerous vertebrate and invertebrate floral visitors consume pollen for protein, protein content may influence floral host choice. Additionally, many floral visitors pollinate their host plants. If protein content influences pollinator visitation, then pollinators are hypothesized to select for increased protein content of host plants. We analyzed or gleaned from the literature crude pollen protein concentrations of 377 plant species from 93 plant families. Using this database, we compared pollen protein concentration with (1) pollination mode, (2) pollen collection by bees, and (3) distance from stigma to ovule, after accounting for phylogeny through paired phylogenetic comparisons and a nested ANOVA including taxonomic rank. We found that pollen protein concentrations were highly conserved within plant genera, families, and divisions. We found that bees did not collect pollen that was unusually rich in protein, whether they pollinated or merely robbed their host plant. Plant species with vibratile pollination systems, which require visitation by pollen-collecting bees in order to transfer pollen, tended to have very protein-rich pollen, but it was not clear whether this was due to plant enhancement of pollinator rewards or to the possession of very small pollen grains. We found that zoophilous species were not statistically richer in pollen protein than anemophilous species after accounting for phylogeny, although the three most species-rich anemophilous clades surveyed were generally poor in protein. Plant genera hosting specialist pollen-collecting bees did not have particularly protein-rich pollen. Both mass of protein per pollen grain and pollen grain volume were correlated with stigma–ovule distance. We suggest that the need for growing pollen tubes probably plays a more important role in determining pollen protein content than rewarding pollinators.","container-title":"Ecological Monographs","DOI":"https://doi.org/10.1890/0012-9615(2000)070[0617:WGPCOP]2.0.CO;2","ISSN":"1557-7015","issue":"4","language":"en","note":"_eprint: https://esajournals.onlinelibrary.wiley.com/doi/pdf/10.1890/0012-9615%282000%29070%5B0617%3AWGPCOP%5D2.0.CO%3B2","page":"617-643","source":"Wiley Online Library","title":"What Governs Protein Content of Pollen: Pollinator Preferences, Pollen–Pistil Interactions, or Phylogeny?","title-short":"What Governs Protein Content of Pollen","volume":"70","author":[{"family":"Roulston","given":"T'ai H."},{"family":"Cane","given":"James H."},{"family":"Buchmann","given":"Stephen L."}],"issued":{"date-parts":[["2000"]]}}},{"id":638,"uris":["http://zotero.org/users/6034784/items/TVLFYUNC"],"uri":["http://zotero.org/users/6034784/items/TVLFYUNC"],"itemData":{"id":638,"type":"article-journal","abstract":"Pollinator nutritional ecology provides insights into plant&amp;ndash;pollinator interactions, coevolution, and the restoration of declining pollinator populations. Bees obtain their protein and lipid nutrient intake from pollen, which is essential for larval growth and development as well as adult health and reproduction. Our previous research revealed that pollen protein to lipid ratios (P:L) shape bumble bee foraging preferences among pollen host-plant species, and these preferred ratios link to bumble bee colony health and fitness. Yet, we are still in the early stages of integrating data on P:L ratios across plant and bee species. Here, using a standard laboratory protocol, we present over 80 plant species&amp;rsquo; protein and lipid concentrations and P:L values, and we evaluate the P:L ratios of pollen collected by three bee species. We discuss the general phylogenetic, phenotypic, behavioral, and ecological trends observed in these P:L ratios that may drive plant&amp;ndash;pollinator interactions; we also present future research questions to further strengthen the field of pollination nutritional ecology. This dataset provides a foundation for researchers studying the nutritional drivers of plant&amp;ndash;pollinator interactions as well as for stakeholders developing planting schemes to best support pollinators.","container-title":"Insects","DOI":"10.3390/insects11020132","issue":"2","language":"en","note":"number: 2\npublisher: Multidisciplinary Digital Publishing Institute","page":"132","source":"www.mdpi.com","title":"Pollen Protein: Lipid Macronutrient Ratios May Guide Broad Patterns of Bee Species Floral Preferences","title-short":"Pollen Protein","volume":"11","author":[{"family":"Vaudo","given":"Anthony D."},{"family":"Tooker","given":"John F."},{"family":"Patch","given":"Harland M."},{"family":"Biddinger","given":"David J."},{"family":"Coccia","given":"Michael"},{"family":"Crone","given":"Makaylee K."},{"family":"Fiely","given":"Mark"},{"family":"Francis","given":"Jacob S."},{"family":"Hines","given":"Heather M."},{"family":"Hodges","given":"Mackenzie"},{"family":"Jackson","given":"Stephanie W."},{"family":"Michez","given":"Denis"},{"family":"Mu","given":"Junpeng"},{"family":"Russo","given":"Laura"},{"family":"Safari","given":"Maliheh"},{"family":"Treanore","given":"Erin D."},{"family":"Vanderplanck","given":"Maryse"},{"family":"Yip","given":"Eric"},{"family":"Leonard","given":"Anne S."},{"family":"Grozinger","given":"Christina M."}],"issued":{"date-parts":[["2020",2]]}}}],"schema":"https://github.com/citation-style-language/schema/raw/master/csl-citation.json"}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(Roulston et al., 2000; Vaudo et al., 2020)</w:t>
      </w:r>
      <w:r w:rsidRPr="000C7549">
        <w:rPr>
          <w:rFonts w:ascii="Arial" w:hAnsi="Arial" w:cs="Arial"/>
          <w:color w:val="000000" w:themeColor="text1"/>
        </w:rPr>
        <w:fldChar w:fldCharType="end"/>
      </w:r>
      <w:r w:rsidRPr="000C7549">
        <w:rPr>
          <w:rFonts w:ascii="Arial" w:hAnsi="Arial" w:cs="Arial"/>
          <w:color w:val="000000" w:themeColor="text1"/>
        </w:rPr>
        <w:t xml:space="preserve">. Crude protein levels in pollen may be greater than 60% or as low as 2.5%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{"citationID":"QRjvPBKm","properties":{"formattedCitation":"(Buchmann, 1986)","plainCitation":"(Buchmann, 1986)","noteIndex":0},"citationItems":[{"id":587,"uris":["http://zotero.org/users/6034784/items/EQCW7WU9"],"uri":["http://zotero.org/users/6034784/items/EQCW7WU9"],"itemData":{"id":587,"type":"article-journal","note":"publisher: Columbia University Press","source":"Google Scholar","title":"Vibratile pollination in Solanum and Lycopersicon: a look at pollen chemistry","title-short":"Vibratile pollination in Solanum and Lycopersicon","author":[{"family":"Buchmann","given":"Stephen L."}],"issued":{"date-parts":[["1986"]]}}}],"schema":"https://github.com/citation-style-language/schema/raw/master/csl-citation.json"}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(Buchmann, 1986)</w:t>
      </w:r>
      <w:r w:rsidRPr="000C7549">
        <w:rPr>
          <w:rFonts w:ascii="Arial" w:hAnsi="Arial" w:cs="Arial"/>
          <w:color w:val="000000" w:themeColor="text1"/>
        </w:rPr>
        <w:fldChar w:fldCharType="end"/>
      </w:r>
      <w:r w:rsidRPr="000C7549">
        <w:rPr>
          <w:rFonts w:ascii="Arial" w:hAnsi="Arial" w:cs="Arial"/>
          <w:color w:val="000000" w:themeColor="text1"/>
        </w:rPr>
        <w:t>, but protein is not the only important nutrient found in pollen. Other highly nutritious compounds such as amino acids, lipids, sterols</w:t>
      </w:r>
      <w:r w:rsidR="00420701" w:rsidRPr="000C7549">
        <w:rPr>
          <w:rFonts w:ascii="Arial" w:hAnsi="Arial" w:cs="Arial"/>
          <w:color w:val="000000" w:themeColor="text1"/>
        </w:rPr>
        <w:t>,</w:t>
      </w:r>
      <w:r w:rsidRPr="000C7549">
        <w:rPr>
          <w:rFonts w:ascii="Arial" w:hAnsi="Arial" w:cs="Arial"/>
          <w:color w:val="000000" w:themeColor="text1"/>
        </w:rPr>
        <w:t xml:space="preserve"> and starches were also found in pollen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{"citationID":"sFUErREb","properties":{"formattedCitation":"(Danforth et al., 2019)","plainCitation":"(Danforth et al., 2019)","noteIndex":0},"citationItems":[{"id":490,"uris":["http://zotero.org/users/6034784/items/JH7NP8UY"],"uri":["http://zotero.org/users/6034784/items/JH7NP8UY"],"itemData":{"id":490,"type":"book","abstract":"The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(Danforth et al., 2019)</w:t>
      </w:r>
      <w:r w:rsidRPr="000C7549">
        <w:rPr>
          <w:rFonts w:ascii="Arial" w:hAnsi="Arial" w:cs="Arial"/>
          <w:color w:val="000000" w:themeColor="text1"/>
        </w:rPr>
        <w:fldChar w:fldCharType="end"/>
      </w:r>
      <w:r w:rsidRPr="000C7549">
        <w:rPr>
          <w:rFonts w:ascii="Arial" w:hAnsi="Arial" w:cs="Arial"/>
          <w:color w:val="000000" w:themeColor="text1"/>
        </w:rPr>
        <w:t>.</w:t>
      </w:r>
    </w:p>
    <w:p w14:paraId="1DA8BA79" w14:textId="404FED63" w:rsidR="00207B01" w:rsidRPr="000C7549" w:rsidRDefault="00207B01" w:rsidP="00EC3681">
      <w:pPr>
        <w:spacing w:line="480" w:lineRule="auto"/>
        <w:ind w:firstLine="720"/>
        <w:rPr>
          <w:rFonts w:ascii="Arial" w:hAnsi="Arial" w:cs="Arial"/>
          <w:color w:val="000000" w:themeColor="text1"/>
        </w:rPr>
      </w:pPr>
      <w:r w:rsidRPr="000C7549">
        <w:rPr>
          <w:rFonts w:ascii="Arial" w:hAnsi="Arial" w:cs="Arial"/>
          <w:color w:val="000000" w:themeColor="text1"/>
        </w:rPr>
        <w:t xml:space="preserve">Pollen quality and quantity can determine body size and sex ratio in solitary bees. The amount of pollen consumed by a bee larva determines intraspecific body size </w:t>
      </w:r>
      <w:r w:rsidRPr="000C7549">
        <w:rPr>
          <w:rFonts w:ascii="Arial" w:hAnsi="Arial" w:cs="Arial"/>
          <w:color w:val="000000" w:themeColor="text1"/>
        </w:rPr>
        <w:fldChar w:fldCharType="begin"/>
      </w:r>
      <w:r w:rsidR="000C05DC" w:rsidRPr="000C7549">
        <w:rPr>
          <w:rFonts w:ascii="Arial" w:hAnsi="Arial" w:cs="Arial"/>
          <w:color w:val="000000" w:themeColor="text1"/>
        </w:rPr>
        <w:instrText xml:space="preserve"> ADDIN ZOTERO_ITEM CSL_CITATION {"citationID":"aeq1oe5k2s","properties":{"formattedCitation":"(F. Jauker et al., 2016; T. Roulston &amp; Cane, 2002)","plainCitation":"(F. Jauker et al., 2016; T. Roulston &amp; Cane, 2002)","dontUpdate":true,"noteIndex":0},"citationItems":[{"id":716,"uris":["http://zotero.org/users/6034784/items/4JM5VWD4"],"uri":["http://zotero.org/users/6034784/items/4JM5VWD4"],"itemData":{"id":716,"type":"article-journal","abstract":"Pollinators differ in morphological and behavioral traits. The effect of the resulting trait variation on pollination effectiveness at the level of different species has received considerable attention, while the effect of intra-specific trait variation at the population level is largely unexplored. We examined the impact of body size variation in the Red Mason bee Osmia rufa on the yield of oilseed rape in a caged field experiment. Crop yield was positively correlated to mean individual body size. Comparison with control plots showed that only large individuals increased yield to a level above pollinator-free variation. Small individuals, in contrast, even decreased yield compared to the variation within controls. Thus, the fitness of pollinator populations significantly affects pollination services, because adult body size is determined by the resource availability at the larval stage. Our results emphasize the need for complementing investigations on pollinator communities by analyses of the individual species involved. We conclude that only the availability of sufficient floral resources enables wild bee foragers to produce large, persistent offspring constituting effective pollinators for sustainable pollination services in the following season.\nZusammenfassung\nBestäuber unterscheiden sich in ihrer Morphologie und ihrem Verhalten. Die Auswirkungen der daraus resultierenden Variation in Eigenschaften für die Effektivität der Bestäubung sind auf der Gemeinschaftsebene gut untersucht. Die Auswirkungen von intra-spezifischer Variation auf der Ebene von Populationen sind hingegen größtenteils unerforscht. Wir haben den Einfluss von Körpergröße-Variation innerhalb der Roten Mauerbiene Osmia rufa auf den Ertrag von Raps in einem Käfig-Experiment untersucht. Der Ertrag war positiv mit der mittleren Körpergröße korreliert. Ein Vergleich mit Kontrollkäfigen ohne Bestäuber hat gezeigt, dass nur große Individuen den Ertrag über die Variation in der Kontrolle steigerten. Kleine Individuen dagegen haben den Ertrag im Vergleich zur Bestäuber-freien Kontrolle sogar gesenkt. Die Fitness innerhalb von Bestäuber-Populationen beeinflusst somit die Bestäuberleistung, da die Körpergröße der adulten Tiere von der Verfügbarkeit von Nahrungsressourcen während der Larvalphase bestimmt wird. Unsere Ergebnisse verdeutlichen die Notwendigkeit, bei Untersuchungen zu Bestäubergemeinschaften den Zustand der beteiligten Populationen mit zu berücksichtigen. Wir schlussfolgern, dass nur die Verfügbarkeit ausreichender Blütenressourcen es Wildbienen ermöglicht, große und ausdauernde Nachkommen für eine nachhaltige Bestäuberleistung in den folgenden Jahren zu produzieren.","container-title":"Basic and Applied Ecology","DOI":"10.1016/j.baae.2016.07.004","ISSN":"1439-1791","issue":"8","journalAbbreviation":"Basic and Applied Ecology","language":"en","page":"714-719","source":"ScienceDirect","title":"Intra-specific body size determines pollination effectiveness","volume":"17","author":[{"family":"Jauker","given":"Frank"},{"family":"Speckmann","given":"Martin"},{"family":"Wolters","given":"Volkmar"}],"issued":{"date-parts":[["2016",12,1]]}}},{"id":933,"uris":["http://zotero.org/users/6034784/items/4WMY5MGR"],"uri":["http://zotero.org/users/6034784/items/4WMY5MGR"],"itemData":{"id":933,"type":"article-journal","abstract":"Adult bees and wasps provide all the food their offspring require to grow from egg to adult. For a given diet, offspring body size generally increases with an increase in the amount of food consumed as a larva, but the extent to which body size is influenced by the type of food consumed is poorly known. Pollen ranges from 2–60% protein among plant species, and bees are extremely efficient at assimilating nitrogen; therefore, it seems likely that either parent bees adjust the size of larval provisions to compensate for differences in pollen protein concentration or bee offspring attain different body size depending on the pollen type(s) consumed as a larva. We presented the generalist sweat bee Lasioglossum zephyrum with pollen diets that differed in protein content and monitored offspring body size during two experiments. In a protein supplementation experiment, diets ranged from 20–66% protein and consisted of Typha pollen amended with soy protein. On a pollen/soy diet, offspring body size increased 25% with a shift from 20–37% protein, but did not increase further at greater protein concentrations. In a multiple pollen experiment, pollen diets ranged from 20–39% protein and consisted of eight pollens that differed naturally in protein concentration. The largest offspring arose from the most protein-rich pollens, whereas much smaller bees developed on protein-poor pollens. Provision size only predicted offspring size when pollen type, and therefore protein quantity, was considered. Adult foragers did not adjust provision size to compensate for pollen protein. Therefore, offspring body size appears to result from a combination of controlled (provision size) and uncontrolled (pollen quality) factors that arise out of bee foraging decisions.","container-title":"Evolutionary Ecology","DOI":"10.1023/A:1016048526475","journalAbbreviation":"Evolutionary Ecology","page":"49-65","source":"ResearchGate","title":"The effect of pollen protein concentration on body size in the sweat bee Lasioglossum zephyrum (Hymenoptera: Apiformes)","title-short":"The effect of pollen protein concentration on body size in the sweat bee Lasioglossum zephyrum (Hymenoptera","volume":"16","author":[{"family":"Roulston","given":"T'ai"},{"family":"Cane","given":"Jim"}],"issued":{"date-parts":[["2002",1,1]]}}}],"schema":"https://github.com/citation-style-language/schema/raw/master/csl-citation.json"}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(Jauker et al., 2016; Roulston &amp; Cane, 2002)</w:t>
      </w:r>
      <w:r w:rsidRPr="000C7549">
        <w:rPr>
          <w:rFonts w:ascii="Arial" w:hAnsi="Arial" w:cs="Arial"/>
          <w:color w:val="000000" w:themeColor="text1"/>
        </w:rPr>
        <w:fldChar w:fldCharType="end"/>
      </w:r>
      <w:r w:rsidRPr="000C7549">
        <w:rPr>
          <w:rFonts w:ascii="Arial" w:hAnsi="Arial" w:cs="Arial"/>
          <w:color w:val="000000" w:themeColor="text1"/>
        </w:rPr>
        <w:t xml:space="preserve">. </w:t>
      </w:r>
      <w:r w:rsidR="00420701" w:rsidRPr="000C7549">
        <w:rPr>
          <w:rFonts w:ascii="Arial" w:hAnsi="Arial" w:cs="Arial"/>
          <w:color w:val="000000" w:themeColor="text1"/>
        </w:rPr>
        <w:t>Smaller-bodied</w:t>
      </w:r>
      <w:r w:rsidRPr="000C7549">
        <w:rPr>
          <w:rFonts w:ascii="Arial" w:hAnsi="Arial" w:cs="Arial"/>
          <w:color w:val="000000" w:themeColor="text1"/>
        </w:rPr>
        <w:t xml:space="preserve"> female bees have lower provisioning abilities, thus producing smaller females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{"citationID":"a1jinmi3u5a","properties":{"formattedCitation":"(Seidelmann et al., 2010)","plainCitation":"(Seidelmann et al., 2010)","noteIndex":0},"citationItems":[{"id":937,"uris":["http://zotero.org/users/6034784/items/2QLUWRQR"],"uri":["http://zotero.org/users/6034784/items/2QLUWRQR"],"itemData":{"id":937,"type":"article-journal","abstract":"Trivers' and Willard's hypothesis that natural selection favors sex allocation in relation to maternal condition assumes iteropary.\nThough this assumption is not met in most solitary Aculeata, the reproductive life span of semelparous females may be divided\ninto discrete successive cycles by the risk of open-cell parasitism. Females can avoid losing their investment to parasites\nattacking the open cell only by limiting the provision time for each cell. The restriction of time available for the investment\nin a single progeny irrespective of the condition of the female leads to de facto iteropary. Moreover, in Hymenoptera, there\nare no costs for sex allocation due to the haplodiploid mode of sex determination. In sexually size dimorphic species, females\nin poor condition are predicted to invest in the smaller sex and vice versa. The resulting prediction of a conditional sex\nallocation in solitary Aculeata was tested in the Red Mason bee, Osmia rufa (Osmia bicornis), a stem or hole-nesting, polylectic, univoltine megachilid bee. Body size is a key component of condition in females of\nnest-constructing solitary bees. Large females collect the same amount of pollen and nectar in a shorter time than small ones\nand should suffer less from parasitism. We found that small females dealt with their handicap of a low provisioning performance\nby shifting the sex ratio toward sons (the smaller sex) and by reducing the body size of daughters. Large females, however,\nshifted their offspring sex ratio toward daughters, the sex that depends more on body size in its reproductive value. The\nsex ratio in the population met the expected Fisherian sex ratio. Although females allocated their investment in the sexes\naccording to their body mass, the population-level investment was balanced.","container-title":"Behavioral Ecology and Sociobiology","DOI":"10.1007/s00265-009-0850-2","journalAbbreviation":"Behavioral Ecology and Sociobiology","page":"337-347","source":"ResearchGate","title":"Conditional sex allocation in the Red Mason bee, Osmia rufa","volume":"64","author":[{"family":"Seidelmann","given":"Karsten"},{"family":"Ulbrich","given":"Karin"},{"family":"Mielenz","given":"Norbert"}],"issued":{"date-parts":[["2010",9,1]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(Seidelmann et al., 2010)</w:t>
      </w:r>
      <w:r w:rsidRPr="000C7549">
        <w:rPr>
          <w:rFonts w:ascii="Arial" w:hAnsi="Arial" w:cs="Arial"/>
          <w:color w:val="000000" w:themeColor="text1"/>
        </w:rPr>
        <w:fldChar w:fldCharType="end"/>
      </w:r>
      <w:r w:rsidRPr="000C7549">
        <w:rPr>
          <w:rFonts w:ascii="Arial" w:hAnsi="Arial" w:cs="Arial"/>
          <w:color w:val="000000" w:themeColor="text1"/>
        </w:rPr>
        <w:t xml:space="preserve">.  </w:t>
      </w:r>
      <w:r w:rsidR="009D4436" w:rsidRPr="000C7549">
        <w:rPr>
          <w:rFonts w:ascii="Arial" w:hAnsi="Arial" w:cs="Arial"/>
          <w:color w:val="000000" w:themeColor="text1"/>
        </w:rPr>
        <w:lastRenderedPageBreak/>
        <w:t>Additionally</w:t>
      </w:r>
      <w:r w:rsidRPr="000C7549">
        <w:rPr>
          <w:rFonts w:ascii="Arial" w:hAnsi="Arial" w:cs="Arial"/>
          <w:color w:val="000000" w:themeColor="text1"/>
        </w:rPr>
        <w:t xml:space="preserve">, these smaller female bees produce more </w:t>
      </w:r>
      <w:r w:rsidR="00420701" w:rsidRPr="000C7549">
        <w:rPr>
          <w:rFonts w:ascii="Arial" w:hAnsi="Arial" w:cs="Arial"/>
          <w:color w:val="000000" w:themeColor="text1"/>
        </w:rPr>
        <w:t>male-biased</w:t>
      </w:r>
      <w:r w:rsidRPr="000C7549">
        <w:rPr>
          <w:rFonts w:ascii="Arial" w:hAnsi="Arial" w:cs="Arial"/>
          <w:color w:val="000000" w:themeColor="text1"/>
        </w:rPr>
        <w:t xml:space="preserve"> brood, as male larvae are smaller and require less pollen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{"citationID":"a5tgp5basv","properties":{"formattedCitation":"(Danforth et al., 2019)","plainCitation":"(Danforth et al., 2019)","noteIndex":0},"citationItems":[{"id":490,"uris":["http://zotero.org/users/6034784/items/JH7NP8UY"],"uri":["http://zotero.org/users/6034784/items/JH7NP8UY"],"itemData":{"id":490,"type":"book","abstract":"The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(Danforth et al., 2019)</w:t>
      </w:r>
      <w:r w:rsidRPr="000C7549">
        <w:rPr>
          <w:rFonts w:ascii="Arial" w:hAnsi="Arial" w:cs="Arial"/>
          <w:color w:val="000000" w:themeColor="text1"/>
        </w:rPr>
        <w:fldChar w:fldCharType="end"/>
      </w:r>
      <w:r w:rsidRPr="000C7549">
        <w:rPr>
          <w:rFonts w:ascii="Arial" w:hAnsi="Arial" w:cs="Arial"/>
          <w:color w:val="000000" w:themeColor="text1"/>
        </w:rPr>
        <w:t xml:space="preserve">. As males provide only reproductive resources, these heavily </w:t>
      </w:r>
      <w:r w:rsidR="00420701" w:rsidRPr="000C7549">
        <w:rPr>
          <w:rFonts w:ascii="Arial" w:hAnsi="Arial" w:cs="Arial"/>
          <w:color w:val="000000" w:themeColor="text1"/>
        </w:rPr>
        <w:t>male-skewed</w:t>
      </w:r>
      <w:r w:rsidRPr="000C7549">
        <w:rPr>
          <w:rFonts w:ascii="Arial" w:hAnsi="Arial" w:cs="Arial"/>
          <w:color w:val="000000" w:themeColor="text1"/>
        </w:rPr>
        <w:t xml:space="preserve"> broods can reduce the viability of a population, further highlighting the importance of reliable and adequate pollen resources. </w:t>
      </w:r>
    </w:p>
    <w:p w14:paraId="2B6A0B99" w14:textId="68672BBD" w:rsidR="00207B01" w:rsidRPr="000C7549" w:rsidRDefault="00207B01" w:rsidP="00EC3681">
      <w:pPr>
        <w:spacing w:line="480" w:lineRule="auto"/>
        <w:ind w:firstLine="720"/>
        <w:rPr>
          <w:rFonts w:ascii="Arial" w:hAnsi="Arial" w:cs="Arial"/>
          <w:bCs/>
          <w:color w:val="FF0000"/>
        </w:rPr>
      </w:pPr>
      <w:r w:rsidRPr="000C7549">
        <w:rPr>
          <w:rFonts w:ascii="Arial" w:hAnsi="Arial" w:cs="Arial"/>
          <w:bCs/>
          <w:color w:val="000000" w:themeColor="text1"/>
        </w:rPr>
        <w:t>Nicolson et al. (2007) describe nectar as one of the most abundant foods available globall</w:t>
      </w:r>
      <w:r w:rsidR="009D4436" w:rsidRPr="000C7549">
        <w:rPr>
          <w:rFonts w:ascii="Arial" w:hAnsi="Arial" w:cs="Arial"/>
          <w:bCs/>
          <w:color w:val="000000" w:themeColor="text1"/>
        </w:rPr>
        <w:t xml:space="preserve">y, largely comprised of fructose, glucose, and sucrose </w:t>
      </w:r>
      <w:r w:rsidR="009D4436" w:rsidRPr="000C7549">
        <w:rPr>
          <w:rFonts w:ascii="Arial" w:hAnsi="Arial" w:cs="Arial"/>
          <w:bCs/>
          <w:color w:val="000000" w:themeColor="text1"/>
        </w:rPr>
        <w:fldChar w:fldCharType="begin"/>
      </w:r>
      <w:r w:rsidR="009D4436" w:rsidRPr="000C7549">
        <w:rPr>
          <w:rFonts w:ascii="Arial" w:hAnsi="Arial" w:cs="Arial"/>
          <w:bCs/>
          <w:color w:val="000000" w:themeColor="text1"/>
        </w:rPr>
        <w:instrText xml:space="preserve"> ADDIN ZOTERO_ITEM CSL_CITATION {"citationID":"T3udGOXG","properties":{"formattedCitation":"(Sue W. Nicolson et al., 2007)","plainCitation":"(Sue W. Nicolson et al., 2007)","dontUpdate":true,"noteIndex":0},"citationItems":[{"id":513,"uris":["http://zotero.org/users/6034784/items/M8WSXLJD"],"uri":["http://zotero.org/users/6034784/items/M8WSXLJD"],"itemData":{"id":513,"type":"book","call-number":"QK657 .N43 2007","event-place":"Dordrecht","ISBN":"978-1-4020-5936-0","language":"en","number-of-pages":"395","publisher":"Springer","publisher-place":"Dordrecht","source":"Library of Congress ISBN","title":"Nectaries and nectar","editor":[{"family":"Nicolson","given":"Sue W."},{"family":"Nepi","given":"Massimo"},{"family":"Pacini","given":"E."}],"issued":{"date-parts":[["2007"]]}}}],"schema":"https://github.com/citation-style-language/schema/raw/master/csl-citation.json"} </w:instrText>
      </w:r>
      <w:r w:rsidR="009D4436" w:rsidRPr="000C7549">
        <w:rPr>
          <w:rFonts w:ascii="Arial" w:hAnsi="Arial" w:cs="Arial"/>
          <w:bCs/>
          <w:color w:val="000000" w:themeColor="text1"/>
        </w:rPr>
        <w:fldChar w:fldCharType="separate"/>
      </w:r>
      <w:r w:rsidR="009D4436" w:rsidRPr="000C7549">
        <w:rPr>
          <w:rFonts w:ascii="Arial" w:hAnsi="Arial" w:cs="Arial"/>
          <w:bCs/>
          <w:noProof/>
          <w:color w:val="000000" w:themeColor="text1"/>
        </w:rPr>
        <w:t>(Nicolson et al., 2007)</w:t>
      </w:r>
      <w:r w:rsidR="009D4436" w:rsidRPr="000C7549">
        <w:rPr>
          <w:rFonts w:ascii="Arial" w:hAnsi="Arial" w:cs="Arial"/>
          <w:bCs/>
          <w:color w:val="000000" w:themeColor="text1"/>
        </w:rPr>
        <w:fldChar w:fldCharType="end"/>
      </w:r>
      <w:r w:rsidR="009D4436" w:rsidRPr="000C7549">
        <w:rPr>
          <w:rFonts w:ascii="Arial" w:hAnsi="Arial" w:cs="Arial"/>
          <w:bCs/>
          <w:color w:val="000000" w:themeColor="text1"/>
        </w:rPr>
        <w:t xml:space="preserve">. </w:t>
      </w:r>
      <w:r w:rsidRPr="000C7549">
        <w:rPr>
          <w:rFonts w:ascii="Arial" w:hAnsi="Arial" w:cs="Arial"/>
          <w:bCs/>
          <w:color w:val="000000" w:themeColor="text1"/>
        </w:rPr>
        <w:t xml:space="preserve">Nectar production in flowers is reflective of the coevolutionary dynamics between plants and pollinators </w:t>
      </w:r>
      <w:r w:rsidRPr="000C7549">
        <w:rPr>
          <w:rFonts w:ascii="Arial" w:hAnsi="Arial" w:cs="Arial"/>
          <w:bCs/>
          <w:color w:val="000000" w:themeColor="text1"/>
        </w:rPr>
        <w:fldChar w:fldCharType="begin"/>
      </w:r>
      <w:r w:rsidR="00EE5B67">
        <w:rPr>
          <w:rFonts w:ascii="Arial" w:hAnsi="Arial" w:cs="Arial"/>
          <w:bCs/>
          <w:color w:val="000000" w:themeColor="text1"/>
        </w:rPr>
        <w:instrText xml:space="preserve"> ADDIN ZOTERO_ITEM CSL_CITATION {"citationID":"3Aweg5or","properties":{"formattedCitation":"(Burger, 1981)","plainCitation":"(Burger, 1981)","noteIndex":0},"citationItems":[{"id":"FJJlbcfR/MeXL1o93","uris":["http://zotero.org/users/6034784/items/GVGVGTIC"],"uri":["http://zotero.org/users/6034784/items/GVGVGTIC"],"itemData":{"id":462,"type":"article-journal","container-title":"BioScience","DOI":"10.2307/1308218","ISSN":"00063568, 15253244","issue":"8","journalAbbreviation":"BioScience","page":"572-581","source":"DOI.org (Crossref)","title":"Why Are There So Many Kinds of Flowering Plants?","volume":"31","author":[{"family":"Burger","given":"William C."}],"issued":{"date-parts":[["1981",9]]}}}],"schema":"https://github.com/citation-style-language/schema/raw/master/csl-citation.json"}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(Burger, 1981)</w:t>
      </w:r>
      <w:r w:rsidRPr="000C7549">
        <w:rPr>
          <w:rFonts w:ascii="Arial" w:hAnsi="Arial" w:cs="Arial"/>
          <w:bCs/>
          <w:color w:val="000000" w:themeColor="text1"/>
        </w:rPr>
        <w:fldChar w:fldCharType="end"/>
      </w:r>
      <w:r w:rsidRPr="000C7549">
        <w:rPr>
          <w:rFonts w:ascii="Arial" w:hAnsi="Arial" w:cs="Arial"/>
          <w:bCs/>
          <w:color w:val="000000" w:themeColor="text1"/>
        </w:rPr>
        <w:t xml:space="preserve">.  Researchers have documented relationships between floral biomass and nectar volume secretion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{"citationID":"xijqKHg8","properties":{"formattedCitation":"(Galetto &amp; Bernardello, 2004; Nicolson et al., 2007; Opler et al., 1983; Szabo, 1984)","plainCitation":"(Galetto &amp; Bernardello, 2004; Nicolson et al., 2007; Opler et al., 1983; Szabo, 1984)","noteIndex":0},"citationItems":[{"id":569,"uris":["http://zotero.org/users/6034784/items/S4GKBB5T"],"uri":["http://zotero.org/users/6034784/items/S4GKBB5T"],"itemData":{"id":569,"type":"article-journal","container-title":"Annals of botany","issue":"2","note":"publisher: Oxford University Press","page":"269–280","source":"Google Scholar","title":"Floral nectaries, nectar production dynamics and chemical composition in six Ipomoea species (Convolvulaceae) in relation to pollinators","volume":"94","author":[{"family":"Galetto","given":"Leonardo"},{"family":"Bernardello","given":"Gabriel"}],"issued":{"date-parts":[["2004"]]}}},{"id":513,"uris":["http://zotero.org/users/6034784/items/M8WSXLJD"],"uri":["http://zotero.org/users/6034784/items/M8WSXLJD"],"itemData":{"id":513,"type":"book","call-number":"QK657 .N43 2007","event-place":"Dordrecht","ISBN":"978-1-4020-5936-0","language":"en","number-of-pages":"395","publisher":"Springer","publisher-place":"Dordrecht","source":"Library of Congress ISBN","title":"Nectaries and nectar","editor":[{"family":"Nicolson","given":"Sue W."},{"family":"Nepi","given":"Massimo"},{"family":"Pacini","given":"E."}],"issued":{"date-parts":[["2007"]]}}},{"id":547,"uris":["http://zotero.org/users/6034784/items/W3HHJCFL"],"uri":["http://zotero.org/users/6034784/items/W3HHJCFL"],"itemData":{"id":547,"type":"book","publisher":"Columbia University Press, New York","source":"Google Scholar","title":"The biology of nectaries","author":[{"family":"Opler","given":"Paul A."},{"family":"Bentley","given":"B."},{"family":"Elias","given":"T."}],"issued":{"date-parts":[["1983"]]}}},{"id":567,"uris":["http://zotero.org/users/6034784/items/9MNT7D5W"],"uri":["http://zotero.org/users/6034784/items/9MNT7D5W"],"itemData":{"id":567,"type":"article-journal","container-title":"Journal of Apicultural Research","issue":"4","note":"publisher: Taylor &amp; Francis","page":"204–208","source":"Google Scholar","title":"Nectar secretion in dandelion","volume":"23","author":[{"family":"Szabo","given":"Tibor I."}],"issued":{"date-parts":[["1984"]]}}}],"schema":"https://github.com/citation-style-language/schema/raw/master/csl-citation.json"}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(Galetto &amp; Bernardello, 2004; Nicolson et al., 2007; Opler et al., 1983; Szabo, 1984)</w:t>
      </w:r>
      <w:r w:rsidRPr="000C7549">
        <w:rPr>
          <w:rFonts w:ascii="Arial" w:hAnsi="Arial" w:cs="Arial"/>
          <w:bCs/>
          <w:color w:val="000000" w:themeColor="text1"/>
        </w:rPr>
        <w:fldChar w:fldCharType="end"/>
      </w:r>
      <w:r w:rsidRPr="000C7549">
        <w:rPr>
          <w:rFonts w:ascii="Arial" w:hAnsi="Arial" w:cs="Arial"/>
          <w:bCs/>
          <w:color w:val="000000" w:themeColor="text1"/>
        </w:rPr>
        <w:t>. In other words, larger flowers have larger nectaries that produce larger quantities of nectar.</w:t>
      </w:r>
      <w:r w:rsidRPr="000C7549" w:rsidDel="00952539">
        <w:rPr>
          <w:rFonts w:ascii="Arial" w:hAnsi="Arial" w:cs="Arial"/>
          <w:bCs/>
          <w:color w:val="000000" w:themeColor="text1"/>
        </w:rPr>
        <w:t xml:space="preserve"> </w:t>
      </w:r>
      <w:r w:rsidRPr="000C7549">
        <w:rPr>
          <w:rFonts w:ascii="Arial" w:hAnsi="Arial" w:cs="Arial"/>
          <w:bCs/>
          <w:color w:val="FF0000"/>
          <w:u w:val="single"/>
        </w:rPr>
        <w:t xml:space="preserve"> </w:t>
      </w:r>
    </w:p>
    <w:p w14:paraId="1E4BC1A1" w14:textId="414A9E58" w:rsidR="00207B01" w:rsidRPr="000C7549" w:rsidRDefault="00207B01" w:rsidP="00EC3681">
      <w:pPr>
        <w:spacing w:line="480" w:lineRule="auto"/>
        <w:ind w:firstLine="720"/>
        <w:rPr>
          <w:rFonts w:ascii="Arial" w:hAnsi="Arial" w:cs="Arial"/>
          <w:bCs/>
          <w:color w:val="FF0000"/>
        </w:rPr>
      </w:pPr>
      <w:r w:rsidRPr="000C7549">
        <w:rPr>
          <w:rFonts w:ascii="Arial" w:hAnsi="Arial" w:cs="Arial"/>
          <w:bCs/>
          <w:color w:val="000000" w:themeColor="text1"/>
        </w:rPr>
        <w:t xml:space="preserve">Nectar is generally viewed as a reward or incentive for pollinators to visit flowers and purposefully or inadvertently carry plant pollen. Other behaviors such as frequency of visitation, number of flowers visited, time spent collecting nectar per flower, and even movement entering, probing, or exiting the flower are also impacted by a plant’s nectar rewards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{"citationID":"Ef6yd1rT","properties":{"formattedCitation":"(Rathcke, 1992)","plainCitation":"(Rathcke, 1992)","noteIndex":0},"citationItems":[{"id":565,"uris":["http://zotero.org/users/6034784/items/LN4AZN3X"],"uri":["http://zotero.org/users/6034784/items/LN4AZN3X"],"itemData":{"id":565,"type":"article-journal","container-title":"Effects of resource distribution on animal-plant interactions","note":"publisher: Academic Press","page":"113–138","source":"Google Scholar","title":"Nectar distributions, pollinator behavior, and plant reproductive success","author":[{"family":"Rathcke","given":"Beverly J."}],"issued":{"date-parts":[["1992"]]}}}],"schema":"https://github.com/citation-style-language/schema/raw/master/csl-citation.json"}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(Rathcke, 1992)</w:t>
      </w:r>
      <w:r w:rsidRPr="000C7549">
        <w:rPr>
          <w:rFonts w:ascii="Arial" w:hAnsi="Arial" w:cs="Arial"/>
          <w:bCs/>
          <w:color w:val="000000" w:themeColor="text1"/>
        </w:rPr>
        <w:fldChar w:fldCharType="end"/>
      </w:r>
      <w:r w:rsidRPr="000C7549">
        <w:rPr>
          <w:rFonts w:ascii="Arial" w:hAnsi="Arial" w:cs="Arial"/>
          <w:bCs/>
          <w:color w:val="000000" w:themeColor="text1"/>
        </w:rPr>
        <w:t>. These pollinator behaviors then determine the pollen deposition, removal and transfer, transport</w:t>
      </w:r>
      <w:r w:rsidR="007C3EB4" w:rsidRPr="000C7549">
        <w:rPr>
          <w:rFonts w:ascii="Arial" w:hAnsi="Arial" w:cs="Arial"/>
          <w:bCs/>
          <w:color w:val="000000" w:themeColor="text1"/>
        </w:rPr>
        <w:t>,</w:t>
      </w:r>
      <w:r w:rsidRPr="000C7549">
        <w:rPr>
          <w:rFonts w:ascii="Arial" w:hAnsi="Arial" w:cs="Arial"/>
          <w:bCs/>
          <w:color w:val="000000" w:themeColor="text1"/>
        </w:rPr>
        <w:t xml:space="preserve"> and reproductive success of the plant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{"citationID":"6jgjxnDe","properties":{"formattedCitation":"(Rathcke, 1992)","plainCitation":"(Rathcke, 1992)","noteIndex":0},"citationItems":[{"id":565,"uris":["http://zotero.org/users/6034784/items/LN4AZN3X"],"uri":["http://zotero.org/users/6034784/items/LN4AZN3X"],"itemData":{"id":565,"type":"article-journal","container-title":"Effects of resource distribution on animal-plant interactions","note":"publisher: Academic Press","page":"113–138","source":"Google Scholar","title":"Nectar distributions, pollinator behavior, and plant reproductive success","author":[{"family":"Rathcke","given":"Beverly J."}],"issued":{"date-parts":[["1992"]]}}}],"schema":"https://github.com/citation-style-language/schema/raw/master/csl-citation.json"}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(Rathcke, 1992)</w:t>
      </w:r>
      <w:r w:rsidRPr="000C7549">
        <w:rPr>
          <w:rFonts w:ascii="Arial" w:hAnsi="Arial" w:cs="Arial"/>
          <w:bCs/>
          <w:color w:val="000000" w:themeColor="text1"/>
        </w:rPr>
        <w:fldChar w:fldCharType="end"/>
      </w:r>
      <w:r w:rsidRPr="000C7549">
        <w:rPr>
          <w:rFonts w:ascii="Arial" w:hAnsi="Arial" w:cs="Arial"/>
          <w:bCs/>
          <w:color w:val="000000" w:themeColor="text1"/>
        </w:rPr>
        <w:t xml:space="preserve">. Overall, increased nectar rewards should encourage greater pollinator visitation, thus positively impacting a plant’s reproductive success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{"citationID":"V7h8pLYx","properties":{"formattedCitation":"(Heil, 2011; Neiland &amp; Wilcock, 1998)","plainCitation":"(Heil, 2011; Neiland &amp; Wilcock, 1998)","noteIndex":0},"citationItems":[{"id":1044,"uris":["http://zotero.org/users/6034784/items/C8UFSV66"],"uri":["http://zotero.org/users/6034784/items/C8UFSV66"],"itemData":{"id":1044,"type":"article-journal","container-title":"Trends in plant science","issue":"4","note":"publisher: Elsevier","page":"191–200","source":"Google Scholar","title":"Nectar: generation, regulation and ecological functions","title-short":"Nectar","volume":"16","author":[{"family":"Heil","given":"Martin"}],"issued":{"date-parts":[["2011"]]}}},{"id":1042,"uris":["http://zotero.org/users/6034784/items/KFCHI4BA"],"uri":["http://zotero.org/users/6034784/items/KFCHI4BA"],"itemData":{"id":1042,"type":"article-journal","container-title":"American Journal of Botany","issue":"12","note":"publisher: Wiley Online Library","page":"1657–1671","source":"Google Scholar","title":"Fruit set, nectar reward, and rarity in the Orchidaceae","volume":"85","author":[{"family":"Neiland","given":"Mary Ruth M."},{"family":"Wilcock","given":"Christopher C."}],"issued":{"date-parts":[["1998"]]}}}],"schema":"https://github.com/citation-style-language/schema/raw/master/csl-citation.json"}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(Heil, 2011; Neiland &amp; Wilcock, 1998)</w:t>
      </w:r>
      <w:r w:rsidRPr="000C7549">
        <w:rPr>
          <w:rFonts w:ascii="Arial" w:hAnsi="Arial" w:cs="Arial"/>
          <w:bCs/>
          <w:color w:val="000000" w:themeColor="text1"/>
        </w:rPr>
        <w:fldChar w:fldCharType="end"/>
      </w:r>
      <w:r w:rsidRPr="000C7549">
        <w:rPr>
          <w:rFonts w:ascii="Arial" w:hAnsi="Arial" w:cs="Arial"/>
          <w:bCs/>
          <w:color w:val="000000" w:themeColor="text1"/>
        </w:rPr>
        <w:t xml:space="preserve">. </w:t>
      </w:r>
    </w:p>
    <w:p w14:paraId="5B4FF72F" w14:textId="1B3953A0" w:rsidR="00207B01" w:rsidRPr="000C7549" w:rsidRDefault="00207B01" w:rsidP="00EC3681">
      <w:pPr>
        <w:spacing w:line="480" w:lineRule="auto"/>
        <w:ind w:firstLine="720"/>
        <w:rPr>
          <w:rFonts w:ascii="Arial" w:hAnsi="Arial" w:cs="Arial"/>
          <w:bCs/>
          <w:color w:val="000000" w:themeColor="text1"/>
        </w:rPr>
      </w:pPr>
      <w:r w:rsidRPr="000C7549">
        <w:rPr>
          <w:rFonts w:ascii="Arial" w:hAnsi="Arial" w:cs="Arial"/>
          <w:bCs/>
          <w:color w:val="000000" w:themeColor="text1"/>
        </w:rPr>
        <w:lastRenderedPageBreak/>
        <w:t xml:space="preserve">The nectaries of a flower are responsible for nectar secretion. Nectaries can be found almost anywhere in a flower, or </w:t>
      </w:r>
      <w:r w:rsidR="001358E8" w:rsidRPr="000C7549">
        <w:rPr>
          <w:rFonts w:ascii="Arial" w:hAnsi="Arial" w:cs="Arial"/>
          <w:bCs/>
          <w:color w:val="000000" w:themeColor="text1"/>
        </w:rPr>
        <w:t>another</w:t>
      </w:r>
      <w:r w:rsidRPr="000C7549">
        <w:rPr>
          <w:rFonts w:ascii="Arial" w:hAnsi="Arial" w:cs="Arial"/>
          <w:bCs/>
          <w:color w:val="000000" w:themeColor="text1"/>
        </w:rPr>
        <w:t xml:space="preserve"> part of the plant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{"citationID":"zUV5xqBq","properties":{"formattedCitation":"(Pacini &amp; Nepi, 1970)","plainCitation":"(Pacini &amp; Nepi, 1970)","noteIndex":0},"citationItems":[{"id":452,"uris":["http://zotero.org/users/6034784/items/W8S5JAX7"],"uri":["http://zotero.org/users/6034784/items/W8S5JAX7"],"itemData":{"id":452,"type":"chapter","abstract":"Nectar secretion is complicated to study from the ultrastructural point of view because it is a dynamic process involving many tissues simultaneously. Study may also be affected by artefacts created by chemical fixation procedures, although this problem can be overcome by freeze-drying and freeze substitution techniques (Zhu &amp; Hu, 2002; Stpiczyńska et al., 2005b). Previous research has focused on the ultrastructure of secretory cells, especially secreting trichomes (Robards &amp; Stark, 1988), and a general model of nectary function as a whole is still lacking.","container-title":"Nectaries and Nectar","ISBN":"978-1-4020-5936-0","note":"journalAbbreviation: Nectaries and Nectar\nDOI: 10.1007/978-1-4020-5937-7_4","page":"167-214","source":"ResearchGate","title":"Nectar production and presentation","author":[{"family":"Pacini","given":"Ettore"},{"family":"Nepi","given":"Massimo"}],"issued":{"date-parts":[["1970",1,1]]}}}],"schema":"https://github.com/citation-style-language/schema/raw/master/csl-citation.json"}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(Pacini &amp; Nepi, 1970)</w:t>
      </w:r>
      <w:r w:rsidRPr="000C7549">
        <w:rPr>
          <w:rFonts w:ascii="Arial" w:hAnsi="Arial" w:cs="Arial"/>
          <w:bCs/>
          <w:color w:val="000000" w:themeColor="text1"/>
        </w:rPr>
        <w:fldChar w:fldCharType="end"/>
      </w:r>
      <w:r w:rsidRPr="000C7549">
        <w:rPr>
          <w:rFonts w:ascii="Arial" w:hAnsi="Arial" w:cs="Arial"/>
          <w:bCs/>
          <w:color w:val="000000" w:themeColor="text1"/>
        </w:rPr>
        <w:t xml:space="preserve">. The sugary liquid provides carbohydrates crucial to the dietary needs of pollinators, but nectar also includes other compounds, such as water and amino acids </w:t>
      </w:r>
      <w:r w:rsidRPr="000C7549">
        <w:rPr>
          <w:rFonts w:ascii="Arial" w:hAnsi="Arial" w:cs="Arial"/>
          <w:bCs/>
          <w:color w:val="000000" w:themeColor="text1"/>
        </w:rPr>
        <w:fldChar w:fldCharType="begin"/>
      </w:r>
      <w:r w:rsidR="00EE5B67">
        <w:rPr>
          <w:rFonts w:ascii="Arial" w:hAnsi="Arial" w:cs="Arial"/>
          <w:bCs/>
          <w:color w:val="000000" w:themeColor="text1"/>
        </w:rPr>
        <w:instrText xml:space="preserve"> ADDIN ZOTERO_ITEM CSL_CITATION {"citationID":"6NdDB2pt","properties":{"formattedCitation":"(Baker &amp; Baker, 1973; Gardener &amp; Gillman, 2002)","plainCitation":"(Baker &amp; Baker, 1973; Gardener &amp; Gillman, 2002)","noteIndex":0},"citationItems":[{"id":"FJJlbcfR/mJnGDY5z","uris":["http://zotero.org/users/6034784/items/GWS36BPC"],"uri":["http://zotero.org/users/6034784/items/GWS36BPC"],"itemData":{"id":455,"type":"article-journal","abstract":"IT has been known since ancient times that nectar, usually secreted from specialized glands within flowers, is utilized by anthophilous (flower-visiting) animals for the energy-providing sugars that it contains. It is usually assumed that protein-making materials will be obtained elsewhere, from larval feeding (Lepidoptera), from pollen (Hymenoptera—Apioideae) or (by vertebrates) from insects. However, some butterflies are known to be attracted to decaying flesh, faeces, urine and stagnant water1 and well as sweat2, while many take phloem-sap from a wound or honey-dew excreted by aphids1. Moths are known to drink fruit juices, sweat, secretions from the eyes of animals, and even mammalian blood3. Unusual feeding-behaviour is shown by butterflies of the genus Heliconius which collect pollen, steep it in nectar, and subsequently ingest the amino-acids that diffuse from the grains4.","container-title":"Nature","DOI":"10.1038/241543b0","ISSN":"1476-4687","issue":"5391","language":"en","note":"number: 5391\npublisher: Nature Publishing Group","page":"543-545","source":"www.nature.com","title":"Amino-acids in Nectar and their Evolutionary Significance","volume":"241","author":[{"family":"Baker","given":"H. G."},{"family":"Baker","given":"Irene"}],"issued":{"date-parts":[["1973",2]]}}},{"id":560,"uris":["http://zotero.org/users/6034784/items/QQ4LGSU6"],"uri":["http://zotero.org/users/6034784/items/QQ4LGSU6"],"itemData":{"id":560,"type":"article-journal","container-title":"Oikos","issue":"3","note":"publisher: Wiley Online Library","page":"552–557","source":"Google Scholar","title":"The taste of nectar–a neglected area of pollination ecology","volume":"98","author":[{"family":"Gardener","given":"Mark C."},{"family":"Gillman","given":"Michael P."}],"issued":{"date-parts":[["2002"]]}}}],"schema":"https://github.com/citation-style-language/schema/raw/master/csl-citation.json"}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(Baker &amp; Baker, 1973; Gardener &amp; Gillman, 2002)</w:t>
      </w:r>
      <w:r w:rsidRPr="000C7549">
        <w:rPr>
          <w:rFonts w:ascii="Arial" w:hAnsi="Arial" w:cs="Arial"/>
          <w:bCs/>
          <w:color w:val="000000" w:themeColor="text1"/>
        </w:rPr>
        <w:fldChar w:fldCharType="end"/>
      </w:r>
      <w:r w:rsidRPr="000C7549">
        <w:rPr>
          <w:rFonts w:ascii="Arial" w:hAnsi="Arial" w:cs="Arial"/>
          <w:bCs/>
          <w:color w:val="000000" w:themeColor="text1"/>
        </w:rPr>
        <w:t xml:space="preserve">. Some pollinators, such as honey bees and flies, can detect and prefer experimentally manipulated nectar solutions with varying amino acid concentrations (Kim &amp; Smith 2000; Potter &amp; Bertin 1988). </w:t>
      </w:r>
    </w:p>
    <w:p w14:paraId="25CA9AAC" w14:textId="64CC5AF8" w:rsidR="00207B01" w:rsidRPr="000C7549" w:rsidRDefault="00207B01" w:rsidP="00EC3681">
      <w:pPr>
        <w:spacing w:line="480" w:lineRule="auto"/>
        <w:ind w:firstLine="720"/>
        <w:rPr>
          <w:rFonts w:ascii="Arial" w:hAnsi="Arial" w:cs="Arial"/>
          <w:bCs/>
          <w:color w:val="000000" w:themeColor="text1"/>
        </w:rPr>
      </w:pPr>
      <w:r w:rsidRPr="000C7549">
        <w:rPr>
          <w:rFonts w:ascii="Arial" w:hAnsi="Arial" w:cs="Arial"/>
          <w:bCs/>
          <w:color w:val="000000" w:themeColor="text1"/>
        </w:rPr>
        <w:t xml:space="preserve">However, for insect pollinators, this crucial liquid substance is </w:t>
      </w:r>
      <w:r w:rsidR="009D4436" w:rsidRPr="000C7549">
        <w:rPr>
          <w:rFonts w:ascii="Arial" w:hAnsi="Arial" w:cs="Arial"/>
          <w:bCs/>
          <w:color w:val="000000" w:themeColor="text1"/>
        </w:rPr>
        <w:t>largely needed</w:t>
      </w:r>
      <w:r w:rsidRPr="000C7549">
        <w:rPr>
          <w:rFonts w:ascii="Arial" w:hAnsi="Arial" w:cs="Arial"/>
          <w:bCs/>
          <w:color w:val="000000" w:themeColor="text1"/>
        </w:rPr>
        <w:t xml:space="preserve"> to</w:t>
      </w:r>
      <w:r w:rsidR="009D4436" w:rsidRPr="000C7549">
        <w:rPr>
          <w:rFonts w:ascii="Arial" w:hAnsi="Arial" w:cs="Arial"/>
          <w:bCs/>
          <w:color w:val="000000" w:themeColor="text1"/>
        </w:rPr>
        <w:t xml:space="preserve"> support</w:t>
      </w:r>
      <w:r w:rsidRPr="000C7549">
        <w:rPr>
          <w:rFonts w:ascii="Arial" w:hAnsi="Arial" w:cs="Arial"/>
          <w:bCs/>
          <w:color w:val="000000" w:themeColor="text1"/>
        </w:rPr>
        <w:t xml:space="preserve"> adult insects. In eusocial insects, such as honey bees or bumble bees, larvae depend on a nectar-pollen mixture. Alternatively, solitary bees require nectar to maintain stamina during multiple foraging trips for pollen or nesting resources or even the energy requirement for hovering. For lepidopterans, in their adult form, nectar is typically the only floral resource they consume. </w:t>
      </w:r>
    </w:p>
    <w:p w14:paraId="2A619FC7" w14:textId="491F0739" w:rsidR="00E1554D" w:rsidRPr="000C7549" w:rsidRDefault="00207B01" w:rsidP="000003EA">
      <w:pPr>
        <w:spacing w:line="480" w:lineRule="auto"/>
        <w:ind w:firstLine="720"/>
        <w:rPr>
          <w:rFonts w:ascii="Arial" w:hAnsi="Arial" w:cs="Arial"/>
          <w:b/>
          <w:bCs/>
          <w:color w:val="000000" w:themeColor="text1"/>
        </w:rPr>
      </w:pPr>
      <w:r w:rsidRPr="000C7549">
        <w:rPr>
          <w:rFonts w:ascii="Arial" w:hAnsi="Arial" w:cs="Arial"/>
          <w:bCs/>
          <w:color w:val="000000" w:themeColor="text1"/>
        </w:rPr>
        <w:t>Plants visited by pollinators with high energy requirements (e.g. hummingbirds, Sphingidae, bats) exhibit higher nectar sugar concentrations and nectar volume as compared to flowers visited by smaller pollinators with relatively lower energy requirements like flies and bees</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{"citationID":"MMHRNgqx","properties":{"formattedCitation":"(Cruden et al., 1983)","plainCitation":"(Cruden et al., 1983)","dontUpdate":true,"noteIndex":0},"citationItems":[{"id":551,"uris":["http://zotero.org/users/6034784/items/NKE3679S"],"uri":["http://zotero.org/users/6034784/items/NKE3679S"],"itemData":{"id":551,"type":"article-journal","container-title":"The biology of nectaries","note":"publisher: Columbia University Press","page":"80","source":"Google Scholar","title":"PATTERNS OF NECTAR PRODUCTION AND PLANT-POLLINATOR COEVOLUTION","author":[{"family":"Cruden","given":"Robert W"},{"family":"Hermann","given":"Sharon Marie"},{"family":"Peterson","given":"Steven"}],"issued":{"date-parts":[["1983"]]}}}],"schema":"https://github.com/citation-style-language/schema/raw/master/csl-citation.json"}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 xml:space="preserve"> (Cruden et al., 1983)</w:t>
      </w:r>
      <w:r w:rsidRPr="000C7549">
        <w:rPr>
          <w:rFonts w:ascii="Arial" w:hAnsi="Arial" w:cs="Arial"/>
          <w:bCs/>
          <w:color w:val="000000" w:themeColor="text1"/>
        </w:rPr>
        <w:fldChar w:fldCharType="end"/>
      </w:r>
      <w:r w:rsidRPr="000C7549">
        <w:rPr>
          <w:rFonts w:ascii="Arial" w:hAnsi="Arial" w:cs="Arial"/>
          <w:bCs/>
          <w:color w:val="000000" w:themeColor="text1"/>
        </w:rPr>
        <w:t xml:space="preserve">. Generally, flowers visited by diurnal pollinators produce and present nectar during the day, while plants that require nocturnal pollinators produce nectar at night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{"citationID":"uXRyCEMY","properties":{"formattedCitation":"(Nepi &amp; Pacini, 2007)","plainCitation":"(Nepi &amp; Pacini, 2007)","noteIndex":0},"citationItems":[{"id":538,"uris":["http://zotero.org/users/6034784/items/RLXHJCDS"],"uri":["http://zotero.org/users/6034784/items/RLXHJCDS"],"itemData":{"id":538,"type":"book","publisher":"Springer","source":"Google Scholar","title":"Nectaries and nectar","author":[{"family":"Nepi","given":"Massimo"},{"family":"Pacini","given":"Ettore"}],"issued":{"date-parts":[["2007"]]}}}],"schema":"https://github.com/citation-style-language/schema/raw/master/csl-citation.json"}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(Nepi &amp; Pacini, 2007)</w:t>
      </w:r>
      <w:r w:rsidRPr="000C7549">
        <w:rPr>
          <w:rFonts w:ascii="Arial" w:hAnsi="Arial" w:cs="Arial"/>
          <w:bCs/>
          <w:color w:val="000000" w:themeColor="text1"/>
        </w:rPr>
        <w:fldChar w:fldCharType="end"/>
      </w:r>
      <w:r w:rsidRPr="000C7549">
        <w:rPr>
          <w:rFonts w:ascii="Arial" w:hAnsi="Arial" w:cs="Arial"/>
          <w:bCs/>
          <w:color w:val="000000" w:themeColor="text1"/>
        </w:rPr>
        <w:t xml:space="preserve">. </w:t>
      </w:r>
    </w:p>
    <w:p w14:paraId="3F113CFA" w14:textId="77777777" w:rsidR="00207B01" w:rsidRPr="000C7549" w:rsidRDefault="00207B01" w:rsidP="00207B01">
      <w:pPr>
        <w:spacing w:line="480" w:lineRule="auto"/>
        <w:rPr>
          <w:rFonts w:ascii="Arial" w:hAnsi="Arial" w:cs="Arial"/>
          <w:b/>
          <w:i/>
        </w:rPr>
      </w:pPr>
      <w:r w:rsidRPr="000C7549">
        <w:rPr>
          <w:rFonts w:ascii="Arial" w:hAnsi="Arial" w:cs="Arial"/>
          <w:b/>
          <w:i/>
        </w:rPr>
        <w:t xml:space="preserve">Specialization in Lamiaceae </w:t>
      </w:r>
    </w:p>
    <w:p w14:paraId="76778D2F" w14:textId="2E146C9C" w:rsidR="00207B01" w:rsidRPr="000C7549" w:rsidRDefault="00207B01" w:rsidP="00BD50DC">
      <w:pPr>
        <w:spacing w:line="480" w:lineRule="auto"/>
        <w:ind w:firstLine="720"/>
        <w:rPr>
          <w:rFonts w:ascii="Arial" w:hAnsi="Arial" w:cs="Arial"/>
        </w:rPr>
      </w:pPr>
      <w:r w:rsidRPr="000C7549">
        <w:rPr>
          <w:rFonts w:ascii="Arial" w:hAnsi="Arial" w:cs="Arial"/>
        </w:rPr>
        <w:t xml:space="preserve">Some flowers in the Lamiaceae family have anthers located deep within an elongated corolla </w:t>
      </w:r>
      <w:r w:rsidRPr="000C7549">
        <w:rPr>
          <w:rFonts w:ascii="Arial" w:hAnsi="Arial" w:cs="Arial"/>
        </w:rPr>
        <w:fldChar w:fldCharType="begin"/>
      </w:r>
      <w:r w:rsidRPr="000C7549">
        <w:rPr>
          <w:rFonts w:ascii="Arial" w:hAnsi="Arial" w:cs="Arial"/>
        </w:rPr>
        <w:instrText xml:space="preserve"> ADDIN ZOTERO_ITEM CSL_CITATION {"citationID":"jPsedw9i","properties":{"formattedCitation":"(Danforth et al., 2019)","plainCitation":"(Danforth et al., 2019)","noteIndex":0},"citationItems":[{"id":490,"uris":["http://zotero.org/users/6034784/items/JH7NP8UY"],"uri":["http://zotero.org/users/6034784/items/JH7NP8UY"],"itemData":{"id":490,"type":"book","abstract":"The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L."},{"family":"Fawcett","given":"Frances"}],"issued":{"date-parts":[["2019",8,27]]}}}],"schema":"https://github.com/citation-style-language/schema/raw/master/csl-citation.json"} </w:instrText>
      </w:r>
      <w:r w:rsidRPr="000C7549">
        <w:rPr>
          <w:rFonts w:ascii="Arial" w:hAnsi="Arial" w:cs="Arial"/>
        </w:rPr>
        <w:fldChar w:fldCharType="separate"/>
      </w:r>
      <w:r w:rsidRPr="000C7549">
        <w:rPr>
          <w:rFonts w:ascii="Arial" w:hAnsi="Arial" w:cs="Arial"/>
        </w:rPr>
        <w:t>(Danforth et al., 2019)</w:t>
      </w:r>
      <w:r w:rsidRPr="000C7549">
        <w:rPr>
          <w:rFonts w:ascii="Arial" w:hAnsi="Arial" w:cs="Arial"/>
        </w:rPr>
        <w:fldChar w:fldCharType="end"/>
      </w:r>
      <w:r w:rsidRPr="000C7549">
        <w:rPr>
          <w:rFonts w:ascii="Arial" w:hAnsi="Arial" w:cs="Arial"/>
        </w:rPr>
        <w:t xml:space="preserve">. The location of the anthers causes bees and </w:t>
      </w:r>
      <w:r w:rsidRPr="000C7549">
        <w:rPr>
          <w:rFonts w:ascii="Arial" w:hAnsi="Arial" w:cs="Arial"/>
        </w:rPr>
        <w:lastRenderedPageBreak/>
        <w:t xml:space="preserve">other visitors to insert their heads deep into the corolla and vibrate their flight muscles to extract its pollen. This leads to pollen deposition on the face, head, or dorsum, but due to varying modifications of facial hairs (setae), Lamiaceae specialist bees can use their forelegs to groom the pollen from their face to their </w:t>
      </w:r>
      <w:proofErr w:type="spellStart"/>
      <w:r w:rsidRPr="000C7549">
        <w:rPr>
          <w:rFonts w:ascii="Arial" w:hAnsi="Arial" w:cs="Arial"/>
        </w:rPr>
        <w:t>scopae</w:t>
      </w:r>
      <w:proofErr w:type="spellEnd"/>
      <w:r w:rsidRPr="000C7549">
        <w:rPr>
          <w:rFonts w:ascii="Arial" w:hAnsi="Arial" w:cs="Arial"/>
        </w:rPr>
        <w:t xml:space="preserve"> (Danforth et al. 2019). Danforth et al. (2019), describe this behavior as “nototribic” and the specific facial modifications exist in all of the bee families of North America. </w:t>
      </w:r>
    </w:p>
    <w:p w14:paraId="63703B49" w14:textId="77777777" w:rsidR="00207B01" w:rsidRPr="000C7549" w:rsidRDefault="00207B01" w:rsidP="00207B01">
      <w:pPr>
        <w:spacing w:line="480" w:lineRule="auto"/>
        <w:rPr>
          <w:rFonts w:ascii="Arial" w:hAnsi="Arial" w:cs="Arial"/>
          <w:b/>
          <w:i/>
        </w:rPr>
      </w:pPr>
      <w:r w:rsidRPr="000C7549">
        <w:rPr>
          <w:rFonts w:ascii="Arial" w:hAnsi="Arial" w:cs="Arial"/>
          <w:b/>
          <w:i/>
        </w:rPr>
        <w:t xml:space="preserve">Specialization in Fabaceae </w:t>
      </w:r>
    </w:p>
    <w:p w14:paraId="5A7C7409" w14:textId="7ACA376C" w:rsidR="00E1554D" w:rsidRPr="000C7549" w:rsidRDefault="00207B01" w:rsidP="00BD50DC">
      <w:pPr>
        <w:spacing w:line="480" w:lineRule="auto"/>
        <w:ind w:firstLine="720"/>
        <w:rPr>
          <w:rFonts w:ascii="Arial" w:hAnsi="Arial" w:cs="Arial"/>
          <w:color w:val="000000" w:themeColor="text1"/>
        </w:rPr>
      </w:pPr>
      <w:r w:rsidRPr="000C7549">
        <w:rPr>
          <w:rFonts w:ascii="Arial" w:hAnsi="Arial" w:cs="Arial"/>
          <w:color w:val="000000" w:themeColor="text1"/>
        </w:rPr>
        <w:t>Plants in the Fabaceae family have complex floral phenotypes handled by behaviorally specialized bees, such as flowers with keels, poricidal anthers, or primarily pollen-rewarding flowers</w:t>
      </w:r>
      <w:r w:rsidR="00A96806" w:rsidRPr="000C7549">
        <w:rPr>
          <w:rFonts w:ascii="Arial" w:hAnsi="Arial" w:cs="Arial"/>
          <w:color w:val="000000" w:themeColor="text1"/>
        </w:rPr>
        <w:t>,</w:t>
      </w:r>
      <w:r w:rsidRPr="000C7549">
        <w:rPr>
          <w:rFonts w:ascii="Arial" w:hAnsi="Arial" w:cs="Arial"/>
          <w:color w:val="000000" w:themeColor="text1"/>
        </w:rPr>
        <w:t xml:space="preserve"> and exhibit high P:L ratios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{"citationID":"egTzmbuD","properties":{"formattedCitation":"(Vaudo et al., 2020)","plainCitation":"(Vaudo et al., 2020)","noteIndex":0},"citationItems":[{"id":638,"uris":["http://zotero.org/users/6034784/items/TVLFYUNC"],"uri":["http://zotero.org/users/6034784/items/TVLFYUNC"],"itemData":{"id":638,"type":"article-journal","abstract":"Pollinator nutritional ecology provides insights into plant&amp;ndash;pollinator interactions, coevolution, and the restoration of declining pollinator populations. Bees obtain their protein and lipid nutrient intake from pollen, which is essential for larval growth and development as well as adult health and reproduction. Our previous research revealed that pollen protein to lipid ratios (P:L) shape bumble bee foraging preferences among pollen host-plant species, and these preferred ratios link to bumble bee colony health and fitness. Yet, we are still in the early stages of integrating data on P:L ratios across plant and bee species. Here, using a standard laboratory protocol, we present over 80 plant species&amp;rsquo; protein and lipid concentrations and P:L values, and we evaluate the P:L ratios of pollen collected by three bee species. We discuss the general phylogenetic, phenotypic, behavioral, and ecological trends observed in these P:L ratios that may drive plant&amp;ndash;pollinator interactions; we also present future research questions to further strengthen the field of pollination nutritional ecology. This dataset provides a foundation for researchers studying the nutritional drivers of plant&amp;ndash;pollinator interactions as well as for stakeholders developing planting schemes to best support pollinators.","container-title":"Insects","DOI":"10.3390/insects11020132","issue":"2","language":"en","note":"number: 2\npublisher: Multidisciplinary Digital Publishing Institute","page":"132","source":"www.mdpi.com","title":"Pollen Protein: Lipid Macronutrient Ratios May Guide Broad Patterns of Bee Species Floral Preferences","title-short":"Pollen Protein","volume":"11","author":[{"family":"Vaudo","given":"Anthony D."},{"family":"Tooker","given":"John F."},{"family":"Patch","given":"Harland M."},{"family":"Biddinger","given":"David J."},{"family":"Coccia","given":"Michael"},{"family":"Crone","given":"Makaylee K."},{"family":"Fiely","given":"Mark"},{"family":"Francis","given":"Jacob S."},{"family":"Hines","given":"Heather M."},{"family":"Hodges","given":"Mackenzie"},{"family":"Jackson","given":"Stephanie W."},{"family":"Michez","given":"Denis"},{"family":"Mu","given":"Junpeng"},{"family":"Russo","given":"Laura"},{"family":"Safari","given":"Maliheh"},{"family":"Treanore","given":"Erin D."},{"family":"Vanderplanck","given":"Maryse"},{"family":"Yip","given":"Eric"},{"family":"Leonard","given":"Anne S."},{"family":"Grozinger","given":"Christina M."}],"issued":{"date-parts":[["2020",2]]}}}],"schema":"https://github.com/citation-style-language/schema/raw/master/csl-citation.json"}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(Vaudo et al., 2020)</w:t>
      </w:r>
      <w:r w:rsidRPr="000C7549">
        <w:rPr>
          <w:rFonts w:ascii="Arial" w:hAnsi="Arial" w:cs="Arial"/>
          <w:color w:val="000000" w:themeColor="text1"/>
        </w:rPr>
        <w:fldChar w:fldCharType="end"/>
      </w:r>
      <w:r w:rsidR="000D3050" w:rsidRPr="000C7549">
        <w:rPr>
          <w:rFonts w:ascii="Arial" w:hAnsi="Arial" w:cs="Arial"/>
          <w:color w:val="000000" w:themeColor="text1"/>
        </w:rPr>
        <w:t xml:space="preserve">. This specialized behavior has been described as “buzz pollination”. </w:t>
      </w:r>
      <w:r w:rsidR="0040203D" w:rsidRPr="000C7549">
        <w:rPr>
          <w:rFonts w:ascii="Arial" w:hAnsi="Arial" w:cs="Arial"/>
          <w:color w:val="000000" w:themeColor="text1"/>
        </w:rPr>
        <w:t xml:space="preserve"> </w:t>
      </w:r>
      <w:r w:rsidR="000D3050" w:rsidRPr="000C7549">
        <w:rPr>
          <w:rFonts w:ascii="Arial" w:hAnsi="Arial" w:cs="Arial"/>
          <w:color w:val="000000" w:themeColor="text1"/>
        </w:rPr>
        <w:fldChar w:fldCharType="begin"/>
      </w:r>
      <w:r w:rsidR="000D3050" w:rsidRPr="000C7549">
        <w:rPr>
          <w:rFonts w:ascii="Arial" w:hAnsi="Arial" w:cs="Arial"/>
          <w:color w:val="000000" w:themeColor="text1"/>
        </w:rPr>
        <w:instrText xml:space="preserve"> ADDIN ZOTERO_ITEM CSL_CITATION {"citationID":"QLyfk3K0","properties":{"formattedCitation":"(Buchmann, 1985)","plainCitation":"(Buchmann, 1985)","dontUpdate":true,"noteIndex":0},"citationItems":[{"id":488,"uris":["http://zotero.org/users/6034784/items/2LNL2K4D"],"uri":["http://zotero.org/users/6034784/items/2LNL2K4D"],"itemData":{"id":488,"type":"article-journal","abstract":"Original observations and published accounts are summarized regarding the use of vibratory pollen harvesting (buzz pollination) by bees from non-poricidally dehiscent anthers. Although buzz pollination by bees working poricidal flowers such as Solanum or Cassia is well known, examples of bees using vibratile methods to collect pollen from flowers with non-porose anthers is not. This phenomenon is now known for four bee genera (Bombus, Megachile, Xenoglossa and Xylocopa) on nine plant genera (Argemone, Cucurbita, Fallugia, Melampyrum, Pedicularis, Potentilla, Rosa, Rubus, and Senecio) in five plant families (Asteraceae, Cucurbitaceae, Papaveraceae, Rosaceae, and Scrophulariaceae). With the exceptions of Cucurbita, Melampyrum, Pedicularis and Senecio, these flowers share a common floral morphology. They offer massed stamens in a \"shaving brush\" or \"tuft\" presentation and often produce only pollen and no nectar.","container-title":"Journal of the Kansas Entomological Society","ISSN":"0022-8567","issue":"3","note":"publisher: Kansas (Central States) Entomological Society","page":"517-525","source":"JSTOR","title":"Bees Use Vibration to Aid Pollen Collection from Non-Poricidal Flowers","volume":"58","author":[{"family":"Buchmann","given":"Stephen L."}],"issued":{"date-parts":[["1985"]]}}}],"schema":"https://github.com/citation-style-language/schema/raw/master/csl-citation.json"} </w:instrText>
      </w:r>
      <w:r w:rsidR="000D3050" w:rsidRPr="000C7549">
        <w:rPr>
          <w:rFonts w:ascii="Arial" w:hAnsi="Arial" w:cs="Arial"/>
          <w:color w:val="000000" w:themeColor="text1"/>
        </w:rPr>
        <w:fldChar w:fldCharType="separate"/>
      </w:r>
      <w:r w:rsidR="000D3050" w:rsidRPr="000C7549">
        <w:rPr>
          <w:rFonts w:ascii="Arial" w:hAnsi="Arial" w:cs="Arial"/>
          <w:noProof/>
          <w:color w:val="000000" w:themeColor="text1"/>
        </w:rPr>
        <w:t>Buchmann (1985)</w:t>
      </w:r>
      <w:r w:rsidR="000D3050" w:rsidRPr="000C7549">
        <w:rPr>
          <w:rFonts w:ascii="Arial" w:hAnsi="Arial" w:cs="Arial"/>
          <w:color w:val="000000" w:themeColor="text1"/>
        </w:rPr>
        <w:fldChar w:fldCharType="end"/>
      </w:r>
      <w:r w:rsidR="000D3050" w:rsidRPr="000C7549">
        <w:rPr>
          <w:rFonts w:ascii="Arial" w:hAnsi="Arial" w:cs="Arial"/>
          <w:color w:val="000000" w:themeColor="text1"/>
        </w:rPr>
        <w:t xml:space="preserve"> described buzz pollination as vibration caused by a bee’s flight muscles to release pollen from a plant’s anthers and the subsequent buzzing sound led to the name buzz pollination/sonication. Female bees seize the flower’s anther column with their legs, then curl the metasoma below the flower and being to vibrate anywhere from a millisecond to several seconds. Although the bee’s flight muscles allow for this vibration, the wings remain closed </w:t>
      </w:r>
      <w:r w:rsidR="000D3050" w:rsidRPr="000C7549">
        <w:rPr>
          <w:rFonts w:ascii="Arial" w:hAnsi="Arial" w:cs="Arial"/>
          <w:color w:val="000000" w:themeColor="text1"/>
        </w:rPr>
        <w:fldChar w:fldCharType="begin"/>
      </w:r>
      <w:r w:rsidR="000D3050" w:rsidRPr="000C7549">
        <w:rPr>
          <w:rFonts w:ascii="Arial" w:hAnsi="Arial" w:cs="Arial"/>
          <w:color w:val="000000" w:themeColor="text1"/>
        </w:rPr>
        <w:instrText xml:space="preserve"> ADDIN ZOTERO_ITEM CSL_CITATION {"citationID":"KYIqXycU","properties":{"formattedCitation":"(Danforth et al., 2019)","plainCitation":"(Danforth et al., 2019)","noteIndex":0},"citationItems":[{"id":490,"uris":["http://zotero.org/users/6034784/items/JH7NP8UY"],"uri":["http://zotero.org/users/6034784/items/JH7NP8UY"],"itemData":{"id":490,"type":"book","abstract":"The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L."},{"family":"Fawcett","given":"Frances"}],"issued":{"date-parts":[["2019",8,27]]}}}],"schema":"https://github.com/citation-style-language/schema/raw/master/csl-citation.json"} </w:instrText>
      </w:r>
      <w:r w:rsidR="000D3050" w:rsidRPr="000C7549">
        <w:rPr>
          <w:rFonts w:ascii="Arial" w:hAnsi="Arial" w:cs="Arial"/>
          <w:color w:val="000000" w:themeColor="text1"/>
        </w:rPr>
        <w:fldChar w:fldCharType="separate"/>
      </w:r>
      <w:r w:rsidR="000D3050" w:rsidRPr="000C7549">
        <w:rPr>
          <w:rFonts w:ascii="Arial" w:hAnsi="Arial" w:cs="Arial"/>
          <w:noProof/>
          <w:color w:val="000000" w:themeColor="text1"/>
        </w:rPr>
        <w:t>(Danforth et al., 2019)</w:t>
      </w:r>
      <w:r w:rsidR="000D3050" w:rsidRPr="000C7549">
        <w:rPr>
          <w:rFonts w:ascii="Arial" w:hAnsi="Arial" w:cs="Arial"/>
          <w:color w:val="000000" w:themeColor="text1"/>
        </w:rPr>
        <w:fldChar w:fldCharType="end"/>
      </w:r>
      <w:r w:rsidR="000D3050" w:rsidRPr="000C7549">
        <w:rPr>
          <w:rFonts w:ascii="Arial" w:hAnsi="Arial" w:cs="Arial"/>
          <w:color w:val="000000" w:themeColor="text1"/>
        </w:rPr>
        <w:t>. Various members from all seven bee families were reported to be capable of buzz pollination</w:t>
      </w:r>
      <w:r w:rsidR="000D3050" w:rsidRPr="000C7549">
        <w:rPr>
          <w:rFonts w:ascii="Arial" w:hAnsi="Arial" w:cs="Arial"/>
          <w:noProof/>
          <w:color w:val="000000" w:themeColor="text1"/>
        </w:rPr>
        <w:t xml:space="preserve"> </w:t>
      </w:r>
      <w:r w:rsidR="000D3050" w:rsidRPr="000C7549">
        <w:rPr>
          <w:rFonts w:ascii="Arial" w:hAnsi="Arial" w:cs="Arial"/>
          <w:noProof/>
          <w:color w:val="000000" w:themeColor="text1"/>
        </w:rPr>
        <w:fldChar w:fldCharType="begin"/>
      </w:r>
      <w:r w:rsidR="000D3050" w:rsidRPr="000C7549">
        <w:rPr>
          <w:rFonts w:ascii="Arial" w:hAnsi="Arial" w:cs="Arial"/>
          <w:noProof/>
          <w:color w:val="000000" w:themeColor="text1"/>
        </w:rPr>
        <w:instrText xml:space="preserve"> ADDIN ZOTERO_ITEM CSL_CITATION {"citationID":"9ca28Rdc","properties":{"formattedCitation":"(Cardinal et al., 2018)","plainCitation":"(Cardinal et al., 2018)","noteIndex":0},"citationItems":[{"id":643,"uris":["http://zotero.org/users/6034784/items/K8GJJ2G3"],"uri":["http://zotero.org/users/6034784/items/K8GJJ2G3"],"itemData":{"id":643,"type":"article-journal","abstract":"Over 22,000 species of biotically pollinated flowering plants, including some major agricultural crops, depend primarily on bees capable of floral sonication for pollination services. The ability to sonicate (“buzz”) flowers is widespread in bees but not ubiquitous. Despite the prevalence of this pollinator behavior and its importance to natural and agricultural systems, the evolutionary history of floral sonication in bees has not been previously studied. Here, we reconstruct the evolutionary history of floral sonication in bees by generating a time-calibrated phylogeny and reconstructing ancestral states for this pollen extraction behavior. We also test the hypothesis that the ability to sonicate flowers and thereby efficiently access pollen from a diverse assemblage of plant species, led to increased diversification among sonicating bee taxa. We find that floral sonication evolved on average 45 times within bees, possibly first during the Early Cretaceous (100–145 million years ago) in the common ancestor of bees. We find that sonicating lineages are significantly more species rich than nonsonicating sister lineages when comparing sister clades, but a probabilistic structured rate permutation on phylogenies approach failed to support the hypothesis that floral sonication is a key driver of bee diversification. This study provides the evolutionary framework needed to further study how floral sonication by bees may have facilitated the spread and common evolution of angiosperm species with poricidal floral morphology.","container-title":"Evolution","DOI":"https://doi.org/10.1111/evo.13446","ISSN":"1558-5646","issue":"3","language":"en","note":"_eprint: https://onlinelibrary.wiley.com/doi/pdf/10.1111/evo.13446","page":"590-600","source":"Wiley Online Library","title":"The evolution of floral sonication, a pollen foraging behavior used by bees (Anthophila)","volume":"72","author":[{"family":"Cardinal","given":"Sophie"},{"family":"Buchmann","given":"Stephen L."},{"family":"Russell","given":"Avery L."}],"issued":{"date-parts":[["2018"]]}}}],"schema":"https://github.com/citation-style-language/schema/raw/master/csl-citation.json"} </w:instrText>
      </w:r>
      <w:r w:rsidR="000D3050" w:rsidRPr="000C7549">
        <w:rPr>
          <w:rFonts w:ascii="Arial" w:hAnsi="Arial" w:cs="Arial"/>
          <w:noProof/>
          <w:color w:val="000000" w:themeColor="text1"/>
        </w:rPr>
        <w:fldChar w:fldCharType="separate"/>
      </w:r>
      <w:r w:rsidR="000D3050" w:rsidRPr="000C7549">
        <w:rPr>
          <w:rFonts w:ascii="Arial" w:hAnsi="Arial" w:cs="Arial"/>
          <w:noProof/>
          <w:color w:val="000000" w:themeColor="text1"/>
        </w:rPr>
        <w:t>(Cardinal et al., 2018)</w:t>
      </w:r>
      <w:r w:rsidR="000D3050" w:rsidRPr="000C7549">
        <w:rPr>
          <w:rFonts w:ascii="Arial" w:hAnsi="Arial" w:cs="Arial"/>
          <w:noProof/>
          <w:color w:val="000000" w:themeColor="text1"/>
        </w:rPr>
        <w:fldChar w:fldCharType="end"/>
      </w:r>
      <w:r w:rsidR="000D3050" w:rsidRPr="000C7549">
        <w:rPr>
          <w:rFonts w:ascii="Arial" w:hAnsi="Arial" w:cs="Arial"/>
          <w:noProof/>
          <w:color w:val="000000" w:themeColor="text1"/>
        </w:rPr>
        <w:t xml:space="preserve">. </w:t>
      </w:r>
      <w:r w:rsidR="00C9033F">
        <w:rPr>
          <w:rFonts w:ascii="Arial" w:hAnsi="Arial" w:cs="Arial"/>
          <w:noProof/>
          <w:color w:val="000000" w:themeColor="text1"/>
        </w:rPr>
        <w:t xml:space="preserve">Many </w:t>
      </w:r>
      <w:r w:rsidR="00C9033F">
        <w:rPr>
          <w:rFonts w:ascii="Arial" w:hAnsi="Arial" w:cs="Arial"/>
          <w:color w:val="000000" w:themeColor="text1"/>
        </w:rPr>
        <w:t>g</w:t>
      </w:r>
      <w:r w:rsidR="000D3050" w:rsidRPr="000C7549">
        <w:rPr>
          <w:rFonts w:ascii="Arial" w:hAnsi="Arial" w:cs="Arial"/>
          <w:color w:val="000000" w:themeColor="text1"/>
        </w:rPr>
        <w:t xml:space="preserve">enera from Apidae, Colletidae, and Halictidae demonstrate floral sonication, while few Andrenidae, Megachilidae, or Melittidae do. </w:t>
      </w:r>
      <w:r w:rsidR="00C9033F">
        <w:rPr>
          <w:rFonts w:ascii="Arial" w:hAnsi="Arial" w:cs="Arial"/>
          <w:color w:val="000000" w:themeColor="text1"/>
        </w:rPr>
        <w:t>N</w:t>
      </w:r>
      <w:r w:rsidR="000D3050" w:rsidRPr="000C7549">
        <w:rPr>
          <w:rFonts w:ascii="Arial" w:hAnsi="Arial" w:cs="Arial"/>
          <w:color w:val="000000" w:themeColor="text1"/>
        </w:rPr>
        <w:t xml:space="preserve">on-buzz pollinated Fabaceae serve as </w:t>
      </w:r>
      <w:r w:rsidR="00A96806" w:rsidRPr="000C7549">
        <w:rPr>
          <w:rFonts w:ascii="Arial" w:hAnsi="Arial" w:cs="Arial"/>
          <w:color w:val="000000" w:themeColor="text1"/>
        </w:rPr>
        <w:t xml:space="preserve">the </w:t>
      </w:r>
      <w:r w:rsidR="000D3050" w:rsidRPr="000C7549">
        <w:rPr>
          <w:rFonts w:ascii="Arial" w:hAnsi="Arial" w:cs="Arial"/>
          <w:color w:val="000000" w:themeColor="text1"/>
        </w:rPr>
        <w:t xml:space="preserve">preferred host for Masarine wasps, Andrenidae, and Megachilidae </w:t>
      </w:r>
      <w:r w:rsidR="000D3050" w:rsidRPr="000C7549">
        <w:rPr>
          <w:rFonts w:ascii="Arial" w:hAnsi="Arial" w:cs="Arial"/>
          <w:color w:val="000000" w:themeColor="text1"/>
        </w:rPr>
        <w:fldChar w:fldCharType="begin"/>
      </w:r>
      <w:r w:rsidR="000D3050" w:rsidRPr="000C7549">
        <w:rPr>
          <w:rFonts w:ascii="Arial" w:hAnsi="Arial" w:cs="Arial"/>
          <w:color w:val="000000" w:themeColor="text1"/>
        </w:rPr>
        <w:instrText xml:space="preserve"> ADDIN ZOTERO_ITEM CSL_CITATION {"citationID":"1MGw5ROK","properties":{"formattedCitation":"(Danforth et al., 2019)","plainCitation":"(Danforth et al., 2019)","noteIndex":0},"citationItems":[{"id":490,"uris":["http://zotero.org/users/6034784/items/JH7NP8UY"],"uri":["http://zotero.org/users/6034784/items/JH7NP8UY"],"itemData":{"id":490,"type":"book","abstract":"The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L."},{"family":"Fawcett","given":"Frances"}],"issued":{"date-parts":[["2019",8,27]]}}}],"schema":"https://github.com/citation-style-language/schema/raw/master/csl-citation.json"} </w:instrText>
      </w:r>
      <w:r w:rsidR="000D3050" w:rsidRPr="000C7549">
        <w:rPr>
          <w:rFonts w:ascii="Arial" w:hAnsi="Arial" w:cs="Arial"/>
          <w:color w:val="000000" w:themeColor="text1"/>
        </w:rPr>
        <w:fldChar w:fldCharType="separate"/>
      </w:r>
      <w:r w:rsidR="000D3050" w:rsidRPr="000C7549">
        <w:rPr>
          <w:rFonts w:ascii="Arial" w:hAnsi="Arial" w:cs="Arial"/>
          <w:noProof/>
          <w:color w:val="000000" w:themeColor="text1"/>
        </w:rPr>
        <w:t>(Danforth et al., 2019)</w:t>
      </w:r>
      <w:r w:rsidR="000D3050" w:rsidRPr="000C7549">
        <w:rPr>
          <w:rFonts w:ascii="Arial" w:hAnsi="Arial" w:cs="Arial"/>
          <w:color w:val="000000" w:themeColor="text1"/>
        </w:rPr>
        <w:fldChar w:fldCharType="end"/>
      </w:r>
      <w:r w:rsidR="000D3050" w:rsidRPr="000C7549">
        <w:rPr>
          <w:rFonts w:ascii="Arial" w:hAnsi="Arial" w:cs="Arial"/>
          <w:color w:val="000000" w:themeColor="text1"/>
        </w:rPr>
        <w:t>.</w:t>
      </w:r>
      <w:r w:rsidR="00E1554D" w:rsidRPr="000C7549">
        <w:rPr>
          <w:rFonts w:ascii="Arial" w:hAnsi="Arial" w:cs="Arial"/>
          <w:color w:val="000000" w:themeColor="text1"/>
        </w:rPr>
        <w:t xml:space="preserve"> </w:t>
      </w:r>
      <w:r w:rsidR="000D3050" w:rsidRPr="000C7549">
        <w:rPr>
          <w:rFonts w:ascii="Arial" w:hAnsi="Arial" w:cs="Arial"/>
          <w:color w:val="000000" w:themeColor="text1"/>
        </w:rPr>
        <w:t>Furthermore, t</w:t>
      </w:r>
      <w:r w:rsidRPr="000C7549">
        <w:rPr>
          <w:rFonts w:ascii="Arial" w:hAnsi="Arial" w:cs="Arial"/>
          <w:color w:val="000000" w:themeColor="text1"/>
        </w:rPr>
        <w:t xml:space="preserve">he pollen of buzz-pollinated flowers is </w:t>
      </w:r>
      <w:r w:rsidR="00C9033F">
        <w:rPr>
          <w:rFonts w:ascii="Arial" w:hAnsi="Arial" w:cs="Arial"/>
          <w:color w:val="000000" w:themeColor="text1"/>
        </w:rPr>
        <w:t>protein</w:t>
      </w:r>
      <w:r w:rsidR="00A96806" w:rsidRPr="000C7549">
        <w:rPr>
          <w:rFonts w:ascii="Arial" w:hAnsi="Arial" w:cs="Arial"/>
          <w:color w:val="000000" w:themeColor="text1"/>
        </w:rPr>
        <w:t>-rich</w:t>
      </w:r>
      <w:r w:rsidRPr="000C7549">
        <w:rPr>
          <w:rFonts w:ascii="Arial" w:hAnsi="Arial" w:cs="Arial"/>
          <w:color w:val="000000" w:themeColor="text1"/>
        </w:rPr>
        <w:t xml:space="preserve">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{"citationID":"cDgxgz5H","properties":{"formattedCitation":"(Danforth et al., 2019; T. H. Roulston et al., 2000b)","plainCitation":"(Danforth et al., 2019; T. H. Roulston et al., 2000b)","dontUpdate":true,"noteIndex":0},"citationItems":[{"id":490,"uris":["http://zotero.org/users/6034784/items/JH7NP8UY"],"uri":["http://zotero.org/users/6034784/items/JH7NP8UY"],"itemData":{"id":490,"type":"book","abstract":"The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L."},{"family":"Fawcett","given":"Frances"}],"issued":{"date-parts":[["2019",8,27]]}}},{"id":19,"uris":["http://zotero.org/users/6034784/items/XIT3IAYR"],"uri":["http://zotero.org/users/6034784/items/XIT3IAYR"],"itemData":{"id":19,"type":"article-journal","abstract":"Pollen ranges from 2.5% to 61% protein content. Most pollen proteins are likely to be enzymes that function during pollen tube growth and subsequent fertilization, but the vast range of protein quantity may not reflect only pollen–pistil interactions. Because numerous vertebrate and invertebrate floral visitors consume pollen for protein, protein content may influence floral host choice. Additionally, many floral visitors pollinate their host plants. If protein content influences pollinator visitation, then pollinators are hypothesized to select for increased protein content of host plants. We analyzed or gleaned from the literature crude pollen protein concentrations of 377 plant species from 93 plant families. Using this database, we compared pollen protein concentration with (1) pollination mode, (2) pollen collection by bees, and (3) distance from stigma to ovule, after accounting for phylogeny through paired phylogenetic comparisons and a nested ANOVA including taxonomic rank. We found that pollen protein concentrations were highly conserved within plant genera, families, and divisions. We found that bees did not collect pollen that was unusually rich in protein, whether they pollinated or merely robbed their host plant. Plant species with vibratile pollination systems, which require visitation by pollen-collecting bees in order to transfer pollen, tended to have very protein-rich pollen, but it was not clear whether this was due to plant enhancement of pollinator rewards or to the possession of very small pollen grains. We found that zoophilous species were not statistically richer in pollen protein than anemophilous species after accounting for phylogeny, although the three most species-rich anemophilous clades surveyed were generally poor in protein. Plant genera hosting specialist pollen-collecting bees did not have particularly protein-rich pollen. Both mass of protein per pollen grain and pollen grain volume were correlated with stigma–ovule distance. We suggest that the need for growing pollen tubes probably plays a more important role in determining pollen protein content than rewarding pollinators.","container-title":"Ecological Monographs","DOI":"10.1890/0012-9615(2000)070[0617:WGPCOP]2.0.CO;2","ISSN":"1557-7015","issue":"4","language":"en","page":"617-643","source":"Wiley Online Library","title":"What Governs Protein Content of Pollen: Pollinator Preferences, Pollen–Pistil Interactions, or Phylogeny?","title-short":"What Governs Protein Content of Pollen","volume":"70","author":[{"family":"Roulston","given":"T'ai H."},{"family":"Cane","given":"James H."},{"family":"Buchmann","given":"Stephen L."}],"issued":{"date-parts":[["2000"]]}}}],"schema":"https://github.com/citation-style-language/schema/raw/master/csl-citation.json"}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themeColor="text1"/>
        </w:rPr>
        <w:t xml:space="preserve">(Danforth et al., </w:t>
      </w:r>
      <w:r w:rsidRPr="000C7549">
        <w:rPr>
          <w:rFonts w:ascii="Arial" w:hAnsi="Arial" w:cs="Arial"/>
          <w:color w:val="000000" w:themeColor="text1"/>
        </w:rPr>
        <w:lastRenderedPageBreak/>
        <w:t>2019; Roulston et al., 2000)</w:t>
      </w:r>
      <w:r w:rsidRPr="000C7549">
        <w:rPr>
          <w:rFonts w:ascii="Arial" w:hAnsi="Arial" w:cs="Arial"/>
          <w:color w:val="000000" w:themeColor="text1"/>
        </w:rPr>
        <w:fldChar w:fldCharType="end"/>
      </w:r>
      <w:r w:rsidRPr="000C7549">
        <w:rPr>
          <w:rFonts w:ascii="Arial" w:hAnsi="Arial" w:cs="Arial"/>
          <w:color w:val="000000" w:themeColor="text1"/>
        </w:rPr>
        <w:t xml:space="preserve">. </w:t>
      </w:r>
      <w:r w:rsidR="000D3050" w:rsidRPr="000C7549">
        <w:rPr>
          <w:rFonts w:ascii="Arial" w:hAnsi="Arial" w:cs="Arial"/>
          <w:color w:val="000000" w:themeColor="text1"/>
        </w:rPr>
        <w:t>T</w:t>
      </w:r>
      <w:r w:rsidRPr="000C7549">
        <w:rPr>
          <w:rFonts w:ascii="Arial" w:hAnsi="Arial" w:cs="Arial"/>
          <w:color w:val="000000" w:themeColor="text1"/>
        </w:rPr>
        <w:t>he</w:t>
      </w:r>
      <w:r w:rsidR="000D3050" w:rsidRPr="000C7549">
        <w:rPr>
          <w:rFonts w:ascii="Arial" w:hAnsi="Arial" w:cs="Arial"/>
          <w:color w:val="000000" w:themeColor="text1"/>
        </w:rPr>
        <w:t>se</w:t>
      </w:r>
      <w:r w:rsidRPr="000C7549">
        <w:rPr>
          <w:rFonts w:ascii="Arial" w:hAnsi="Arial" w:cs="Arial"/>
          <w:color w:val="000000" w:themeColor="text1"/>
        </w:rPr>
        <w:t xml:space="preserve"> pollen grains are small, which also showed some association to increased protein content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{"citationID":"uUOJFV8Y","properties":{"formattedCitation":"(T. H. Roulston et al., 2000b)","plainCitation":"(T. H. Roulston et al., 2000b)","dontUpdate":true,"noteIndex":0},"citationItems":[{"id":19,"uris":["http://zotero.org/users/6034784/items/XIT3IAYR"],"uri":["http://zotero.org/users/6034784/items/XIT3IAYR"],"itemData":{"id":19,"type":"article-journal","abstract":"Pollen ranges from 2.5% to 61% protein content. Most pollen proteins are likely to be enzymes that function during pollen tube growth and subsequent fertilization, but the vast range of protein quantity may not reflect only pollen–pistil interactions. Because numerous vertebrate and invertebrate floral visitors consume pollen for protein, protein content may influence floral host choice. Additionally, many floral visitors pollinate their host plants. If protein content influences pollinator visitation, then pollinators are hypothesized to select for increased protein content of host plants. We analyzed or gleaned from the literature crude pollen protein concentrations of 377 plant species from 93 plant families. Using this database, we compared pollen protein concentration with (1) pollination mode, (2) pollen collection by bees, and (3) distance from stigma to ovule, after accounting for phylogeny through paired phylogenetic comparisons and a nested ANOVA including taxonomic rank. We found that pollen protein concentrations were highly conserved within plant genera, families, and divisions. We found that bees did not collect pollen that was unusually rich in protein, whether they pollinated or merely robbed their host plant. Plant species with vibratile pollination systems, which require visitation by pollen-collecting bees in order to transfer pollen, tended to have very protein-rich pollen, but it was not clear whether this was due to plant enhancement of pollinator rewards or to the possession of very small pollen grains. We found that zoophilous species were not statistically richer in pollen protein than anemophilous species after accounting for phylogeny, although the three most species-rich anemophilous clades surveyed were generally poor in protein. Plant genera hosting specialist pollen-collecting bees did not have particularly protein-rich pollen. Both mass of protein per pollen grain and pollen grain volume were correlated with stigma–ovule distance. We suggest that the need for growing pollen tubes probably plays a more important role in determining pollen protein content than rewarding pollinators.","container-title":"Ecological Monographs","DOI":"10.1890/0012-9615(2000)070[0617:WGPCOP]2.0.CO;2","ISSN":"1557-7015","issue":"4","language":"en","page":"617-643","source":"Wiley Online Library","title":"What Governs Protein Content of Pollen: Pollinator Preferences, Pollen–Pistil Interactions, or Phylogeny?","title-short":"What Governs Protein Content of Pollen","volume":"70","author":[{"family":"Roulston","given":"T'ai H."},{"family":"Cane","given":"James H."},{"family":"Buchmann","given":"Stephen L."}],"issued":{"date-parts":[["2000"]]}}}],"schema":"https://github.com/citation-style-language/schema/raw/master/csl-citation.json"}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themeColor="text1"/>
        </w:rPr>
        <w:t>(Roulston et al., 2000)</w:t>
      </w:r>
      <w:r w:rsidRPr="000C7549">
        <w:rPr>
          <w:rFonts w:ascii="Arial" w:hAnsi="Arial" w:cs="Arial"/>
          <w:color w:val="000000" w:themeColor="text1"/>
        </w:rPr>
        <w:fldChar w:fldCharType="end"/>
      </w:r>
      <w:r w:rsidRPr="000C7549">
        <w:rPr>
          <w:rFonts w:ascii="Arial" w:hAnsi="Arial" w:cs="Arial"/>
          <w:color w:val="000000" w:themeColor="text1"/>
        </w:rPr>
        <w:t xml:space="preserve">. </w:t>
      </w:r>
    </w:p>
    <w:p w14:paraId="79BBDA8B" w14:textId="77777777" w:rsidR="00207B01" w:rsidRPr="000C7549" w:rsidRDefault="00207B01" w:rsidP="00207B01">
      <w:pPr>
        <w:spacing w:line="480" w:lineRule="auto"/>
        <w:rPr>
          <w:rFonts w:ascii="Arial" w:hAnsi="Arial" w:cs="Arial"/>
          <w:b/>
          <w:i/>
          <w:color w:val="000000" w:themeColor="text1"/>
        </w:rPr>
      </w:pPr>
      <w:r w:rsidRPr="000C7549">
        <w:rPr>
          <w:rFonts w:ascii="Arial" w:hAnsi="Arial" w:cs="Arial"/>
          <w:b/>
          <w:i/>
        </w:rPr>
        <w:t xml:space="preserve">Specialization in Asteraceae </w:t>
      </w:r>
    </w:p>
    <w:p w14:paraId="7A370F6B" w14:textId="2E5F691E" w:rsidR="00E1554D" w:rsidRPr="000C7549" w:rsidRDefault="00207B01" w:rsidP="00BD50DC">
      <w:pPr>
        <w:spacing w:line="480" w:lineRule="auto"/>
        <w:ind w:firstLine="720"/>
        <w:rPr>
          <w:rFonts w:ascii="Arial" w:hAnsi="Arial" w:cs="Arial"/>
          <w:color w:val="000000" w:themeColor="text1"/>
        </w:rPr>
      </w:pPr>
      <w:r w:rsidRPr="000C7549">
        <w:rPr>
          <w:rFonts w:ascii="Arial" w:hAnsi="Arial" w:cs="Arial"/>
        </w:rPr>
        <w:t xml:space="preserve">The flowers of the Asteraceae family generally have compact inflorescences or flower heads. These flower heads remain open for longer </w:t>
      </w:r>
      <w:r w:rsidR="007A5C58" w:rsidRPr="000C7549">
        <w:rPr>
          <w:rFonts w:ascii="Arial" w:hAnsi="Arial" w:cs="Arial"/>
        </w:rPr>
        <w:t>periods</w:t>
      </w:r>
      <w:r w:rsidRPr="000C7549">
        <w:rPr>
          <w:rFonts w:ascii="Arial" w:hAnsi="Arial" w:cs="Arial"/>
        </w:rPr>
        <w:t xml:space="preserve">, thus supporting multiple species with varying emergences </w:t>
      </w:r>
      <w:r w:rsidRPr="000C7549">
        <w:rPr>
          <w:rFonts w:ascii="Arial" w:hAnsi="Arial" w:cs="Arial"/>
        </w:rPr>
        <w:fldChar w:fldCharType="begin"/>
      </w:r>
      <w:r w:rsidRPr="000C7549">
        <w:rPr>
          <w:rFonts w:ascii="Arial" w:hAnsi="Arial" w:cs="Arial"/>
        </w:rPr>
        <w:instrText xml:space="preserve"> ADDIN ZOTERO_ITEM CSL_CITATION {"citationID":"a1f4fisbftq","properties":{"formattedCitation":"(Neff &amp; Simpson, 1990)","plainCitation":"(Neff &amp; Simpson, 1990)","noteIndex":0},"citationItems":[{"id":955,"uris":["http://zotero.org/users/6034784/items/IZ5AKCQ3"],"uri":["http://zotero.org/users/6034784/items/IZ5AKCQ3"],"itemData":{"id":955,"type":"article-journal","container-title":"Israel Journal of Plant Sciences","issue":"1-2","note":"publisher: Brill","page":"197–216","source":"Google Scholar","title":"The roles of phenology and reward structure in the pollination biology of wild sunflower (Helianthus annuus L., Asteraceae)","volume":"39","author":[{"family":"Neff","given":"John L."},{"family":"Simpson","given":"Beryl B."}],"issued":{"date-parts":[["1990"]]}}}],"schema":"https://github.com/citation-style-language/schema/raw/master/csl-citation.json"} </w:instrText>
      </w:r>
      <w:r w:rsidRPr="000C7549">
        <w:rPr>
          <w:rFonts w:ascii="Arial" w:hAnsi="Arial" w:cs="Arial"/>
        </w:rPr>
        <w:fldChar w:fldCharType="separate"/>
      </w:r>
      <w:r w:rsidRPr="000C7549">
        <w:rPr>
          <w:rFonts w:ascii="Arial" w:hAnsi="Arial" w:cs="Arial"/>
        </w:rPr>
        <w:t>(Neff &amp; Simpson, 1990)</w:t>
      </w:r>
      <w:r w:rsidRPr="000C7549">
        <w:rPr>
          <w:rFonts w:ascii="Arial" w:hAnsi="Arial" w:cs="Arial"/>
        </w:rPr>
        <w:fldChar w:fldCharType="end"/>
      </w:r>
      <w:r w:rsidRPr="000C7549">
        <w:rPr>
          <w:rFonts w:ascii="Arial" w:hAnsi="Arial" w:cs="Arial"/>
        </w:rPr>
        <w:t>.</w:t>
      </w:r>
      <w:r w:rsidRPr="000C7549">
        <w:rPr>
          <w:rFonts w:ascii="Arial" w:hAnsi="Arial" w:cs="Arial"/>
          <w:color w:val="000000" w:themeColor="text1"/>
        </w:rPr>
        <w:t xml:space="preserve"> Although Asteraceae have an attractive floral display, there is evidence that Asteraceae pollen contains secondary defense chemistry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{"citationID":"WFMK45Kb","properties":{"formattedCitation":"(Danforth et al., 2019; Mueller &amp; Kuhlmann, 2008)","plainCitation":"(Danforth et al., 2019; Mueller &amp; Kuhlmann, 2008)","noteIndex":0},"citationItems":[{"id":490,"uris":["http://zotero.org/users/6034784/items/JH7NP8UY"],"uri":["http://zotero.org/users/6034784/items/JH7NP8UY"],"itemData":{"id":490,"type":"book","abstract":"The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id":1048,"uris":["http://zotero.org/users/6034784/items/7L73QIN7"],"uri":["http://zotero.org/users/6034784/items/7L73QIN7"],"itemData":{"id":1048,"type":"article-journal","container-title":"Biological Journal of the Linnean Society","issue":"4","note":"publisher: Oxford University Press","page":"719–733","source":"Google Scholar","title":"Pollen hosts of western palaearctic bees of the genus Colletes (Hymenoptera: Colletidae): the Asteraceae paradox","title-short":"Pollen hosts of western palaearctic bees of the genus Colletes (Hymenoptera","volume":"95","author":[{"family":"Mueller","given":"Andreas"},{"family":"Kuhlmann","given":"Michael"}],"issued":{"date-parts":[["2008"]]}}}],"schema":"https://github.com/citation-style-language/schema/raw/master/csl-citation.json"}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(Danforth et al., 2019; Mueller &amp; Kuhlmann, 2008)</w:t>
      </w:r>
      <w:r w:rsidRPr="000C7549">
        <w:rPr>
          <w:rFonts w:ascii="Arial" w:hAnsi="Arial" w:cs="Arial"/>
          <w:color w:val="000000" w:themeColor="text1"/>
        </w:rPr>
        <w:fldChar w:fldCharType="end"/>
      </w:r>
      <w:r w:rsidR="0040203D" w:rsidRPr="000C7549">
        <w:rPr>
          <w:rFonts w:ascii="Arial" w:hAnsi="Arial" w:cs="Arial"/>
          <w:color w:val="000000" w:themeColor="text1"/>
        </w:rPr>
        <w:t>.</w:t>
      </w:r>
      <w:r w:rsidRPr="000C7549">
        <w:rPr>
          <w:rFonts w:ascii="Arial" w:hAnsi="Arial" w:cs="Arial"/>
          <w:color w:val="000000" w:themeColor="text1"/>
        </w:rPr>
        <w:t xml:space="preserve"> This means their pollen is toxic or provides very low nutritional value for generalist bees. </w:t>
      </w:r>
      <w:r w:rsidR="0040203D" w:rsidRPr="000C7549">
        <w:rPr>
          <w:rFonts w:ascii="Arial" w:hAnsi="Arial" w:cs="Arial"/>
          <w:color w:val="000000" w:themeColor="text1"/>
        </w:rPr>
        <w:t>Despite the observed toxicity, g</w:t>
      </w:r>
      <w:r w:rsidRPr="000C7549">
        <w:rPr>
          <w:rFonts w:ascii="Arial" w:hAnsi="Arial" w:cs="Arial"/>
          <w:color w:val="000000" w:themeColor="text1"/>
        </w:rPr>
        <w:t xml:space="preserve">eneralist bees regularly mix different pollen types, which may allow them to consume some toxic pollen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{"citationID":"KmfEcspk","properties":{"formattedCitation":"(Danforth et al., 2019)","plainCitation":"(Danforth et al., 2019)","noteIndex":0},"citationItems":[{"id":490,"uris":["http://zotero.org/users/6034784/items/JH7NP8UY"],"uri":["http://zotero.org/users/6034784/items/JH7NP8UY"],"itemData":{"id":490,"type":"book","abstract":"The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(Danforth et al., 2019)</w:t>
      </w:r>
      <w:r w:rsidRPr="000C7549">
        <w:rPr>
          <w:rFonts w:ascii="Arial" w:hAnsi="Arial" w:cs="Arial"/>
          <w:color w:val="000000" w:themeColor="text1"/>
        </w:rPr>
        <w:fldChar w:fldCharType="end"/>
      </w:r>
      <w:r w:rsidRPr="000C7549">
        <w:rPr>
          <w:rFonts w:ascii="Arial" w:hAnsi="Arial" w:cs="Arial"/>
          <w:color w:val="000000" w:themeColor="text1"/>
        </w:rPr>
        <w:t xml:space="preserve">. </w:t>
      </w:r>
    </w:p>
    <w:p w14:paraId="2B1BDD50" w14:textId="77777777" w:rsidR="00207B01" w:rsidRPr="000C7549" w:rsidRDefault="00207B01" w:rsidP="00207B01">
      <w:pPr>
        <w:spacing w:line="480" w:lineRule="auto"/>
        <w:rPr>
          <w:rFonts w:ascii="Arial" w:hAnsi="Arial" w:cs="Arial"/>
          <w:b/>
          <w:i/>
          <w:color w:val="FF0000"/>
        </w:rPr>
      </w:pPr>
      <w:r w:rsidRPr="000C7549">
        <w:rPr>
          <w:rFonts w:ascii="Arial" w:hAnsi="Arial" w:cs="Arial"/>
          <w:b/>
          <w:i/>
          <w:color w:val="000000" w:themeColor="text1"/>
        </w:rPr>
        <w:t xml:space="preserve">Other resources collected by bees </w:t>
      </w:r>
    </w:p>
    <w:p w14:paraId="67061BB4" w14:textId="77777777" w:rsidR="00207B01" w:rsidRPr="000C7549" w:rsidRDefault="00207B01" w:rsidP="00EC3681">
      <w:pPr>
        <w:spacing w:line="480" w:lineRule="auto"/>
        <w:ind w:firstLine="720"/>
        <w:rPr>
          <w:rFonts w:ascii="Arial" w:hAnsi="Arial" w:cs="Arial"/>
          <w:color w:val="000000" w:themeColor="text1"/>
        </w:rPr>
      </w:pPr>
      <w:r w:rsidRPr="000C7549">
        <w:rPr>
          <w:rFonts w:ascii="Arial" w:hAnsi="Arial" w:cs="Arial"/>
          <w:color w:val="000000" w:themeColor="text1"/>
        </w:rPr>
        <w:t xml:space="preserve">Genera from the bee families Apidae and Megachilidae often forage for plant material to serve as a nest lining. Some materials include leaves, resins, trichomes, or floral oils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{"citationID":"FDlk9EfM","properties":{"formattedCitation":"(Danforth et al., 2019)","plainCitation":"(Danforth et al., 2019)","noteIndex":0},"citationItems":[{"id":490,"uris":["http://zotero.org/users/6034784/items/JH7NP8UY"],"uri":["http://zotero.org/users/6034784/items/JH7NP8UY"],"itemData":{"id":490,"type":"book","abstract":"The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(Danforth et al., 2019)</w:t>
      </w:r>
      <w:r w:rsidRPr="000C7549">
        <w:rPr>
          <w:rFonts w:ascii="Arial" w:hAnsi="Arial" w:cs="Arial"/>
          <w:color w:val="000000" w:themeColor="text1"/>
        </w:rPr>
        <w:fldChar w:fldCharType="end"/>
      </w:r>
      <w:r w:rsidRPr="000C7549">
        <w:rPr>
          <w:rFonts w:ascii="Arial" w:hAnsi="Arial" w:cs="Arial"/>
          <w:color w:val="000000" w:themeColor="text1"/>
        </w:rPr>
        <w:t xml:space="preserve">. These plant materials increase bee fitness by protecting developing offspring. For example, resin serves as brood nest construction material providing waterproof, antibiotic, and hardening properties. </w:t>
      </w:r>
    </w:p>
    <w:p w14:paraId="7022FA5D" w14:textId="3134B627" w:rsidR="00207B01" w:rsidRPr="000C7549" w:rsidRDefault="00207B01" w:rsidP="005E6851">
      <w:pPr>
        <w:spacing w:line="480" w:lineRule="auto"/>
        <w:ind w:firstLine="720"/>
        <w:rPr>
          <w:rFonts w:ascii="Arial" w:hAnsi="Arial" w:cs="Arial"/>
        </w:rPr>
      </w:pPr>
      <w:r w:rsidRPr="000C7549">
        <w:rPr>
          <w:rFonts w:ascii="Arial" w:hAnsi="Arial" w:cs="Arial"/>
          <w:color w:val="000000" w:themeColor="text1"/>
        </w:rPr>
        <w:t xml:space="preserve">Leaves are also used in nest construction, mainly by </w:t>
      </w:r>
      <w:r w:rsidRPr="000C7549">
        <w:rPr>
          <w:rFonts w:ascii="Arial" w:hAnsi="Arial" w:cs="Arial"/>
          <w:i/>
          <w:color w:val="000000" w:themeColor="text1"/>
        </w:rPr>
        <w:t>Megachile</w:t>
      </w:r>
      <w:r w:rsidRPr="000C7549">
        <w:rPr>
          <w:rFonts w:ascii="Arial" w:hAnsi="Arial" w:cs="Arial"/>
          <w:color w:val="000000" w:themeColor="text1"/>
        </w:rPr>
        <w:t xml:space="preserve"> and Osmiini. Leaves may be transferred whole, cut, or even masticated into a paste. Unlike unchewed leaves, leaf paste forms a wall between brood cells or as a wall at either end of the nest. Species in the </w:t>
      </w:r>
      <w:r w:rsidRPr="000C7549">
        <w:rPr>
          <w:rFonts w:ascii="Arial" w:hAnsi="Arial" w:cs="Arial"/>
          <w:i/>
          <w:iCs/>
          <w:color w:val="000000" w:themeColor="text1"/>
        </w:rPr>
        <w:t>Megachilidae</w:t>
      </w:r>
      <w:r w:rsidRPr="000C7549">
        <w:rPr>
          <w:rFonts w:ascii="Arial" w:hAnsi="Arial" w:cs="Arial"/>
          <w:color w:val="000000" w:themeColor="text1"/>
        </w:rPr>
        <w:t xml:space="preserve"> may also use flower petals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{"citationID":"EhLOM3my","properties":{"formattedCitation":"(Bohart &amp; Youssef, 1972; Michener, 1953)","plainCitation":"(Bohart &amp; Youssef, 1972; Michener, 1953)","noteIndex":0},"citationItems":[{"id":663,"uris":["http://zotero.org/users/6034784/items/SKCUBG7W"],"uri":["http://zotero.org/users/6034784/items/SKCUBG7W"],"itemData":{"id":663,"type":"article-journal","container-title":"Transactions of the Royal Entomological Society of London","DOI":"https://doi.org/10.1111/j.1365-2311.1972.tb00356.x","ISSN":"1365-2311","issue":"1","language":"en","note":"_eprint: https://onlinelibrary.wiley.com/doi/pdf/10.1111/j.1365-2311.1972.tb00356.x","page":"1-19","source":"Wiley Online Library","title":"Notes on the biology of Megachile (Megachiloides) umatillensis Mitchell (Hymenoptera: Megachilidae) and its parasites","title-short":"Notes on the biology of Megachile (Megachiloides) umatillensis Mitchell (Hymenoptera","volume":"124","author":[{"family":"Bohart","given":"George E."},{"family":"Youssef","given":"Nabil N."}],"issued":{"date-parts":[["1972"]]}}},{"id":661,"uris":["http://zotero.org/users/6034784/items/KCSITWEG"],"uri":["http://zotero.org/users/6034784/items/KCSITWEG"],"itemData":{"id":661,"type":"article-journal","language":"en","source":"Zotero","title":"The Biology of a Leafcutter Bee (Megachile brevis) and Its Associates","author":[{"family":"Michener","given":"Charles D"}],"issued":{"date-parts":[["1953"]]}}}],"schema":"https://github.com/citation-style-language/schema/raw/master/csl-citation.json"}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 xml:space="preserve">(Bohart &amp; Youssef, </w:t>
      </w:r>
      <w:r w:rsidRPr="000C7549">
        <w:rPr>
          <w:rFonts w:ascii="Arial" w:hAnsi="Arial" w:cs="Arial"/>
          <w:noProof/>
          <w:color w:val="000000" w:themeColor="text1"/>
        </w:rPr>
        <w:lastRenderedPageBreak/>
        <w:t>1972; Michener, 1953)</w:t>
      </w:r>
      <w:r w:rsidRPr="000C7549">
        <w:rPr>
          <w:rFonts w:ascii="Arial" w:hAnsi="Arial" w:cs="Arial"/>
          <w:color w:val="000000" w:themeColor="text1"/>
        </w:rPr>
        <w:fldChar w:fldCharType="end"/>
      </w:r>
      <w:r w:rsidRPr="000C7549">
        <w:rPr>
          <w:rFonts w:ascii="Arial" w:hAnsi="Arial" w:cs="Arial"/>
          <w:color w:val="000000" w:themeColor="text1"/>
        </w:rPr>
        <w:t xml:space="preserve"> or even plastic bags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{"citationID":"pUeU6D7P","properties":{"formattedCitation":"(MacIvor &amp; Moore, 2013)","plainCitation":"(MacIvor &amp; Moore, 2013)","noteIndex":0},"citationItems":[{"id":1051,"uris":["http://zotero.org/users/6034784/items/B5SEWCQD"],"uri":["http://zotero.org/users/6034784/items/B5SEWCQD"],"itemData":{"id":1051,"type":"article-journal","container-title":"Ecosphere","issue":"12","note":"publisher: Wiley Online Library","page":"1–6","source":"Google Scholar","title":"Bees collect polyurethane and polyethylene plastics as novel nest materials","volume":"4","author":[{"family":"MacIvor","given":"J. Scott"},{"family":"Moore","given":"Andrew E."}],"issued":{"date-parts":[["2013"]]}}}],"schema":"https://github.com/citation-style-language/schema/raw/master/csl-citation.json"}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(MacIvor &amp; Moore, 2013)</w:t>
      </w:r>
      <w:r w:rsidRPr="000C7549">
        <w:rPr>
          <w:rFonts w:ascii="Arial" w:hAnsi="Arial" w:cs="Arial"/>
          <w:color w:val="000000" w:themeColor="text1"/>
        </w:rPr>
        <w:fldChar w:fldCharType="end"/>
      </w:r>
      <w:r w:rsidRPr="000C7549">
        <w:rPr>
          <w:rFonts w:ascii="Arial" w:hAnsi="Arial" w:cs="Arial"/>
          <w:color w:val="000000" w:themeColor="text1"/>
        </w:rPr>
        <w:t xml:space="preserve"> to line their nest cells.  </w:t>
      </w:r>
    </w:p>
    <w:p w14:paraId="08EBC7D6" w14:textId="77777777" w:rsidR="00207B01" w:rsidRPr="000C7549" w:rsidRDefault="00207B01" w:rsidP="00207B01">
      <w:pPr>
        <w:pStyle w:val="Heading1"/>
        <w:spacing w:line="480" w:lineRule="auto"/>
      </w:pPr>
      <w:bookmarkStart w:id="7" w:name="_Toc289175825"/>
    </w:p>
    <w:p w14:paraId="585E0E91" w14:textId="77777777" w:rsidR="00207B01" w:rsidRPr="000C7549" w:rsidRDefault="00207B01" w:rsidP="00207B01">
      <w:pPr>
        <w:rPr>
          <w:rFonts w:ascii="Arial" w:hAnsi="Arial" w:cs="Arial"/>
          <w:b/>
          <w:bCs/>
          <w:caps/>
          <w:sz w:val="28"/>
        </w:rPr>
      </w:pPr>
      <w:r w:rsidRPr="000C7549">
        <w:rPr>
          <w:rFonts w:ascii="Arial" w:hAnsi="Arial" w:cs="Arial"/>
        </w:rPr>
        <w:br w:type="page"/>
      </w:r>
    </w:p>
    <w:p w14:paraId="2B61C8DD" w14:textId="77777777" w:rsidR="00207B01" w:rsidRPr="000C7549" w:rsidRDefault="00207B01" w:rsidP="00207B01">
      <w:pPr>
        <w:pStyle w:val="Heading1"/>
        <w:spacing w:line="480" w:lineRule="auto"/>
      </w:pPr>
      <w:bookmarkStart w:id="8" w:name="_Toc76799696"/>
      <w:r w:rsidRPr="000C7549">
        <w:lastRenderedPageBreak/>
        <w:t>CHAPTER II</w:t>
      </w:r>
      <w:r w:rsidRPr="000C7549">
        <w:br/>
      </w:r>
      <w:bookmarkEnd w:id="7"/>
      <w:r w:rsidRPr="000C7549">
        <w:rPr>
          <w:caps w:val="0"/>
        </w:rPr>
        <w:t>USING NATIVE PERENNIALS TO CHARACTERIZE POLLINATOR COMMUNITIES IN EAST TENNESSEE</w:t>
      </w:r>
      <w:bookmarkEnd w:id="8"/>
    </w:p>
    <w:p w14:paraId="6163873F" w14:textId="77777777" w:rsidR="00207B01" w:rsidRPr="000C7549" w:rsidRDefault="00207B01" w:rsidP="00207B01">
      <w:pPr>
        <w:spacing w:line="480" w:lineRule="auto"/>
        <w:rPr>
          <w:rFonts w:ascii="Arial" w:hAnsi="Arial" w:cs="Arial"/>
        </w:rPr>
      </w:pPr>
    </w:p>
    <w:p w14:paraId="4248683C" w14:textId="77777777" w:rsidR="00207B01" w:rsidRPr="000C7549" w:rsidRDefault="00207B01" w:rsidP="00207B01">
      <w:pPr>
        <w:pStyle w:val="Heading3"/>
        <w:spacing w:line="480" w:lineRule="auto"/>
      </w:pPr>
      <w:r w:rsidRPr="000C7549">
        <w:br w:type="page"/>
      </w:r>
    </w:p>
    <w:p w14:paraId="6ED3924C" w14:textId="77777777" w:rsidR="00207B01" w:rsidRPr="000C7549" w:rsidRDefault="00207B01" w:rsidP="00207B01">
      <w:pPr>
        <w:pStyle w:val="Heading2"/>
        <w:spacing w:line="480" w:lineRule="auto"/>
      </w:pPr>
      <w:bookmarkStart w:id="9" w:name="_Toc289175826"/>
      <w:bookmarkStart w:id="10" w:name="_Toc76799697"/>
      <w:r w:rsidRPr="000C7549">
        <w:lastRenderedPageBreak/>
        <w:t>Abstract</w:t>
      </w:r>
      <w:bookmarkEnd w:id="9"/>
      <w:bookmarkEnd w:id="10"/>
    </w:p>
    <w:p w14:paraId="45A058E8" w14:textId="6BBA6834" w:rsidR="00207B01" w:rsidRPr="000C7549" w:rsidRDefault="00207B01" w:rsidP="00EC3681">
      <w:pPr>
        <w:numPr>
          <w:ilvl w:val="12"/>
          <w:numId w:val="0"/>
        </w:numPr>
        <w:spacing w:line="480" w:lineRule="auto"/>
        <w:ind w:firstLine="720"/>
        <w:rPr>
          <w:rFonts w:ascii="Arial" w:hAnsi="Arial" w:cs="Arial"/>
        </w:rPr>
      </w:pPr>
      <w:bookmarkStart w:id="11" w:name="_Toc289175827"/>
      <w:r w:rsidRPr="000C7549">
        <w:rPr>
          <w:rFonts w:ascii="Arial" w:hAnsi="Arial" w:cs="Arial"/>
        </w:rPr>
        <w:t xml:space="preserve">Native perennial plantings are an example of a popular, multidisciplinary approach to pollinator conservation. These plants can provide habitat, pollen, and nectar to native and non-native insects, thereby promoting their abundance and diversity. Because little is known about insect pollinators in East Tennessee or their forage preferences, few guidelines are available for such conservation plantings. To better understand these plant-pollinator interactions, we established long-term communities of native Tennessee plants representing three families: Asteraceae, Fabaceae, and Lamiaceae. At five research sites, we planted four research plots. Each of the three plant families was represented by a plot with six species, and we included a fourth plot with two species of each of the three families (Mixed plot). Throughout each flowering period, we evaluated the relative attractiveness of each species and estimated pollinator visitation rates to their inflorescences. Over two years, we collected nearly 7,300 total insect specimens; more than 4,500 were wild bees representing 99 species. We found the most attractive plant, in terms of visitation rate (number of floral visitors per unit floral area per unit time), to be </w:t>
      </w:r>
      <w:r w:rsidRPr="000C7549">
        <w:rPr>
          <w:rFonts w:ascii="Arial" w:hAnsi="Arial" w:cs="Arial"/>
          <w:i/>
        </w:rPr>
        <w:t>Pycnanthemum muticum</w:t>
      </w:r>
      <w:r w:rsidRPr="000C7549">
        <w:rPr>
          <w:rFonts w:ascii="Arial" w:hAnsi="Arial" w:cs="Arial"/>
        </w:rPr>
        <w:t xml:space="preserve">. Among the different plot types, the Mixed plot (containing two species of each plant family) received the highest average visitation rate. Our results demonstrate that native plants can be utilized for pollinator conservation across multiple land use types. </w:t>
      </w:r>
      <w:r w:rsidRPr="000C7549">
        <w:rPr>
          <w:rFonts w:ascii="Arial" w:hAnsi="Arial" w:cs="Arial"/>
        </w:rPr>
        <w:br/>
      </w:r>
    </w:p>
    <w:p w14:paraId="337F9A51" w14:textId="77777777" w:rsidR="00207B01" w:rsidRPr="000C7549" w:rsidRDefault="00207B01" w:rsidP="00207B01">
      <w:pPr>
        <w:numPr>
          <w:ilvl w:val="12"/>
          <w:numId w:val="0"/>
        </w:numPr>
        <w:spacing w:line="480" w:lineRule="auto"/>
        <w:rPr>
          <w:rFonts w:ascii="Arial" w:hAnsi="Arial" w:cs="Arial"/>
        </w:rPr>
      </w:pPr>
    </w:p>
    <w:p w14:paraId="414FEDB1" w14:textId="77777777" w:rsidR="00207B01" w:rsidRPr="000C7549" w:rsidRDefault="00207B01" w:rsidP="00207B01">
      <w:pPr>
        <w:pStyle w:val="Heading2"/>
        <w:spacing w:line="480" w:lineRule="auto"/>
      </w:pPr>
      <w:bookmarkStart w:id="12" w:name="_Toc76799698"/>
      <w:bookmarkEnd w:id="11"/>
      <w:r w:rsidRPr="000C7549">
        <w:lastRenderedPageBreak/>
        <w:t>Introduction</w:t>
      </w:r>
      <w:bookmarkEnd w:id="12"/>
    </w:p>
    <w:p w14:paraId="325E7818" w14:textId="3ABD324E" w:rsidR="00207B01" w:rsidRPr="000C7549" w:rsidRDefault="00207B01" w:rsidP="00EC3681">
      <w:pPr>
        <w:spacing w:line="480" w:lineRule="auto"/>
        <w:ind w:firstLine="720"/>
        <w:rPr>
          <w:rFonts w:ascii="Arial" w:hAnsi="Arial" w:cs="Arial"/>
        </w:rPr>
      </w:pPr>
      <w:r w:rsidRPr="000C7549">
        <w:rPr>
          <w:rFonts w:ascii="Arial" w:hAnsi="Arial" w:cs="Arial"/>
          <w:bCs/>
          <w:color w:val="000000" w:themeColor="text1"/>
        </w:rPr>
        <w:t xml:space="preserve">Over time, land use has become more specialized into one management type, for example, row crop or pasture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{"citationID":"pXjHSISZ","properties":{"formattedCitation":"(Benton et al., 2003)","plainCitation":"(Benton et al., 2003)","noteIndex":0},"citationItems":[{"id":820,"uris":["http://zotero.org/users/6034784/items/NXNVEN38"],"uri":["http://zotero.org/users/6034784/items/NXNVEN38"],"itemData":{"id":820,"type":"article-journal","abstract":"Agricultural intensification has led to a widespread decline in farmland biodiversity measured across many different taxa. The changes in agricultural practices affect many different aspects of the farmland habitat, but agricultural industry, policy and much previous research has tended to be concerned with specific sectors or practices (e.g. pesticide use or cereal husbandry). Here, we review the empirical literature to synthesize the research effort that has been directed to investigate specific practices or goals to make general statements regarding the causes and consequences of farmland biodiversity decline. We argue that the loss of ecological heterogeneity at multiple spatial and temporal scales is a universal consequence of multivariate agricultural intensification and, therefore, that future research should develop cross-cutting policy frameworks and management solutions that recreate that heterogeneity as the key to restoring and sustaining biodiversity in temperate agricultural systems.","container-title":"Trends in Ecology &amp; Evolution","DOI":"10.1016/S0169-5347(03)00011-9","ISSN":"0169-5347","issue":"4","journalAbbreviation":"Trends in Ecology &amp; Evolution","language":"en","page":"182-188","source":"ScienceDirect","title":"Farmland biodiversity: is habitat heterogeneity the key?","title-short":"Farmland biodiversity","volume":"18","author":[{"family":"Benton","given":"Tim G."},{"family":"Vickery","given":"Juliet A."},{"family":"Wilson","given":"Jeremy D."}],"issued":{"date-parts":[["2003",4,1]]}}}],"schema":"https://github.com/citation-style-language/schema/raw/master/csl-citation.json"}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(Benton et al., 2003)</w:t>
      </w:r>
      <w:r w:rsidRPr="000C7549">
        <w:rPr>
          <w:rFonts w:ascii="Arial" w:hAnsi="Arial" w:cs="Arial"/>
          <w:bCs/>
          <w:color w:val="000000" w:themeColor="text1"/>
        </w:rPr>
        <w:fldChar w:fldCharType="end"/>
      </w:r>
      <w:r w:rsidRPr="000C7549">
        <w:rPr>
          <w:rFonts w:ascii="Arial" w:hAnsi="Arial" w:cs="Arial"/>
          <w:bCs/>
          <w:color w:val="000000" w:themeColor="text1"/>
        </w:rPr>
        <w:t xml:space="preserve">. As farms have become larger, land use diversity has decreased, and the landscape has become more homogenized, sometimes including large acreages of monocultures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{"citationID":"Qd8ZRvcj","properties":{"formattedCitation":"(Robinson &amp; Sutherland, 2002)","plainCitation":"(Robinson &amp; Sutherland, 2002)","noteIndex":0},"citationItems":[{"id":829,"uris":["http://zotero.org/users/6034784/items/FK9HMJZQ"],"uri":["http://zotero.org/users/6034784/items/FK9HMJZQ"],"itemData":{"id":829,"type":"article-journal","abstract":"1 Agriculture represents the dominant land use throughout much of western Europe, and a significant part of European biodiversity is associated with this habitat. We attempted to quantify the changes in agriculture and biodiversity in Britain since the 1940s. 2 There have been widespread declines in the populations of many groups of organisms associated with farmland in Britain and north-west Europe. The declines have been particularly marked amongst habitat specialists; many of the taxa still common on farmland are habitat generalists. 3 Farming practices have become increasingly intensive in the post-war period, with a dramatic reduction in landscape diversity. Since 1945, there has been a 65% decline in the number of farms, a 77% decline in farm labour and an almost fourfold increase in yield. Farms have become more specialized; the greatly increased use of machinery has made operations quicker and more efficient, but has resulted in the removal of 50% of the hedgerow stock. Autumn sowing of crops has become predominant, with winter stubbles now far less prevalent. The number and extent of chemical applications has increased greatly, but the net amount applied, and their persistence, has decreased in recent years. 4 Intensification has had a wide range of impacts on biodiversity, but data for many taxa are too scarce to permit a detailed assessment of the factors involved. Reduction in habitat diversity was important in the 1950s and 1960s; reduction in habitat quality is probably more important now. 5 As a case study, the declines in populations of seed-eating birds populations were assessed in relation to changing agricultural management. Generally, the declines were likely to be caused by a reduced food supply in the non-breeding season, although other factors may be important for particular species. 6 Agriculture will face a number of challenges in the medium term. While research into the mechanisms underlying species and habitat associations, and their interaction with scale, will be critical in under-pinning management, consideration of farmer attitudes and socio-economic factors is likely to be as important. Biodiversity may benefit from integrated farming techniques but these need to incorporate environmental objectives explicitly, rather than as a fringe benefit.","container-title":"Journal of Applied Ecology","DOI":"https://doi.org/10.1046/j.1365-2664.2002.00695.x","ISSN":"1365-2664","issue":"1","language":"en","note":"_eprint: https://besjournals.onlinelibrary.wiley.com/doi/pdf/10.1046/j.1365-2664.2002.00695.x","page":"157-176","source":"Wiley Online Library","title":"Post-war changes in arable farming and biodiversity in Great Britain","volume":"39","author":[{"family":"Robinson","given":"Robert A."},{"family":"Sutherland","given":"William J."}],"issued":{"date-parts":[["2002"]]}}}],"schema":"https://github.com/citation-style-language/schema/raw/master/csl-citation.json"}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(Robinson &amp; Sutherland, 2002)</w:t>
      </w:r>
      <w:r w:rsidRPr="000C7549">
        <w:rPr>
          <w:rFonts w:ascii="Arial" w:hAnsi="Arial" w:cs="Arial"/>
          <w:bCs/>
          <w:color w:val="000000" w:themeColor="text1"/>
        </w:rPr>
        <w:fldChar w:fldCharType="end"/>
      </w:r>
      <w:r w:rsidRPr="000C7549">
        <w:rPr>
          <w:rFonts w:ascii="Arial" w:hAnsi="Arial" w:cs="Arial"/>
          <w:bCs/>
          <w:color w:val="000000" w:themeColor="text1"/>
        </w:rPr>
        <w:t xml:space="preserve">. Before the introduction of synthetic weed and pest controls, mixed crop varieties and tillage were common control measures, but modern machinery and attempts to maximize yield and efficiency have led to simplified crop rotations and reduced crop diversity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{"citationID":"9U1OWOx9","properties":{"formattedCitation":"(Robinson &amp; Sutherland, 2002)","plainCitation":"(Robinson &amp; Sutherland, 2002)","noteIndex":0},"citationItems":[{"id":829,"uris":["http://zotero.org/users/6034784/items/FK9HMJZQ"],"uri":["http://zotero.org/users/6034784/items/FK9HMJZQ"],"itemData":{"id":829,"type":"article-journal","abstract":"1 Agriculture represents the dominant land use throughout much of western Europe, and a significant part of European biodiversity is associated with this habitat. We attempted to quantify the changes in agriculture and biodiversity in Britain since the 1940s. 2 There have been widespread declines in the populations of many groups of organisms associated with farmland in Britain and north-west Europe. The declines have been particularly marked amongst habitat specialists; many of the taxa still common on farmland are habitat generalists. 3 Farming practices have become increasingly intensive in the post-war period, with a dramatic reduction in landscape diversity. Since 1945, there has been a 65% decline in the number of farms, a 77% decline in farm labour and an almost fourfold increase in yield. Farms have become more specialized; the greatly increased use of machinery has made operations quicker and more efficient, but has resulted in the removal of 50% of the hedgerow stock. Autumn sowing of crops has become predominant, with winter stubbles now far less prevalent. The number and extent of chemical applications has increased greatly, but the net amount applied, and their persistence, has decreased in recent years. 4 Intensification has had a wide range of impacts on biodiversity, but data for many taxa are too scarce to permit a detailed assessment of the factors involved. Reduction in habitat diversity was important in the 1950s and 1960s; reduction in habitat quality is probably more important now. 5 As a case study, the declines in populations of seed-eating birds populations were assessed in relation to changing agricultural management. Generally, the declines were likely to be caused by a reduced food supply in the non-breeding season, although other factors may be important for particular species. 6 Agriculture will face a number of challenges in the medium term. While research into the mechanisms underlying species and habitat associations, and their interaction with scale, will be critical in under-pinning management, consideration of farmer attitudes and socio-economic factors is likely to be as important. Biodiversity may benefit from integrated farming techniques but these need to incorporate environmental objectives explicitly, rather than as a fringe benefit.","container-title":"Journal of Applied Ecology","DOI":"https://doi.org/10.1046/j.1365-2664.2002.00695.x","ISSN":"1365-2664","issue":"1","language":"en","note":"_eprint: https://besjournals.onlinelibrary.wiley.com/doi/pdf/10.1046/j.1365-2664.2002.00695.x","page":"157-176","source":"Wiley Online Library","title":"Post-war changes in arable farming and biodiversity in Great Britain","volume":"39","author":[{"family":"Robinson","given":"Robert A."},{"family":"Sutherland","given":"William J."}],"issued":{"date-parts":[["2002"]]}}}],"schema":"https://github.com/citation-style-language/schema/raw/master/csl-citation.json"}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(Robinson &amp; Sutherland, 2002)</w:t>
      </w:r>
      <w:r w:rsidRPr="000C7549">
        <w:rPr>
          <w:rFonts w:ascii="Arial" w:hAnsi="Arial" w:cs="Arial"/>
          <w:bCs/>
          <w:color w:val="000000" w:themeColor="text1"/>
        </w:rPr>
        <w:fldChar w:fldCharType="end"/>
      </w:r>
      <w:r w:rsidRPr="000C7549">
        <w:rPr>
          <w:rFonts w:ascii="Arial" w:hAnsi="Arial" w:cs="Arial"/>
          <w:bCs/>
          <w:color w:val="000000" w:themeColor="text1"/>
        </w:rPr>
        <w:t>. Overall, modern agricultur</w:t>
      </w:r>
      <w:r w:rsidR="00FB5E96">
        <w:rPr>
          <w:rFonts w:ascii="Arial" w:hAnsi="Arial" w:cs="Arial"/>
          <w:bCs/>
          <w:color w:val="000000" w:themeColor="text1"/>
        </w:rPr>
        <w:t>al</w:t>
      </w:r>
      <w:r w:rsidRPr="000C7549">
        <w:rPr>
          <w:rFonts w:ascii="Arial" w:hAnsi="Arial" w:cs="Arial"/>
          <w:bCs/>
          <w:color w:val="000000" w:themeColor="text1"/>
        </w:rPr>
        <w:t xml:space="preserve"> practices promote spatial and temporal uniformity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{"citationID":"PM3dFV86","properties":{"formattedCitation":"(Benton et al., 2003)","plainCitation":"(Benton et al., 2003)","noteIndex":0},"citationItems":[{"id":820,"uris":["http://zotero.org/users/6034784/items/NXNVEN38"],"uri":["http://zotero.org/users/6034784/items/NXNVEN38"],"itemData":{"id":820,"type":"article-journal","abstract":"Agricultural intensification has led to a widespread decline in farmland biodiversity measured across many different taxa. The changes in agricultural practices affect many different aspects of the farmland habitat, but agricultural industry, policy and much previous research has tended to be concerned with specific sectors or practices (e.g. pesticide use or cereal husbandry). Here, we review the empirical literature to synthesize the research effort that has been directed to investigate specific practices or goals to make general statements regarding the causes and consequences of farmland biodiversity decline. We argue that the loss of ecological heterogeneity at multiple spatial and temporal scales is a universal consequence of multivariate agricultural intensification and, therefore, that future research should develop cross-cutting policy frameworks and management solutions that recreate that heterogeneity as the key to restoring and sustaining biodiversity in temperate agricultural systems.","container-title":"Trends in Ecology &amp; Evolution","DOI":"10.1016/S0169-5347(03)00011-9","ISSN":"0169-5347","issue":"4","journalAbbreviation":"Trends in Ecology &amp; Evolution","language":"en","page":"182-188","source":"ScienceDirect","title":"Farmland biodiversity: is habitat heterogeneity the key?","title-short":"Farmland biodiversity","volume":"18","author":[{"family":"Benton","given":"Tim G."},{"family":"Vickery","given":"Juliet A."},{"family":"Wilson","given":"Jeremy D."}],"issued":{"date-parts":[["2003",4,1]]}}}],"schema":"https://github.com/citation-style-language/schema/raw/master/csl-citation.json"}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(Benton et al., 2003)</w:t>
      </w:r>
      <w:r w:rsidRPr="000C7549">
        <w:rPr>
          <w:rFonts w:ascii="Arial" w:hAnsi="Arial" w:cs="Arial"/>
          <w:bCs/>
          <w:color w:val="000000" w:themeColor="text1"/>
        </w:rPr>
        <w:fldChar w:fldCharType="end"/>
      </w:r>
      <w:r w:rsidRPr="000C7549">
        <w:rPr>
          <w:rFonts w:ascii="Arial" w:hAnsi="Arial" w:cs="Arial"/>
          <w:bCs/>
          <w:color w:val="000000" w:themeColor="text1"/>
        </w:rPr>
        <w:t xml:space="preserve">. Both the duration of land use in agricultural production, as well as the spatial extent of the intensive agricultural land use have increased over time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{"citationID":"yelJeFvi","properties":{"formattedCitation":"(Benton et al., 2003)","plainCitation":"(Benton et al., 2003)","noteIndex":0},"citationItems":[{"id":820,"uris":["http://zotero.org/users/6034784/items/NXNVEN38"],"uri":["http://zotero.org/users/6034784/items/NXNVEN38"],"itemData":{"id":820,"type":"article-journal","abstract":"Agricultural intensification has led to a widespread decline in farmland biodiversity measured across many different taxa. The changes in agricultural practices affect many different aspects of the farmland habitat, but agricultural industry, policy and much previous research has tended to be concerned with specific sectors or practices (e.g. pesticide use or cereal husbandry). Here, we review the empirical literature to synthesize the research effort that has been directed to investigate specific practices or goals to make general statements regarding the causes and consequences of farmland biodiversity decline. We argue that the loss of ecological heterogeneity at multiple spatial and temporal scales is a universal consequence of multivariate agricultural intensification and, therefore, that future research should develop cross-cutting policy frameworks and management solutions that recreate that heterogeneity as the key to restoring and sustaining biodiversity in temperate agricultural systems.","container-title":"Trends in Ecology &amp; Evolution","DOI":"10.1016/S0169-5347(03)00011-9","ISSN":"0169-5347","issue":"4","journalAbbreviation":"Trends in Ecology &amp; Evolution","language":"en","page":"182-188","source":"ScienceDirect","title":"Farmland biodiversity: is habitat heterogeneity the key?","title-short":"Farmland biodiversity","volume":"18","author":[{"family":"Benton","given":"Tim G."},{"family":"Vickery","given":"Juliet A."},{"family":"Wilson","given":"Jeremy D."}],"issued":{"date-parts":[["2003",4,1]]}}}],"schema":"https://github.com/citation-style-language/schema/raw/master/csl-citation.json"}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(Benton et al., 2003)</w:t>
      </w:r>
      <w:r w:rsidRPr="000C7549">
        <w:rPr>
          <w:rFonts w:ascii="Arial" w:hAnsi="Arial" w:cs="Arial"/>
          <w:bCs/>
          <w:color w:val="000000" w:themeColor="text1"/>
        </w:rPr>
        <w:fldChar w:fldCharType="end"/>
      </w:r>
      <w:r w:rsidRPr="000C7549">
        <w:rPr>
          <w:rFonts w:ascii="Arial" w:hAnsi="Arial" w:cs="Arial"/>
          <w:bCs/>
          <w:color w:val="000000" w:themeColor="text1"/>
        </w:rPr>
        <w:t xml:space="preserve">. These historical shifts have led to biodiversity loss and biotic homogenization across the globe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{"citationID":"zqraBiKr","properties":{"formattedCitation":"(Deguines et al., 2014; Freitas et al., 2009; C. Kremen et al., 2002; Tscharntke et al., 2005)","plainCitation":"(Deguines et al., 2014; Freitas et al., 2009; C. Kremen et al., 2002; Tscharntke et al., 2005)","dontUpdate":true,"noteIndex":0},"citationItems":[{"id":1020,"uris":["http://zotero.org/users/6034784/items/GRF8X8ZX"],"uri":["http://zotero.org/users/6034784/items/GRF8X8ZX"],"itemData":{"id":1020,"type":"article-journal","container-title":"Frontiers in Ecology and the Environment","issue":"4","note":"publisher: Wiley Online Library","page":"212–217","source":"Google Scholar","title":"Large-scale trade-off between agricultural intensification and crop pollination services","volume":"12","author":[{"family":"Deguines","given":"Nicolas"},{"family":"Jono","given":"Clémentine"},{"family":"Baude","given":"Mathilde"},{"family":"Henry","given":"Mickaël"},{"family":"Julliard","given":"Romain"},{"family":"Fontaine","given":"Colin"}],"issued":{"date-parts":[["2014"]]}}},{"id":1026,"uris":["http://zotero.org/users/6034784/items/GUTA8ASQ"],"uri":["http://zotero.org/users/6034784/items/GUTA8ASQ"],"itemData":{"id":1026,"type":"article-journal","abstract":"The Neotropics bee fauna is very rich with 5000 recognised species, including 33 genera (391 species) of Meliponini, but it is estimated to be at least three fold greater in species richness. Deforestation, agriculture intensiﬁcation and introduction/spread of exotic competing bee species are considered the main threats to most indigenous species, although other less obvious causes can aﬀect the populations of some bee species locally. Eﬀorts to conserve the native bee fauna include better knowledge of bee richness and diversity (standardized surveys, larger bee collections and appropriate identiﬁcation of bee species) and of their population dynamics, raising of public and policy makers’ awareness, commercial applications of bee products and services such as pollination and preservation of natural habitat.","container-title":"Apidologie","DOI":"10.1051/apido/2009012","ISSN":"0044-8435, 1297-9678","issue":"3","journalAbbreviation":"Apidologie","language":"en","page":"332-346","source":"DOI.org (Crossref)","title":"Diversity, threats and conservation of native bees in the Neotropics","volume":"40","author":[{"family":"Freitas","given":"Breno M."},{"family":"Imperatriz-Fonseca","given":"Vera Lúcia"},{"family":"Medina","given":"Luis M."},{"family":"Kleinert","given":"Astrid de Matos Peixoto"},{"family":"Galetto","given":"Leonardo"},{"family":"Nates-Parra","given":"Guiomar"},{"family":"Quezada-Euán","given":"J. Javier G."}],"issued":{"date-parts":[["2009",5]]}}},{"id":735,"uris":["http://zotero.org/users/6034784/items/ML8BXH3P"],"uri":["http://zotero.org/users/6034784/items/ML8BXH3P"],"itemData":{"id":735,"type":"article-journal","container-title":"Proceedings of the National Academy of Sciences","DOI":"10.1073/pnas.262413599","ISSN":"0027-8424, 1091-6490","issue":"26","journalAbbreviation":"Proceedings of the National Academy of Sciences","language":"en","page":"16812-16816","source":"DOI.org (Crossref)","title":"Crop pollination from native bees at risk from agricultural intensification","volume":"99","author":[{"family":"Kremen","given":"C."},{"family":"Williams","given":"N. M."},{"family":"Thorp","given":"R. W."}],"issued":{"date-parts":[["2002",12,24]]}}},{"id":743,"uris":["http://zotero.org/users/6034784/items/DJ7ZFN4V"],"uri":["http://zotero.org/users/6034784/items/DJ7ZFN4V"],"itemData":{"id":743,"type":"article-journal","abstract":"Understanding the negative and positive effects of agricultural land use for the conservation of biodiversity, and its relation to ecosystem services, needs a landscape perspective. Agriculture can contribute to the conservation of high-diversity systems, which may provide important ecosystem services such as pollination and biological control via complementarity and sampling effects. Land-use management is often focused on few species and local processes, but in dynamic, agricultural landscapes, only a diversity of insurance species may guarantee resilience (the capacity to reorganize after disturbance). Interacting species experience their surrounding landscape at different spatial scales, which influences trophic interactions. Structurally complex landscapes enhance local diversity in agroecosystems, which may compensate for local high-intensity management. Organisms with high-dispersal abilities appear to drive these biodiversity patterns and ecosystem services, because of their recolonization ability and larger resources experienced. Agri-environment schemes (incentives for farmers to benefit the environment) need to broaden their perspective and to take the different responses to schemes in simple (high impact) and complex (low impact) agricultural landscapes into account. In simple landscapes, local allocation of habitat is more important than in complex landscapes, which are in total at risk. However, little knowledge of the relative importance of local and landscape management for biodiversity and its relation to ecosystem services make reliable recommendations difficult.","container-title":"Ecology Letters","DOI":"https://doi.org/10.1111/j.1461-0248.2005.00782.x","ISSN":"1461-0248","issue":"8","language":"en","note":"_eprint: https://onlinelibrary.wiley.com/doi/pdf/10.1111/j.1461-0248.2005.00782.x","page":"857-874","source":"Wiley Online Library","title":"Landscape perspectives on agricultural intensification and biodiversity – ecosystem service management","volume":"8","author":[{"family":"Tscharntke","given":"Teja"},{"family":"Klein","given":"Alexandra M."},{"family":"Kruess","given":"Andreas"},{"family":"Steffan</w:instrText>
      </w:r>
      <w:r w:rsidRPr="000C7549">
        <w:rPr>
          <w:rFonts w:ascii="Cambria Math" w:hAnsi="Cambria Math" w:cs="Cambria Math"/>
          <w:bCs/>
          <w:color w:val="000000" w:themeColor="text1"/>
        </w:rPr>
        <w:instrText>‐</w:instrText>
      </w:r>
      <w:r w:rsidRPr="000C7549">
        <w:rPr>
          <w:rFonts w:ascii="Arial" w:hAnsi="Arial" w:cs="Arial"/>
          <w:bCs/>
          <w:color w:val="000000" w:themeColor="text1"/>
        </w:rPr>
        <w:instrText xml:space="preserve">Dewenter","given":"Ingolf"},{"family":"Thies","given":"Carsten"}],"issued":{"date-parts":[["2005"]]}}}],"schema":"https://github.com/citation-style-language/schema/raw/master/csl-citation.json"}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(Deguines et al., 2014; Freitas et al., 2009;  Kremen et al., 2002; Tscharntke et al., 2005)</w:t>
      </w:r>
      <w:r w:rsidRPr="000C7549">
        <w:rPr>
          <w:rFonts w:ascii="Arial" w:hAnsi="Arial" w:cs="Arial"/>
          <w:bCs/>
          <w:color w:val="000000" w:themeColor="text1"/>
        </w:rPr>
        <w:fldChar w:fldCharType="end"/>
      </w:r>
      <w:r w:rsidRPr="000C7549">
        <w:rPr>
          <w:rFonts w:ascii="Arial" w:hAnsi="Arial" w:cs="Arial"/>
          <w:bCs/>
          <w:color w:val="000000" w:themeColor="text1"/>
        </w:rPr>
        <w:t xml:space="preserve">. For example, the conversion of landscapes to agricultural use leads to </w:t>
      </w:r>
      <w:r w:rsidRPr="000C7549">
        <w:rPr>
          <w:rFonts w:ascii="Arial" w:hAnsi="Arial" w:cs="Arial"/>
          <w:color w:val="000000" w:themeColor="text1"/>
        </w:rPr>
        <w:t xml:space="preserve">habitat fragmentation that impacts plant species richness across longer spatial and temporal scales, and habitat loss that has more immediate and localized effects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{"citationID":"j11Ic6uM","properties":{"formattedCitation":"(Alofs et al., 2014)","plainCitation":"(Alofs et al., 2014)","noteIndex":0},"citationItems":[{"id":981,"uris":["http://zotero.org/users/6034784/items/ZX456NXE"],"uri":["http://zotero.org/users/6034784/items/ZX456NXE"],"itemData":{"id":981,"type":"article-journal","container-title":"Plant Ecology","issue":"10","note":"publisher: Springer","page":"1139–1151","source":"Google Scholar","title":"Local native plant diversity responds to habitat loss and fragmentation over different time spans and spatial scales","volume":"215","author":[{"family":"Alofs","given":"Karen M."},{"family":"González","given":"Ana V."},{"family":"Fowler","given":"Norma L."}],"issued":{"date-parts":[["2014"]]}}}],"schema":"https://github.com/citation-style-language/schema/raw/master/csl-citation.json"}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(Alofs et al., 2014)</w:t>
      </w:r>
      <w:r w:rsidRPr="000C7549">
        <w:rPr>
          <w:rFonts w:ascii="Arial" w:hAnsi="Arial" w:cs="Arial"/>
          <w:color w:val="000000" w:themeColor="text1"/>
        </w:rPr>
        <w:fldChar w:fldCharType="end"/>
      </w:r>
      <w:r w:rsidRPr="000C7549">
        <w:rPr>
          <w:rFonts w:ascii="Arial" w:hAnsi="Arial" w:cs="Arial"/>
          <w:color w:val="000000" w:themeColor="text1"/>
        </w:rPr>
        <w:t xml:space="preserve">. </w:t>
      </w:r>
      <w:r w:rsidRPr="000C7549">
        <w:rPr>
          <w:rFonts w:ascii="Arial" w:hAnsi="Arial" w:cs="Arial"/>
          <w:bCs/>
          <w:color w:val="000000" w:themeColor="text1"/>
        </w:rPr>
        <w:t xml:space="preserve">Because of this, recent conservation efforts have been directed at diversifying and supplementing </w:t>
      </w:r>
      <w:r w:rsidRPr="000C7549">
        <w:rPr>
          <w:rFonts w:ascii="Arial" w:hAnsi="Arial" w:cs="Arial"/>
        </w:rPr>
        <w:t xml:space="preserve">agricultural landscapes with communities of native plant species, with demonstrable increases in pollinator abundance in many cases </w:t>
      </w:r>
      <w:r w:rsidRPr="000C7549">
        <w:rPr>
          <w:rFonts w:ascii="Arial" w:hAnsi="Arial" w:cs="Arial"/>
        </w:rPr>
        <w:fldChar w:fldCharType="begin"/>
      </w:r>
      <w:r w:rsidRPr="000C7549">
        <w:rPr>
          <w:rFonts w:ascii="Arial" w:hAnsi="Arial" w:cs="Arial"/>
        </w:rPr>
        <w:instrText xml:space="preserve"> ADDIN ZOTERO_ITEM CSL_CITATION {"citationID":"nktIm1y3","properties":{"formattedCitation":"(Schulte et al., 2017)","plainCitation":"(Schulte et al., 2017)","noteIndex":0},"citationItems":[{"id":688,"uris":["http://zotero.org/users/6034784/items/6Y2AT2LI"],"uri":["http://zotero.org/users/6034784/items/6Y2AT2LI"],"itemData":{"id":688,"type":"article-journal","container-title":"Proceedings of the National Academy of Sciences","issue":"42","note":"publisher: National Acad Sciences","page":"11247–11252","source":"Google Scholar","title":"Prairie strips improve biodiversity and the delivery of multiple ecosystem services from corn–soybean croplands","volume":"114","author":[{"family":"Schulte","given":"Lisa A."},{"family":"Niemi","given":"Jarad"},{"family":"Helmers","given":"Matthew J."},{"family":"Liebman","given":"Matt"},{"family":"Arbuckle","given":"J. Gordon"},{"family":"James","given":"David E."},{"family":"Kolka","given":"Randall K."},{"family":"O’Neal","given":"Matthew E."},{"family":"Tomer","given":"Mark D."},{"family":"Tyndall","given":"John C."}],"issued":{"date-parts":[["2017"]]}}}],"schema":"https://github.com/citation-style-language/schema/raw/master/csl-citation.json"} </w:instrText>
      </w:r>
      <w:r w:rsidRPr="000C7549">
        <w:rPr>
          <w:rFonts w:ascii="Arial" w:hAnsi="Arial" w:cs="Arial"/>
        </w:rPr>
        <w:fldChar w:fldCharType="separate"/>
      </w:r>
      <w:r w:rsidRPr="000C7549">
        <w:rPr>
          <w:rFonts w:ascii="Arial" w:hAnsi="Arial" w:cs="Arial"/>
          <w:noProof/>
        </w:rPr>
        <w:t>(Schulte et al., 2017)</w:t>
      </w:r>
      <w:r w:rsidRPr="000C7549">
        <w:rPr>
          <w:rFonts w:ascii="Arial" w:hAnsi="Arial" w:cs="Arial"/>
        </w:rPr>
        <w:fldChar w:fldCharType="end"/>
      </w:r>
      <w:r w:rsidRPr="000C7549">
        <w:rPr>
          <w:rFonts w:ascii="Arial" w:hAnsi="Arial" w:cs="Arial"/>
        </w:rPr>
        <w:t xml:space="preserve">. </w:t>
      </w:r>
    </w:p>
    <w:p w14:paraId="4C5CE213" w14:textId="09DC31A8" w:rsidR="00EC3681" w:rsidRPr="000C7549" w:rsidRDefault="00207B01" w:rsidP="00EC3681">
      <w:pPr>
        <w:spacing w:line="480" w:lineRule="auto"/>
        <w:ind w:firstLine="720"/>
        <w:rPr>
          <w:rFonts w:ascii="Arial" w:hAnsi="Arial" w:cs="Arial"/>
        </w:rPr>
      </w:pPr>
      <w:r w:rsidRPr="000C7549">
        <w:rPr>
          <w:rFonts w:ascii="Arial" w:hAnsi="Arial" w:cs="Arial"/>
          <w:color w:val="000000" w:themeColor="text1"/>
        </w:rPr>
        <w:t xml:space="preserve">There are many threats to pollinators, but the most critical threats are those that impact habitat quality or extent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{"citationID":"Y6jXFs3C","properties":{"formattedCitation":"(Alofs et al., 2014; Carvell et al., 2006)","plainCitation":"(Alofs et al., 2014; Carvell et al., 2006)","noteIndex":0},"citationItems":[{"id":978,"uris":["http://zotero.org/users/6034784/items/663T9IGI"],"uri":["http://zotero.org/users/6034784/items/663T9IGI"],"itemData":{"id":978,"type":"article-journal","container-title":"Biological conservation","issue":"4","note":"publisher: Elsevier","page":"481–489","source":"Google Scholar","title":"Declines in forage availability for bumblebees at a national scale","volume":"132","author":[{"family":"Carvell","given":"Claire"},{"family":"Roy","given":"David B."},{"family":"Smart","given":"Simon M."},{"family":"Pywell","given":"Richard F."},{"family":"Preston","given":"Chris D."},{"family":"Goulson","given":"Dave"}],"issued":{"date-parts":[["2006"]]}}},{"id":981,"uris":["http://zotero.org/users/6034784/items/ZX456NXE"],"uri":["http://zotero.org/users/6034784/items/ZX456NXE"],"itemData":{"id":981,"type":"article-journal","container-title":"Plant Ecology","issue":"10","note":"publisher: Springer","page":"1139–1151","source":"Google Scholar","title":"Local native plant diversity responds to habitat loss and fragmentation over different time spans and spatial scales","volume":"215","author":[{"family":"Alofs","given":"Karen M."},{"family":"González","given":"Ana V."},{"family":"Fowler","given":"Norma L."}],"issued":{"date-parts":[["2014"]]}}}],"schema":"https://github.com/citation-style-language/schema/raw/master/csl-citation.json"}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(Alofs et al., 2014; Carvell et al., 2006)</w:t>
      </w:r>
      <w:r w:rsidRPr="000C7549">
        <w:rPr>
          <w:rFonts w:ascii="Arial" w:hAnsi="Arial" w:cs="Arial"/>
          <w:color w:val="000000" w:themeColor="text1"/>
        </w:rPr>
        <w:fldChar w:fldCharType="end"/>
      </w:r>
      <w:r w:rsidRPr="000C7549">
        <w:rPr>
          <w:rFonts w:ascii="Arial" w:hAnsi="Arial" w:cs="Arial"/>
          <w:color w:val="000000" w:themeColor="text1"/>
        </w:rPr>
        <w:t xml:space="preserve">. </w:t>
      </w:r>
      <w:r w:rsidRPr="000C7549">
        <w:rPr>
          <w:rFonts w:ascii="Arial" w:hAnsi="Arial" w:cs="Arial"/>
        </w:rPr>
        <w:t xml:space="preserve">Native </w:t>
      </w:r>
      <w:r w:rsidRPr="000C7549">
        <w:rPr>
          <w:rFonts w:ascii="Arial" w:hAnsi="Arial" w:cs="Arial"/>
        </w:rPr>
        <w:lastRenderedPageBreak/>
        <w:t xml:space="preserve">perennials can provide vital resources, such as pollen and nectar, and nesting </w:t>
      </w:r>
      <w:r w:rsidR="002C1DD7" w:rsidRPr="000C7549">
        <w:rPr>
          <w:rFonts w:ascii="Arial" w:hAnsi="Arial" w:cs="Arial"/>
        </w:rPr>
        <w:t>habitats</w:t>
      </w:r>
      <w:r w:rsidRPr="000C7549">
        <w:rPr>
          <w:rFonts w:ascii="Arial" w:hAnsi="Arial" w:cs="Arial"/>
        </w:rPr>
        <w:t xml:space="preserve"> for native and non-native insects </w:t>
      </w:r>
      <w:r w:rsidRPr="000C7549">
        <w:rPr>
          <w:rFonts w:ascii="Arial" w:hAnsi="Arial" w:cs="Arial"/>
        </w:rPr>
        <w:fldChar w:fldCharType="begin"/>
      </w:r>
      <w:r w:rsidRPr="000C7549">
        <w:rPr>
          <w:rFonts w:ascii="Arial" w:hAnsi="Arial" w:cs="Arial"/>
        </w:rPr>
        <w:instrText xml:space="preserve"> ADDIN ZOTERO_ITEM CSL_CITATION {"citationID":"zQEFSk1M","properties":{"formattedCitation":"(Danforth et al., 2019; Isaacs et al., 2009)","plainCitation":"(Danforth et al., 2019; Isaacs et al., 2009)","noteIndex":0},"citationItems":[{"id":490,"uris":["http://zotero.org/users/6034784/items/JH7NP8UY"],"uri":["http://zotero.org/users/6034784/items/JH7NP8UY"],"itemData":{"id":490,"type":"book","abstract":"The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id":375,"uris":["http://zotero.org/users/6034784/items/EPZRMYSG"],"uri":["http://zotero.org/users/6034784/items/EPZRMYSG"],"itemData":{"id":375,"type":"article-journal","abstract":"Beneficial arthropods, including native bees, predators, and parasitoids, provide valuable ecosystem services worth $8 billion to US agriculture each year. These arthropod-mediated ecosystem services (AMES) include crop pollination and pest control, which help to maintain agricultural productivity and reduce the need for pesticide inputs. Maximizing survival and reproduction of beneficial arthropods requires provision of pollen and nectar resources that are often scarce in modern agricultural landscapes. Increasingly, native plants are being evaluated for this purpose. Native plants can outperform recommended non-natives and also provide local adaptation, habitat permanency, and support of native biodiversity. We predict that the success of insect conservation programs using flowering plants to increase AMES on farmland will depend on landscape context, with the greatest success in landscapes of moderate complexity. Reintegration of native plants into agricultural landscapes has the potential to support multiple conservation goals, and will require the collaboration of researchers, conservation educators, and native plant experts.","container-title":"Frontiers in Ecology and the Environment","DOI":"https://doi.org/10.1890/080035","ISSN":"1540-9309","issue":"4","language":"en","note":"_eprint: https://onlinelibrary.wiley.com/doi/pdf/10.1890/080035","page":"196-203","source":"Wiley Online Library","title":"Maximizing arthropod-mediated ecosystem services in agricultural landscapes: the role of native plants","title-short":"Maximizing arthropod-mediated ecosystem services in agricultural landscapes","volume":"7","author":[{"family":"Isaacs","given":"Rufus"},{"family":"Tuell","given":"Julianna"},{"family":"Fiedler","given":"Anna"},{"family":"Gardiner","given":"Mary"},{"family":"Landis","given":"Doug"}],"issued":{"date-parts":[["2009"]]}}}],"schema":"https://github.com/citation-style-language/schema/raw/master/csl-citation.json"} </w:instrText>
      </w:r>
      <w:r w:rsidRPr="000C7549">
        <w:rPr>
          <w:rFonts w:ascii="Arial" w:hAnsi="Arial" w:cs="Arial"/>
        </w:rPr>
        <w:fldChar w:fldCharType="separate"/>
      </w:r>
      <w:r w:rsidRPr="000C7549">
        <w:rPr>
          <w:rFonts w:ascii="Arial" w:hAnsi="Arial" w:cs="Arial"/>
        </w:rPr>
        <w:t>(Danforth et al., 2019; Isaacs et al., 2009)</w:t>
      </w:r>
      <w:r w:rsidRPr="000C7549">
        <w:rPr>
          <w:rFonts w:ascii="Arial" w:hAnsi="Arial" w:cs="Arial"/>
        </w:rPr>
        <w:fldChar w:fldCharType="end"/>
      </w:r>
      <w:r w:rsidRPr="000C7549">
        <w:rPr>
          <w:rFonts w:ascii="Arial" w:hAnsi="Arial" w:cs="Arial"/>
        </w:rPr>
        <w:t xml:space="preserve">. Native plants are also ideal for establishing conservation habitat for pollinating insects because they exhibit adaptions that allow them to thrive within their native regions, including resilience to environmental conditions such as seasonal variation, soil conditions, or pest pressures. </w:t>
      </w:r>
      <w:r w:rsidR="00EC3681" w:rsidRPr="000C7549">
        <w:rPr>
          <w:rFonts w:ascii="Arial" w:hAnsi="Arial" w:cs="Arial"/>
        </w:rPr>
        <w:t xml:space="preserve">     </w:t>
      </w:r>
    </w:p>
    <w:p w14:paraId="6D31ED8F" w14:textId="073FAEC9" w:rsidR="00207B01" w:rsidRPr="000C7549" w:rsidRDefault="00207B01" w:rsidP="00EC3681">
      <w:pPr>
        <w:spacing w:line="480" w:lineRule="auto"/>
        <w:ind w:firstLine="720"/>
        <w:rPr>
          <w:rFonts w:ascii="Arial" w:hAnsi="Arial" w:cs="Arial"/>
          <w:bCs/>
          <w:color w:val="000000" w:themeColor="text1"/>
        </w:rPr>
      </w:pPr>
      <w:r w:rsidRPr="000C7549">
        <w:rPr>
          <w:rFonts w:ascii="Arial" w:hAnsi="Arial" w:cs="Arial"/>
        </w:rPr>
        <w:t xml:space="preserve">Although pollinators may not exclusively rely on native plants to fulfill nectar and pollen resource requirements, bee abundance and richness </w:t>
      </w:r>
      <w:r w:rsidR="00FB5E96">
        <w:rPr>
          <w:rFonts w:ascii="Arial" w:hAnsi="Arial" w:cs="Arial"/>
        </w:rPr>
        <w:t>are</w:t>
      </w:r>
      <w:r w:rsidR="00FB5E96" w:rsidRPr="000C7549">
        <w:rPr>
          <w:rFonts w:ascii="Arial" w:hAnsi="Arial" w:cs="Arial"/>
        </w:rPr>
        <w:t xml:space="preserve"> </w:t>
      </w:r>
      <w:r w:rsidRPr="000C7549">
        <w:rPr>
          <w:rFonts w:ascii="Arial" w:hAnsi="Arial" w:cs="Arial"/>
        </w:rPr>
        <w:t xml:space="preserve">higher on native plants, compared to non-natives </w:t>
      </w:r>
      <w:r w:rsidRPr="000C7549">
        <w:rPr>
          <w:rFonts w:ascii="Arial" w:hAnsi="Arial" w:cs="Arial"/>
        </w:rPr>
        <w:fldChar w:fldCharType="begin"/>
      </w:r>
      <w:r w:rsidR="00EE5B67">
        <w:rPr>
          <w:rFonts w:ascii="Arial" w:hAnsi="Arial" w:cs="Arial"/>
        </w:rPr>
        <w:instrText xml:space="preserve"> ADDIN ZOTERO_ITEM CSL_CITATION {"citationID":"MbiNqvxv","properties":{"formattedCitation":"(Morandin &amp; Kremen, 2013c)","plainCitation":"(Morandin &amp; Kremen, 2013c)","dontUpdate":true,"noteIndex":0},"citationItems":[{"id":"FJJlbcfR/t4j4KPHa","uris":["http://zotero.org/users/6034784/items/4Q5T6EKM"],"uri":["http://zotero.org/users/6034784/items/4Q5T6EKM"],"itemData":{"id":389,"type":"article-journal","abstract":"Habitat restoration to promote wild pollinator populations is becoming increasingly common in agricultural lands. Yet, little is known about how wild bees, globally the most important wild pollinators, use resources in restored habitats. We compared bee use of native and exotic plants in two types of restored native plant hedgerows: mature hedgerows (&gt;10 years from establishment) designed for natural enemy enhancement and new hedgerows (≤2 years from establishment) designed to enhance bee populations. Bees were collected from ﬂowers using timed aerial netting and ﬂowering plant cover was estimated by species using cover classes. At mature hedgerow sites, wild bee abundance, richness, and diversity were greater on native plants than exotic plants. At new sites, where native plants were small and had limited ﬂoral display, abundance of bees was greater on native plants than exotic plants; but, controlling for ﬂoral cover, there was no difference in bee diversity and richness between the two plant types. At both mature and new hedgerows, wild bees preferred to forage from native plants than exotic plants. Honey bees, which were from managed colonies, also preferred native plants at mature hedgerow sites but exhibited no preference at new sites. Our study shows that wild bees, and managed bees in some cases, prefer to forage on native plants in hedgerows over co-occurring weedy, exotic plants. Semiquantitative ranking identiﬁed which native plants were most preferred. Hedgerow restoration with native plants may help enhance wild bee abundance and diversity, and maintain honey bee health, in agricultural areas.","container-title":"Restoration Ecology","DOI":"10.1111/j.1526-100X.2012.00876.x","ISSN":"1061-2971, 1526-100X","issue":"1","journalAbbreviation":"Restor Ecol","language":"en","page":"26-32","source":"DOI.org (Crossref)","title":"Bee Preference for Native versus Exotic Plants in Restored Agricultural Hedgerows","volume":"21","author":[{"family":"Morandin","given":"Lora A."},{"family":"Kremen","given":"Claire"}],"issued":{"date-parts":[["2013",1]]}}}],"schema":"https://github.com/citation-style-language/schema/raw/master/csl-citation.json"} </w:instrText>
      </w:r>
      <w:r w:rsidRPr="000C7549">
        <w:rPr>
          <w:rFonts w:ascii="Arial" w:hAnsi="Arial" w:cs="Arial"/>
        </w:rPr>
        <w:fldChar w:fldCharType="separate"/>
      </w:r>
      <w:r w:rsidRPr="000C7549">
        <w:rPr>
          <w:rFonts w:ascii="Arial" w:hAnsi="Arial" w:cs="Arial"/>
        </w:rPr>
        <w:t>(Morandin &amp; Kremen, 2013)</w:t>
      </w:r>
      <w:r w:rsidRPr="000C7549">
        <w:rPr>
          <w:rFonts w:ascii="Arial" w:hAnsi="Arial" w:cs="Arial"/>
        </w:rPr>
        <w:fldChar w:fldCharType="end"/>
      </w:r>
      <w:r w:rsidRPr="000C7549">
        <w:rPr>
          <w:rFonts w:ascii="Arial" w:hAnsi="Arial" w:cs="Arial"/>
        </w:rPr>
        <w:t xml:space="preserve">. </w:t>
      </w:r>
      <w:r w:rsidRPr="000C7549">
        <w:rPr>
          <w:rFonts w:ascii="Arial" w:hAnsi="Arial" w:cs="Arial"/>
          <w:color w:val="000000" w:themeColor="text1"/>
        </w:rPr>
        <w:t xml:space="preserve">Some bee species are highly specialized on native plant hosts and females will forage extended distances to collect pollen exclusively from native plants. For example, for </w:t>
      </w:r>
      <w:r w:rsidRPr="000C7549">
        <w:rPr>
          <w:rFonts w:ascii="Arial" w:hAnsi="Arial" w:cs="Arial"/>
          <w:i/>
          <w:iCs/>
          <w:color w:val="000000" w:themeColor="text1"/>
        </w:rPr>
        <w:t xml:space="preserve">Osmia </w:t>
      </w:r>
      <w:proofErr w:type="spellStart"/>
      <w:r w:rsidRPr="000C7549">
        <w:rPr>
          <w:rFonts w:ascii="Arial" w:hAnsi="Arial" w:cs="Arial"/>
          <w:i/>
          <w:iCs/>
          <w:color w:val="000000" w:themeColor="text1"/>
        </w:rPr>
        <w:t>lignaria</w:t>
      </w:r>
      <w:proofErr w:type="spellEnd"/>
      <w:r w:rsidRPr="000C7549">
        <w:rPr>
          <w:rFonts w:ascii="Arial" w:hAnsi="Arial" w:cs="Arial"/>
          <w:iCs/>
          <w:color w:val="000000" w:themeColor="text1"/>
        </w:rPr>
        <w:t>,</w:t>
      </w:r>
      <w:r w:rsidRPr="000C7549">
        <w:rPr>
          <w:rFonts w:ascii="Arial" w:hAnsi="Arial" w:cs="Arial"/>
          <w:color w:val="000000" w:themeColor="text1"/>
        </w:rPr>
        <w:t xml:space="preserve"> female reproductive success (and </w:t>
      </w:r>
      <w:r w:rsidR="00F207FB" w:rsidRPr="000C7549">
        <w:rPr>
          <w:rFonts w:ascii="Arial" w:hAnsi="Arial" w:cs="Arial"/>
          <w:color w:val="000000" w:themeColor="text1"/>
        </w:rPr>
        <w:t xml:space="preserve">the </w:t>
      </w:r>
      <w:r w:rsidRPr="000C7549">
        <w:rPr>
          <w:rFonts w:ascii="Arial" w:hAnsi="Arial" w:cs="Arial"/>
          <w:color w:val="000000" w:themeColor="text1"/>
        </w:rPr>
        <w:t xml:space="preserve">number of offspring) correlated with distance to seminatural habitat where preferred native plants were found (Williams &amp; Kremen 2007). These findings highlight the importance </w:t>
      </w:r>
      <w:r w:rsidR="00FD50A3" w:rsidRPr="000C7549">
        <w:rPr>
          <w:rFonts w:ascii="Arial" w:hAnsi="Arial" w:cs="Arial"/>
          <w:color w:val="000000" w:themeColor="text1"/>
        </w:rPr>
        <w:t>of</w:t>
      </w:r>
      <w:r w:rsidRPr="000C7549">
        <w:rPr>
          <w:rFonts w:ascii="Arial" w:hAnsi="Arial" w:cs="Arial"/>
          <w:color w:val="000000" w:themeColor="text1"/>
        </w:rPr>
        <w:t xml:space="preserve"> conservation initiatives that specifically promote native plantings.</w:t>
      </w:r>
      <w:r w:rsidRPr="000C7549">
        <w:rPr>
          <w:rFonts w:ascii="Arial" w:hAnsi="Arial" w:cs="Arial"/>
          <w:color w:val="FF0000"/>
        </w:rPr>
        <w:t xml:space="preserve"> </w:t>
      </w:r>
      <w:r w:rsidRPr="000C7549">
        <w:rPr>
          <w:rFonts w:ascii="Arial" w:hAnsi="Arial" w:cs="Arial"/>
        </w:rPr>
        <w:t xml:space="preserve">Strategic placement of native perennial plantings can also improve multiple ecosystem services including water quality and soil health </w:t>
      </w:r>
      <w:r w:rsidRPr="000C7549">
        <w:rPr>
          <w:rFonts w:ascii="Arial" w:hAnsi="Arial" w:cs="Arial"/>
        </w:rPr>
        <w:fldChar w:fldCharType="begin"/>
      </w:r>
      <w:r w:rsidRPr="000C7549">
        <w:rPr>
          <w:rFonts w:ascii="Arial" w:hAnsi="Arial" w:cs="Arial"/>
        </w:rPr>
        <w:instrText xml:space="preserve"> ADDIN ZOTERO_ITEM CSL_CITATION {"citationID":"k2g9VkYx","properties":{"formattedCitation":"(Claire Kremen &amp; Miles, 2012; Schulte et al., 2017)","plainCitation":"(Claire Kremen &amp; Miles, 2012; Schulte et al., 2017)","dontUpdate":true,"noteIndex":0},"citationItems":[{"id":1017,"uris":["http://zotero.org/users/6034784/items/MR4VIDKF"],"uri":["http://zotero.org/users/6034784/items/MR4VIDKF"],"itemData":{"id":1017,"type":"article-journal","container-title":"Ecology and society","issue":"4","note":"publisher: JSTOR","source":"Google Scholar","title":"Ecosystem services in biologically diversified versus conventional farming systems: benefits, externalities, and trade-offs","title-short":"Ecosystem services in biologically diversified versus conventional farming systems","volume":"17","author":[{"family":"Kremen","given":"Claire"},{"family":"Miles","given":"Albie"}],"issued":{"date-parts":[["2012"]]}}},{"id":688,"uris":["http://zotero.org/users/6034784/items/6Y2AT2LI"],"uri":["http://zotero.org/users/6034784/items/6Y2AT2LI"],"itemData":{"id":688,"type":"article-journal","container-title":"Proceedings of the National Academy of Sciences","issue":"42","note":"publisher: National Acad Sciences","page":"11247–11252","source":"Google Scholar","title":"Prairie strips improve biodiversity and the delivery of multiple ecosystem services from corn–soybean croplands","volume":"114","author":[{"family":"Schulte","given":"Lisa A."},{"family":"Niemi","given":"Jarad"},{"family":"Helmers","given":"Matthew J."},{"family":"Liebman","given":"Matt"},{"family":"Arbuckle","given":"J. Gordon"},{"family":"James","given":"David E."},{"family":"Kolka","given":"Randall K."},{"family":"O’Neal","given":"Matthew E."},{"family":"Tomer","given":"Mark D."},{"family":"Tyndall","given":"John C."}],"issued":{"date-parts":[["2017"]]}}}],"schema":"https://github.com/citation-style-language/schema/raw/master/csl-citation.json"} </w:instrText>
      </w:r>
      <w:r w:rsidRPr="000C7549">
        <w:rPr>
          <w:rFonts w:ascii="Arial" w:hAnsi="Arial" w:cs="Arial"/>
        </w:rPr>
        <w:fldChar w:fldCharType="separate"/>
      </w:r>
      <w:r w:rsidRPr="000C7549">
        <w:rPr>
          <w:rFonts w:ascii="Arial" w:hAnsi="Arial" w:cs="Arial"/>
          <w:noProof/>
        </w:rPr>
        <w:t>(Kremen &amp; Miles, 2012; Schulte et al., 2017)</w:t>
      </w:r>
      <w:r w:rsidRPr="000C7549">
        <w:rPr>
          <w:rFonts w:ascii="Arial" w:hAnsi="Arial" w:cs="Arial"/>
        </w:rPr>
        <w:fldChar w:fldCharType="end"/>
      </w:r>
      <w:r w:rsidRPr="000C7549">
        <w:rPr>
          <w:rFonts w:ascii="Arial" w:hAnsi="Arial" w:cs="Arial"/>
        </w:rPr>
        <w:t>.</w:t>
      </w:r>
      <w:r w:rsidRPr="000C7549">
        <w:rPr>
          <w:rFonts w:ascii="Arial" w:hAnsi="Arial" w:cs="Arial"/>
          <w:bCs/>
          <w:color w:val="000000" w:themeColor="text1"/>
        </w:rPr>
        <w:t xml:space="preserve"> </w:t>
      </w:r>
      <w:r w:rsidRPr="000C7549">
        <w:rPr>
          <w:rFonts w:ascii="Arial" w:hAnsi="Arial" w:cs="Arial"/>
        </w:rPr>
        <w:t xml:space="preserve">Plant diversity within these conservation schemes allows bees to choose from a variety of pollen and nectar resources with varying nutrient levels </w:t>
      </w:r>
      <w:r w:rsidRPr="000C7549">
        <w:rPr>
          <w:rFonts w:ascii="Arial" w:hAnsi="Arial" w:cs="Arial"/>
        </w:rPr>
        <w:fldChar w:fldCharType="begin"/>
      </w:r>
      <w:r w:rsidRPr="000C7549">
        <w:rPr>
          <w:rFonts w:ascii="Arial" w:hAnsi="Arial" w:cs="Arial"/>
        </w:rPr>
        <w:instrText xml:space="preserve"> ADDIN ZOTERO_ITEM CSL_CITATION {"citationID":"Hl2F0c6S","properties":{"formattedCitation":"(Vaudo et al., 2015)","plainCitation":"(Vaudo et al., 2015)","noteIndex":0},"citationItems":[{"id":471,"uris":["http://zotero.org/users/6034784/items/GVXTHL3R"],"uri":["http://zotero.org/users/6034784/items/GVXTHL3R"],"itemData":{"id":471,"type":"article-journal","abstract":"Bee-population declines are linked to nutritional shortages caused by land-use intensification, which reduces diversity and abundance of host-plant species. Bees require nectar and pollen floral resources that provide necessary carbohydrates, proteins, lipids, and micronutrients for survival, reproduction, and resilience to stress. However, nectar and pollen nutritional quality varies widely among host-plant species, which in turn influences how bees forage to obtain their nutritionally appropriate diets. Unfortunately, we know little about the nutritional requirements of different bee species. Research must be conducted on bee species nutritional needs and host-plant species resource quality to develop diverse and nutritionally balanced plant communities. Restoring appropriate suites of plant species to landscapes can support diverse bee species populations and their associated pollination ecosystem services.","collection-title":"Social Insects * Vectors and Medical and Veterinary Entomology","container-title":"Current Opinion in Insect Science","DOI":"10.1016/j.cois.2015.05.008","ISSN":"2214-5745","journalAbbreviation":"Current Opinion in Insect Science","language":"en","page":"133-141","source":"ScienceDirect","title":"Bee nutrition and floral resource restoration","volume":"10","author":[{"family":"Vaudo","given":"Anthony D"},{"family":"Tooker","given":"John F"},{"family":"Grozinger","given":"Christina M"},{"family":"Patch","given":"Harland M"}],"issued":{"date-parts":[["2015",8,1]]}}}],"schema":"https://github.com/citation-style-language/schema/raw/master/csl-citation.json"} </w:instrText>
      </w:r>
      <w:r w:rsidRPr="000C7549">
        <w:rPr>
          <w:rFonts w:ascii="Arial" w:hAnsi="Arial" w:cs="Arial"/>
        </w:rPr>
        <w:fldChar w:fldCharType="separate"/>
      </w:r>
      <w:r w:rsidRPr="000C7549">
        <w:rPr>
          <w:rFonts w:ascii="Arial" w:hAnsi="Arial" w:cs="Arial"/>
        </w:rPr>
        <w:t>(Vaudo et al., 2015)</w:t>
      </w:r>
      <w:r w:rsidRPr="000C7549">
        <w:rPr>
          <w:rFonts w:ascii="Arial" w:hAnsi="Arial" w:cs="Arial"/>
        </w:rPr>
        <w:fldChar w:fldCharType="end"/>
      </w:r>
      <w:r w:rsidRPr="000C7549">
        <w:rPr>
          <w:rFonts w:ascii="Arial" w:hAnsi="Arial" w:cs="Arial"/>
        </w:rPr>
        <w:t xml:space="preserve">. </w:t>
      </w:r>
      <w:r w:rsidR="00D50DD6" w:rsidRPr="000C7549">
        <w:rPr>
          <w:rFonts w:ascii="Arial" w:hAnsi="Arial" w:cs="Arial"/>
        </w:rPr>
        <w:t>Diversity</w:t>
      </w:r>
      <w:r w:rsidRPr="000C7549">
        <w:rPr>
          <w:rFonts w:ascii="Arial" w:hAnsi="Arial" w:cs="Arial"/>
        </w:rPr>
        <w:t xml:space="preserve"> of floral resources provided by native perennials also allows for extended flowering periods, as opposed to limited bloom times of annual crop flowers </w:t>
      </w:r>
      <w:r w:rsidRPr="000C7549">
        <w:rPr>
          <w:rFonts w:ascii="Arial" w:hAnsi="Arial" w:cs="Arial"/>
        </w:rPr>
        <w:fldChar w:fldCharType="begin"/>
      </w:r>
      <w:r w:rsidRPr="000C7549">
        <w:rPr>
          <w:rFonts w:ascii="Arial" w:hAnsi="Arial" w:cs="Arial"/>
        </w:rPr>
        <w:instrText xml:space="preserve"> ADDIN ZOTERO_ITEM CSL_CITATION {"citationID":"UtoJAhyP","properties":{"formattedCitation":"(Tuell et al., 2008)","plainCitation":"(Tuell et al., 2008)","noteIndex":0},"citationItems":[{"id":380,"uris":["http://zotero.org/users/6034784/items/UHEGJTVH"],"uri":["http://zotero.org/users/6034784/items/UHEGJTVH"],"itemData":{"id":380,"type":"article-journal","abstract":"Abstract. Addition of floral resources to agricultural field margins has been shown to increase abundance of beneficial insects in crop fields, but most plants","container-title":"Environmental Entomology","DOI":"10.1603/0046-225X(2008)37[707:VBWAMB]2.0.CO;2","ISSN":"0046-225X","issue":"3","journalAbbreviation":"Environ Entomol","language":"en","note":"publisher: Oxford Academic","page":"707-718","source":"academic.oup.com","title":"Visitation by Wild and Managed Bees (Hymenoptera: Apoidea) to Eastern U.S. Native Plants for Use in Conservation Programs","title-short":"Visitation by Wild and Managed Bees (Hymenoptera","volume":"37","author":[{"family":"Tuell","given":"Julianna K."},{"family":"Fiedler","given":"Anna K."},{"family":"Landis","given":"Douglas"},{"family":"Isaacs","given":"Rufus"}],"issued":{"date-parts":[["2008",6,1]]}}}],"schema":"https://github.com/citation-style-language/schema/raw/master/csl-citation.json"} </w:instrText>
      </w:r>
      <w:r w:rsidRPr="000C7549">
        <w:rPr>
          <w:rFonts w:ascii="Arial" w:hAnsi="Arial" w:cs="Arial"/>
        </w:rPr>
        <w:fldChar w:fldCharType="separate"/>
      </w:r>
      <w:r w:rsidRPr="000C7549">
        <w:rPr>
          <w:rFonts w:ascii="Arial" w:hAnsi="Arial" w:cs="Arial"/>
        </w:rPr>
        <w:t>(Tuell et al., 2008)</w:t>
      </w:r>
      <w:r w:rsidRPr="000C7549">
        <w:rPr>
          <w:rFonts w:ascii="Arial" w:hAnsi="Arial" w:cs="Arial"/>
        </w:rPr>
        <w:fldChar w:fldCharType="end"/>
      </w:r>
      <w:r w:rsidRPr="000C7549">
        <w:rPr>
          <w:rFonts w:ascii="Arial" w:hAnsi="Arial" w:cs="Arial"/>
        </w:rPr>
        <w:t xml:space="preserve">. </w:t>
      </w:r>
    </w:p>
    <w:p w14:paraId="5C12B437" w14:textId="77777777" w:rsidR="0056180E" w:rsidRDefault="00207B01" w:rsidP="0056180E">
      <w:pPr>
        <w:spacing w:line="480" w:lineRule="auto"/>
        <w:ind w:firstLine="720"/>
        <w:rPr>
          <w:rFonts w:ascii="Arial" w:hAnsi="Arial" w:cs="Arial"/>
          <w:color w:val="000000" w:themeColor="text1"/>
        </w:rPr>
      </w:pPr>
      <w:r w:rsidRPr="000C7549">
        <w:rPr>
          <w:rFonts w:ascii="Arial" w:hAnsi="Arial" w:cs="Arial"/>
        </w:rPr>
        <w:lastRenderedPageBreak/>
        <w:t xml:space="preserve">We established plots of 18 species of native perennials of three plant families, with high functional diversity. We used these plantings to characterize pollinator abundance, species richness, and community composition. </w:t>
      </w:r>
      <w:r w:rsidRPr="000C7549">
        <w:rPr>
          <w:rFonts w:ascii="Arial" w:hAnsi="Arial" w:cs="Arial"/>
          <w:color w:val="000000" w:themeColor="text1"/>
        </w:rPr>
        <w:t xml:space="preserve">Abundance is important as common species may be the drivers of </w:t>
      </w:r>
      <w:r w:rsidR="00D50DD6" w:rsidRPr="000C7549">
        <w:rPr>
          <w:rFonts w:ascii="Arial" w:hAnsi="Arial" w:cs="Arial"/>
          <w:color w:val="000000" w:themeColor="text1"/>
        </w:rPr>
        <w:t>ecosystem</w:t>
      </w:r>
      <w:r w:rsidRPr="000C7549">
        <w:rPr>
          <w:rFonts w:ascii="Arial" w:hAnsi="Arial" w:cs="Arial"/>
          <w:color w:val="000000" w:themeColor="text1"/>
        </w:rPr>
        <w:t xml:space="preserve"> services, as compared to species richness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{"citationID":"AYC5keXl","properties":{"formattedCitation":"(Winfree et al., 2015)","plainCitation":"(Winfree et al., 2015)","noteIndex":0},"citationItems":[{"id":991,"uris":["http://zotero.org/users/6034784/items/BWI8TBUN"],"uri":["http://zotero.org/users/6034784/items/BWI8TBUN"],"itemData":{"id":991,"type":"article-journal","container-title":"Ecology letters","issue":"7","note":"publisher: Wiley Online Library","page":"626–635","source":"Google Scholar","title":"Abundance of common species, not species richness, drives delivery of a real-world ecosystem service","volume":"18","author":[{"family":"Winfree","given":"Rachael"},{"family":"W. Fox","given":"Jeremy"},{"family":"Williams","given":"Neal M."},{"family":"Reilly","given":"James R."},{"family":"Cariveau","given":"Daniel P."}],"issued":{"date-parts":[["2015"]]}}}],"schema":"https://github.com/citation-style-language/schema/raw/master/csl-citation.json"}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(Winfree et al., 2015)</w:t>
      </w:r>
      <w:r w:rsidRPr="000C7549">
        <w:rPr>
          <w:rFonts w:ascii="Arial" w:hAnsi="Arial" w:cs="Arial"/>
          <w:color w:val="000000" w:themeColor="text1"/>
        </w:rPr>
        <w:fldChar w:fldCharType="end"/>
      </w:r>
      <w:r w:rsidRPr="000C7549">
        <w:rPr>
          <w:rFonts w:ascii="Arial" w:hAnsi="Arial" w:cs="Arial"/>
          <w:color w:val="000000" w:themeColor="text1"/>
        </w:rPr>
        <w:t xml:space="preserve">. However, species richness provides a key component for biodiversity metrics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{"citationID":"wuAuSPia","properties":{"formattedCitation":"(Hillebrand et al., 2018)","plainCitation":"(Hillebrand et al., 2018)","noteIndex":0},"citationItems":[{"id":987,"uris":["http://zotero.org/users/6034784/items/4FMBQKSZ"],"uri":["http://zotero.org/users/6034784/items/4FMBQKSZ"],"itemData":{"id":987,"type":"article-journal","abstract":"Global concern about human impact on biological diversity has triggered an intense research agenda on drivers and consequences of biodiversity change in parallel with international policy seeking to conserve biodiversity and associated ecosystem functions. Quantifying the trends in biodiversity is far from trivial, however, as recently documented by meta-analyses, which report little if any net change in local species richness through time. Here, we summarise several limitations of species richness as a metric of biodiversity change and show that the expectation of directional species richness trends under changing conditions is invalid. Instead, we illustrate how a set of species turnover indices provide more information content regarding temporal trends in biodiversity, as they reflect how dominance and identity shift in communities over time. We apply these metrics to three monitoring datasets representing different ecosystem types. In all datasets, nearly complete species turnover occurred, but this was disconnected from any species richness trends. Instead, turnover was strongly influenced by changes in species presence (identities) and dominance (abundances). We further show that these metrics can detect phases of strong compositional shifts in monitoring data and thus identify a different aspect of biodiversity change decoupled from species richness. Synthesis and applications: Temporal trends in species richness are insufficient to capture key changes in biodiversity in changing environments. In fact, reductions in environmental quality can lead to transient increases in species richness if immigration or extinction has different temporal dynamics. Thus, biodiversity monitoring programmes need to go beyond analyses of trends in richness in favour of more meaningful assessments of biodiversity change.","container-title":"Journal of Applied Ecology","DOI":"https://doi.org/10.1111/1365-2664.12959","ISSN":"1365-2664","issue":"1","language":"en","note":"_eprint: https://besjournals.onlinelibrary.wiley.com/doi/pdf/10.1111/1365-2664.12959","page":"169-184","source":"Wiley Online Library","title":"Biodiversity change is uncoupled from species richness trends: Consequences for conservation and monitoring","title-short":"Biodiversity change is uncoupled from species richness trends","volume":"55","author":[{"family":"Hillebrand","given":"Helmut"},{"family":"Blasius","given":"Bernd"},{"family":"Borer","given":"Elizabeth T."},{"family":"Chase","given":"Jonathan M."},{"family":"Downing","given":"John A."},{"family":"Eriksson","given":"Britas Klemens"},{"family":"Filstrup","given":"Christopher T."},{"family":"Harpole","given":"W. Stanley"},{"family":"Hodapp","given":"Dorothee"},{"family":"Larsen","given":"Stefano"},{"family":"Lewandowska","given":"Aleksandra M."},{"family":"Seabloom","given":"Eric W."},{"family":"Waal","given":"Dedmer B. Van","dropping-particle":"de"},{"family":"Ryabov","given":"Alexey B."}],"issued":{"date-parts":[["2018"]]}}}],"schema":"https://github.com/citation-style-language/schema/raw/master/csl-citation.json"}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(Hillebrand et al., 2018)</w:t>
      </w:r>
      <w:r w:rsidRPr="000C7549">
        <w:rPr>
          <w:rFonts w:ascii="Arial" w:hAnsi="Arial" w:cs="Arial"/>
          <w:color w:val="000000" w:themeColor="text1"/>
        </w:rPr>
        <w:fldChar w:fldCharType="end"/>
      </w:r>
      <w:r w:rsidRPr="000C7549">
        <w:rPr>
          <w:rFonts w:ascii="Arial" w:hAnsi="Arial" w:cs="Arial"/>
          <w:color w:val="000000" w:themeColor="text1"/>
        </w:rPr>
        <w:t xml:space="preserve"> and the diversity of pollinating insects has been repeatedly linked to crop yield and quality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{"citationID":"vZgZIER8","properties":{"formattedCitation":"(Garibaldi et al., 2013; MacInnis &amp; Forrest, 2019)","plainCitation":"(Garibaldi et al., 2013; MacInnis &amp; Forrest, 2019)","noteIndex":0},"citationItems":[{"id":739,"uris":["http://zotero.org/users/6034784/items/K9USWA2A"],"uri":["http://zotero.org/users/6034784/items/K9USWA2A"],"itemData":{"id":739,"type":"article-journal","container-title":"Science","DOI":"10.1126/science.1230200","ISSN":"0036-8075, 1095-9203","issue":"6127","journalAbbreviation":"Science","language":"en","page":"1608-1611","source":"DOI.org (Crossref)","title":"Wild Pollinators Enhance Fruit Set of Crops Regardless of Honey Bee Abundance","volume":"339","author":[{"family":"Garibaldi","given":"Lucas A."},{"family":"Steffan-Dewenter","given":"I."},{"family":"Winfree","given":"R."},{"family":"Aizen","given":"M. A."},{"family":"Bommarco","given":"R."},{"family":"Cunningham","given":"S. A."},{"family":"Kremen","given":"C."},{"family":"Carvalheiro","given":"L. G."},{"family":"Harder","given":"L. D."},{"family":"Afik","given":"O."},{"family":"Bartomeus","given":"I."},{"family":"Benjamin","given":"F."},{"family":"Boreux","given":"V."},{"family":"Cariveau","given":"D."},{"family":"Chacoff","given":"N. P."},{"family":"Dudenhoffer","given":"J. H."},{"family":"Freitas","given":"B. M."},{"family":"Ghazoul","given":"J."},{"family":"Greenleaf","given":"S."},{"family":"Hipolito","given":"J."},{"family":"Holzschuh","given":"A."},{"family":"Howlett","given":"B."},{"family":"Isaacs","given":"R."},{"family":"Javorek","given":"S. K."},{"family":"Kennedy","given":"C. M."},{"family":"Krewenka","given":"K. M."},{"family":"Krishnan","given":"S."},{"family":"Mandelik","given":"Y."},{"family":"Mayfield","given":"M. M."},{"family":"Motzke","given":"I."},{"family":"Munyuli","given":"T."},{"family":"Nault","given":"B. A."},{"family":"Otieno","given":"M."},{"family":"Petersen","given":"J."},{"family":"Pisanty","given":"G."},{"family":"Potts","given":"S. G."},{"family":"Rader","given":"R."},{"family":"Ricketts","given":"T. H."},{"family":"Rundlof","given":"M."},{"family":"Seymour","given":"C. L."},{"family":"Schuepp","given":"C."},{"family":"Szentgyorgyi","given":"H."},{"family":"Taki","given":"H."},{"family":"Tscharntke","given":"T."},{"family":"Vergara","given":"C. H."},{"family":"Viana","given":"B. F."},{"family":"Wanger","given":"T. C."},{"family":"Westphal","given":"C."},{"family":"Williams","given":"N."},{"family":"Klein","given":"A. M."}],"issued":{"date-parts":[["2013",3,29]]}}},{"id":1054,"uris":["http://zotero.org/users/6034784/items/DBHTZ7MD"],"uri":["http://zotero.org/users/6034784/items/DBHTZ7MD"],"itemData":{"id":1054,"type":"article-journal","container-title":"Journal of Applied Ecology","issue":"4","note":"publisher: Wiley Online Library","page":"824–832","source":"Google Scholar","title":"Pollination by wild bees yields larger strawberries than pollination by honey bees","volume":"56","author":[{"family":"MacInnis","given":"Gail"},{"family":"Forrest","given":"Jessica RK"}],"issued":{"date-parts":[["2019"]]}}}],"schema":"https://github.com/citation-style-language/schema/raw/master/csl-citation.json"}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(Garibaldi et al., 2013; MacInnis &amp; Forrest, 2019)</w:t>
      </w:r>
      <w:r w:rsidRPr="000C7549">
        <w:rPr>
          <w:rFonts w:ascii="Arial" w:hAnsi="Arial" w:cs="Arial"/>
          <w:color w:val="000000" w:themeColor="text1"/>
        </w:rPr>
        <w:fldChar w:fldCharType="end"/>
      </w:r>
      <w:r w:rsidRPr="000C7549">
        <w:rPr>
          <w:rFonts w:ascii="Arial" w:hAnsi="Arial" w:cs="Arial"/>
          <w:color w:val="000000" w:themeColor="text1"/>
        </w:rPr>
        <w:t xml:space="preserve">. </w:t>
      </w:r>
    </w:p>
    <w:p w14:paraId="5FB3E767" w14:textId="25D52C32" w:rsidR="00D23EF3" w:rsidRPr="008D63EC" w:rsidRDefault="0056180E" w:rsidP="00EC7EEA">
      <w:pPr>
        <w:spacing w:line="480" w:lineRule="auto"/>
        <w:ind w:firstLine="720"/>
        <w:rPr>
          <w:rFonts w:ascii="Arial" w:hAnsi="Arial" w:cs="Arial"/>
          <w:color w:val="000000" w:themeColor="text1"/>
        </w:rPr>
      </w:pPr>
      <w:r w:rsidRPr="008D63EC">
        <w:rPr>
          <w:rFonts w:ascii="Arial" w:hAnsi="Arial" w:cs="Arial"/>
          <w:color w:val="000000" w:themeColor="text1"/>
        </w:rPr>
        <w:t>Following similar studies</w:t>
      </w:r>
      <w:r w:rsidR="00ED7162" w:rsidRPr="008D63EC">
        <w:rPr>
          <w:rFonts w:ascii="Arial" w:hAnsi="Arial" w:cs="Arial"/>
          <w:color w:val="000000" w:themeColor="text1"/>
        </w:rPr>
        <w:t xml:space="preserve"> in the United States and Europe</w:t>
      </w:r>
      <w:r w:rsidR="00414FE3" w:rsidRPr="008D63EC">
        <w:rPr>
          <w:rFonts w:ascii="Arial" w:hAnsi="Arial" w:cs="Arial"/>
          <w:color w:val="000000" w:themeColor="text1"/>
        </w:rPr>
        <w:t xml:space="preserve"> </w:t>
      </w:r>
      <w:r w:rsidR="00414FE3" w:rsidRPr="008D63EC">
        <w:rPr>
          <w:rFonts w:ascii="Arial" w:hAnsi="Arial" w:cs="Arial"/>
          <w:color w:val="000000" w:themeColor="text1"/>
        </w:rPr>
        <w:fldChar w:fldCharType="begin"/>
      </w:r>
      <w:r w:rsidR="00EE5B67" w:rsidRPr="008D63EC">
        <w:rPr>
          <w:rFonts w:ascii="Arial" w:hAnsi="Arial" w:cs="Arial"/>
          <w:color w:val="000000" w:themeColor="text1"/>
        </w:rPr>
        <w:instrText xml:space="preserve"> ADDIN ZOTERO_ITEM CSL_CITATION {"citationID":"cTHKf7YL","properties":{"formattedCitation":"(Frankie et al., 2009; Hanley et al., 2014; Isaacs et al., 2009; Morandin &amp; Kremen, 2013a; Tuell et al., 2008)","plainCitation":"(Frankie et al., 2009; Hanley et al., 2014; Isaacs et al., 2009; Morandin &amp; Kremen, 2013a; Tuell et al., 2008)","dontUpdate":true,"noteIndex":0},"citationItems":[{"id":1058,"uris":["http://zotero.org/users/6034784/items/3SYW2TSD"],"uri":["http://zotero.org/users/6034784/items/3SYW2TSD"],"itemData":{"id":1058,"type":"article-journal","container-title":"California Agriculture","DOI":"10.3733/ca.v063n03p113","ISSN":"0008-0845","issue":"3","journalAbbreviation":"Cal Ag","language":"en","page":"113-120","source":"DOI.org (Crossref)","title":"Native bees are a rich natural resource in urban California gardens","volume":"63","author":[{"family":"Frankie","given":"Gordon W."},{"family":"Thorp","given":"Robbin W."},{"family":"Hernandez","given":"Jennifer"},{"family":"Rizzardi","given":"Mark"},{"family":"Ertter","given":"Barbara"},{"family":"Pawelek","given":"Jaime C."},{"family":"Witt","given":"Sara L."},{"family":"Schindler","given":"Mary"},{"family":"Coville","given":"Rollin"},{"family":"Wojcik","given":"Victoria A."}],"issued":{"date-parts":[["2009",7]]}}},{"id":1059,"uris":["http://zotero.org/users/6034784/items/JJB7EMLB"],"uri":["http://zotero.org/users/6034784/items/JJB7EMLB"],"itemData":{"id":1059,"type":"article-journal","abstract":"Although urban gardens provide opportunities for pollinators in an otherwise inhospitable environment, most garden plants are not native to the recipient biogeographical region and their value to local pollinators is disputed. This study tested the hypothesis that bumblebees foraging in English urban gardens preferentially visited sympatric Palaearctic-range plants over species originating outside their native range.Twenty-seven surveys of flower availability and bumblebee visitation (Bombus spp.) were conducted over a 3-month summer period. Plants were categorized according to whether they were native British, Palaearctic or non-Palaearctic in origin. A phylogeny of the 119 plant species recorded was constructed and the relationship between floral abundance and the frequency of pollinator visits investigated by means of phylogenetically independent contrasts. Differentiation in utilization of plant species by the five bumblebee species encountered was investigated using niche overlap analyses.There was conflicting evidence for preferential use of native-range Palaearctic plant species by bumblebees depending on which plants were included in the analysis. Evidence was also found for niche partitioning between species based on respective preferences for native and non-native biogeographical range plants. Two bumblebees (Bombus terrestris and B. pratorum) concentrated their foraging activity on non-Palaearctic plants, while two others (B. hortorum and B. pascourum) preferred Palaearctic species.The long-running debate about the value of native and non-native garden plants to pollinators probably stems from a failure to properly consider biogeographical overlap between plant and pollinator ranges. Gardeners can encourage pollinators without consideration of plant origin or bias towards ‘local’ biogeographical species. However, dietary specialist bumblebees seem to prefer plants sympatric with their own biogeographical range and, in addition to the cultivation of these species in gardens, provision of native non-horticultural (‘weed’) species may also be important for pollinator conservation.","container-title":"Annals of Botany","DOI":"10.1093/aob/mcu006","ISSN":"0305-7364","issue":"5","journalAbbreviation":"Annals of Botany","page":"799-806","source":"Silverchair","title":"Going native? Flower use by bumblebees in English urban gardens","title-short":"Going native?","volume":"113","author":[{"family":"Hanley","given":"Mick E."},{"family":"Awbi","given":"Amanda J."},{"family":"Franco","given":"Miguel"}],"issued":{"date-parts":[["2014",4,1]]}}},{"id":375,"uris":["http://zotero.org/users/6034784/items/EPZRMYSG"],"uri":["http://zotero.org/users/6034784/items/EPZRMYSG"],"itemData":{"id":375,"type":"article-journal","abstract":"Beneficial arthropods, including native bees, predators, and parasitoids, provide valuable ecosystem services worth $8 billion to US agriculture each year. These arthropod-mediated ecosystem services (AMES) include crop pollination and pest control, which help to maintain agricultural productivity and reduce the need for pesticide inputs. Maximizing survival and reproduction of beneficial arthropods requires provision of pollen and nectar resources that are often scarce in modern agricultural landscapes. Increasingly, native plants are being evaluated for this purpose. Native plants can outperform recommended non-natives and also provide local adaptation, habitat permanency, and support of native biodiversity. We predict that the success of insect conservation programs using flowering plants to increase AMES on farmland will depend on landscape context, with the greatest success in landscapes of moderate complexity. Reintegration of native plants into agricultural landscapes has the potential to support multiple conservation goals, and will require the collaboration of researchers, conservation educators, and native plant experts.","container-title":"Frontiers in Ecology and the Environment","DOI":"https://doi.org/10.1890/080035","ISSN":"1540-9309","issue":"4","language":"en","note":"_eprint: https://onlinelibrary.wiley.com/doi/pdf/10.1890/080035","page":"196-203","source":"Wiley Online Library","title":"Maximizing arthropod-mediated ecosystem services in agricultural landscapes: the role of native plants","title-short":"Maximizing arthropod-mediated ecosystem services in agricultural landscapes","volume":"7","author":[{"family":"Isaacs","given":"Rufus"},{"family":"Tuell","given":"Julianna"},{"family":"Fiedler","given":"Anna"},{"family":"Gardiner","given":"Mary"},{"family":"Landis","given":"Doug"}],"issued":{"date-parts":[["2009"]]}}},{"id":433,"uris":["http://zotero.org/users/6034784/items/SAU9MIZM"],"uri":["http://zotero.org/users/6034784/items/SAU9MIZM"],"itemData":{"id":433,"type":"article-journal","abstract":"Habitat restoration to promote wild pollinator populations is becoming increasingly common in agricultural lands. Yet, little is known about how wild bees, globally the most important wild pollinators, use resources in restored habitats. We compared bee use of native and exotic plants in two types of restored native plant hedgerows: mature hedgerows (&gt;10 years from establishment) designed for natural enemy enhancement and new hedgerows (≤2 years from establishment) designed to enhance bee populations. Bees were collected from flowers using timed aerial netting and flowering plant cover was estimated by species using cover classes. At mature hedgerow sites, wild bee abundance, richness, and diversity were greater on native plants than exotic plants. At new sites, where native plants were small and had limited floral display, abundance of bees was greater on native plants than exotic plants; but, controlling for floral cover, there was no difference in bee diversity and richness between the two plant types. At both mature and new hedgerows, wild bees preferred to forage from native plants than exotic plants. Honey bees, which were from managed colonies, also preferred native plants at mature hedgerow sites but exhibited no preference at new sites. Our study shows that wild bees, and managed bees in some cases, prefer to forage on native plants in hedgerows over co-occurring weedy, exotic plants. Semi-quantitative ranking identified which native plants were most preferred. Hedgerow restoration with native plants may help enhance wild bee abundance and diversity, and maintain honey bee health, in agricultural areas.","container-title":"Restoration Ecology","DOI":"https://doi.org/10.1111/j.1526-100X.2012.00876.x","ISSN":"1526-100X","issue":"1","language":"en","note":"_eprint: https://onlinelibrary.wiley.com/doi/pdf/10.1111/j.1526-100X.2012.00876.x","page":"26-32","source":"Wiley Online Library","title":"Bee Preference for Native versus Exotic Plants in Restored Agricultural Hedgerows","volume":"21","author":[{"family":"Morandin","given":"Lora A."},{"family":"Kremen","given":"Claire"}],"issued":{"date-parts":[["2013"]]}}},{"id":380,"uris":["http://zotero.org/users/6034784/items/UHEGJTVH"],"uri":["http://zotero.org/users/6034784/items/UHEGJTVH"],"itemData":{"id":380,"type":"article-journal","abstract":"Abstract. Addition of floral resources to agricultural field margins has been shown to increase abundance of beneficial insects in crop fields, but most plants","container-title":"Environmental Entomology","DOI":"10.1603/0046-225X(2008)37[707:VBWAMB]2.0.CO;2","ISSN":"0046-225X","issue":"3","journalAbbreviation":"Environ Entomol","language":"en","note":"publisher: Oxford Academic","page":"707-718","source":"academic.oup.com","title":"Visitation by Wild and Managed Bees (Hymenoptera: Apoidea) to Eastern U.S. Native Plants for Use in Conservation Programs","title-short":"Visitation by Wild and Managed Bees (Hymenoptera","volume":"37","author":[{"family":"Tuell","given":"Julianna K."},{"family":"Fiedler","given":"Anna K."},{"family":"Landis","given":"Douglas"},{"family":"Isaacs","given":"Rufus"}],"issued":{"date-parts":[["2008",6,1]]}}}],"schema":"https://github.com/citation-style-language/schema/raw/master/csl-citation.json"} </w:instrText>
      </w:r>
      <w:r w:rsidR="00414FE3" w:rsidRPr="008D63EC">
        <w:rPr>
          <w:rFonts w:ascii="Arial" w:hAnsi="Arial" w:cs="Arial"/>
          <w:color w:val="000000" w:themeColor="text1"/>
        </w:rPr>
        <w:fldChar w:fldCharType="separate"/>
      </w:r>
      <w:r w:rsidR="00414FE3" w:rsidRPr="008D63EC">
        <w:rPr>
          <w:rFonts w:ascii="Arial" w:hAnsi="Arial" w:cs="Arial"/>
          <w:noProof/>
          <w:color w:val="000000" w:themeColor="text1"/>
        </w:rPr>
        <w:t>(Frankie et al., 2009; Hanley et al., 2014; Isaacs et al., 2009; Morandin &amp; Kremen, 2013a; Tuell et al., 2008</w:t>
      </w:r>
      <w:r w:rsidR="002B150A" w:rsidRPr="008D63EC">
        <w:rPr>
          <w:rFonts w:ascii="Arial" w:hAnsi="Arial" w:cs="Arial"/>
          <w:noProof/>
          <w:color w:val="000000" w:themeColor="text1"/>
        </w:rPr>
        <w:t>; Williams et al., 2015</w:t>
      </w:r>
      <w:r w:rsidR="00414FE3" w:rsidRPr="008D63EC">
        <w:rPr>
          <w:rFonts w:ascii="Arial" w:hAnsi="Arial" w:cs="Arial"/>
          <w:noProof/>
          <w:color w:val="000000" w:themeColor="text1"/>
        </w:rPr>
        <w:t>)</w:t>
      </w:r>
      <w:r w:rsidR="00414FE3" w:rsidRPr="008D63EC">
        <w:rPr>
          <w:rFonts w:ascii="Arial" w:hAnsi="Arial" w:cs="Arial"/>
          <w:color w:val="000000" w:themeColor="text1"/>
        </w:rPr>
        <w:fldChar w:fldCharType="end"/>
      </w:r>
      <w:r w:rsidR="00ED7162" w:rsidRPr="008D63EC">
        <w:rPr>
          <w:rFonts w:ascii="Arial" w:hAnsi="Arial" w:cs="Arial"/>
          <w:color w:val="000000" w:themeColor="text1"/>
        </w:rPr>
        <w:t>,</w:t>
      </w:r>
      <w:r w:rsidRPr="008D63EC">
        <w:rPr>
          <w:rFonts w:ascii="Arial" w:hAnsi="Arial" w:cs="Arial"/>
          <w:color w:val="000000" w:themeColor="text1"/>
        </w:rPr>
        <w:t xml:space="preserve"> we developed the following hypotheses. First, we expected most of our insect collections to be comprised of wild bees </w:t>
      </w:r>
      <w:r w:rsidRPr="008D63EC">
        <w:rPr>
          <w:rFonts w:ascii="Arial" w:hAnsi="Arial" w:cs="Arial"/>
          <w:color w:val="000000" w:themeColor="text1"/>
        </w:rPr>
        <w:fldChar w:fldCharType="begin"/>
      </w:r>
      <w:r w:rsidR="00EE5B67" w:rsidRPr="008D63EC">
        <w:rPr>
          <w:rFonts w:ascii="Arial" w:hAnsi="Arial" w:cs="Arial"/>
          <w:color w:val="000000" w:themeColor="text1"/>
        </w:rPr>
        <w:instrText xml:space="preserve"> ADDIN ZOTERO_ITEM CSL_CITATION {"citationID":"oDl4c4OQ","properties":{"formattedCitation":"(Frankie et al., 2009; Hanley et al., 2014; Isaacs et al., 2009; Morandin &amp; Kremen, 2013a; Tuell et al., 2008)","plainCitation":"(Frankie et al., 2009; Hanley et al., 2014; Isaacs et al., 2009; Morandin &amp; Kremen, 2013a; Tuell et al., 2008)","noteIndex":0},"citationItems":[{"id":1058,"uris":["http://zotero.org/users/6034784/items/3SYW2TSD"],"uri":["http://zotero.org/users/6034784/items/3SYW2TSD"],"itemData":{"id":1058,"type":"article-journal","container-title":"California Agriculture","DOI":"10.3733/ca.v063n03p113","ISSN":"0008-0845","issue":"3","journalAbbreviation":"Cal Ag","language":"en","page":"113-120","source":"DOI.org (Crossref)","title":"Native bees are a rich natural resource in urban California gardens","volume":"63","author":[{"family":"Frankie","given":"Gordon W."},{"family":"Thorp","given":"Robbin W."},{"family":"Hernandez","given":"Jennifer"},{"family":"Rizzardi","given":"Mark"},{"family":"Ertter","given":"Barbara"},{"family":"Pawelek","given":"Jaime C."},{"family":"Witt","given":"Sara L."},{"family":"Schindler","given":"Mary"},{"family":"Coville","given":"Rollin"},{"family":"Wojcik","given":"Victoria A."}],"issued":{"date-parts":[["2009",7]]}}},{"id":1059,"uris":["http://zotero.org/users/6034784/items/JJB7EMLB"],"uri":["http://zotero.org/users/6034784/items/JJB7EMLB"],"itemData":{"id":1059,"type":"article-journal","abstract":"Although urban gardens provide opportunities for pollinators in an otherwise inhospitable environment, most garden plants are not native to the recipient biogeographical region and their value to local pollinators is disputed. This study tested the hypothesis that bumblebees foraging in English urban gardens preferentially visited sympatric Palaearctic-range plants over species originating outside their native range.Twenty-seven surveys of flower availability and bumblebee visitation (Bombus spp.) were conducted over a 3-month summer period. Plants were categorized according to whether they were native British, Palaearctic or non-Palaearctic in origin. A phylogeny of the 119 plant species recorded was constructed and the relationship between floral abundance and the frequency of pollinator visits investigated by means of phylogenetically independent contrasts. Differentiation in utilization of plant species by the five bumblebee species encountered was investigated using niche overlap analyses.There was conflicting evidence for preferential use of native-range Palaearctic plant species by bumblebees depending on which plants were included in the analysis. Evidence was also found for niche partitioning between species based on respective preferences for native and non-native biogeographical range plants. Two bumblebees (Bombus terrestris and B. pratorum) concentrated their foraging activity on non-Palaearctic plants, while two others (B. hortorum and B. pascourum) preferred Palaearctic species.The long-running debate about the value of native and non-native garden plants to pollinators probably stems from a failure to properly consider biogeographical overlap between plant and pollinator ranges. Gardeners can encourage pollinators without consideration of plant origin or bias towards ‘local’ biogeographical species. However, dietary specialist bumblebees seem to prefer plants sympatric with their own biogeographical range and, in addition to the cultivation of these species in gardens, provision of native non-horticultural (‘weed’) species may also be important for pollinator conservation.","container-title":"Annals of Botany","DOI":"10.1093/aob/mcu006","ISSN":"0305-7364","issue":"5","journalAbbreviation":"Annals of Botany","page":"799-806","source":"Silverchair","title":"Going native? Flower use by bumblebees in English urban gardens","title-short":"Going native?","volume":"113","author":[{"family":"Hanley","given":"Mick E."},{"family":"Awbi","given":"Amanda J."},{"family":"Franco","given":"Miguel"}],"issued":{"date-parts":[["2014",4,1]]}}},{"id":375,"uris":["http://zotero.org/users/6034784/items/EPZRMYSG"],"uri":["http://zotero.org/users/6034784/items/EPZRMYSG"],"itemData":{"id":375,"type":"article-journal","abstract":"Beneficial arthropods, including native bees, predators, and parasitoids, provide valuable ecosystem services worth $8 billion to US agriculture each year. These arthropod-mediated ecosystem services (AMES) include crop pollination and pest control, which help to maintain agricultural productivity and reduce the need for pesticide inputs. Maximizing survival and reproduction of beneficial arthropods requires provision of pollen and nectar resources that are often scarce in modern agricultural landscapes. Increasingly, native plants are being evaluated for this purpose. Native plants can outperform recommended non-natives and also provide local adaptation, habitat permanency, and support of native biodiversity. We predict that the success of insect conservation programs using flowering plants to increase AMES on farmland will depend on landscape context, with the greatest success in landscapes of moderate complexity. Reintegration of native plants into agricultural landscapes has the potential to support multiple conservation goals, and will require the collaboration of researchers, conservation educators, and native plant experts.","container-title":"Frontiers in Ecology and the Environment","DOI":"https://doi.org/10.1890/080035","ISSN":"1540-9309","issue":"4","language":"en","note":"_eprint: https://onlinelibrary.wiley.com/doi/pdf/10.1890/080035","page":"196-203","source":"Wiley Online Library","title":"Maximizing arthropod-mediated ecosystem services in agricultural landscapes: the role of native plants","title-short":"Maximizing arthropod-mediated ecosystem services in agricultural landscapes","volume":"7","author":[{"family":"Isaacs","given":"Rufus"},{"family":"Tuell","given":"Julianna"},{"family":"Fiedler","given":"Anna"},{"family":"Gardiner","given":"Mary"},{"family":"Landis","given":"Doug"}],"issued":{"date-parts":[["2009"]]}}},{"id":433,"uris":["http://zotero.org/users/6034784/items/SAU9MIZM"],"uri":["http://zotero.org/users/6034784/items/SAU9MIZM"],"itemData":{"id":433,"type":"article-journal","abstract":"Habitat restoration to promote wild pollinator populations is becoming increasingly common in agricultural lands. Yet, little is known about how wild bees, globally the most important wild pollinators, use resources in restored habitats. We compared bee use of native and exotic plants in two types of restored native plant hedgerows: mature hedgerows (&gt;10 years from establishment) designed for natural enemy enhancement and new hedgerows (≤2 years from establishment) designed to enhance bee populations. Bees were collected from flowers using timed aerial netting and flowering plant cover was estimated by species using cover classes. At mature hedgerow sites, wild bee abundance, richness, and diversity were greater on native plants than exotic plants. At new sites, where native plants were small and had limited floral display, abundance of bees was greater on native plants than exotic plants; but, controlling for floral cover, there was no difference in bee diversity and richness between the two plant types. At both mature and new hedgerows, wild bees preferred to forage from native plants than exotic plants. Honey bees, which were from managed colonies, also preferred native plants at mature hedgerow sites but exhibited no preference at new sites. Our study shows that wild bees, and managed bees in some cases, prefer to forage on native plants in hedgerows over co-occurring weedy, exotic plants. Semi-quantitative ranking identified which native plants were most preferred. Hedgerow restoration with native plants may help enhance wild bee abundance and diversity, and maintain honey bee health, in agricultural areas.","container-title":"Restoration Ecology","DOI":"https://doi.org/10.1111/j.1526-100X.2012.00876.x","ISSN":"1526-100X","issue":"1","language":"en","note":"_eprint: https://onlinelibrary.wiley.com/doi/pdf/10.1111/j.1526-100X.2012.00876.x","page":"26-32","source":"Wiley Online Library","title":"Bee Preference for Native versus Exotic Plants in Restored Agricultural Hedgerows","volume":"21","author":[{"family":"Morandin","given":"Lora A."},{"family":"Kremen","given":"Claire"}],"issued":{"date-parts":[["2013"]]}}},{"id":380,"uris":["http://zotero.org/users/6034784/items/UHEGJTVH"],"uri":["http://zotero.org/users/6034784/items/UHEGJTVH"],"itemData":{"id":380,"type":"article-journal","abstract":"Abstract. Addition of floral resources to agricultural field margins has been shown to increase abundance of beneficial insects in crop fields, but most plants","container-title":"Environmental Entomology","DOI":"10.1603/0046-225X(2008)37[707:VBWAMB]2.0.CO;2","ISSN":"0046-225X","issue":"3","journalAbbreviation":"Environ Entomol","language":"en","note":"publisher: Oxford Academic","page":"707-718","source":"academic.oup.com","title":"Visitation by Wild and Managed Bees (Hymenoptera: Apoidea) to Eastern U.S. Native Plants for Use in Conservation Programs","title-short":"Visitation by Wild and Managed Bees (Hymenoptera","volume":"37","author":[{"family":"Tuell","given":"Julianna K."},{"family":"Fiedler","given":"Anna K."},{"family":"Landis","given":"Douglas"},{"family":"Isaacs","given":"Rufus"}],"issued":{"date-parts":[["2008",6,1]]}}}],"schema":"https://github.com/citation-style-language/schema/raw/master/csl-citation.json"} </w:instrText>
      </w:r>
      <w:r w:rsidRPr="008D63EC">
        <w:rPr>
          <w:rFonts w:ascii="Arial" w:hAnsi="Arial" w:cs="Arial"/>
          <w:color w:val="000000" w:themeColor="text1"/>
        </w:rPr>
        <w:fldChar w:fldCharType="separate"/>
      </w:r>
      <w:r w:rsidRPr="008D63EC">
        <w:rPr>
          <w:rFonts w:ascii="Arial" w:hAnsi="Arial" w:cs="Arial"/>
          <w:noProof/>
          <w:color w:val="000000" w:themeColor="text1"/>
        </w:rPr>
        <w:t>(Frankie et al., 2009; Hanley et al., 2014; Isaacs et al., 2009; Morandin &amp; Kremen, 2013a; Tuell et al., 2008)</w:t>
      </w:r>
      <w:r w:rsidRPr="008D63EC">
        <w:rPr>
          <w:rFonts w:ascii="Arial" w:hAnsi="Arial" w:cs="Arial"/>
          <w:color w:val="000000" w:themeColor="text1"/>
        </w:rPr>
        <w:fldChar w:fldCharType="end"/>
      </w:r>
      <w:r w:rsidRPr="008D63EC">
        <w:rPr>
          <w:rFonts w:ascii="Arial" w:hAnsi="Arial" w:cs="Arial"/>
          <w:color w:val="000000" w:themeColor="text1"/>
        </w:rPr>
        <w:t>.</w:t>
      </w:r>
    </w:p>
    <w:p w14:paraId="7A17CA71" w14:textId="66B930AB" w:rsidR="00D23EF3" w:rsidRPr="008D63EC" w:rsidRDefault="0056180E" w:rsidP="00EC7EEA">
      <w:pPr>
        <w:spacing w:line="480" w:lineRule="auto"/>
        <w:ind w:firstLine="720"/>
        <w:rPr>
          <w:rFonts w:ascii="Arial" w:hAnsi="Arial" w:cs="Arial"/>
          <w:color w:val="000000" w:themeColor="text1"/>
        </w:rPr>
      </w:pPr>
      <w:r w:rsidRPr="008D63EC">
        <w:rPr>
          <w:rFonts w:ascii="Arial" w:hAnsi="Arial" w:cs="Arial"/>
          <w:color w:val="000000" w:themeColor="text1"/>
        </w:rPr>
        <w:t xml:space="preserve"> Secondly, we expected our plants to </w:t>
      </w:r>
      <w:r w:rsidR="0050411A" w:rsidRPr="008D63EC">
        <w:rPr>
          <w:rFonts w:ascii="Arial" w:hAnsi="Arial" w:cs="Arial"/>
          <w:color w:val="000000" w:themeColor="text1"/>
        </w:rPr>
        <w:t xml:space="preserve">be </w:t>
      </w:r>
      <w:r w:rsidRPr="008D63EC">
        <w:rPr>
          <w:rFonts w:ascii="Arial" w:hAnsi="Arial" w:cs="Arial"/>
          <w:color w:val="000000" w:themeColor="text1"/>
        </w:rPr>
        <w:t>more attractive in year two, as perennials will be larger and more robust in their second year of establishment (</w:t>
      </w:r>
      <w:r w:rsidRPr="008D63EC">
        <w:rPr>
          <w:rFonts w:ascii="Arial" w:hAnsi="Arial" w:cs="Arial"/>
          <w:color w:val="000000" w:themeColor="text1"/>
        </w:rPr>
        <w:fldChar w:fldCharType="begin"/>
      </w:r>
      <w:r w:rsidR="00EE5B67" w:rsidRPr="008D63EC">
        <w:rPr>
          <w:rFonts w:ascii="Arial" w:hAnsi="Arial" w:cs="Arial"/>
          <w:color w:val="000000" w:themeColor="text1"/>
        </w:rPr>
        <w:instrText xml:space="preserve"> ADDIN ZOTERO_ITEM CSL_CITATION {"citationID":"2u6YD0rb","properties":{"formattedCitation":"(Ehrl\\uc0\\u233{}n &amp; Lehtil\\uc0\\u228{}, 2002)","plainCitation":"(Ehrlén &amp; Lehtilä, 2002)","dontUpdate":true,"noteIndex":0},"citationItems":[{"id":1062,"uris":["http://zotero.org/users/6034784/items/X6AP52Y5"],"uri":["http://zotero.org/users/6034784/items/X6AP52Y5"],"itemData":{"id":1062,"type":"article-journal","abstract":"Trade-offs involving life span are important in the molding of plant life histories. However, the empirical examination of such patterns has so far been limited by the fact that information on life span is mainly available in terms of discrete categories; annuals, semelparous perennials and iteroparous perennials. We used transition matrix models to project continuous estimates of conditional life spans from published information on size- or stage-structured demography for 71 perennial plant species. The projected life span ranged from 4.3 to 988.6 years and more than half of the species had a life span of more than 35 years. Woody plants had on average a projected life span more than four times as long as non-woody plants. Life spans were higher in forests than in open habitats and individuals of non-clonal species tended to have a longer life span than ramets of clonal species. Self-incompatible plants on average lived longer than self-compatible plants. There were no clear relations between life span and geographical region, dispersal syndrome, pollination mode, seed size or the presence of a seed bank. We conclude that accurate estimates of life span are central to understand how longevity is correlated to other traits within the group of perennial plants.","container-title":"Oikos","DOI":"10.1034/j.1600-0706.2002.980212.x","ISSN":"1600-0706","issue":"2","language":"en","note":"_eprint: https://onlinelibrary.wiley.com/doi/pdf/10.1034/j.1600-0706.2002.980212.x","page":"308-322","source":"Wiley Online Library","title":"How perennial are perennial plants?","volume":"98","author":[{"family":"Ehrlén","given":"Johan"},{"family":"Lehtilä","given":"Kari"}],"issued":{"date-parts":[["2002"]]}}}],"schema":"https://github.com/citation-style-language/schema/raw/master/csl-citation.json"} </w:instrText>
      </w:r>
      <w:r w:rsidRPr="008D63EC">
        <w:rPr>
          <w:rFonts w:ascii="Arial" w:hAnsi="Arial" w:cs="Arial"/>
          <w:color w:val="000000" w:themeColor="text1"/>
        </w:rPr>
        <w:fldChar w:fldCharType="separate"/>
      </w:r>
      <w:r w:rsidRPr="008D63EC">
        <w:rPr>
          <w:rFonts w:ascii="Arial" w:hAnsi="Arial" w:cs="Arial"/>
          <w:color w:val="000000" w:themeColor="text1"/>
        </w:rPr>
        <w:t>Ehrlén &amp; Lehtilä, 2002)</w:t>
      </w:r>
      <w:r w:rsidRPr="008D63EC">
        <w:rPr>
          <w:rFonts w:ascii="Arial" w:hAnsi="Arial" w:cs="Arial"/>
          <w:color w:val="000000" w:themeColor="text1"/>
        </w:rPr>
        <w:fldChar w:fldCharType="end"/>
      </w:r>
      <w:r w:rsidRPr="008D63EC">
        <w:rPr>
          <w:rFonts w:ascii="Arial" w:hAnsi="Arial" w:cs="Arial"/>
          <w:color w:val="000000" w:themeColor="text1"/>
        </w:rPr>
        <w:t xml:space="preserve">, thus increasing pollinator abundance in 2020 collections. </w:t>
      </w:r>
    </w:p>
    <w:p w14:paraId="2F7373AC" w14:textId="13C14F9C" w:rsidR="00207B01" w:rsidRPr="008D63EC" w:rsidRDefault="0056180E" w:rsidP="00EC7EEA">
      <w:pPr>
        <w:spacing w:line="480" w:lineRule="auto"/>
        <w:ind w:firstLine="720"/>
        <w:rPr>
          <w:rFonts w:ascii="Arial" w:hAnsi="Arial" w:cs="Arial"/>
          <w:color w:val="000000" w:themeColor="text1"/>
        </w:rPr>
      </w:pPr>
      <w:r w:rsidRPr="008D63EC">
        <w:rPr>
          <w:rFonts w:ascii="Arial" w:hAnsi="Arial" w:cs="Arial"/>
          <w:color w:val="000000" w:themeColor="text1"/>
        </w:rPr>
        <w:t>Thirdly,</w:t>
      </w:r>
      <w:r w:rsidR="002B150A" w:rsidRPr="008D63EC">
        <w:rPr>
          <w:rFonts w:ascii="Arial" w:hAnsi="Arial" w:cs="Arial"/>
          <w:color w:val="000000" w:themeColor="text1"/>
        </w:rPr>
        <w:t xml:space="preserve"> as plants within the Asteraceae have been found to be the most attractive to pollinators due to their large floral </w:t>
      </w:r>
      <w:r w:rsidR="004340B3" w:rsidRPr="008D63EC">
        <w:rPr>
          <w:rFonts w:ascii="Arial" w:hAnsi="Arial" w:cs="Arial"/>
          <w:color w:val="000000" w:themeColor="text1"/>
        </w:rPr>
        <w:t>displays</w:t>
      </w:r>
      <w:r w:rsidR="000D6EDF" w:rsidRPr="008D63EC">
        <w:rPr>
          <w:rFonts w:ascii="Arial" w:hAnsi="Arial" w:cs="Arial"/>
          <w:color w:val="000000" w:themeColor="text1"/>
        </w:rPr>
        <w:t xml:space="preserve"> </w:t>
      </w:r>
      <w:r w:rsidR="000D6EDF" w:rsidRPr="008D63EC">
        <w:rPr>
          <w:rFonts w:ascii="Arial" w:hAnsi="Arial" w:cs="Arial"/>
          <w:color w:val="000000" w:themeColor="text1"/>
        </w:rPr>
        <w:fldChar w:fldCharType="begin"/>
      </w:r>
      <w:r w:rsidR="000D6EDF" w:rsidRPr="008D63EC">
        <w:rPr>
          <w:rFonts w:ascii="Arial" w:hAnsi="Arial" w:cs="Arial"/>
          <w:color w:val="000000" w:themeColor="text1"/>
        </w:rPr>
        <w:instrText xml:space="preserve"> ADDIN ZOTERO_ITEM CSL_CITATION {"citationID":"OawtD4JD","properties":{"formattedCitation":"(Tuell et al., 2008; Williams et al., 2015)","plainCitation":"(Tuell et al., 2008; Williams et al., 2015)","noteIndex":0},"citationItems":[{"id":380,"uris":["http://zotero.org/users/6034784/items/UHEGJTVH"],"uri":["http://zotero.org/users/6034784/items/UHEGJTVH"],"itemData":{"id":380,"type":"article-journal","abstract":"Abstract. Addition of floral resources to agricultural field margins has been shown to increase abundance of beneficial insects in crop fields, but most plants","container-title":"Environmental Entomology","DOI":"10.1603/0046-225X(2008)37[707:VBWAMB]2.0.CO;2","ISSN":"0046-225X","issue":"3","journalAbbreviation":"Environ Entomol","language":"en","note":"publisher: Oxford Academic","page":"707-718","source":"academic.oup.com","title":"Visitation by Wild and Managed Bees (Hymenoptera: Apoidea) to Eastern U.S. Native Plants for Use in Conservation Programs","title-short":"Visitation by Wild and Managed Bees (Hymenoptera","volume":"37","author":[{"family":"Tuell","given":"Julianna K."},{"family":"Fiedler","given":"Anna K."},{"family":"Landis","given":"Douglas"},{"family":"Isaacs","given":"Rufus"}],"issued":{"date-parts":[["2008",6,1]]}}},{"id":954,"uris":["http://zotero.org/users/6034784/items/EA46AP47"],"uri":["http://zotero.org/users/6034784/items/EA46AP47"],"itemData":{"id":954,"type":"article-journal","abstract":"Global trends in pollinator-dependent crops have raised awareness of the need to support managed and wild bee populations to ensure sustainable crop production. Provision of sufﬁcient forage resources is a key element for promoting bee populations within human impacted landscapes, particularly those in agricultural lands where demand for pollination service is high and land use and management practices have reduced available ﬂowering resources. Recent government incentives in North America and Europe support the planting of wildﬂowers to beneﬁt pollinators; surprisingly, in North America there has been almost no rigorous testing of the performance of wildﬂower mixes, or their ability to support wild bee abundance and diversity. We tested different wildﬂower mixes in a spatially replicated, multiyear study in three regions of North America where production of pollinatordependent crops is high: Florida, Michigan, and California. In each region, we quantiﬁed ﬂowering among wildﬂower mixes composed of annual and perennial species, and with high and low relative diversity. We measured the abundance and species richness of wild bees, honey bees, and syrphid ﬂies at each mix over two seasons. In each region, some but not all wildﬂower mixes provided signiﬁcantly greater ﬂoral display area than unmanaged weedy control plots. Mixes also attracted greater abundance and richness of wild bees, although the identity of best mixes varied among regions. By partitioning ﬂoral display size from mix identity we show the importance of display size for attracting abundant and diverse wild bees. Season-long monitoring also revealed that designing mixes to provide continuous bloom throughout the growing season is critical to supporting the greatest pollinator species richness. Contrary to expectation, perennials bloomed in their ﬁrst season, and complementarity in attraction of pollinators among annuals and perennials suggests that inclusion of functionally diverse species may provide the greatest beneﬁt. Wildﬂower mixes may be particularly important for providing resources for some taxa, such as bumble bees, which are known to be in decline in several regions of North America. No mix consistently attained the full diversity that was planted. Further study is needed on how to achieve the desired ﬂoral display and diversity from seed mixes.","container-title":"Ecological Applications","DOI":"10.1890/14-1748.1","ISSN":"1051-0761","issue":"8","journalAbbreviation":"Ecological Applications","language":"en","page":"2119-2131","source":"DOI.org (Crossref)","title":"Native wildflower plantings support wild bee abundance and diversity in agricultural landscapes across the United States","volume":"25","author":[{"family":"Williams","given":"Neal M."},{"family":"Ward","given":"Kimiora L."},{"family":"Pope","given":"Nathaniel"},{"family":"Isaacs","given":"Rufus"},{"family":"Wilson","given":"Julianna"},{"family":"May","given":"Emily A."},{"family":"Ellis","given":"Jamie"},{"family":"Daniels","given":"Jaret"},{"family":"Pence","given":"Akers"},{"family":"Ullmann","given":"Katharina"},{"family":"Peters","given":"Jeff"}],"issued":{"date-parts":[["2015",12]]}}}],"schema":"https://github.com/citation-style-language/schema/raw/master/csl-citation.json"} </w:instrText>
      </w:r>
      <w:r w:rsidR="000D6EDF" w:rsidRPr="008D63EC">
        <w:rPr>
          <w:rFonts w:ascii="Arial" w:hAnsi="Arial" w:cs="Arial"/>
          <w:color w:val="000000" w:themeColor="text1"/>
        </w:rPr>
        <w:fldChar w:fldCharType="separate"/>
      </w:r>
      <w:r w:rsidR="000D6EDF" w:rsidRPr="008D63EC">
        <w:rPr>
          <w:rFonts w:ascii="Arial" w:hAnsi="Arial" w:cs="Arial"/>
          <w:noProof/>
          <w:color w:val="000000" w:themeColor="text1"/>
        </w:rPr>
        <w:t>(Tuell et al., 2008; Williams et al., 2015)</w:t>
      </w:r>
      <w:r w:rsidR="000D6EDF" w:rsidRPr="008D63EC">
        <w:rPr>
          <w:rFonts w:ascii="Arial" w:hAnsi="Arial" w:cs="Arial"/>
          <w:color w:val="000000" w:themeColor="text1"/>
        </w:rPr>
        <w:fldChar w:fldCharType="end"/>
      </w:r>
      <w:r w:rsidR="002B150A" w:rsidRPr="008D63EC">
        <w:rPr>
          <w:rFonts w:ascii="Arial" w:hAnsi="Arial" w:cs="Arial"/>
          <w:color w:val="000000" w:themeColor="text1"/>
        </w:rPr>
        <w:t>, we hypothesized the Asteraceae plot to be the most attractive</w:t>
      </w:r>
      <w:r w:rsidR="000D6EDF" w:rsidRPr="008D63EC">
        <w:rPr>
          <w:rFonts w:ascii="Arial" w:hAnsi="Arial" w:cs="Arial"/>
          <w:color w:val="000000" w:themeColor="text1"/>
        </w:rPr>
        <w:t xml:space="preserve"> plot overall. </w:t>
      </w:r>
    </w:p>
    <w:p w14:paraId="63A9B990" w14:textId="1D505FD8" w:rsidR="004341D0" w:rsidRPr="000C7549" w:rsidRDefault="00207B01" w:rsidP="00BD50DC">
      <w:pPr>
        <w:numPr>
          <w:ilvl w:val="12"/>
          <w:numId w:val="0"/>
        </w:numPr>
        <w:spacing w:line="480" w:lineRule="auto"/>
        <w:ind w:firstLine="720"/>
        <w:rPr>
          <w:rFonts w:ascii="Arial" w:hAnsi="Arial" w:cs="Arial"/>
        </w:rPr>
      </w:pPr>
      <w:r w:rsidRPr="000C7549">
        <w:rPr>
          <w:rFonts w:ascii="Arial" w:hAnsi="Arial" w:cs="Arial"/>
        </w:rPr>
        <w:t>To our knowledge, this is the first study in East Tennessee specifically looking into the role of native perennial plants and their insect pollinators. One previous study assessed pollinators in the region (</w:t>
      </w:r>
      <w:r w:rsidRPr="000C7549">
        <w:rPr>
          <w:rFonts w:ascii="Arial" w:hAnsi="Arial" w:cs="Arial"/>
        </w:rPr>
        <w:fldChar w:fldCharType="begin"/>
      </w:r>
      <w:r w:rsidRPr="000C7549">
        <w:rPr>
          <w:rFonts w:ascii="Arial" w:hAnsi="Arial" w:cs="Arial"/>
        </w:rPr>
        <w:instrText xml:space="preserve"> ADDIN ZOTERO_ITEM CSL_CITATION {"citationID":"2bSe2cgi","properties":{"formattedCitation":"(Wilson et al., 2016)","plainCitation":"(Wilson et al., 2016)","dontUpdate":true,"noteIndex":0},"citationItems":[{"id":628,"uris":["http://zotero.org/users/6034784/items/E8V3JBRX"],"uri":["http://zotero.org/users/6034784/items/E8V3JBRX"],"itemData":{"id":628,"type":"article-journal","abstract":"This study investigated bee visitation on 10 agricultural crops grown on diverse small farms in Tennessee to determine the abundance of native bees and honey bees and the partitioning of visitation among crops. Summaries for each crop are used to generate mean proportions of bee visitation by categories of bees. This shows that native bee visits often occur as frequently, or in greater proportions than non-native honey bee visits. Visitation across multiple crops is then analyzed together with nonmetric multidimensional scaling to show how communities of bees that provide crop pollination change depending on the crop. Within squash and pumpkin plantings, continuous and discrete factors, such as “time of day” and “organic practices,” further explain shifts in the community composition of flower visitors. Results from this study show that native bees frequently visit flowers on various crops, indicating that they are likely contributing to pollination services in addition to honey bees. Furthermore, the community of bees visiting flowers changes based on crop type, phenology, and spatial-temporal factors. Results suggest that developing pollinator conservation for farms that grow a wide variety of crops will likely require multiple conservation strategies. Farms that concentrate on a single crop may be able to tailor conservation practices toward the most important bees in their system and geographic locale.","container-title":"Environmental Entomology","DOI":"10.1093/ee/nvv216","ISSN":"0046-225X","issue":"2","journalAbbreviation":"Environmental Entomology","page":"390-396","source":"Silverchair","title":"Using Nonmetric Multidimensional Scaling to Analyze Bee Visitation in East Tennessee Crops as an Indicator of Pollination Services Provided by Honey Bees ( Apis mellifera L. ) and Native Bees","volume":"45","author":[{"family":"Wilson","given":"Michael E."},{"family":"Skinner","given":"John A."},{"family":"Wszelaki","given":"Annette L."},{"family":"Drummond","given":"Frank"}],"issued":{"date-parts":[["2016",4,1]]}}}],"schema":"https://github.com/citation-style-language/schema/raw/master/csl-citation.json"} </w:instrText>
      </w:r>
      <w:r w:rsidRPr="000C7549">
        <w:rPr>
          <w:rFonts w:ascii="Arial" w:hAnsi="Arial" w:cs="Arial"/>
        </w:rPr>
        <w:fldChar w:fldCharType="separate"/>
      </w:r>
      <w:r w:rsidRPr="000C7549">
        <w:rPr>
          <w:rFonts w:ascii="Arial" w:hAnsi="Arial" w:cs="Arial"/>
        </w:rPr>
        <w:t>Wilson et al., 2016)</w:t>
      </w:r>
      <w:r w:rsidRPr="000C7549">
        <w:rPr>
          <w:rFonts w:ascii="Arial" w:hAnsi="Arial" w:cs="Arial"/>
        </w:rPr>
        <w:fldChar w:fldCharType="end"/>
      </w:r>
      <w:r w:rsidRPr="000C7549">
        <w:rPr>
          <w:rFonts w:ascii="Arial" w:hAnsi="Arial" w:cs="Arial"/>
        </w:rPr>
        <w:t xml:space="preserve">, but focused on insect visitors to </w:t>
      </w:r>
      <w:r w:rsidRPr="000C7549">
        <w:rPr>
          <w:rFonts w:ascii="Arial" w:hAnsi="Arial" w:cs="Arial"/>
        </w:rPr>
        <w:lastRenderedPageBreak/>
        <w:t>horticultural crop flowers</w:t>
      </w:r>
      <w:r w:rsidR="00ED1DC1" w:rsidRPr="000C7549">
        <w:rPr>
          <w:rFonts w:ascii="Arial" w:hAnsi="Arial" w:cs="Arial"/>
        </w:rPr>
        <w:t xml:space="preserve"> and excluded</w:t>
      </w:r>
      <w:r w:rsidRPr="000C7549">
        <w:rPr>
          <w:rFonts w:ascii="Arial" w:hAnsi="Arial" w:cs="Arial"/>
        </w:rPr>
        <w:t xml:space="preserve"> pollinator forage preferences and an assessment of the populations of Tennessee bees in multiple land use types.</w:t>
      </w:r>
    </w:p>
    <w:p w14:paraId="415DAA9E" w14:textId="77777777" w:rsidR="00207B01" w:rsidRPr="008D63EC" w:rsidRDefault="00207B01" w:rsidP="00207B01">
      <w:pPr>
        <w:spacing w:line="480" w:lineRule="auto"/>
        <w:rPr>
          <w:rFonts w:ascii="Arial" w:hAnsi="Arial" w:cs="Arial"/>
          <w:b/>
          <w:bCs/>
          <w:i/>
          <w:iCs/>
          <w:color w:val="000000" w:themeColor="text1"/>
        </w:rPr>
      </w:pPr>
      <w:r w:rsidRPr="008D63EC">
        <w:rPr>
          <w:rFonts w:ascii="Arial" w:hAnsi="Arial" w:cs="Arial"/>
          <w:b/>
          <w:bCs/>
          <w:i/>
          <w:iCs/>
          <w:color w:val="000000" w:themeColor="text1"/>
        </w:rPr>
        <w:t>Objectives</w:t>
      </w:r>
    </w:p>
    <w:p w14:paraId="116FD6DD" w14:textId="74A0195C" w:rsidR="00CE2390" w:rsidRPr="008D63EC" w:rsidRDefault="00CE2390" w:rsidP="00CE2390">
      <w:pPr>
        <w:numPr>
          <w:ilvl w:val="12"/>
          <w:numId w:val="0"/>
        </w:numPr>
        <w:spacing w:line="480" w:lineRule="auto"/>
        <w:rPr>
          <w:rFonts w:ascii="Arial" w:hAnsi="Arial" w:cs="Arial"/>
          <w:color w:val="000000" w:themeColor="text1"/>
        </w:rPr>
      </w:pPr>
      <w:r w:rsidRPr="008D63EC">
        <w:rPr>
          <w:rFonts w:ascii="Arial" w:hAnsi="Arial" w:cs="Arial"/>
          <w:color w:val="000000" w:themeColor="text1"/>
        </w:rPr>
        <w:t>1) To quantify pollinator abundance and richness in East Tennessee</w:t>
      </w:r>
    </w:p>
    <w:p w14:paraId="0A928D11" w14:textId="77777777" w:rsidR="00CE2390" w:rsidRPr="008D63EC" w:rsidRDefault="00CE2390" w:rsidP="00CE2390">
      <w:pPr>
        <w:numPr>
          <w:ilvl w:val="12"/>
          <w:numId w:val="0"/>
        </w:numPr>
        <w:spacing w:line="480" w:lineRule="auto"/>
        <w:rPr>
          <w:rFonts w:ascii="Arial" w:hAnsi="Arial" w:cs="Arial"/>
          <w:color w:val="000000" w:themeColor="text1"/>
        </w:rPr>
      </w:pPr>
      <w:r w:rsidRPr="008D63EC">
        <w:rPr>
          <w:rFonts w:ascii="Arial" w:hAnsi="Arial" w:cs="Arial"/>
          <w:color w:val="000000" w:themeColor="text1"/>
        </w:rPr>
        <w:t>2) To determine native plant forage preferences for native and non-native pollinating insects</w:t>
      </w:r>
    </w:p>
    <w:p w14:paraId="3CBD6486" w14:textId="42FF0406" w:rsidR="004341D0" w:rsidRPr="008D63EC" w:rsidRDefault="007D71A8" w:rsidP="00207B01">
      <w:pPr>
        <w:numPr>
          <w:ilvl w:val="12"/>
          <w:numId w:val="0"/>
        </w:numPr>
        <w:spacing w:line="480" w:lineRule="auto"/>
        <w:rPr>
          <w:rFonts w:ascii="Arial" w:hAnsi="Arial" w:cs="Arial"/>
          <w:color w:val="000000" w:themeColor="text1"/>
        </w:rPr>
      </w:pPr>
      <w:r w:rsidRPr="008D63EC">
        <w:rPr>
          <w:rFonts w:ascii="Arial" w:hAnsi="Arial" w:cs="Arial"/>
          <w:color w:val="000000" w:themeColor="text1"/>
        </w:rPr>
        <w:t>3) To provide evidence-based native planting recommendations for pollinator conservation in Tennessee</w:t>
      </w:r>
    </w:p>
    <w:p w14:paraId="196E52A0" w14:textId="77777777" w:rsidR="00207B01" w:rsidRPr="000C7549" w:rsidRDefault="00207B01" w:rsidP="00207B01">
      <w:pPr>
        <w:pStyle w:val="Heading2"/>
        <w:spacing w:line="480" w:lineRule="auto"/>
      </w:pPr>
      <w:bookmarkStart w:id="13" w:name="_Toc72486758"/>
      <w:bookmarkStart w:id="14" w:name="_Toc76799699"/>
      <w:r w:rsidRPr="000C7549">
        <w:t>Methods</w:t>
      </w:r>
      <w:bookmarkEnd w:id="13"/>
      <w:bookmarkEnd w:id="14"/>
    </w:p>
    <w:p w14:paraId="38647820" w14:textId="6D4BCF23" w:rsidR="00207B01" w:rsidRPr="00CE2390" w:rsidRDefault="00207B01" w:rsidP="00027863">
      <w:pPr>
        <w:spacing w:line="480" w:lineRule="auto"/>
        <w:ind w:firstLine="720"/>
        <w:rPr>
          <w:rFonts w:ascii="Arial" w:hAnsi="Arial" w:cs="Arial"/>
          <w:color w:val="FF0000"/>
        </w:rPr>
      </w:pPr>
      <w:r w:rsidRPr="000C7549">
        <w:rPr>
          <w:rFonts w:ascii="Arial" w:hAnsi="Arial" w:cs="Arial"/>
        </w:rPr>
        <w:t xml:space="preserve">All research sites were located on the University of Tennessee properties in East Tennessee (Anderson, Cumberland, and Knox counties). In 2019, we began with 4 sites 1) </w:t>
      </w:r>
      <w:r w:rsidR="00027863" w:rsidRPr="000C7549">
        <w:rPr>
          <w:rFonts w:ascii="Arial" w:hAnsi="Arial" w:cs="Arial"/>
        </w:rPr>
        <w:t>U</w:t>
      </w:r>
      <w:r w:rsidRPr="000C7549">
        <w:rPr>
          <w:rFonts w:ascii="Arial" w:hAnsi="Arial" w:cs="Arial"/>
        </w:rPr>
        <w:t>rban</w:t>
      </w:r>
      <w:r w:rsidR="00966D00" w:rsidRPr="000C7549">
        <w:rPr>
          <w:rFonts w:ascii="Arial" w:hAnsi="Arial" w:cs="Arial"/>
        </w:rPr>
        <w:t xml:space="preserve"> Gardens</w:t>
      </w:r>
      <w:r w:rsidRPr="000C7549">
        <w:rPr>
          <w:rFonts w:ascii="Arial" w:hAnsi="Arial" w:cs="Arial"/>
        </w:rPr>
        <w:t xml:space="preserve">, 2) </w:t>
      </w:r>
      <w:r w:rsidR="00027863" w:rsidRPr="000C7549">
        <w:rPr>
          <w:rFonts w:ascii="Arial" w:hAnsi="Arial" w:cs="Arial"/>
        </w:rPr>
        <w:t>S</w:t>
      </w:r>
      <w:r w:rsidRPr="000C7549">
        <w:rPr>
          <w:rFonts w:ascii="Arial" w:hAnsi="Arial" w:cs="Arial"/>
        </w:rPr>
        <w:t>emi-</w:t>
      </w:r>
      <w:r w:rsidR="00027863" w:rsidRPr="000C7549">
        <w:rPr>
          <w:rFonts w:ascii="Arial" w:hAnsi="Arial" w:cs="Arial"/>
        </w:rPr>
        <w:t>n</w:t>
      </w:r>
      <w:r w:rsidRPr="000C7549">
        <w:rPr>
          <w:rFonts w:ascii="Arial" w:hAnsi="Arial" w:cs="Arial"/>
        </w:rPr>
        <w:t xml:space="preserve">atural, 3) </w:t>
      </w:r>
      <w:r w:rsidR="00027863" w:rsidRPr="000C7549">
        <w:rPr>
          <w:rFonts w:ascii="Arial" w:hAnsi="Arial" w:cs="Arial"/>
        </w:rPr>
        <w:t>Cattle Pasture</w:t>
      </w:r>
      <w:r w:rsidRPr="000C7549">
        <w:rPr>
          <w:rFonts w:ascii="Arial" w:hAnsi="Arial" w:cs="Arial"/>
        </w:rPr>
        <w:t xml:space="preserve">, and 4) </w:t>
      </w:r>
      <w:r w:rsidR="00027863" w:rsidRPr="000C7549">
        <w:rPr>
          <w:rFonts w:ascii="Arial" w:hAnsi="Arial" w:cs="Arial"/>
        </w:rPr>
        <w:t>M</w:t>
      </w:r>
      <w:r w:rsidRPr="000C7549">
        <w:rPr>
          <w:rFonts w:ascii="Arial" w:hAnsi="Arial" w:cs="Arial"/>
        </w:rPr>
        <w:t>ixed</w:t>
      </w:r>
      <w:r w:rsidR="00027863" w:rsidRPr="000C7549">
        <w:rPr>
          <w:rFonts w:ascii="Arial" w:hAnsi="Arial" w:cs="Arial"/>
        </w:rPr>
        <w:t xml:space="preserve"> U</w:t>
      </w:r>
      <w:r w:rsidRPr="000C7549">
        <w:rPr>
          <w:rFonts w:ascii="Arial" w:hAnsi="Arial" w:cs="Arial"/>
        </w:rPr>
        <w:t xml:space="preserve">se </w:t>
      </w:r>
      <w:r w:rsidR="00027863" w:rsidRPr="000C7549">
        <w:rPr>
          <w:rFonts w:ascii="Arial" w:hAnsi="Arial" w:cs="Arial"/>
        </w:rPr>
        <w:t>Agriculture</w:t>
      </w:r>
      <w:r w:rsidRPr="000C7549">
        <w:rPr>
          <w:rFonts w:ascii="Arial" w:hAnsi="Arial" w:cs="Arial"/>
        </w:rPr>
        <w:t xml:space="preserve">. In 2020, we expanded to include a fifth site representing 5) </w:t>
      </w:r>
      <w:r w:rsidR="00027863" w:rsidRPr="000C7549">
        <w:rPr>
          <w:rFonts w:ascii="Arial" w:hAnsi="Arial" w:cs="Arial"/>
        </w:rPr>
        <w:t>O</w:t>
      </w:r>
      <w:r w:rsidRPr="000C7549">
        <w:rPr>
          <w:rFonts w:ascii="Arial" w:hAnsi="Arial" w:cs="Arial"/>
        </w:rPr>
        <w:t xml:space="preserve">rganic </w:t>
      </w:r>
      <w:r w:rsidR="00027863" w:rsidRPr="000C7549">
        <w:rPr>
          <w:rFonts w:ascii="Arial" w:hAnsi="Arial" w:cs="Arial"/>
        </w:rPr>
        <w:t>A</w:t>
      </w:r>
      <w:r w:rsidRPr="000C7549">
        <w:rPr>
          <w:rFonts w:ascii="Arial" w:hAnsi="Arial" w:cs="Arial"/>
        </w:rPr>
        <w:t>griculture. Each of the sites represents a block in the experimental design, comprising a full set of experimental treatments, here species composition.</w:t>
      </w:r>
      <w:r w:rsidR="00CE2390">
        <w:rPr>
          <w:rFonts w:ascii="Arial" w:hAnsi="Arial" w:cs="Arial"/>
        </w:rPr>
        <w:t xml:space="preserve"> </w:t>
      </w:r>
    </w:p>
    <w:p w14:paraId="5C663842" w14:textId="753AA489" w:rsidR="00CE2390" w:rsidRDefault="00207B01" w:rsidP="0057270A">
      <w:pPr>
        <w:spacing w:line="480" w:lineRule="auto"/>
        <w:ind w:firstLine="720"/>
        <w:rPr>
          <w:rFonts w:ascii="Arial" w:hAnsi="Arial" w:cs="Arial"/>
        </w:rPr>
      </w:pPr>
      <w:r w:rsidRPr="000C7549">
        <w:rPr>
          <w:rFonts w:ascii="Arial" w:hAnsi="Arial" w:cs="Arial"/>
        </w:rPr>
        <w:t>At each site, we established four plots, one containing six species of each plant family (Asteraceae, Fabaceae, and Lamiaceae) and one featuring two species of each family (Mixed family plot). These plots were approximately 50 meters apart.  Within each plot, we planted four individuals each of six native perennial species, such that the composition of the plots in each site was fixed (Fig. 1</w:t>
      </w:r>
      <w:r w:rsidR="00F368C2">
        <w:rPr>
          <w:rFonts w:ascii="Arial" w:hAnsi="Arial" w:cs="Arial"/>
        </w:rPr>
        <w:t>, all figures and tables located in the appendix</w:t>
      </w:r>
      <w:r w:rsidRPr="000C7549">
        <w:rPr>
          <w:rFonts w:ascii="Arial" w:hAnsi="Arial" w:cs="Arial"/>
        </w:rPr>
        <w:t xml:space="preserve">). As each block served as a replicate of the experimental treatments (four plots), there were five replicates for the study in 2020 and four replicates in 2019. </w:t>
      </w:r>
    </w:p>
    <w:p w14:paraId="0A44DF2F" w14:textId="77777777" w:rsidR="000003EA" w:rsidRPr="000C7549" w:rsidRDefault="000003EA" w:rsidP="000003EA">
      <w:pPr>
        <w:spacing w:line="480" w:lineRule="auto"/>
        <w:rPr>
          <w:rFonts w:ascii="Arial" w:hAnsi="Arial" w:cs="Arial"/>
          <w:i/>
          <w:iCs/>
        </w:rPr>
      </w:pPr>
      <w:r w:rsidRPr="000C7549">
        <w:rPr>
          <w:rFonts w:ascii="Arial" w:hAnsi="Arial" w:cs="Arial"/>
          <w:b/>
          <w:bCs/>
          <w:i/>
          <w:iCs/>
        </w:rPr>
        <w:lastRenderedPageBreak/>
        <w:t>Plot</w:t>
      </w:r>
      <w:r w:rsidRPr="000C7549">
        <w:rPr>
          <w:rFonts w:ascii="Arial" w:hAnsi="Arial" w:cs="Arial"/>
          <w:i/>
          <w:iCs/>
        </w:rPr>
        <w:t xml:space="preserve"> </w:t>
      </w:r>
      <w:r>
        <w:rPr>
          <w:rFonts w:ascii="Arial" w:hAnsi="Arial" w:cs="Arial"/>
          <w:b/>
          <w:bCs/>
          <w:i/>
          <w:iCs/>
        </w:rPr>
        <w:t xml:space="preserve">Setup </w:t>
      </w:r>
    </w:p>
    <w:p w14:paraId="36BD11EB" w14:textId="77777777" w:rsidR="00BD50DC" w:rsidRDefault="000003EA" w:rsidP="00BD50DC">
      <w:pPr>
        <w:spacing w:line="480" w:lineRule="auto"/>
        <w:ind w:firstLine="720"/>
        <w:rPr>
          <w:rFonts w:ascii="Arial" w:hAnsi="Arial" w:cs="Arial"/>
        </w:rPr>
      </w:pPr>
      <w:r w:rsidRPr="000C7549">
        <w:rPr>
          <w:rFonts w:ascii="Arial" w:hAnsi="Arial" w:cs="Arial"/>
        </w:rPr>
        <w:t xml:space="preserve">For each of the replicated 3m x 2m plots, we eliminated grass through hand-weeding and hoeing. Additionally, all sites except the Organic Agriculture site received one application of glyphosate three weeks before planting. We distributed compost and commercially available topsoil throughout each plot before planting the selected native perennials. </w:t>
      </w:r>
    </w:p>
    <w:p w14:paraId="42A83C0D" w14:textId="59A37514" w:rsidR="000003EA" w:rsidRPr="000C7549" w:rsidRDefault="000003EA" w:rsidP="00BD50DC">
      <w:pPr>
        <w:spacing w:line="480" w:lineRule="auto"/>
        <w:ind w:firstLine="720"/>
        <w:rPr>
          <w:rFonts w:ascii="Arial" w:hAnsi="Arial" w:cs="Arial"/>
        </w:rPr>
      </w:pPr>
      <w:r w:rsidRPr="000C7549">
        <w:rPr>
          <w:rFonts w:ascii="Arial" w:hAnsi="Arial" w:cs="Arial"/>
        </w:rPr>
        <w:t xml:space="preserve">All plants were purchased as plugs from the same nursery and placed approximately </w:t>
      </w:r>
      <w:r w:rsidR="00152B68">
        <w:rPr>
          <w:rFonts w:ascii="Arial" w:hAnsi="Arial" w:cs="Arial"/>
        </w:rPr>
        <w:t>50</w:t>
      </w:r>
      <w:r w:rsidR="00152B68" w:rsidRPr="000C7549">
        <w:rPr>
          <w:rFonts w:ascii="Arial" w:hAnsi="Arial" w:cs="Arial"/>
        </w:rPr>
        <w:t xml:space="preserve">cm </w:t>
      </w:r>
      <w:r w:rsidRPr="000C7549">
        <w:rPr>
          <w:rFonts w:ascii="Arial" w:hAnsi="Arial" w:cs="Arial"/>
        </w:rPr>
        <w:t xml:space="preserve">apart within the plots. After planting, we added a </w:t>
      </w:r>
      <w:r w:rsidR="00D43862">
        <w:rPr>
          <w:rFonts w:ascii="Arial" w:hAnsi="Arial" w:cs="Arial"/>
        </w:rPr>
        <w:t xml:space="preserve">soil amendment (e.g. compost) and a </w:t>
      </w:r>
      <w:r w:rsidRPr="000C7549">
        <w:rPr>
          <w:rFonts w:ascii="Arial" w:hAnsi="Arial" w:cs="Arial"/>
        </w:rPr>
        <w:t xml:space="preserve">layer of commercially available mulch to each plot for moisture retention and weed suppression. </w:t>
      </w:r>
      <w:r w:rsidR="00207B01" w:rsidRPr="000C7549">
        <w:rPr>
          <w:rFonts w:ascii="Arial" w:hAnsi="Arial" w:cs="Arial"/>
        </w:rPr>
        <w:t xml:space="preserve">The plants were hand-watered regularly during dry periods, and all plots within a site received the same amount of water. The plots were enclosed with chicken wire fencing to deter herbivores. </w:t>
      </w:r>
    </w:p>
    <w:p w14:paraId="25D15764" w14:textId="77777777" w:rsidR="00BD50DC" w:rsidRDefault="00207B01" w:rsidP="00BD50DC">
      <w:pPr>
        <w:spacing w:line="480" w:lineRule="auto"/>
        <w:rPr>
          <w:rFonts w:ascii="Arial" w:hAnsi="Arial" w:cs="Arial"/>
          <w:sz w:val="20"/>
          <w:szCs w:val="20"/>
        </w:rPr>
      </w:pPr>
      <w:r w:rsidRPr="000C7549">
        <w:rPr>
          <w:rFonts w:ascii="Arial" w:hAnsi="Arial" w:cs="Arial"/>
          <w:b/>
          <w:i/>
        </w:rPr>
        <w:t>Selected Plant Families and Species</w:t>
      </w:r>
    </w:p>
    <w:p w14:paraId="010A03E8" w14:textId="6ECF59E1" w:rsidR="00207B01" w:rsidRDefault="00207B01" w:rsidP="00CE343D">
      <w:pPr>
        <w:spacing w:line="480" w:lineRule="auto"/>
        <w:ind w:firstLine="720"/>
        <w:rPr>
          <w:rFonts w:ascii="Arial" w:hAnsi="Arial" w:cs="Arial"/>
        </w:rPr>
      </w:pPr>
      <w:r w:rsidRPr="000C7549">
        <w:rPr>
          <w:rFonts w:ascii="Arial" w:hAnsi="Arial" w:cs="Arial"/>
        </w:rPr>
        <w:t>We selected the plant families based on specific qualities attractive to pollinators</w:t>
      </w:r>
      <w:r w:rsidR="00CE343D">
        <w:rPr>
          <w:rFonts w:ascii="Arial" w:hAnsi="Arial" w:cs="Arial"/>
        </w:rPr>
        <w:t xml:space="preserve">. </w:t>
      </w:r>
      <w:r w:rsidRPr="000C7549">
        <w:rPr>
          <w:rFonts w:ascii="Arial" w:hAnsi="Arial" w:cs="Arial"/>
        </w:rPr>
        <w:t>Asteraceae have an attractive, open flowering display and extended flowering periods</w:t>
      </w:r>
      <w:r w:rsidR="00ED1DC1" w:rsidRPr="000C7549">
        <w:rPr>
          <w:rFonts w:ascii="Arial" w:hAnsi="Arial" w:cs="Arial"/>
        </w:rPr>
        <w:t xml:space="preserve"> </w:t>
      </w:r>
      <w:r w:rsidR="00ED1DC1" w:rsidRPr="000C7549">
        <w:rPr>
          <w:rFonts w:ascii="Arial" w:hAnsi="Arial" w:cs="Arial"/>
        </w:rPr>
        <w:fldChar w:fldCharType="begin"/>
      </w:r>
      <w:r w:rsidR="00ED1DC1" w:rsidRPr="000C7549">
        <w:rPr>
          <w:rFonts w:ascii="Arial" w:hAnsi="Arial" w:cs="Arial"/>
        </w:rPr>
        <w:instrText xml:space="preserve"> ADDIN ZOTERO_ITEM CSL_CITATION {"citationID":"nEmKAVgz","properties":{"formattedCitation":"(Isaacs et al., 2009)","plainCitation":"(Isaacs et al., 2009)","noteIndex":0},"citationItems":[{"id":375,"uris":["http://zotero.org/users/6034784/items/EPZRMYSG"],"uri":["http://zotero.org/users/6034784/items/EPZRMYSG"],"itemData":{"id":375,"type":"article-journal","abstract":"Beneficial arthropods, including native bees, predators, and parasitoids, provide valuable ecosystem services worth $8 billion to US agriculture each year. These arthropod-mediated ecosystem services (AMES) include crop pollination and pest control, which help to maintain agricultural productivity and reduce the need for pesticide inputs. Maximizing survival and reproduction of beneficial arthropods requires provision of pollen and nectar resources that are often scarce in modern agricultural landscapes. Increasingly, native plants are being evaluated for this purpose. Native plants can outperform recommended non-natives and also provide local adaptation, habitat permanency, and support of native biodiversity. We predict that the success of insect conservation programs using flowering plants to increase AMES on farmland will depend on landscape context, with the greatest success in landscapes of moderate complexity. Reintegration of native plants into agricultural landscapes has the potential to support multiple conservation goals, and will require the collaboration of researchers, conservation educators, and native plant experts.","container-title":"Frontiers in Ecology and the Environment","DOI":"https://doi.org/10.1890/080035","ISSN":"1540-9309","issue":"4","language":"en","note":"_eprint: https://onlinelibrary.wiley.com/doi/pdf/10.1890/080035","page":"196-203","source":"Wiley Online Library","title":"Maximizing arthropod-mediated ecosystem services in agricultural landscapes: the role of native plants","title-short":"Maximizing arthropod-mediated ecosystem services in agricultural landscapes","volume":"7","author":[{"family":"Isaacs","given":"Rufus"},{"family":"Tuell","given":"Julianna"},{"family":"Fiedler","given":"Anna"},{"family":"Gardiner","given":"Mary"},{"family":"Landis","given":"Doug"}],"issued":{"date-parts":[["2009"]]}}}],"schema":"https://github.com/citation-style-language/schema/raw/master/csl-citation.json"} </w:instrText>
      </w:r>
      <w:r w:rsidR="00ED1DC1" w:rsidRPr="000C7549">
        <w:rPr>
          <w:rFonts w:ascii="Arial" w:hAnsi="Arial" w:cs="Arial"/>
        </w:rPr>
        <w:fldChar w:fldCharType="separate"/>
      </w:r>
      <w:r w:rsidR="00ED1DC1" w:rsidRPr="000C7549">
        <w:rPr>
          <w:rFonts w:ascii="Arial" w:hAnsi="Arial" w:cs="Arial"/>
          <w:noProof/>
        </w:rPr>
        <w:t>(Isaacs et al., 2009)</w:t>
      </w:r>
      <w:r w:rsidR="00ED1DC1" w:rsidRPr="000C7549">
        <w:rPr>
          <w:rFonts w:ascii="Arial" w:hAnsi="Arial" w:cs="Arial"/>
        </w:rPr>
        <w:fldChar w:fldCharType="end"/>
      </w:r>
      <w:r w:rsidRPr="000C7549">
        <w:rPr>
          <w:rFonts w:ascii="Arial" w:hAnsi="Arial" w:cs="Arial"/>
        </w:rPr>
        <w:t xml:space="preserve">. Flowering plants in the </w:t>
      </w:r>
      <w:r w:rsidRPr="000C7549">
        <w:rPr>
          <w:rFonts w:ascii="Arial" w:hAnsi="Arial" w:cs="Arial"/>
          <w:iCs/>
        </w:rPr>
        <w:t>Fabaceae</w:t>
      </w:r>
      <w:r w:rsidRPr="000C7549">
        <w:rPr>
          <w:rFonts w:ascii="Arial" w:hAnsi="Arial" w:cs="Arial"/>
        </w:rPr>
        <w:t xml:space="preserve"> family contain high protein pollen </w:t>
      </w:r>
      <w:r w:rsidRPr="000C7549">
        <w:rPr>
          <w:rFonts w:ascii="Arial" w:hAnsi="Arial" w:cs="Arial"/>
        </w:rPr>
        <w:fldChar w:fldCharType="begin"/>
      </w:r>
      <w:r w:rsidRPr="000C7549">
        <w:rPr>
          <w:rFonts w:ascii="Arial" w:hAnsi="Arial" w:cs="Arial"/>
        </w:rPr>
        <w:instrText xml:space="preserve"> ADDIN ZOTERO_ITEM CSL_CITATION {"citationID":"jsPo1gPi","properties":{"formattedCitation":"(Danforth et al., 2019; Pywell et al., 2005; Vaudo et al., 2020)","plainCitation":"(Danforth et al., 2019; Pywell et al., 2005; Vaudo et al., 2020)","noteIndex":0},"citationItems":[{"id":490,"uris":["http://zotero.org/users/6034784/items/JH7NP8UY"],"uri":["http://zotero.org/users/6034784/items/JH7NP8UY"],"itemData":{"id":490,"type":"book","abstract":"The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L."},{"family":"Fawcett","given":"Frances"}],"issued":{"date-parts":[["2019",8,27]]}}},{"id":349,"uris":["http://zotero.org/users/6034784/items/7JVUUB4X"],"uri":["http://zotero.org/users/6034784/items/7JVUUB4X"],"itemData":{"id":349,"type":"article-journal","abstract":"Habitat loss and the intensiﬁcation of farming practices have caused severe declines in the range and abundance of many bumblebee species in the UK. This study examines the long-term eﬀectiveness of four diﬀerent management strategies to enhance and restore bumblebee foraging habitat on arable ﬁeld margins in two regions with markedly contrasting landscape structure, farming systems and amount of semi-natural habitat. Bumblebees were monitored on 120 ﬁeld margins in July and August, together with estimates of ﬂower abundance and the vegetation composition. There were no diﬀerences in the abundance and diversity of the bumblebee assemblage between the two regions (East Anglia and the West Midlands), despite a greater abundance of ﬂowers and ﬂowering species on the lighter soils of the West Midlands. Very few bumblebees were recorded on intensively managed cereal ﬁeld margins due to the lack of dicot species. Conservation headlands supported a signiﬁcantly greater number of ﬂowering dicots, but the majority of these were annuals which did not provide good forage for bumblebees. From an agronomic and ecological perspective, the removal of ﬁeld margins from the cropping system was the best strategy for providing foraging habitat for bumblebees. Non-crop habitat resulting from natural regeneration provided good foraging habitat for bumblebee species, but most of the key forage species were pernicious weeds of agriculture (Cirsium spp.). Sowing non-crop ﬁeld margins with wildlife seed mixtures had the potential for providing the best foraging habitat for bumblebees, so long as preferred forage species were introduced (e.g. Trifolium pratense). Further research is required to reﬁne and target this management prescription for bumblebee conservation in the wider countryside.","container-title":"Biological Conservation","DOI":"10.1016/j.biocon.2004.05.020","ISSN":"00063207","issue":"4","journalAbbreviation":"Biological Conservation","language":"en","page":"479-494","source":"DOI.org (Crossref)","title":"Providing foraging resources for bumblebees in intensively farmed landscapes","volume":"121","author":[{"family":"Pywell","given":"R.F."},{"family":"Warman","given":"E.A."},{"family":"Carvell","given":"C."},{"family":"Sparks","given":"T.H."},{"family":"Dicks","given":"L.V."},{"family":"Bennett","given":"D."},{"family":"Wright","given":"A."},{"family":"Critchley","given":"C.N.R."},{"family":"Sherwood","given":"A."}],"issued":{"date-parts":[["2005",2]]}}},{"id":638,"uris":["http://zotero.org/users/6034784/items/TVLFYUNC"],"uri":["http://zotero.org/users/6034784/items/TVLFYUNC"],"itemData":{"id":638,"type":"article-journal","abstract":"Pollinator nutritional ecology provides insights into plant&amp;ndash;pollinator interactions, coevolution, and the restoration of declining pollinator populations. Bees obtain their protein and lipid nutrient intake from pollen, which is essential for larval growth and development as well as adult health and reproduction. Our previous research revealed that pollen protein to lipid ratios (P:L) shape bumble bee foraging preferences among pollen host-plant species, and these preferred ratios link to bumble bee colony health and fitness. Yet, we are still in the early stages of integrating data on P:L ratios across plant and bee species. Here, using a standard laboratory protocol, we present over 80 plant species&amp;rsquo; protein and lipid concentrations and P:L values, and we evaluate the P:L ratios of pollen collected by three bee species. We discuss the general phylogenetic, phenotypic, behavioral, and ecological trends observed in these P:L ratios that may drive plant&amp;ndash;pollinator interactions; we also present future research questions to further strengthen the field of pollination nutritional ecology. This dataset provides a foundation for researchers studying the nutritional drivers of plant&amp;ndash;pollinator interactions as well as for stakeholders developing planting schemes to best support pollinators.","container-title":"Insects","DOI":"10.3390/insects11020132","issue":"2","language":"en","note":"number: 2\npublisher: Multidisciplinary Digital Publishing Institute","page":"132","source":"www.mdpi.com","title":"Pollen Protein: Lipid Macronutrient Ratios May Guide Broad Patterns of Bee Species Floral Preferences","title-short":"Pollen Protein","volume":"11","author":[{"family":"Vaudo","given":"Anthony D."},{"family":"Tooker","given":"John F."},{"family":"Patch","given":"Harland M."},{"family":"Biddinger","given":"David J."},{"family":"Coccia","given":"Michael"},{"family":"Crone","given":"Makaylee K."},{"family":"Fiely","given":"Mark"},{"family":"Francis","given":"Jacob S."},{"family":"Hines","given":"Heather M."},{"family":"Hodges","given":"Mackenzie"},{"family":"Jackson","given":"Stephanie W."},{"family":"Michez","given":"Denis"},{"family":"Mu","given":"Junpeng"},{"family":"Russo","given":"Laura"},{"family":"Safari","given":"Maliheh"},{"family":"Treanore","given":"Erin D."},{"family":"Vanderplanck","given":"Maryse"},{"family":"Yip","given":"Eric"},{"family":"Leonard","given":"Anne S."},{"family":"Grozinger","given":"Christina M."}],"issued":{"date-parts":[["2020",2]]}}}],"schema":"https://github.com/citation-style-language/schema/raw/master/csl-citation.json"} </w:instrText>
      </w:r>
      <w:r w:rsidRPr="000C7549">
        <w:rPr>
          <w:rFonts w:ascii="Arial" w:hAnsi="Arial" w:cs="Arial"/>
        </w:rPr>
        <w:fldChar w:fldCharType="separate"/>
      </w:r>
      <w:r w:rsidRPr="000C7549">
        <w:rPr>
          <w:rFonts w:ascii="Arial" w:hAnsi="Arial" w:cs="Arial"/>
          <w:noProof/>
        </w:rPr>
        <w:t>(Danforth et al., 2019; Pywell et al., 2005; Vaudo et al., 2020)</w:t>
      </w:r>
      <w:r w:rsidRPr="000C7549">
        <w:rPr>
          <w:rFonts w:ascii="Arial" w:hAnsi="Arial" w:cs="Arial"/>
        </w:rPr>
        <w:fldChar w:fldCharType="end"/>
      </w:r>
      <w:r w:rsidRPr="000C7549">
        <w:rPr>
          <w:rFonts w:ascii="Arial" w:hAnsi="Arial" w:cs="Arial"/>
        </w:rPr>
        <w:t xml:space="preserve"> and Lamiaceae flowers produce significant quantities of nectar</w:t>
      </w:r>
      <w:r w:rsidR="00ED1DC1" w:rsidRPr="000C7549">
        <w:rPr>
          <w:rFonts w:ascii="Arial" w:hAnsi="Arial" w:cs="Arial"/>
        </w:rPr>
        <w:t xml:space="preserve"> </w:t>
      </w:r>
      <w:r w:rsidR="00ED1DC1" w:rsidRPr="000C7549">
        <w:rPr>
          <w:rFonts w:ascii="Arial" w:hAnsi="Arial" w:cs="Arial"/>
          <w:noProof/>
        </w:rPr>
        <w:t>(Danforth et al., 2019)</w:t>
      </w:r>
      <w:r w:rsidRPr="000C7549">
        <w:rPr>
          <w:rFonts w:ascii="Arial" w:hAnsi="Arial" w:cs="Arial"/>
        </w:rPr>
        <w:t xml:space="preserve">. We selected our native perennial study species (Table 1) based on the Lady Bird Johnson Wildflower Center database, the Southeast Region Pollinator Plants List published by The Xerces Society, nutrient content </w:t>
      </w:r>
      <w:r w:rsidRPr="000C7549">
        <w:rPr>
          <w:rFonts w:ascii="Arial" w:hAnsi="Arial" w:cs="Arial"/>
        </w:rPr>
        <w:fldChar w:fldCharType="begin"/>
      </w:r>
      <w:r w:rsidRPr="000C7549">
        <w:rPr>
          <w:rFonts w:ascii="Arial" w:hAnsi="Arial" w:cs="Arial"/>
        </w:rPr>
        <w:instrText xml:space="preserve"> ADDIN ZOTERO_ITEM CSL_CITATION {"citationID":"TSYhlFJB","properties":{"formattedCitation":"(Vaudo et al., 2020)","plainCitation":"(Vaudo et al., 2020)","noteIndex":0},"citationItems":[{"id":638,"uris":["http://zotero.org/users/6034784/items/TVLFYUNC"],"uri":["http://zotero.org/users/6034784/items/TVLFYUNC"],"itemData":{"id":638,"type":"article-journal","abstract":"Pollinator nutritional ecology provides insights into plant&amp;ndash;pollinator interactions, coevolution, and the restoration of declining pollinator populations. Bees obtain their protein and lipid nutrient intake from pollen, which is essential for larval growth and development as well as adult health and reproduction. Our previous research revealed that pollen protein to lipid ratios (P:L) shape bumble bee foraging preferences among pollen host-plant species, and these preferred ratios link to bumble bee colony health and fitness. Yet, we are still in the early stages of integrating data on P:L ratios across plant and bee species. Here, using a standard laboratory protocol, we present over 80 plant species&amp;rsquo; protein and lipid concentrations and P:L values, and we evaluate the P:L ratios of pollen collected by three bee species. We discuss the general phylogenetic, phenotypic, behavioral, and ecological trends observed in these P:L ratios that may drive plant&amp;ndash;pollinator interactions; we also present future research questions to further strengthen the field of pollination nutritional ecology. This dataset provides a foundation for researchers studying the nutritional drivers of plant&amp;ndash;pollinator interactions as well as for stakeholders developing planting schemes to best support pollinators.","container-title":"Insects","DOI":"10.3390/insects11020132","issue":"2","language":"en","note":"number: 2\npublisher: Multidisciplinary Digital Publishing Institute","page":"132","source":"www.mdpi.com","title":"Pollen Protein: Lipid Macronutrient Ratios May Guide Broad Patterns of Bee Species Floral Preferences","title-short":"Pollen Protein","volume":"11","author":[{"family":"Vaudo","given":"Anthony D."},{"family":"Tooker","given":"John F."},{"family":"Patch","given":"Harland M."},{"family":"Biddinger","given":"David J."},{"family":"Coccia","given":"Michael"},{"family":"Crone","given":"Makaylee K."},{"family":"Fiely","given":"Mark"},{"family":"Francis","given":"Jacob S."},{"family":"Hines","given":"Heather M."},{"family":"Hodges","given":"Mackenzie"},{"family":"Jackson","given":"Stephanie W."},{"family":"Michez","given":"Denis"},{"family":"Mu","given":"Junpeng"},{"family":"Russo","given":"Laura"},{"family":"Safari","given":"Maliheh"},{"family":"Treanore","given":"Erin D."},{"family":"Vanderplanck","given":"Maryse"},{"family":"Yip","given":"Eric"},{"family":"Leonard","given":"Anne S."},{"family":"Grozinger","given":"Christina M."}],"issued":{"date-parts":[["2020",2]]}}}],"schema":"https://github.com/citation-style-language/schema/raw/master/csl-citation.json"} </w:instrText>
      </w:r>
      <w:r w:rsidRPr="000C7549">
        <w:rPr>
          <w:rFonts w:ascii="Arial" w:hAnsi="Arial" w:cs="Arial"/>
        </w:rPr>
        <w:fldChar w:fldCharType="separate"/>
      </w:r>
      <w:r w:rsidRPr="000C7549">
        <w:rPr>
          <w:rFonts w:ascii="Arial" w:hAnsi="Arial" w:cs="Arial"/>
          <w:noProof/>
        </w:rPr>
        <w:t>(Vaudo et al., 2020)</w:t>
      </w:r>
      <w:r w:rsidRPr="000C7549">
        <w:rPr>
          <w:rFonts w:ascii="Arial" w:hAnsi="Arial" w:cs="Arial"/>
        </w:rPr>
        <w:fldChar w:fldCharType="end"/>
      </w:r>
      <w:r w:rsidRPr="000C7549">
        <w:rPr>
          <w:rFonts w:ascii="Arial" w:hAnsi="Arial" w:cs="Arial"/>
        </w:rPr>
        <w:t xml:space="preserve">, and plant availability from a local nursery. </w:t>
      </w:r>
    </w:p>
    <w:p w14:paraId="5C0A13D0" w14:textId="4854DE92" w:rsidR="00CE2390" w:rsidRPr="000C7549" w:rsidRDefault="00207B01" w:rsidP="007777F2">
      <w:pPr>
        <w:spacing w:line="480" w:lineRule="auto"/>
        <w:ind w:firstLine="720"/>
        <w:rPr>
          <w:rFonts w:ascii="Arial" w:hAnsi="Arial" w:cs="Arial"/>
          <w:color w:val="000000" w:themeColor="text1"/>
        </w:rPr>
      </w:pPr>
      <w:r w:rsidRPr="000C7549">
        <w:rPr>
          <w:rFonts w:ascii="Arial" w:hAnsi="Arial" w:cs="Arial"/>
          <w:color w:val="000000" w:themeColor="text1"/>
        </w:rPr>
        <w:lastRenderedPageBreak/>
        <w:t xml:space="preserve">Due to variation in pollen protein content among plant species, supplementing habitat with an array of plant species can support the nutritional needs of a diverse community of pollinators (see Chapter 1). The reported pollen protein to lipid ratio of our selected plant families by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{"citationID":"5L8C3jed","properties":{"formattedCitation":"(Vaudo et al., 2020)","plainCitation":"(Vaudo et al., 2020)","dontUpdate":true,"noteIndex":0},"citationItems":[{"id":638,"uris":["http://zotero.org/users/6034784/items/TVLFYUNC"],"uri":["http://zotero.org/users/6034784/items/TVLFYUNC"],"itemData":{"id":638,"type":"article-journal","abstract":"Pollinator nutritional ecology provides insights into plant&amp;ndash;pollinator interactions, coevolution, and the restoration of declining pollinator populations. Bees obtain their protein and lipid nutrient intake from pollen, which is essential for larval growth and development as well as adult health and reproduction. Our previous research revealed that pollen protein to lipid ratios (P:L) shape bumble bee foraging preferences among pollen host-plant species, and these preferred ratios link to bumble bee colony health and fitness. Yet, we are still in the early stages of integrating data on P:L ratios across plant and bee species. Here, using a standard laboratory protocol, we present over 80 plant species&amp;rsquo; protein and lipid concentrations and P:L values, and we evaluate the P:L ratios of pollen collected by three bee species. We discuss the general phylogenetic, phenotypic, behavioral, and ecological trends observed in these P:L ratios that may drive plant&amp;ndash;pollinator interactions; we also present future research questions to further strengthen the field of pollination nutritional ecology. This dataset provides a foundation for researchers studying the nutritional drivers of plant&amp;ndash;pollinator interactions as well as for stakeholders developing planting schemes to best support pollinators.","container-title":"Insects","DOI":"10.3390/insects11020132","issue":"2","language":"en","note":"number: 2\npublisher: Multidisciplinary Digital Publishing Institute","page":"132","source":"www.mdpi.com","title":"Pollen Protein: Lipid Macronutrient Ratios May Guide Broad Patterns of Bee Species Floral Preferences","title-short":"Pollen Protein","volume":"11","author":[{"family":"Vaudo","given":"Anthony D."},{"family":"Tooker","given":"John F."},{"family":"Patch","given":"Harland M."},{"family":"Biddinger","given":"David J."},{"family":"Coccia","given":"Michael"},{"family":"Crone","given":"Makaylee K."},{"family":"Fiely","given":"Mark"},{"family":"Francis","given":"Jacob S."},{"family":"Hines","given":"Heather M."},{"family":"Hodges","given":"Mackenzie"},{"family":"Jackson","given":"Stephanie W."},{"family":"Michez","given":"Denis"},{"family":"Mu","given":"Junpeng"},{"family":"Russo","given":"Laura"},{"family":"Safari","given":"Maliheh"},{"family":"Treanore","given":"Erin D."},{"family":"Vanderplanck","given":"Maryse"},{"family":"Yip","given":"Eric"},{"family":"Leonard","given":"Anne S."},{"family":"Grozinger","given":"Christina M."}],"issued":{"date-parts":[["2020",2]]}}}],"schema":"https://github.com/citation-style-language/schema/raw/master/csl-citation.json"}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Vaudo et al., (2020)</w:t>
      </w:r>
      <w:r w:rsidRPr="000C7549">
        <w:rPr>
          <w:rFonts w:ascii="Arial" w:hAnsi="Arial" w:cs="Arial"/>
          <w:color w:val="000000" w:themeColor="text1"/>
        </w:rPr>
        <w:fldChar w:fldCharType="end"/>
      </w:r>
      <w:r w:rsidRPr="000C7549">
        <w:rPr>
          <w:rFonts w:ascii="Arial" w:hAnsi="Arial" w:cs="Arial"/>
          <w:color w:val="000000" w:themeColor="text1"/>
        </w:rPr>
        <w:t xml:space="preserve"> is as follows: Asteraceae 1.06 ± 0.1 ug/mg, Lamiaceae ~1.2 ug/mg</w:t>
      </w:r>
      <w:r w:rsidR="00D50DD6" w:rsidRPr="000C7549">
        <w:rPr>
          <w:rFonts w:ascii="Arial" w:hAnsi="Arial" w:cs="Arial"/>
          <w:color w:val="000000" w:themeColor="text1"/>
        </w:rPr>
        <w:t>,</w:t>
      </w:r>
      <w:r w:rsidRPr="000C7549">
        <w:rPr>
          <w:rFonts w:ascii="Arial" w:hAnsi="Arial" w:cs="Arial"/>
          <w:color w:val="000000" w:themeColor="text1"/>
        </w:rPr>
        <w:t xml:space="preserve"> and Fabaceae 3.8 ± 0.5ug/mg. </w:t>
      </w:r>
    </w:p>
    <w:p w14:paraId="230F5A99" w14:textId="38219F86" w:rsidR="00BD50DC" w:rsidRPr="000C7549" w:rsidRDefault="00207B01" w:rsidP="00BD50DC">
      <w:pPr>
        <w:spacing w:line="480" w:lineRule="auto"/>
        <w:ind w:firstLine="720"/>
        <w:rPr>
          <w:rFonts w:ascii="Arial" w:hAnsi="Arial" w:cs="Arial"/>
        </w:rPr>
      </w:pPr>
      <w:r w:rsidRPr="000C7549">
        <w:rPr>
          <w:rFonts w:ascii="Arial" w:hAnsi="Arial" w:cs="Arial"/>
        </w:rPr>
        <w:t>From each of the three plant families, we chose six representative species</w:t>
      </w:r>
      <w:r w:rsidR="001005B2" w:rsidRPr="000C7549">
        <w:rPr>
          <w:rFonts w:ascii="Arial" w:hAnsi="Arial" w:cs="Arial"/>
        </w:rPr>
        <w:t xml:space="preserve"> (Table 1)</w:t>
      </w:r>
      <w:r w:rsidRPr="000C7549">
        <w:rPr>
          <w:rFonts w:ascii="Arial" w:hAnsi="Arial" w:cs="Arial"/>
        </w:rPr>
        <w:t xml:space="preserve">. The six </w:t>
      </w:r>
      <w:r w:rsidRPr="000C7549">
        <w:rPr>
          <w:rFonts w:ascii="Arial" w:hAnsi="Arial" w:cs="Arial"/>
          <w:iCs/>
        </w:rPr>
        <w:t>Asteraceae</w:t>
      </w:r>
      <w:r w:rsidRPr="000C7549">
        <w:rPr>
          <w:rFonts w:ascii="Arial" w:hAnsi="Arial" w:cs="Arial"/>
        </w:rPr>
        <w:t xml:space="preserve"> species were: </w:t>
      </w:r>
      <w:r w:rsidRPr="000C7549">
        <w:rPr>
          <w:rFonts w:ascii="Arial" w:hAnsi="Arial" w:cs="Arial"/>
          <w:i/>
        </w:rPr>
        <w:t xml:space="preserve">Helianthus occidentalis, Coreopsis lanceolata, Eurybia saxicastelli, Stokesia laevis, </w:t>
      </w:r>
      <w:r w:rsidR="0093661A" w:rsidRPr="000C7549">
        <w:rPr>
          <w:rFonts w:ascii="Arial" w:hAnsi="Arial" w:cs="Arial"/>
          <w:i/>
        </w:rPr>
        <w:t>Helianthus</w:t>
      </w:r>
      <w:r w:rsidRPr="000C7549">
        <w:rPr>
          <w:rFonts w:ascii="Arial" w:hAnsi="Arial" w:cs="Arial"/>
          <w:i/>
        </w:rPr>
        <w:t xml:space="preserve"> </w:t>
      </w:r>
      <w:proofErr w:type="spellStart"/>
      <w:r w:rsidR="00B049CA" w:rsidRPr="000C7549">
        <w:rPr>
          <w:rFonts w:ascii="Arial" w:hAnsi="Arial" w:cs="Arial"/>
          <w:i/>
        </w:rPr>
        <w:t>hir</w:t>
      </w:r>
      <w:r w:rsidR="00906244">
        <w:rPr>
          <w:rFonts w:ascii="Arial" w:hAnsi="Arial" w:cs="Arial"/>
          <w:i/>
        </w:rPr>
        <w:t>sutus</w:t>
      </w:r>
      <w:proofErr w:type="spellEnd"/>
      <w:r w:rsidRPr="000C7549">
        <w:rPr>
          <w:rFonts w:ascii="Arial" w:hAnsi="Arial" w:cs="Arial"/>
        </w:rPr>
        <w:t xml:space="preserve">, and </w:t>
      </w:r>
      <w:r w:rsidRPr="000C7549">
        <w:rPr>
          <w:rFonts w:ascii="Arial" w:hAnsi="Arial" w:cs="Arial"/>
          <w:i/>
        </w:rPr>
        <w:t>Verbesina occidentalis</w:t>
      </w:r>
      <w:r w:rsidRPr="000C7549">
        <w:rPr>
          <w:rFonts w:ascii="Arial" w:hAnsi="Arial" w:cs="Arial"/>
        </w:rPr>
        <w:t xml:space="preserve">. The six Lamiaceae species were: </w:t>
      </w:r>
      <w:r w:rsidRPr="000C7549">
        <w:rPr>
          <w:rFonts w:ascii="Arial" w:hAnsi="Arial" w:cs="Arial"/>
          <w:i/>
        </w:rPr>
        <w:t>Conradina verticillata, Pycnanthemum muticum, Lycopus virginicus, Physostegia leptophylla, Blephilia subnuda,</w:t>
      </w:r>
      <w:r w:rsidRPr="000C7549">
        <w:rPr>
          <w:rFonts w:ascii="Arial" w:hAnsi="Arial" w:cs="Arial"/>
        </w:rPr>
        <w:t xml:space="preserve"> and</w:t>
      </w:r>
      <w:r w:rsidRPr="000C7549">
        <w:rPr>
          <w:rFonts w:ascii="Arial" w:hAnsi="Arial" w:cs="Arial"/>
          <w:i/>
        </w:rPr>
        <w:t xml:space="preserve"> Collinsonia canadensis</w:t>
      </w:r>
      <w:r w:rsidRPr="000C7549">
        <w:rPr>
          <w:rFonts w:ascii="Arial" w:hAnsi="Arial" w:cs="Arial"/>
        </w:rPr>
        <w:t xml:space="preserve">. The six Fabaceae species were </w:t>
      </w:r>
      <w:r w:rsidRPr="000C7549">
        <w:rPr>
          <w:rFonts w:ascii="Arial" w:hAnsi="Arial" w:cs="Arial"/>
          <w:i/>
        </w:rPr>
        <w:t>Amorpha herbacea, Senna marilandica, Baptisia albescens, Lespedeza hirta, Baptisia tinctoria</w:t>
      </w:r>
      <w:r w:rsidRPr="000C7549">
        <w:rPr>
          <w:rFonts w:ascii="Arial" w:hAnsi="Arial" w:cs="Arial"/>
        </w:rPr>
        <w:t xml:space="preserve">, and </w:t>
      </w:r>
      <w:r w:rsidRPr="000C7549">
        <w:rPr>
          <w:rFonts w:ascii="Arial" w:hAnsi="Arial" w:cs="Arial"/>
          <w:i/>
        </w:rPr>
        <w:t>Thermopsis villosa</w:t>
      </w:r>
      <w:r w:rsidRPr="000C7549">
        <w:rPr>
          <w:rFonts w:ascii="Arial" w:hAnsi="Arial" w:cs="Arial"/>
        </w:rPr>
        <w:t>. The Mixed family plot contained</w:t>
      </w:r>
      <w:r w:rsidR="00D43862">
        <w:rPr>
          <w:rFonts w:ascii="Arial" w:hAnsi="Arial" w:cs="Arial"/>
        </w:rPr>
        <w:t>:</w:t>
      </w:r>
      <w:r w:rsidRPr="000C7549">
        <w:rPr>
          <w:rFonts w:ascii="Arial" w:hAnsi="Arial" w:cs="Arial"/>
        </w:rPr>
        <w:t xml:space="preserve"> </w:t>
      </w:r>
      <w:r w:rsidRPr="000C7549">
        <w:rPr>
          <w:rFonts w:ascii="Arial" w:hAnsi="Arial" w:cs="Arial"/>
          <w:i/>
        </w:rPr>
        <w:t>H. occidentalis, S. marilandica, C. verticillata, B. albescens, C. lanceolata</w:t>
      </w:r>
      <w:r w:rsidRPr="000C7549">
        <w:rPr>
          <w:rFonts w:ascii="Arial" w:hAnsi="Arial" w:cs="Arial"/>
        </w:rPr>
        <w:t xml:space="preserve">, and </w:t>
      </w:r>
      <w:r w:rsidRPr="000C7549">
        <w:rPr>
          <w:rFonts w:ascii="Arial" w:hAnsi="Arial" w:cs="Arial"/>
          <w:i/>
        </w:rPr>
        <w:t>P. muticum</w:t>
      </w:r>
      <w:r w:rsidRPr="000C7549">
        <w:rPr>
          <w:rFonts w:ascii="Arial" w:hAnsi="Arial" w:cs="Arial"/>
        </w:rPr>
        <w:t xml:space="preserve">. The plants in the </w:t>
      </w:r>
      <w:r w:rsidR="00ED1DC1" w:rsidRPr="000C7549">
        <w:rPr>
          <w:rFonts w:ascii="Arial" w:hAnsi="Arial" w:cs="Arial"/>
        </w:rPr>
        <w:t>M</w:t>
      </w:r>
      <w:r w:rsidR="0093661A" w:rsidRPr="000C7549">
        <w:rPr>
          <w:rFonts w:ascii="Arial" w:hAnsi="Arial" w:cs="Arial"/>
        </w:rPr>
        <w:t>ixed</w:t>
      </w:r>
      <w:r w:rsidRPr="000C7549">
        <w:rPr>
          <w:rFonts w:ascii="Arial" w:hAnsi="Arial" w:cs="Arial"/>
        </w:rPr>
        <w:t xml:space="preserve"> plot</w:t>
      </w:r>
      <w:r w:rsidR="0093661A" w:rsidRPr="000C7549">
        <w:rPr>
          <w:rFonts w:ascii="Arial" w:hAnsi="Arial" w:cs="Arial"/>
        </w:rPr>
        <w:t xml:space="preserve"> treatment</w:t>
      </w:r>
      <w:r w:rsidRPr="000C7549">
        <w:rPr>
          <w:rFonts w:ascii="Arial" w:hAnsi="Arial" w:cs="Arial"/>
        </w:rPr>
        <w:t xml:space="preserve"> were selected from the available plant species based on their commercial availability.</w:t>
      </w:r>
    </w:p>
    <w:p w14:paraId="5704CF04" w14:textId="77777777" w:rsidR="00207B01" w:rsidRPr="000C7549" w:rsidRDefault="00207B01" w:rsidP="00207B01">
      <w:pPr>
        <w:spacing w:line="480" w:lineRule="auto"/>
        <w:rPr>
          <w:rFonts w:ascii="Arial" w:hAnsi="Arial" w:cs="Arial"/>
          <w:b/>
          <w:i/>
          <w:iCs/>
        </w:rPr>
      </w:pPr>
      <w:r w:rsidRPr="000C7549">
        <w:rPr>
          <w:rFonts w:ascii="Arial" w:hAnsi="Arial" w:cs="Arial"/>
          <w:b/>
          <w:i/>
          <w:iCs/>
        </w:rPr>
        <w:t>Data Collection</w:t>
      </w:r>
    </w:p>
    <w:p w14:paraId="6E86A1DE" w14:textId="721DD910" w:rsidR="00207B01" w:rsidRPr="000C7549" w:rsidRDefault="00207B01" w:rsidP="00EC3681">
      <w:pPr>
        <w:spacing w:line="480" w:lineRule="auto"/>
        <w:ind w:firstLine="720"/>
        <w:rPr>
          <w:rFonts w:ascii="Arial" w:hAnsi="Arial" w:cs="Arial"/>
        </w:rPr>
      </w:pPr>
      <w:r w:rsidRPr="000C7549">
        <w:rPr>
          <w:rFonts w:ascii="Arial" w:hAnsi="Arial" w:cs="Arial"/>
        </w:rPr>
        <w:t xml:space="preserve">Weekly visits were made to each site to conduct pollinator collections. For each </w:t>
      </w:r>
      <w:r w:rsidR="00EC3681" w:rsidRPr="000C7549">
        <w:rPr>
          <w:rFonts w:ascii="Arial" w:hAnsi="Arial" w:cs="Arial"/>
        </w:rPr>
        <w:t xml:space="preserve">pollinator </w:t>
      </w:r>
      <w:r w:rsidRPr="000C7549">
        <w:rPr>
          <w:rFonts w:ascii="Arial" w:hAnsi="Arial" w:cs="Arial"/>
        </w:rPr>
        <w:t xml:space="preserve">collection, we recorded the date, time, site location, plot name, cloud cover, sun, temperature at the time of collection, number of inflorescences per plant, and the collector. We conducted pollinator collections between the hours of 0900h-1600h as this is when most pollinators are active </w:t>
      </w:r>
      <w:r w:rsidRPr="000C7549">
        <w:rPr>
          <w:rFonts w:ascii="Arial" w:hAnsi="Arial" w:cs="Arial"/>
        </w:rPr>
        <w:fldChar w:fldCharType="begin"/>
      </w:r>
      <w:r w:rsidRPr="000C7549">
        <w:rPr>
          <w:rFonts w:ascii="Arial" w:hAnsi="Arial" w:cs="Arial"/>
        </w:rPr>
        <w:instrText xml:space="preserve"> ADDIN ZOTERO_ITEM CSL_CITATION {"citationID":"a15js9b8qj0","properties":{"formattedCitation":"(Danforth et al., 2019)","plainCitation":"(Danforth et al., 2019)","noteIndex":0},"citationItems":[{"id":490,"uris":["http://zotero.org/users/6034784/items/JH7NP8UY"],"uri":["http://zotero.org/users/6034784/items/JH7NP8UY"],"itemData":{"id":490,"type":"book","abstract":"The most up-to-date and authoritative resource on the biology and evolution of solitary beesWhile social bees such as honey bees and bumble bees are familiar to most people, they comprise less than 10 percent of all bee species in the world. The vast majority of bees lead solitary lives, surviving without the help of a hive and using their own resources to fend off danger and protect their offspring. This book draws on new research to provide a comprehensive and authoritative overview of solitary bee biology, offering an unparalleled look at these remarkable insects.The Solitary Bees uses a modern phylogenetic framework to shed new light on the life histories and evolution of solitary bees. It explains the foraging behavior of solitary bees, their development, and competitive mating tactics. The book describes how they construct complex nests using an amazing variety of substrates and materials, and how solitary bees have co-opted beneficial mites, nematodes, and fungi to provide safe environments for their brood. It looks at how they have evolved intimate partnerships with flowering plants and examines their associations with predators, parasites, microbes, and other bees. This up-to-date synthesis of solitary bee biology is an essential resource for students and researchers, one that paves the way for future scholarship on the subject.Beautifully illustrated throughout, The Solitary Bees also documents the critical role solitary bees play as crop pollinators, and raises awareness of the dire threats they face, from habitat loss and climate change to pesticides, pathogens, parasites, and invasive species.","ISBN":"978-0-691-16898-2","language":"en","note":"Google-Books-ID: 4ceXDwAAQBAJ","number-of-pages":"486","publisher":"Princeton University Press","source":"Google Books","title":"The Solitary Bees: Biology, Evolution, Conservation","title-short":"The Solitary Bees","author":[{"family":"Danforth","given":"Bryan N."},{"family":"Minckley","given":"Robert L."},{"family":"Neff","given":"John L."},{"family":"Fawcett","given":"Frances"}],"issued":{"date-parts":[["2019",8,27]]}}}],"schema":"https://github.com/citation-style-language/schema/raw/master/csl-citation.json"} </w:instrText>
      </w:r>
      <w:r w:rsidRPr="000C7549">
        <w:rPr>
          <w:rFonts w:ascii="Arial" w:hAnsi="Arial" w:cs="Arial"/>
        </w:rPr>
        <w:fldChar w:fldCharType="separate"/>
      </w:r>
      <w:r w:rsidRPr="000C7549">
        <w:rPr>
          <w:rFonts w:ascii="Arial" w:hAnsi="Arial" w:cs="Arial"/>
        </w:rPr>
        <w:t>(Danforth et al., 2019)</w:t>
      </w:r>
      <w:r w:rsidRPr="000C7549">
        <w:rPr>
          <w:rFonts w:ascii="Arial" w:hAnsi="Arial" w:cs="Arial"/>
        </w:rPr>
        <w:fldChar w:fldCharType="end"/>
      </w:r>
      <w:r w:rsidRPr="000C7549">
        <w:rPr>
          <w:rFonts w:ascii="Arial" w:hAnsi="Arial" w:cs="Arial"/>
        </w:rPr>
        <w:t>. We did not conduct collections during times of rain or excessive cloud cover.</w:t>
      </w:r>
    </w:p>
    <w:p w14:paraId="3DFCC48C" w14:textId="7CF1BB8E" w:rsidR="00207B01" w:rsidRDefault="00207B01" w:rsidP="00EC3681">
      <w:pPr>
        <w:spacing w:line="480" w:lineRule="auto"/>
        <w:ind w:firstLine="720"/>
        <w:rPr>
          <w:rFonts w:ascii="Arial" w:hAnsi="Arial" w:cs="Arial"/>
        </w:rPr>
      </w:pPr>
      <w:r w:rsidRPr="000C7549">
        <w:rPr>
          <w:rFonts w:ascii="Arial" w:hAnsi="Arial" w:cs="Arial"/>
        </w:rPr>
        <w:lastRenderedPageBreak/>
        <w:t>Pollinator collections began each season (2019/2020) as the first plants began to bloom. We monitored all individuals of a given plant species within a plot for 5 minutes and collected any insects seen touching the reproductive parts of the flowers using a handheld insect-collecting vacuum. We repeated the same procedure for each plant species until all flowering plant species within a plot were sampled for five minutes. The specimens were stored in a freezer and later pinned, labeled, and sorted taxonomically. We used voucher specimens to identify the specimens and our identifications were verified by a taxonomist (Sam Droege, USGS).</w:t>
      </w:r>
    </w:p>
    <w:p w14:paraId="5084CC82" w14:textId="65D1A2C5" w:rsidR="00906244" w:rsidRDefault="00906244" w:rsidP="00D730F0">
      <w:pPr>
        <w:spacing w:line="480" w:lineRule="auto"/>
        <w:ind w:firstLine="720"/>
        <w:rPr>
          <w:rFonts w:ascii="Arial" w:hAnsi="Arial" w:cs="Arial"/>
        </w:rPr>
      </w:pPr>
      <w:r w:rsidRPr="000C7549">
        <w:rPr>
          <w:rFonts w:ascii="Arial" w:hAnsi="Arial" w:cs="Arial"/>
        </w:rPr>
        <w:t xml:space="preserve">We calculated floral display as the number of open inflorescences in a given collection event multiplied by the average size of the inflorescence (length and width) for each plant species. We calculated the average size of the inflorescences by randomly selecting 10-20 different inflorescences per plant species, and measuring them to the nearest tenth of a millimeter with a digital caliper </w:t>
      </w:r>
      <w:r w:rsidRPr="000C7549">
        <w:rPr>
          <w:rFonts w:ascii="Arial" w:hAnsi="Arial" w:cs="Arial"/>
        </w:rPr>
        <w:fldChar w:fldCharType="begin"/>
      </w:r>
      <w:r w:rsidRPr="000C7549">
        <w:rPr>
          <w:rFonts w:ascii="Arial" w:hAnsi="Arial" w:cs="Arial"/>
        </w:rPr>
        <w:instrText xml:space="preserve"> ADDIN ZOTERO_ITEM CSL_CITATION {"citationID":"a1q4kks5m1k","properties":{"formattedCitation":"(Russo et al., 2019)","plainCitation":"(Russo et al., 2019)","noteIndex":0},"citationItems":[{"id":966,"uris":["http://zotero.org/users/6034784/items/5LBSIKFV"],"uri":["http://zotero.org/users/6034784/items/5LBSIKFV"],"itemData":{"id":966,"type":"article-journal","abstract":"Non-native plant species reliant on insect pollination must attract novel pollinators in their introduced habitat to reproduce. Indeed, pollination services provided by resident floral visitors may contribute to the spread of non-native species, which may then affect the pollination services received by native plants. To determine the mechanisms by which an invasive thistle attracts pollinators in its introduced range, and whether its presence changes the pollinator visitation to native plant species, we compared bee visitation to native plants in the presence or absence of the invader. We experimentally tested the effect of a thistle invasion into a native plant community. We found that the non-native thistle was the most attractive of the plant species to visiting bee species. However, there was no effect of experimental treatment (presence of thistle) on bee abundance or visitation rate (bees per unit floral area per sample) to native plant species. Across 68 bee and 6 plant species, we found a significant correlation between pollen protein content and bee abundance and visitation rate. Thistle pollen also had a similar protein:lipid ratio to legumes, which correlated with bumble bee visitation. The high protein content of the thistle pollen, as compared to four native asters, may allow it to attract pollinators in novel ecosystems, and potentially contribute to its success as an invader. At the same time, this high protein pollen may act as a novel resource to pollinators in the thistle’s invaded range.","container-title":"Oecologia","DOI":"10.1007/s00442-019-04462-5","ISSN":"1432-1939","issue":"4","journalAbbreviation":"Oecologia","language":"en","page":"901-912","source":"Springer Link","title":"Bee community preference for an invasive thistle associated with higher pollen protein content","volume":"190","author":[{"family":"Russo","given":"Laura"},{"family":"Vaudo","given":"Anthony D."},{"family":"Fisher","given":"C. Jacob"},{"family":"Grozinger","given":"Christina M."},{"family":"Shea","given":"Katriona"}],"issued":{"date-parts":[["2019",8,1]]}}}],"schema":"https://github.com/citation-style-language/schema/raw/master/csl-citation.json"} </w:instrText>
      </w:r>
      <w:r w:rsidRPr="000C7549">
        <w:rPr>
          <w:rFonts w:ascii="Arial" w:hAnsi="Arial" w:cs="Arial"/>
        </w:rPr>
        <w:fldChar w:fldCharType="separate"/>
      </w:r>
      <w:r w:rsidRPr="000C7549">
        <w:rPr>
          <w:rFonts w:ascii="Arial" w:hAnsi="Arial" w:cs="Arial"/>
        </w:rPr>
        <w:t>(Russo et al., 2019)</w:t>
      </w:r>
      <w:r w:rsidRPr="000C7549">
        <w:rPr>
          <w:rFonts w:ascii="Arial" w:hAnsi="Arial" w:cs="Arial"/>
        </w:rPr>
        <w:fldChar w:fldCharType="end"/>
      </w:r>
      <w:r w:rsidRPr="000C7549">
        <w:rPr>
          <w:rFonts w:ascii="Arial" w:hAnsi="Arial" w:cs="Arial"/>
        </w:rPr>
        <w:t>.</w:t>
      </w:r>
    </w:p>
    <w:p w14:paraId="365E5787" w14:textId="36252B3B" w:rsidR="00906244" w:rsidRPr="00546490" w:rsidRDefault="00906244" w:rsidP="00D730F0">
      <w:pPr>
        <w:pStyle w:val="Heading2"/>
        <w:spacing w:before="0" w:after="0" w:line="480" w:lineRule="auto"/>
      </w:pPr>
      <w:bookmarkStart w:id="15" w:name="_Toc76799700"/>
      <w:r w:rsidRPr="00546490">
        <w:t>Data Analysis</w:t>
      </w:r>
      <w:bookmarkEnd w:id="15"/>
    </w:p>
    <w:p w14:paraId="4AF83BD1" w14:textId="6D214C09" w:rsidR="00906244" w:rsidRDefault="00906244" w:rsidP="00D730F0">
      <w:pPr>
        <w:spacing w:line="480" w:lineRule="auto"/>
        <w:ind w:firstLine="720"/>
        <w:rPr>
          <w:rFonts w:ascii="Arial" w:hAnsi="Arial" w:cs="Arial"/>
        </w:rPr>
      </w:pPr>
      <w:r w:rsidRPr="000C7549">
        <w:rPr>
          <w:rFonts w:ascii="Arial" w:hAnsi="Arial" w:cs="Arial"/>
        </w:rPr>
        <w:t xml:space="preserve">Floral display is a strong determinant of pollinator visitation </w:t>
      </w:r>
      <w:r w:rsidRPr="000C7549">
        <w:rPr>
          <w:rFonts w:ascii="Arial" w:hAnsi="Arial" w:cs="Arial"/>
        </w:rPr>
        <w:fldChar w:fldCharType="begin"/>
      </w:r>
      <w:r w:rsidRPr="000C7549">
        <w:rPr>
          <w:rFonts w:ascii="Arial" w:hAnsi="Arial" w:cs="Arial"/>
        </w:rPr>
        <w:instrText xml:space="preserve"> ADDIN ZOTERO_ITEM CSL_CITATION {"citationID":"q5MQBNzR","properties":{"formattedCitation":"(Russo et al., 2019, 2020; Williams et al., 2015)","plainCitation":"(Russo et al., 2019, 2020; Williams et al., 2015)","noteIndex":0},"citationItems":[{"id":966,"uris":["http://zotero.org/users/6034784/items/5LBSIKFV"],"uri":["http://zotero.org/users/6034784/items/5LBSIKFV"],"itemData":{"id":966,"type":"article-journal","abstract":"Non-native plant species reliant on insect pollination must attract novel pollinators in their introduced habitat to reproduce. Indeed, pollination services provided by resident floral visitors may contribute to the spread of non-native species, which may then affect the pollination services received by native plants. To determine the mechanisms by which an invasive thistle attracts pollinators in its introduced range, and whether its presence changes the pollinator visitation to native plant species, we compared bee visitation to native plants in the presence or absence of the invader. We experimentally tested the effect of a thistle invasion into a native plant community. We found that the non-native thistle was the most attractive of the plant species to visiting bee species. However, there was no effect of experimental treatment (presence of thistle) on bee abundance or visitation rate (bees per unit floral area per sample) to native plant species. Across 68 bee and 6 plant species, we found a significant correlation between pollen protein content and bee abundance and visitation rate. Thistle pollen also had a similar protein:lipid ratio to legumes, which correlated with bumble bee visitation. The high protein content of the thistle pollen, as compared to four native asters, may allow it to attract pollinators in novel ecosystems, and potentially contribute to its success as an invader. At the same time, this high protein pollen may act as a novel resource to pollinators in the thistle’s invaded range.","container-title":"Oecologia","DOI":"10.1007/s00442-019-04462-5","ISSN":"1432-1939","issue":"4","journalAbbreviation":"Oecologia","language":"en","page":"901-912","source":"Springer Link","title":"Bee community preference for an invasive thistle associated with higher pollen protein content","volume":"190","author":[{"family":"Russo","given":"Laura"},{"family":"Vaudo","given":"Anthony D."},{"family":"Fisher","given":"C. Jacob"},{"family":"Grozinger","given":"Christina M."},{"family":"Shea","given":"Katriona"}],"issued":{"date-parts":[["2019",8,1]]}}},{"id":361,"uris":["http://zotero.org/users/6034784/items/UPNI35H8"],"uri":["http://zotero.org/users/6034784/items/UPNI35H8"],"itemData":{"id":361,"type":"article-journal","abstract":"The increasing extent and intensity of agricultural land use has led to an increase in the volume of agrochemicals applied to the landscape, including those used to improve the nutritional quality of soils (fertilizers) as well as those used to control undesirable species in the agroecosystem (pesticides). Chemicals can disperse in the air and surface and ground water, leading to exposure of non-target organisms. Ruderal, disturbance-tolerant plants on which many flower-visiting insects rely are commonly exposed to these chemicals in agroecosystems. Our research questions were: 1) how does non-target exposure to agrochemicals affect plant growth? 2) what are the indirect effects of non-target exposure to agrochemicals on flower-visitation by insects? We designed a two year field experiment imitating field-realistic fertilizer run-off and non-target herbicide exposure scenarios to explore the impact of low concentrations of fertilizer and herbicide alone, and in combination, on communities of seven plant species, including six native perennials and one non-native annual commonly found in agricultural systems in Ireland (Cirsium vulgare, Epilobium hirsutum, Plantago lanceolata, Origanum vulgare, Filipendula ulmaria, Hypochaeris radicata, Phacelia tanacetifolia). We created field-realistic exposure scenarios by applying concentrations of mineral fertilizer similar to those detected in ground water, and glyphosate levels equivalent to 7.6 % of a standard field application, to the foliage and soil of the plots. We found low concentrations of fertilizer and herbicide affected plant growth: fertilised plants were taller when flowering, while plants exposed to herbicide flowered at shorter heights and produced shorter leaves. The size of the floral display had the largest effect on insect visitation, with larger floral displays significantly more likely to receive a visitor in a given sampling event. The size of the floral display also interacted significantly with the fertilizer treatment for both the abundance and species richness of floral visitors. Overall, our results suggest that there are direct and indirect effects of agrochemical exposure on plants in field margins, and that these effects change the interactions between ruderal plants and flower-visiting insects.","container-title":"Agriculture, Ecosystems &amp; Environment","DOI":"10.1016/j.agee.2020.107141","ISSN":"0167-8809","journalAbbreviation":"Agriculture, Ecosystems &amp; Environment","language":"en","page":"107141","source":"ScienceDirect","title":"Low concentrations of fertilizer and herbicide alter plant growth and interactions with flower-visiting insects","volume":"304","author":[{"family":"Russo","given":"Laura"},{"family":"Buckley","given":"Yvonne M."},{"family":"Hamilton","given":"Hannah"},{"family":"Kavanagh","given":"Mark"},{"family":"Stout","given":"Jane C."}],"issued":{"date-parts":[["2020",12,1]]}}},{"id":954,"uris":["http://zotero.org/users/6034784/items/EA46AP47"],"uri":["http://zotero.org/users/6034784/items/EA46AP47"],"itemData":{"id":954,"type":"article-journal","abstract":"Global trends in pollinator-dependent crops have raised awareness of the need to support managed and wild bee populations to ensure sustainable crop production. Provision of sufﬁcient forage resources is a key element for promoting bee populations within human impacted landscapes, particularly those in agricultural lands where demand for pollination service is high and land use and management practices have reduced available ﬂowering resources. Recent government incentives in North America and Europe support the planting of wildﬂowers to beneﬁt pollinators; surprisingly, in North America there has been almost no rigorous testing of the performance of wildﬂower mixes, or their ability to support wild bee abundance and diversity. We tested different wildﬂower mixes in a spatially replicated, multiyear study in three regions of North America where production of pollinatordependent crops is high: Florida, Michigan, and California. In each region, we quantiﬁed ﬂowering among wildﬂower mixes composed of annual and perennial species, and with high and low relative diversity. We measured the abundance and species richness of wild bees, honey bees, and syrphid ﬂies at each mix over two seasons. In each region, some but not all wildﬂower mixes provided signiﬁcantly greater ﬂoral display area than unmanaged weedy control plots. Mixes also attracted greater abundance and richness of wild bees, although the identity of best mixes varied among regions. By partitioning ﬂoral display size from mix identity we show the importance of display size for attracting abundant and diverse wild bees. Season-long monitoring also revealed that designing mixes to provide continuous bloom throughout the growing season is critical to supporting the greatest pollinator species richness. Contrary to expectation, perennials bloomed in their ﬁrst season, and complementarity in attraction of pollinators among annuals and perennials suggests that inclusion of functionally diverse species may provide the greatest beneﬁt. Wildﬂower mixes may be particularly important for providing resources for some taxa, such as bumble bees, which are known to be in decline in several regions of North America. No mix consistently attained the full diversity that was planted. Further study is needed on how to achieve the desired ﬂoral display and diversity from seed mixes.","container-title":"Ecological Applications","DOI":"10.1890/14-1748.1","ISSN":"1051-0761","issue":"8","journalAbbreviation":"Ecological Applications","language":"en","page":"2119-2131","source":"DOI.org (Crossref)","title":"Native wildflower plantings support wild bee abundance and diversity in agricultural landscapes across the United States","volume":"25","author":[{"family":"Williams","given":"Neal M."},{"family":"Ward","given":"Kimiora L."},{"family":"Pope","given":"Nathaniel"},{"family":"Isaacs","given":"Rufus"},{"family":"Wilson","given":"Julianna"},{"family":"May","given":"Emily A."},{"family":"Ellis","given":"Jamie"},{"family":"Daniels","given":"Jaret"},{"family":"Pence","given":"Akers"},{"family":"Ullmann","given":"Katharina"},{"family":"Peters","given":"Jeff"}],"issued":{"date-parts":[["2015",12]]}}}],"schema":"https://github.com/citation-style-language/schema/raw/master/csl-citation.json"} </w:instrText>
      </w:r>
      <w:r w:rsidRPr="000C7549">
        <w:rPr>
          <w:rFonts w:ascii="Arial" w:hAnsi="Arial" w:cs="Arial"/>
        </w:rPr>
        <w:fldChar w:fldCharType="separate"/>
      </w:r>
      <w:r w:rsidRPr="000C7549">
        <w:rPr>
          <w:rFonts w:ascii="Arial" w:hAnsi="Arial" w:cs="Arial"/>
          <w:noProof/>
        </w:rPr>
        <w:t>(Russo et al., 2019, 2020; Williams et al., 2015)</w:t>
      </w:r>
      <w:r w:rsidRPr="000C7549">
        <w:rPr>
          <w:rFonts w:ascii="Arial" w:hAnsi="Arial" w:cs="Arial"/>
        </w:rPr>
        <w:fldChar w:fldCharType="end"/>
      </w:r>
      <w:r w:rsidRPr="000C7549">
        <w:rPr>
          <w:rFonts w:ascii="Arial" w:hAnsi="Arial" w:cs="Arial"/>
        </w:rPr>
        <w:t xml:space="preserve">. We created a linear model for </w:t>
      </w:r>
      <w:r>
        <w:rPr>
          <w:rFonts w:ascii="Arial" w:hAnsi="Arial" w:cs="Arial"/>
        </w:rPr>
        <w:t xml:space="preserve">pollinator </w:t>
      </w:r>
      <w:r w:rsidRPr="000C7549">
        <w:rPr>
          <w:rFonts w:ascii="Arial" w:hAnsi="Arial" w:cs="Arial"/>
        </w:rPr>
        <w:t>abundance with floral display as the fixed effect</w:t>
      </w:r>
      <w:r>
        <w:rPr>
          <w:rFonts w:ascii="Arial" w:hAnsi="Arial" w:cs="Arial"/>
        </w:rPr>
        <w:t>.</w:t>
      </w:r>
      <w:r w:rsidRPr="000C7549">
        <w:rPr>
          <w:rFonts w:ascii="Arial" w:hAnsi="Arial" w:cs="Arial"/>
        </w:rPr>
        <w:t xml:space="preserve"> We log transformed both floral display and abundance to normalize their distributions. We also created an additional linear model for abundance that included floral display (log transformed) as a fixed effect and block as a random effect using the </w:t>
      </w:r>
      <w:proofErr w:type="spellStart"/>
      <w:r w:rsidRPr="000C7549">
        <w:rPr>
          <w:rFonts w:ascii="Arial" w:hAnsi="Arial" w:cs="Arial"/>
        </w:rPr>
        <w:t>sjPlot</w:t>
      </w:r>
      <w:proofErr w:type="spellEnd"/>
      <w:r w:rsidRPr="000C7549">
        <w:rPr>
          <w:rFonts w:ascii="Arial" w:hAnsi="Arial" w:cs="Arial"/>
        </w:rPr>
        <w:t xml:space="preserve"> package in R </w:t>
      </w:r>
      <w:r w:rsidRPr="000C7549">
        <w:rPr>
          <w:rFonts w:ascii="Arial" w:hAnsi="Arial" w:cs="Arial"/>
        </w:rPr>
        <w:fldChar w:fldCharType="begin"/>
      </w:r>
      <w:r w:rsidRPr="000C7549">
        <w:rPr>
          <w:rFonts w:ascii="Arial" w:hAnsi="Arial" w:cs="Arial"/>
        </w:rPr>
        <w:instrText xml:space="preserve"> ADDIN ZOTERO_ITEM CSL_CITATION {"citationID":"CmLOczLi","properties":{"formattedCitation":"(L\\uc0\\u252{}decke, 2021)","plainCitation":"(Lüdecke, 2021)","noteIndex":0},"citationItems":[{"id":1056,"uris":["http://zotero.org/users/6034784/items/6VS3VKC5"],"uri":["http://zotero.org/users/6034784/items/6VS3VKC5"],"itemData":{"id":1056,"type":"article-journal","page":"version 2.8.8","title":"sjPlot: Data Visualization for Statistics in Social Science. R package","author":[{"family":"Lüdecke","given":"D"}],"issued":{"date-parts":[["2021"]]}}}],"schema":"https://github.com/citation-style-language/schema/raw/master/csl-citation.json"} </w:instrText>
      </w:r>
      <w:r w:rsidRPr="000C7549">
        <w:rPr>
          <w:rFonts w:ascii="Arial" w:hAnsi="Arial" w:cs="Arial"/>
        </w:rPr>
        <w:fldChar w:fldCharType="separate"/>
      </w:r>
      <w:r w:rsidRPr="000C7549">
        <w:rPr>
          <w:rFonts w:ascii="Arial" w:hAnsi="Arial" w:cs="Arial"/>
        </w:rPr>
        <w:t>(Lüdecke, 2021)</w:t>
      </w:r>
      <w:r w:rsidRPr="000C7549">
        <w:rPr>
          <w:rFonts w:ascii="Arial" w:hAnsi="Arial" w:cs="Arial"/>
        </w:rPr>
        <w:fldChar w:fldCharType="end"/>
      </w:r>
      <w:r w:rsidRPr="000C7549">
        <w:rPr>
          <w:rFonts w:ascii="Arial" w:hAnsi="Arial" w:cs="Arial"/>
        </w:rPr>
        <w:t xml:space="preserve">. We then calculated the conditional and marginal coefficient using the </w:t>
      </w:r>
      <w:proofErr w:type="spellStart"/>
      <w:r w:rsidRPr="000C7549">
        <w:rPr>
          <w:rFonts w:ascii="Arial" w:hAnsi="Arial" w:cs="Arial"/>
        </w:rPr>
        <w:t>r.squaredGLMM</w:t>
      </w:r>
      <w:proofErr w:type="spellEnd"/>
      <w:r w:rsidRPr="000C7549">
        <w:rPr>
          <w:rFonts w:ascii="Arial" w:hAnsi="Arial" w:cs="Arial"/>
        </w:rPr>
        <w:t xml:space="preserve"> function in R from the </w:t>
      </w:r>
      <w:proofErr w:type="spellStart"/>
      <w:r w:rsidRPr="000C7549">
        <w:rPr>
          <w:rFonts w:ascii="Arial" w:hAnsi="Arial" w:cs="Arial"/>
        </w:rPr>
        <w:t>MuMIn</w:t>
      </w:r>
      <w:proofErr w:type="spellEnd"/>
      <w:r w:rsidRPr="000C7549">
        <w:rPr>
          <w:rFonts w:ascii="Arial" w:hAnsi="Arial" w:cs="Arial"/>
        </w:rPr>
        <w:t xml:space="preserve"> package </w:t>
      </w:r>
      <w:r w:rsidRPr="000C7549">
        <w:rPr>
          <w:rFonts w:ascii="Arial" w:hAnsi="Arial" w:cs="Arial"/>
        </w:rPr>
        <w:fldChar w:fldCharType="begin"/>
      </w:r>
      <w:r w:rsidRPr="000C7549">
        <w:rPr>
          <w:rFonts w:ascii="Arial" w:hAnsi="Arial" w:cs="Arial"/>
        </w:rPr>
        <w:instrText xml:space="preserve"> ADDIN ZOTERO_ITEM CSL_CITATION {"citationID":"a24aiv7q5ug","properties":{"formattedCitation":"(Barton, 2018; Russo et al., 2019)","plainCitation":"(Barton, 2018; Russo et al., 2019)","noteIndex":0},"citationItems":[{"id":970,"uris":["http://zotero.org/users/6034784/items/UJEBDDXM"],"uri":["http://zotero.org/users/6034784/items/UJEBDDXM"],"itemData":{"id":970,"type":"article-journal","page":"version 1.42.1","title":"MuMIn: multi-model inference. In: R Packag.","author":[{"family":"Barton","given":"K"}],"issued":{"date-parts":[["2018"]]}}},{"id":966,"uris":["http://zotero.org/users/6034784/items/5LBSIKFV"],"uri":["http://zotero.org/users/6034784/items/5LBSIKFV"],"itemData":{"id":966,"type":"article-journal","abstract":"Non-native plant species reliant on insect pollination must attract novel pollinators in their introduced habitat to reproduce. Indeed, pollination services provided by resident floral visitors may contribute to the spread of non-native species, which may then affect the pollination services received by native plants. To determine the mechanisms by which an invasive thistle attracts pollinators in its introduced range, and whether its presence changes the pollinator visitation to native plant species, we compared bee visitation to native plants in the presence or absence of the invader. We experimentally tested the effect of a thistle invasion into a native plant community. We found that the non-native thistle was the most attractive of the plant species to visiting bee species. However, there was no effect of experimental treatment (presence of thistle) on bee abundance or visitation rate (bees per unit floral area per sample) to native plant species. Across 68 bee and 6 plant species, we found a significant correlation between pollen protein content and bee abundance and visitation rate. Thistle pollen also had a similar protein:lipid ratio to legumes, which correlated with bumble bee visitation. The high protein content of the thistle pollen, as compared to four native asters, may allow it to attract pollinators in novel ecosystems, and potentially contribute to its success as an invader. At the same time, this high protein pollen may act as a novel resource to pollinators in the thistle’s invaded range.","container-title":"Oecologia","DOI":"10.1007/s00442-019-04462-5","ISSN":"1432-1939","issue":"4","journalAbbreviation":"Oecologia","language":"en","page":"901-912","source":"Springer Link","title":"Bee community preference for an invasive thistle associated with higher pollen protein content","volume":"190","author":[{"family":"Russo","given":"Laura"},{"family":"Vaudo","given":"Anthony D."},{"family":"Fisher","given":"C. Jacob"},{"family":"Grozinger","given":"Christina M."},{"family":"Shea","given":"Katriona"}],"issued":{"date-parts":[["2019",8,1]]}}}],"schema":"https://github.com/citation-style-language/schema/raw/master/csl-citation.json"} </w:instrText>
      </w:r>
      <w:r w:rsidRPr="000C7549">
        <w:rPr>
          <w:rFonts w:ascii="Arial" w:hAnsi="Arial" w:cs="Arial"/>
        </w:rPr>
        <w:fldChar w:fldCharType="separate"/>
      </w:r>
      <w:r w:rsidRPr="000C7549">
        <w:rPr>
          <w:rFonts w:ascii="Arial" w:hAnsi="Arial" w:cs="Arial"/>
        </w:rPr>
        <w:t>(Barton, 2018; Russo et al., 2019)</w:t>
      </w:r>
      <w:r w:rsidRPr="000C7549">
        <w:rPr>
          <w:rFonts w:ascii="Arial" w:hAnsi="Arial" w:cs="Arial"/>
        </w:rPr>
        <w:fldChar w:fldCharType="end"/>
      </w:r>
      <w:r w:rsidRPr="000C7549">
        <w:rPr>
          <w:rFonts w:ascii="Arial" w:hAnsi="Arial" w:cs="Arial"/>
        </w:rPr>
        <w:t>.</w:t>
      </w:r>
    </w:p>
    <w:p w14:paraId="316EED15" w14:textId="7C37FBEE" w:rsidR="00906244" w:rsidRDefault="00906244" w:rsidP="00906244">
      <w:pPr>
        <w:spacing w:line="480" w:lineRule="auto"/>
        <w:ind w:firstLine="720"/>
        <w:rPr>
          <w:rFonts w:ascii="Arial" w:hAnsi="Arial" w:cs="Arial"/>
        </w:rPr>
      </w:pPr>
      <w:r w:rsidRPr="000C7549">
        <w:rPr>
          <w:rFonts w:ascii="Arial" w:hAnsi="Arial" w:cs="Arial"/>
        </w:rPr>
        <w:lastRenderedPageBreak/>
        <w:t xml:space="preserve">To better determine the relative attractiveness of our individual selected plant species, we also calculated the visitation rate to their flowers. The visitation rate of floral visitors acts as a proxy for pollinator forage preferences, as patterns have been documented between visitation and floral area </w:t>
      </w:r>
      <w:r w:rsidRPr="000C7549">
        <w:rPr>
          <w:rFonts w:ascii="Arial" w:hAnsi="Arial" w:cs="Arial"/>
        </w:rPr>
        <w:fldChar w:fldCharType="begin"/>
      </w:r>
      <w:r w:rsidRPr="000C7549">
        <w:rPr>
          <w:rFonts w:ascii="Arial" w:hAnsi="Arial" w:cs="Arial"/>
        </w:rPr>
        <w:instrText xml:space="preserve"> ADDIN ZOTERO_ITEM CSL_CITATION {"citationID":"DyrcLC14","properties":{"formattedCitation":"(Rowe et al., 2020)","plainCitation":"(Rowe et al., 2020)","noteIndex":0},"citationItems":[{"id":1030,"uris":["http://zotero.org/users/6034784/items/2J6BCM93"],"uri":["http://zotero.org/users/6034784/items/2J6BCM93"],"itemData":{"id":1030,"type":"article-journal","abstract":"Plant-pollinator interactions are partially driven by the expression of plant traits that signal and attract bees to the nutritional resources within flowers. Although multiple physical and chemical floral traits are known to influence the visitation patterns of bees, how distinct bee groups vary in their responses to floral traits has yet to be elucidated. In this study, we used a common garden experiment to test for morphological floral traits associated with pollen quantity at the plant species level, and examined how the visitation patterns of taxonomically and functionally distinct bee groups are related to flower trait characteristics of 39 wildflower species. We also determined how floral traits influence the structure of wild bee communities visiting plants and whether this varies among geographic localities. Our results suggest that floral area is the primary morphological floral trait related to bee visitation of several distinct bee groups, but that wild bee families and functionally distinct bee groups have unique responses to floral trait expression. The composition of the wild bee communities visiting different plants was most strongly associated with variability in floral area, flower height, and the quantity of pollen retained in flowers. Our results inform wildflower habitat management for bees by demonstrating that the visitation patterns of distinct bee taxa can be predicted by floral traits, and highlight that variability in these traits should be considered when selecting plants to support pollinators.","container-title":"Oecologia","DOI":"10.1007/s00442-020-04674-0","ISSN":"1432-1939","issue":"2","journalAbbreviation":"Oecologia","language":"en","page":"511-522","source":"Springer Link","title":"Flower traits associated with the visitation patterns of bees","volume":"193","author":[{"family":"Rowe","given":"Logan"},{"family":"Gibson","given":"Daniel"},{"family":"Bahlai","given":"Christie A."},{"family":"Gibbs","given":"Jason"},{"family":"Landis","given":"Douglas A."},{"family":"Isaacs","given":"Rufus"}],"issued":{"date-parts":[["2020",6,1]]}}}],"schema":"https://github.com/citation-style-language/schema/raw/master/csl-citation.json"} </w:instrText>
      </w:r>
      <w:r w:rsidRPr="000C7549">
        <w:rPr>
          <w:rFonts w:ascii="Arial" w:hAnsi="Arial" w:cs="Arial"/>
        </w:rPr>
        <w:fldChar w:fldCharType="separate"/>
      </w:r>
      <w:r w:rsidRPr="000C7549">
        <w:rPr>
          <w:rFonts w:ascii="Arial" w:hAnsi="Arial" w:cs="Arial"/>
          <w:noProof/>
        </w:rPr>
        <w:t>(Rowe et al., 2020)</w:t>
      </w:r>
      <w:r w:rsidRPr="000C7549">
        <w:rPr>
          <w:rFonts w:ascii="Arial" w:hAnsi="Arial" w:cs="Arial"/>
        </w:rPr>
        <w:fldChar w:fldCharType="end"/>
      </w:r>
      <w:r>
        <w:rPr>
          <w:rFonts w:ascii="Arial" w:hAnsi="Arial" w:cs="Arial"/>
        </w:rPr>
        <w:t xml:space="preserve">. </w:t>
      </w:r>
      <w:r w:rsidRPr="000C7549">
        <w:rPr>
          <w:rFonts w:ascii="Arial" w:hAnsi="Arial" w:cs="Arial"/>
        </w:rPr>
        <w:t xml:space="preserve">We calculated the visitation rate using the number of </w:t>
      </w:r>
      <w:r>
        <w:rPr>
          <w:rFonts w:ascii="Arial" w:hAnsi="Arial" w:cs="Arial"/>
        </w:rPr>
        <w:t>total</w:t>
      </w:r>
      <w:r w:rsidRPr="000C7549">
        <w:rPr>
          <w:rFonts w:ascii="Arial" w:hAnsi="Arial" w:cs="Arial"/>
        </w:rPr>
        <w:t xml:space="preserve"> insects collected during a 5-minute sample, then divided this number by the size of the floral display during the sample for each plant species. </w:t>
      </w:r>
      <w:r>
        <w:rPr>
          <w:rFonts w:ascii="Arial" w:hAnsi="Arial" w:cs="Arial"/>
        </w:rPr>
        <w:t>We also calculated the visitation rate to these flowers by bee specimens only</w:t>
      </w:r>
      <w:r>
        <w:rPr>
          <w:rFonts w:ascii="Arial" w:hAnsi="Arial" w:cs="Arial"/>
        </w:rPr>
        <w:t>.</w:t>
      </w:r>
    </w:p>
    <w:p w14:paraId="7577211A" w14:textId="13DE26F9" w:rsidR="00906244" w:rsidRPr="000C7549" w:rsidRDefault="00906244" w:rsidP="00D730F0">
      <w:pPr>
        <w:spacing w:line="480" w:lineRule="auto"/>
        <w:ind w:firstLine="720"/>
        <w:rPr>
          <w:rFonts w:ascii="Arial" w:hAnsi="Arial" w:cs="Arial"/>
        </w:rPr>
      </w:pPr>
      <w:r>
        <w:rPr>
          <w:rFonts w:ascii="Arial" w:hAnsi="Arial" w:cs="Arial"/>
        </w:rPr>
        <w:t>In addition to comparing visitation rate among the plant species, we compared the average visitation rate across the four treatments (Asteraceae, Fabaceae, Lamiaceae, and Mixed).</w:t>
      </w:r>
    </w:p>
    <w:p w14:paraId="250D154A" w14:textId="77777777" w:rsidR="00207B01" w:rsidRPr="000C7549" w:rsidRDefault="00207B01" w:rsidP="00D730F0">
      <w:pPr>
        <w:pStyle w:val="Heading2"/>
        <w:spacing w:before="0" w:after="0" w:line="480" w:lineRule="auto"/>
      </w:pPr>
      <w:bookmarkStart w:id="16" w:name="_Toc76799701"/>
      <w:r w:rsidRPr="000C7549">
        <w:t>Results</w:t>
      </w:r>
      <w:bookmarkEnd w:id="16"/>
    </w:p>
    <w:p w14:paraId="01F676FA" w14:textId="77777777" w:rsidR="00207B01" w:rsidRPr="000C7549" w:rsidRDefault="00207B01" w:rsidP="00207B01">
      <w:pPr>
        <w:spacing w:line="480" w:lineRule="auto"/>
        <w:rPr>
          <w:rFonts w:ascii="Arial" w:hAnsi="Arial" w:cs="Arial"/>
          <w:b/>
          <w:i/>
          <w:iCs/>
        </w:rPr>
      </w:pPr>
      <w:r w:rsidRPr="000C7549">
        <w:rPr>
          <w:rFonts w:ascii="Arial" w:hAnsi="Arial" w:cs="Arial"/>
          <w:b/>
          <w:i/>
          <w:iCs/>
        </w:rPr>
        <w:t>Pollinator Collections</w:t>
      </w:r>
    </w:p>
    <w:p w14:paraId="165F5F5A" w14:textId="77B7220E" w:rsidR="003A6000" w:rsidRPr="000C7549" w:rsidRDefault="00207B01" w:rsidP="00782C09">
      <w:pPr>
        <w:spacing w:line="480" w:lineRule="auto"/>
        <w:ind w:firstLine="720"/>
        <w:rPr>
          <w:rFonts w:ascii="Arial" w:hAnsi="Arial" w:cs="Arial"/>
        </w:rPr>
      </w:pPr>
      <w:r w:rsidRPr="000C7549">
        <w:rPr>
          <w:rFonts w:ascii="Arial" w:hAnsi="Arial" w:cs="Arial"/>
        </w:rPr>
        <w:t xml:space="preserve">For two field seasons combined (2019/2020), we collected 7,294 insects during a total of 101.33 hours sampling effort. Most (5,108, 70%) of our collected specimens were bees (Table 2) and 2,186 (30%) were non-bee flower-visiting insects (Table 3). We collected a total of 99 different bee species and 53 non-bee families. </w:t>
      </w:r>
      <w:r w:rsidR="003E306C" w:rsidRPr="000C7549">
        <w:rPr>
          <w:rFonts w:ascii="Arial" w:hAnsi="Arial" w:cs="Arial"/>
        </w:rPr>
        <w:t>Additionally,</w:t>
      </w:r>
      <w:r w:rsidR="00425ED1" w:rsidRPr="000C7549">
        <w:rPr>
          <w:rFonts w:ascii="Arial" w:hAnsi="Arial" w:cs="Arial"/>
        </w:rPr>
        <w:t xml:space="preserve"> we</w:t>
      </w:r>
      <w:r w:rsidR="003E306C" w:rsidRPr="000C7549">
        <w:rPr>
          <w:rFonts w:ascii="Arial" w:hAnsi="Arial" w:cs="Arial"/>
        </w:rPr>
        <w:t xml:space="preserve"> </w:t>
      </w:r>
      <w:r w:rsidR="00ED1DC1" w:rsidRPr="000C7549">
        <w:rPr>
          <w:rFonts w:ascii="Arial" w:hAnsi="Arial" w:cs="Arial"/>
        </w:rPr>
        <w:t>collected</w:t>
      </w:r>
      <w:r w:rsidR="003E306C" w:rsidRPr="000C7549">
        <w:rPr>
          <w:rFonts w:ascii="Arial" w:hAnsi="Arial" w:cs="Arial"/>
        </w:rPr>
        <w:t xml:space="preserve"> </w:t>
      </w:r>
      <w:r w:rsidR="00425ED1" w:rsidRPr="000C7549">
        <w:rPr>
          <w:rFonts w:ascii="Arial" w:hAnsi="Arial" w:cs="Arial"/>
        </w:rPr>
        <w:t>7</w:t>
      </w:r>
      <w:r w:rsidR="003E306C" w:rsidRPr="000C7549">
        <w:rPr>
          <w:rFonts w:ascii="Arial" w:hAnsi="Arial" w:cs="Arial"/>
        </w:rPr>
        <w:t xml:space="preserve"> </w:t>
      </w:r>
      <w:r w:rsidR="00425ED1" w:rsidRPr="000C7549">
        <w:rPr>
          <w:rFonts w:ascii="Arial" w:hAnsi="Arial" w:cs="Arial"/>
        </w:rPr>
        <w:t>previously unreported</w:t>
      </w:r>
      <w:r w:rsidR="003E306C" w:rsidRPr="000C7549">
        <w:rPr>
          <w:rFonts w:ascii="Arial" w:hAnsi="Arial" w:cs="Arial"/>
        </w:rPr>
        <w:t xml:space="preserve"> </w:t>
      </w:r>
      <w:r w:rsidR="00ED1DC1" w:rsidRPr="000C7549">
        <w:rPr>
          <w:rFonts w:ascii="Arial" w:hAnsi="Arial" w:cs="Arial"/>
        </w:rPr>
        <w:t xml:space="preserve">bee </w:t>
      </w:r>
      <w:r w:rsidR="003E306C" w:rsidRPr="000C7549">
        <w:rPr>
          <w:rFonts w:ascii="Arial" w:hAnsi="Arial" w:cs="Arial"/>
        </w:rPr>
        <w:t xml:space="preserve">species </w:t>
      </w:r>
      <w:r w:rsidR="00425ED1" w:rsidRPr="000C7549">
        <w:rPr>
          <w:rFonts w:ascii="Arial" w:hAnsi="Arial" w:cs="Arial"/>
        </w:rPr>
        <w:t xml:space="preserve">in </w:t>
      </w:r>
      <w:r w:rsidR="003E306C" w:rsidRPr="000C7549">
        <w:rPr>
          <w:rFonts w:ascii="Arial" w:hAnsi="Arial" w:cs="Arial"/>
        </w:rPr>
        <w:t>Tennessee</w:t>
      </w:r>
      <w:r w:rsidR="00425ED1" w:rsidRPr="000C7549">
        <w:rPr>
          <w:rFonts w:ascii="Arial" w:hAnsi="Arial" w:cs="Arial"/>
        </w:rPr>
        <w:t xml:space="preserve">. The following species were considered new species records: </w:t>
      </w:r>
      <w:r w:rsidR="00425ED1" w:rsidRPr="000C7549">
        <w:rPr>
          <w:rFonts w:ascii="Arial" w:hAnsi="Arial" w:cs="Arial"/>
          <w:i/>
          <w:iCs/>
        </w:rPr>
        <w:t xml:space="preserve">Andrena </w:t>
      </w:r>
      <w:proofErr w:type="spellStart"/>
      <w:r w:rsidR="00425ED1" w:rsidRPr="000C7549">
        <w:rPr>
          <w:rFonts w:ascii="Arial" w:hAnsi="Arial" w:cs="Arial"/>
          <w:i/>
          <w:iCs/>
        </w:rPr>
        <w:t>placata</w:t>
      </w:r>
      <w:proofErr w:type="spellEnd"/>
      <w:r w:rsidR="00425ED1" w:rsidRPr="000C7549">
        <w:rPr>
          <w:rFonts w:ascii="Arial" w:hAnsi="Arial" w:cs="Arial"/>
          <w:i/>
          <w:iCs/>
        </w:rPr>
        <w:t xml:space="preserve">, Ceratina </w:t>
      </w:r>
      <w:proofErr w:type="spellStart"/>
      <w:r w:rsidR="00425ED1" w:rsidRPr="000C7549">
        <w:rPr>
          <w:rFonts w:ascii="Arial" w:hAnsi="Arial" w:cs="Arial"/>
          <w:i/>
          <w:iCs/>
        </w:rPr>
        <w:t>cockerelli</w:t>
      </w:r>
      <w:proofErr w:type="spellEnd"/>
      <w:r w:rsidR="00425ED1" w:rsidRPr="000C7549">
        <w:rPr>
          <w:rFonts w:ascii="Arial" w:hAnsi="Arial" w:cs="Arial"/>
          <w:i/>
          <w:iCs/>
        </w:rPr>
        <w:t xml:space="preserve">, Heriades </w:t>
      </w:r>
      <w:proofErr w:type="spellStart"/>
      <w:r w:rsidR="00425ED1" w:rsidRPr="000C7549">
        <w:rPr>
          <w:rFonts w:ascii="Arial" w:hAnsi="Arial" w:cs="Arial"/>
          <w:i/>
          <w:iCs/>
        </w:rPr>
        <w:t>leavitti</w:t>
      </w:r>
      <w:proofErr w:type="spellEnd"/>
      <w:r w:rsidR="00425ED1" w:rsidRPr="000C7549">
        <w:rPr>
          <w:rFonts w:ascii="Arial" w:hAnsi="Arial" w:cs="Arial"/>
          <w:i/>
          <w:iCs/>
        </w:rPr>
        <w:t>/</w:t>
      </w:r>
      <w:proofErr w:type="spellStart"/>
      <w:r w:rsidR="00425ED1" w:rsidRPr="000C7549">
        <w:rPr>
          <w:rFonts w:ascii="Arial" w:hAnsi="Arial" w:cs="Arial"/>
          <w:i/>
          <w:iCs/>
        </w:rPr>
        <w:t>variolosa</w:t>
      </w:r>
      <w:proofErr w:type="spellEnd"/>
      <w:r w:rsidR="00425ED1" w:rsidRPr="000C7549">
        <w:rPr>
          <w:rFonts w:ascii="Arial" w:hAnsi="Arial" w:cs="Arial"/>
          <w:i/>
          <w:iCs/>
        </w:rPr>
        <w:t xml:space="preserve">, Lasioglossum lionotum, Lasioglossum </w:t>
      </w:r>
      <w:proofErr w:type="spellStart"/>
      <w:r w:rsidR="00425ED1" w:rsidRPr="000C7549">
        <w:rPr>
          <w:rFonts w:ascii="Arial" w:hAnsi="Arial" w:cs="Arial"/>
          <w:i/>
          <w:iCs/>
        </w:rPr>
        <w:t>pruinosum</w:t>
      </w:r>
      <w:proofErr w:type="spellEnd"/>
      <w:r w:rsidR="00425ED1" w:rsidRPr="000C7549">
        <w:rPr>
          <w:rFonts w:ascii="Arial" w:hAnsi="Arial" w:cs="Arial"/>
          <w:i/>
          <w:iCs/>
        </w:rPr>
        <w:t xml:space="preserve">, Lasioglossum </w:t>
      </w:r>
      <w:proofErr w:type="spellStart"/>
      <w:r w:rsidR="00425ED1" w:rsidRPr="000C7549">
        <w:rPr>
          <w:rFonts w:ascii="Arial" w:hAnsi="Arial" w:cs="Arial"/>
          <w:i/>
          <w:iCs/>
        </w:rPr>
        <w:t>rozeni</w:t>
      </w:r>
      <w:proofErr w:type="spellEnd"/>
      <w:r w:rsidR="00425ED1" w:rsidRPr="000C7549">
        <w:rPr>
          <w:rFonts w:ascii="Arial" w:hAnsi="Arial" w:cs="Arial"/>
          <w:i/>
          <w:iCs/>
        </w:rPr>
        <w:t xml:space="preserve">, </w:t>
      </w:r>
      <w:r w:rsidR="00425ED1" w:rsidRPr="000C7549">
        <w:rPr>
          <w:rFonts w:ascii="Arial" w:hAnsi="Arial" w:cs="Arial"/>
        </w:rPr>
        <w:t>and</w:t>
      </w:r>
      <w:r w:rsidR="00425ED1" w:rsidRPr="000C7549">
        <w:rPr>
          <w:rFonts w:ascii="Arial" w:hAnsi="Arial" w:cs="Arial"/>
          <w:i/>
          <w:iCs/>
        </w:rPr>
        <w:t xml:space="preserve"> Sphecodes </w:t>
      </w:r>
      <w:proofErr w:type="spellStart"/>
      <w:r w:rsidR="00425ED1" w:rsidRPr="000C7549">
        <w:rPr>
          <w:rFonts w:ascii="Arial" w:hAnsi="Arial" w:cs="Arial"/>
          <w:i/>
          <w:iCs/>
        </w:rPr>
        <w:t>heraclei</w:t>
      </w:r>
      <w:proofErr w:type="spellEnd"/>
      <w:r w:rsidR="00425ED1" w:rsidRPr="000C7549">
        <w:rPr>
          <w:rFonts w:ascii="Arial" w:hAnsi="Arial" w:cs="Arial"/>
        </w:rPr>
        <w:t xml:space="preserve"> (Sam Droege, USGS).</w:t>
      </w:r>
      <w:r w:rsidR="001D1470">
        <w:rPr>
          <w:rFonts w:ascii="Arial" w:hAnsi="Arial" w:cs="Arial"/>
        </w:rPr>
        <w:t xml:space="preserve"> </w:t>
      </w:r>
      <w:r w:rsidR="00782C09">
        <w:rPr>
          <w:rFonts w:ascii="Arial" w:hAnsi="Arial" w:cs="Arial"/>
        </w:rPr>
        <w:t xml:space="preserve">We compared </w:t>
      </w:r>
      <w:r w:rsidR="006F7717">
        <w:rPr>
          <w:rFonts w:ascii="Arial" w:hAnsi="Arial" w:cs="Arial"/>
        </w:rPr>
        <w:t xml:space="preserve">the average number of insects collected per block between 2019 and 2020 collection years, and ultimately found slightly lower average abundances for our 2020 collections (Fig. </w:t>
      </w:r>
      <w:r w:rsidR="00287CE8">
        <w:rPr>
          <w:rFonts w:ascii="Arial" w:hAnsi="Arial" w:cs="Arial"/>
        </w:rPr>
        <w:t xml:space="preserve">2). </w:t>
      </w:r>
    </w:p>
    <w:p w14:paraId="2FE5DAD5" w14:textId="77777777" w:rsidR="00207B01" w:rsidRPr="000C7549" w:rsidRDefault="00207B01" w:rsidP="00207B01">
      <w:pPr>
        <w:spacing w:line="480" w:lineRule="auto"/>
        <w:rPr>
          <w:rFonts w:ascii="Arial" w:hAnsi="Arial" w:cs="Arial"/>
          <w:sz w:val="21"/>
          <w:szCs w:val="21"/>
        </w:rPr>
      </w:pPr>
      <w:r w:rsidRPr="000C7549">
        <w:rPr>
          <w:rFonts w:ascii="Arial" w:hAnsi="Arial" w:cs="Arial"/>
          <w:b/>
          <w:bCs/>
          <w:i/>
          <w:iCs/>
        </w:rPr>
        <w:lastRenderedPageBreak/>
        <w:t>Total Bees Collected</w:t>
      </w:r>
    </w:p>
    <w:p w14:paraId="2008D773" w14:textId="6DD1C708" w:rsidR="00207B01" w:rsidRPr="007A0486" w:rsidRDefault="00207B01" w:rsidP="007A0486">
      <w:pPr>
        <w:spacing w:line="480" w:lineRule="auto"/>
        <w:ind w:firstLine="720"/>
        <w:rPr>
          <w:rFonts w:ascii="Arial" w:hAnsi="Arial" w:cs="Arial"/>
          <w:iCs/>
          <w:color w:val="000000" w:themeColor="text1"/>
        </w:rPr>
      </w:pPr>
      <w:r w:rsidRPr="000C7549">
        <w:rPr>
          <w:rFonts w:ascii="Arial" w:hAnsi="Arial" w:cs="Arial"/>
          <w:color w:val="000000" w:themeColor="text1"/>
        </w:rPr>
        <w:t>Over our two-year study, we collected 4,563 wild bees and 545 honey bees (</w:t>
      </w:r>
      <w:r w:rsidRPr="000C7549">
        <w:rPr>
          <w:rFonts w:ascii="Arial" w:hAnsi="Arial" w:cs="Arial"/>
          <w:i/>
          <w:iCs/>
          <w:color w:val="000000" w:themeColor="text1"/>
        </w:rPr>
        <w:t>Apis mellifera</w:t>
      </w:r>
      <w:r w:rsidRPr="000C7549">
        <w:rPr>
          <w:rFonts w:ascii="Arial" w:hAnsi="Arial" w:cs="Arial"/>
          <w:color w:val="000000" w:themeColor="text1"/>
        </w:rPr>
        <w:t>). These individuals represent 28 different bee genera</w:t>
      </w:r>
      <w:r w:rsidR="007A0486">
        <w:rPr>
          <w:rFonts w:ascii="Arial" w:hAnsi="Arial" w:cs="Arial"/>
          <w:color w:val="000000" w:themeColor="text1"/>
        </w:rPr>
        <w:t xml:space="preserve">, with a majority from </w:t>
      </w:r>
      <w:r w:rsidRPr="000C7549">
        <w:rPr>
          <w:rFonts w:ascii="Arial" w:hAnsi="Arial" w:cs="Arial"/>
          <w:i/>
          <w:color w:val="000000" w:themeColor="text1"/>
        </w:rPr>
        <w:t>Lasioglossum</w:t>
      </w:r>
      <w:r w:rsidRPr="000C7549">
        <w:rPr>
          <w:rFonts w:ascii="Arial" w:hAnsi="Arial" w:cs="Arial"/>
          <w:color w:val="000000" w:themeColor="text1"/>
        </w:rPr>
        <w:t xml:space="preserve">, </w:t>
      </w:r>
      <w:r w:rsidRPr="000C7549">
        <w:rPr>
          <w:rFonts w:ascii="Arial" w:hAnsi="Arial" w:cs="Arial"/>
          <w:i/>
          <w:color w:val="000000" w:themeColor="text1"/>
        </w:rPr>
        <w:t>Halictus</w:t>
      </w:r>
      <w:r w:rsidRPr="000C7549">
        <w:rPr>
          <w:rFonts w:ascii="Arial" w:hAnsi="Arial" w:cs="Arial"/>
          <w:color w:val="000000" w:themeColor="text1"/>
        </w:rPr>
        <w:t xml:space="preserve">, </w:t>
      </w:r>
      <w:r w:rsidRPr="000C7549">
        <w:rPr>
          <w:rFonts w:ascii="Arial" w:hAnsi="Arial" w:cs="Arial"/>
          <w:i/>
          <w:color w:val="000000" w:themeColor="text1"/>
        </w:rPr>
        <w:t>Apis</w:t>
      </w:r>
      <w:r w:rsidRPr="000C7549">
        <w:rPr>
          <w:rFonts w:ascii="Arial" w:hAnsi="Arial" w:cs="Arial"/>
          <w:color w:val="000000" w:themeColor="text1"/>
        </w:rPr>
        <w:t xml:space="preserve">, </w:t>
      </w:r>
      <w:r w:rsidRPr="000C7549">
        <w:rPr>
          <w:rFonts w:ascii="Arial" w:hAnsi="Arial" w:cs="Arial"/>
          <w:i/>
          <w:color w:val="000000" w:themeColor="text1"/>
        </w:rPr>
        <w:t>Augochlorella</w:t>
      </w:r>
      <w:r w:rsidRPr="000C7549">
        <w:rPr>
          <w:rFonts w:ascii="Arial" w:hAnsi="Arial" w:cs="Arial"/>
          <w:color w:val="000000" w:themeColor="text1"/>
        </w:rPr>
        <w:t xml:space="preserve">, </w:t>
      </w:r>
      <w:r w:rsidRPr="000C7549">
        <w:rPr>
          <w:rFonts w:ascii="Arial" w:hAnsi="Arial" w:cs="Arial"/>
          <w:i/>
          <w:color w:val="000000" w:themeColor="text1"/>
        </w:rPr>
        <w:t>Ceratina</w:t>
      </w:r>
      <w:r w:rsidRPr="000C7549">
        <w:rPr>
          <w:rFonts w:ascii="Arial" w:hAnsi="Arial" w:cs="Arial"/>
          <w:color w:val="000000" w:themeColor="text1"/>
        </w:rPr>
        <w:t xml:space="preserve">, </w:t>
      </w:r>
      <w:r w:rsidR="007A0486">
        <w:rPr>
          <w:rFonts w:ascii="Arial" w:hAnsi="Arial" w:cs="Arial"/>
          <w:color w:val="000000" w:themeColor="text1"/>
        </w:rPr>
        <w:t xml:space="preserve">and </w:t>
      </w:r>
      <w:r w:rsidRPr="000C7549">
        <w:rPr>
          <w:rFonts w:ascii="Arial" w:hAnsi="Arial" w:cs="Arial"/>
          <w:i/>
          <w:color w:val="000000" w:themeColor="text1"/>
        </w:rPr>
        <w:t>Bombus</w:t>
      </w:r>
      <w:r w:rsidR="007A0486">
        <w:rPr>
          <w:rFonts w:ascii="Arial" w:hAnsi="Arial" w:cs="Arial"/>
          <w:color w:val="000000" w:themeColor="text1"/>
        </w:rPr>
        <w:t xml:space="preserve"> (Table </w:t>
      </w:r>
      <w:r w:rsidR="001D1470">
        <w:rPr>
          <w:rFonts w:ascii="Arial" w:hAnsi="Arial" w:cs="Arial"/>
          <w:color w:val="000000" w:themeColor="text1"/>
        </w:rPr>
        <w:t>2</w:t>
      </w:r>
      <w:r w:rsidR="007A0486">
        <w:rPr>
          <w:rFonts w:ascii="Arial" w:hAnsi="Arial" w:cs="Arial"/>
          <w:color w:val="000000" w:themeColor="text1"/>
        </w:rPr>
        <w:t xml:space="preserve">). </w:t>
      </w:r>
    </w:p>
    <w:p w14:paraId="018B9E35" w14:textId="77777777" w:rsidR="00207B01" w:rsidRPr="000C7549" w:rsidRDefault="00207B01" w:rsidP="00207B01">
      <w:pPr>
        <w:spacing w:line="480" w:lineRule="auto"/>
        <w:rPr>
          <w:rFonts w:ascii="Arial" w:hAnsi="Arial" w:cs="Arial"/>
          <w:b/>
          <w:bCs/>
          <w:i/>
          <w:iCs/>
        </w:rPr>
      </w:pPr>
      <w:r w:rsidRPr="000C7549">
        <w:rPr>
          <w:rFonts w:ascii="Arial" w:hAnsi="Arial" w:cs="Arial"/>
          <w:b/>
          <w:bCs/>
          <w:i/>
          <w:iCs/>
        </w:rPr>
        <w:t>2019 Collections</w:t>
      </w:r>
    </w:p>
    <w:p w14:paraId="6120E9FB" w14:textId="1D8888A1" w:rsidR="0008319C" w:rsidRPr="002E64FB" w:rsidRDefault="00207B01" w:rsidP="001C45A5">
      <w:pPr>
        <w:spacing w:line="480" w:lineRule="auto"/>
        <w:ind w:firstLine="720"/>
        <w:rPr>
          <w:rFonts w:ascii="Arial" w:hAnsi="Arial" w:cs="Arial"/>
          <w:color w:val="000000" w:themeColor="text1"/>
        </w:rPr>
      </w:pPr>
      <w:r w:rsidRPr="000C7549">
        <w:rPr>
          <w:rFonts w:ascii="Arial" w:hAnsi="Arial" w:cs="Arial"/>
          <w:color w:val="000000" w:themeColor="text1"/>
        </w:rPr>
        <w:t>In year 1 (2019), we conducted a pilot study on the first four sites. We collected 1,806 flower visiting insects, with a total sampling effort of 27.17 hours from late June to mid-October. Roughly three quarters of the specimens were bees, primarily (~88%) wild bees</w:t>
      </w:r>
      <w:r w:rsidR="00200333">
        <w:rPr>
          <w:rFonts w:ascii="Arial" w:hAnsi="Arial" w:cs="Arial"/>
          <w:color w:val="000000" w:themeColor="text1"/>
        </w:rPr>
        <w:t>, representing 55 species</w:t>
      </w:r>
      <w:r w:rsidRPr="000C7549">
        <w:rPr>
          <w:rFonts w:ascii="Arial" w:hAnsi="Arial" w:cs="Arial"/>
          <w:color w:val="000000" w:themeColor="text1"/>
        </w:rPr>
        <w:t>. The remaining bee specimens were honey bees (</w:t>
      </w:r>
      <w:r w:rsidRPr="000C7549">
        <w:rPr>
          <w:rFonts w:ascii="Arial" w:hAnsi="Arial" w:cs="Arial"/>
          <w:i/>
          <w:iCs/>
          <w:color w:val="000000" w:themeColor="text1"/>
        </w:rPr>
        <w:t>Apis mellifera</w:t>
      </w:r>
      <w:r w:rsidRPr="000C7549">
        <w:rPr>
          <w:rFonts w:ascii="Arial" w:hAnsi="Arial" w:cs="Arial"/>
          <w:color w:val="000000" w:themeColor="text1"/>
        </w:rPr>
        <w:t>). We sorted all non-bees, approximately 467 individuals, into 6 orders</w:t>
      </w:r>
      <w:r w:rsidR="007A0486">
        <w:rPr>
          <w:rFonts w:ascii="Arial" w:hAnsi="Arial" w:cs="Arial"/>
          <w:color w:val="000000" w:themeColor="text1"/>
        </w:rPr>
        <w:t xml:space="preserve">: </w:t>
      </w:r>
      <w:r w:rsidRPr="000C7549">
        <w:rPr>
          <w:rFonts w:ascii="Arial" w:hAnsi="Arial" w:cs="Arial"/>
          <w:color w:val="000000" w:themeColor="text1"/>
        </w:rPr>
        <w:t>Coleoptera</w:t>
      </w:r>
      <w:r w:rsidR="007A0486">
        <w:rPr>
          <w:rFonts w:ascii="Arial" w:hAnsi="Arial" w:cs="Arial"/>
          <w:color w:val="000000" w:themeColor="text1"/>
        </w:rPr>
        <w:t xml:space="preserve">, </w:t>
      </w:r>
      <w:r w:rsidRPr="000C7549">
        <w:rPr>
          <w:rFonts w:ascii="Arial" w:hAnsi="Arial" w:cs="Arial"/>
          <w:color w:val="000000" w:themeColor="text1"/>
        </w:rPr>
        <w:t xml:space="preserve">Hemiptera, Diptera, Lepidoptera, Hymenoptera (non-bee), and Mecoptera. These </w:t>
      </w:r>
      <w:r w:rsidR="007A0486">
        <w:rPr>
          <w:rFonts w:ascii="Arial" w:hAnsi="Arial" w:cs="Arial"/>
          <w:color w:val="000000" w:themeColor="text1"/>
        </w:rPr>
        <w:t>o</w:t>
      </w:r>
      <w:r w:rsidRPr="000C7549">
        <w:rPr>
          <w:rFonts w:ascii="Arial" w:hAnsi="Arial" w:cs="Arial"/>
          <w:color w:val="000000" w:themeColor="text1"/>
        </w:rPr>
        <w:t xml:space="preserve">rders were further identified to 34 families (Table 4).  </w:t>
      </w:r>
    </w:p>
    <w:p w14:paraId="15532CB0" w14:textId="347755BC" w:rsidR="00207B01" w:rsidRPr="000C7549" w:rsidRDefault="00207B01" w:rsidP="00207B01">
      <w:pPr>
        <w:spacing w:line="480" w:lineRule="auto"/>
        <w:rPr>
          <w:rFonts w:ascii="Arial" w:hAnsi="Arial" w:cs="Arial"/>
          <w:b/>
          <w:bCs/>
          <w:i/>
          <w:iCs/>
        </w:rPr>
      </w:pPr>
      <w:r w:rsidRPr="000C7549">
        <w:rPr>
          <w:rFonts w:ascii="Arial" w:hAnsi="Arial" w:cs="Arial"/>
          <w:b/>
          <w:bCs/>
          <w:i/>
          <w:iCs/>
        </w:rPr>
        <w:t xml:space="preserve">2020 Collections </w:t>
      </w:r>
    </w:p>
    <w:p w14:paraId="0A7CE764" w14:textId="640C1E10" w:rsidR="00C64B88" w:rsidRPr="00207BD4" w:rsidRDefault="00207B01" w:rsidP="00C64B88">
      <w:pPr>
        <w:spacing w:line="480" w:lineRule="auto"/>
        <w:ind w:firstLine="720"/>
        <w:rPr>
          <w:rFonts w:ascii="Arial" w:hAnsi="Arial" w:cs="Arial"/>
          <w:color w:val="000000" w:themeColor="text1"/>
        </w:rPr>
      </w:pPr>
      <w:r w:rsidRPr="000C7549">
        <w:rPr>
          <w:rFonts w:ascii="Arial" w:hAnsi="Arial" w:cs="Arial"/>
          <w:color w:val="000000" w:themeColor="text1"/>
        </w:rPr>
        <w:t xml:space="preserve">In </w:t>
      </w:r>
      <w:r w:rsidR="005B49FF">
        <w:rPr>
          <w:rFonts w:ascii="Arial" w:hAnsi="Arial" w:cs="Arial"/>
          <w:color w:val="000000" w:themeColor="text1"/>
        </w:rPr>
        <w:t>year 2 (</w:t>
      </w:r>
      <w:r w:rsidRPr="000C7549">
        <w:rPr>
          <w:rFonts w:ascii="Arial" w:hAnsi="Arial" w:cs="Arial"/>
          <w:color w:val="000000" w:themeColor="text1"/>
        </w:rPr>
        <w:t>2020</w:t>
      </w:r>
      <w:r w:rsidR="005B49FF">
        <w:rPr>
          <w:rFonts w:ascii="Arial" w:hAnsi="Arial" w:cs="Arial"/>
          <w:color w:val="000000" w:themeColor="text1"/>
        </w:rPr>
        <w:t>)</w:t>
      </w:r>
      <w:r w:rsidRPr="000C7549">
        <w:rPr>
          <w:rFonts w:ascii="Arial" w:hAnsi="Arial" w:cs="Arial"/>
          <w:color w:val="000000" w:themeColor="text1"/>
        </w:rPr>
        <w:t>, we conducted the first full season of pollinator collections. The pollinator collections began in March and ended in October 2020 with a total sampling effort of 74.17 hours. We collected 5,488 total specimens, representing five insect orders and 54 non-bee insect families. Most of these specimens were bees: 3,380 wild bees</w:t>
      </w:r>
      <w:r w:rsidR="00200333">
        <w:rPr>
          <w:rFonts w:ascii="Arial" w:hAnsi="Arial" w:cs="Arial"/>
          <w:color w:val="000000" w:themeColor="text1"/>
        </w:rPr>
        <w:t xml:space="preserve"> of 87 species</w:t>
      </w:r>
      <w:r w:rsidRPr="000C7549">
        <w:rPr>
          <w:rFonts w:ascii="Arial" w:hAnsi="Arial" w:cs="Arial"/>
          <w:color w:val="000000" w:themeColor="text1"/>
        </w:rPr>
        <w:t xml:space="preserve"> and 389 </w:t>
      </w:r>
      <w:r w:rsidRPr="000C7549">
        <w:rPr>
          <w:rFonts w:ascii="Arial" w:hAnsi="Arial" w:cs="Arial"/>
          <w:i/>
          <w:iCs/>
          <w:color w:val="000000" w:themeColor="text1"/>
        </w:rPr>
        <w:t>A. mellifera</w:t>
      </w:r>
      <w:r w:rsidRPr="000C7549">
        <w:rPr>
          <w:rFonts w:ascii="Arial" w:hAnsi="Arial" w:cs="Arial"/>
          <w:color w:val="000000" w:themeColor="text1"/>
        </w:rPr>
        <w:t xml:space="preserve">. </w:t>
      </w:r>
      <w:r w:rsidR="00200333">
        <w:rPr>
          <w:rFonts w:ascii="Arial" w:hAnsi="Arial" w:cs="Arial"/>
        </w:rPr>
        <w:t>In</w:t>
      </w:r>
      <w:r w:rsidR="00200333" w:rsidRPr="00C15E47">
        <w:rPr>
          <w:rFonts w:ascii="Arial" w:hAnsi="Arial" w:cs="Arial"/>
          <w:color w:val="000000" w:themeColor="text1"/>
        </w:rPr>
        <w:t xml:space="preserve"> year</w:t>
      </w:r>
      <w:r w:rsidR="00200333">
        <w:rPr>
          <w:rFonts w:ascii="Arial" w:hAnsi="Arial" w:cs="Arial"/>
          <w:color w:val="000000" w:themeColor="text1"/>
        </w:rPr>
        <w:t xml:space="preserve"> 2,</w:t>
      </w:r>
      <w:r w:rsidR="00200333" w:rsidRPr="00C15E47">
        <w:rPr>
          <w:rFonts w:ascii="Arial" w:hAnsi="Arial" w:cs="Arial"/>
          <w:color w:val="000000" w:themeColor="text1"/>
        </w:rPr>
        <w:t xml:space="preserve"> we collected 41 bee species that were not collected in year 1. Only two previously uncollected species were collected at Block 5 (</w:t>
      </w:r>
      <w:r w:rsidR="00200333" w:rsidRPr="00C15E47">
        <w:rPr>
          <w:rFonts w:ascii="Arial" w:hAnsi="Arial" w:cs="Arial"/>
          <w:i/>
          <w:color w:val="000000" w:themeColor="text1"/>
        </w:rPr>
        <w:t>Andrena near simplex</w:t>
      </w:r>
      <w:r w:rsidR="00200333" w:rsidRPr="00C15E47">
        <w:rPr>
          <w:rFonts w:ascii="Arial" w:hAnsi="Arial" w:cs="Arial"/>
          <w:color w:val="000000" w:themeColor="text1"/>
        </w:rPr>
        <w:t xml:space="preserve"> and </w:t>
      </w:r>
      <w:r w:rsidR="00200333" w:rsidRPr="00C15E47">
        <w:rPr>
          <w:rFonts w:ascii="Arial" w:hAnsi="Arial" w:cs="Arial"/>
          <w:i/>
          <w:color w:val="000000" w:themeColor="text1"/>
        </w:rPr>
        <w:t>Melissodes sp. A</w:t>
      </w:r>
      <w:r w:rsidR="00200333" w:rsidRPr="00C15E47">
        <w:rPr>
          <w:rFonts w:ascii="Arial" w:hAnsi="Arial" w:cs="Arial"/>
          <w:color w:val="000000" w:themeColor="text1"/>
        </w:rPr>
        <w:t>). The remaining 39 species were collected at blocks that were in their second year of growth.</w:t>
      </w:r>
      <w:r w:rsidR="00200333">
        <w:rPr>
          <w:rFonts w:ascii="Arial" w:hAnsi="Arial" w:cs="Arial"/>
          <w:color w:val="000000" w:themeColor="text1"/>
        </w:rPr>
        <w:t xml:space="preserve"> </w:t>
      </w:r>
      <w:r w:rsidRPr="000C7549">
        <w:rPr>
          <w:rFonts w:ascii="Arial" w:hAnsi="Arial" w:cs="Arial"/>
          <w:color w:val="000000" w:themeColor="text1"/>
        </w:rPr>
        <w:t xml:space="preserve">We sorted all non-bees, approximately 467 individuals, representing 6 orders: Coleoptera, Hemiptera, Diptera, </w:t>
      </w:r>
      <w:r w:rsidRPr="000C7549">
        <w:rPr>
          <w:rFonts w:ascii="Arial" w:hAnsi="Arial" w:cs="Arial"/>
          <w:color w:val="000000" w:themeColor="text1"/>
        </w:rPr>
        <w:lastRenderedPageBreak/>
        <w:t xml:space="preserve">Lepidoptera, Hymenoptera (non-bee), and Mecoptera. These 6 orders were further identified to 44 families (Table 5). </w:t>
      </w:r>
    </w:p>
    <w:p w14:paraId="36AADE62" w14:textId="0D1CDD6F" w:rsidR="0008319C" w:rsidRPr="000C7549" w:rsidRDefault="00906244" w:rsidP="0008319C">
      <w:pPr>
        <w:spacing w:line="480" w:lineRule="auto"/>
        <w:rPr>
          <w:rFonts w:ascii="Arial" w:hAnsi="Arial" w:cs="Arial"/>
          <w:b/>
          <w:bCs/>
          <w:i/>
          <w:iCs/>
        </w:rPr>
      </w:pPr>
      <w:r>
        <w:rPr>
          <w:rFonts w:ascii="Arial" w:hAnsi="Arial" w:cs="Arial"/>
          <w:b/>
          <w:bCs/>
          <w:i/>
          <w:iCs/>
        </w:rPr>
        <w:t>Floral Phenology</w:t>
      </w:r>
    </w:p>
    <w:p w14:paraId="542217FD" w14:textId="54FE8473" w:rsidR="0008319C" w:rsidRPr="000C7549" w:rsidRDefault="0008319C" w:rsidP="0008319C">
      <w:pPr>
        <w:spacing w:line="480" w:lineRule="auto"/>
        <w:ind w:firstLine="720"/>
        <w:rPr>
          <w:rFonts w:ascii="Arial" w:hAnsi="Arial" w:cs="Arial"/>
          <w:color w:val="000000" w:themeColor="text1"/>
          <w:shd w:val="clear" w:color="auto" w:fill="FFFFFF"/>
        </w:rPr>
      </w:pPr>
      <w:r w:rsidRPr="000C7549">
        <w:rPr>
          <w:rFonts w:ascii="Arial" w:hAnsi="Arial" w:cs="Arial"/>
        </w:rPr>
        <w:t>In both field seasons, and across all sites, 17 of 18 plant species flowered</w:t>
      </w:r>
      <w:r w:rsidR="003E45C6">
        <w:rPr>
          <w:rFonts w:ascii="Arial" w:hAnsi="Arial" w:cs="Arial"/>
        </w:rPr>
        <w:t xml:space="preserve">. </w:t>
      </w:r>
      <w:r w:rsidRPr="000C7549">
        <w:rPr>
          <w:rFonts w:ascii="Arial" w:hAnsi="Arial" w:cs="Arial"/>
        </w:rPr>
        <w:t xml:space="preserve">All species in the Asteraceae and Lamiaceae families flowered. However, none of the individuals of </w:t>
      </w:r>
      <w:r w:rsidRPr="000C7549">
        <w:rPr>
          <w:rFonts w:ascii="Arial" w:hAnsi="Arial" w:cs="Arial"/>
          <w:i/>
          <w:iCs/>
        </w:rPr>
        <w:t xml:space="preserve">Thermopsis villosa </w:t>
      </w:r>
      <w:r w:rsidRPr="000C7549">
        <w:rPr>
          <w:rFonts w:ascii="Arial" w:hAnsi="Arial" w:cs="Arial"/>
        </w:rPr>
        <w:t>in the Fabaceae family flowered at any site.</w:t>
      </w:r>
    </w:p>
    <w:p w14:paraId="56784D7E" w14:textId="677C6AE6" w:rsidR="003A6000" w:rsidRPr="007777F2" w:rsidRDefault="00207B01" w:rsidP="00F863F7">
      <w:pPr>
        <w:spacing w:line="480" w:lineRule="auto"/>
        <w:ind w:firstLine="720"/>
        <w:rPr>
          <w:rFonts w:ascii="Arial" w:hAnsi="Arial" w:cs="Arial"/>
        </w:rPr>
      </w:pPr>
      <w:r w:rsidRPr="000C7549">
        <w:rPr>
          <w:rFonts w:ascii="Arial" w:hAnsi="Arial" w:cs="Arial"/>
        </w:rPr>
        <w:t xml:space="preserve">The plants bloomed in the following order: </w:t>
      </w:r>
      <w:r w:rsidRPr="000C7549">
        <w:rPr>
          <w:rFonts w:ascii="Arial" w:hAnsi="Arial" w:cs="Arial"/>
          <w:i/>
        </w:rPr>
        <w:t xml:space="preserve">Conradina verticillata, Coreopsis lanceolata, Blephilia subnuda, Baptisia albescens, Stokesia laevis, Physostegia leptophylla, Pycnanthemum muticum, Senna marilandica, Amorpha herbacea, Baptisia tinctoria, </w:t>
      </w:r>
      <w:r w:rsidR="0093661A" w:rsidRPr="000C7549">
        <w:rPr>
          <w:rFonts w:ascii="Arial" w:hAnsi="Arial" w:cs="Arial"/>
          <w:i/>
        </w:rPr>
        <w:t>Helianthus</w:t>
      </w:r>
      <w:r w:rsidRPr="000C7549">
        <w:rPr>
          <w:rFonts w:ascii="Arial" w:hAnsi="Arial" w:cs="Arial"/>
          <w:i/>
        </w:rPr>
        <w:t xml:space="preserve"> </w:t>
      </w:r>
      <w:proofErr w:type="spellStart"/>
      <w:r w:rsidR="00B049CA" w:rsidRPr="000C7549">
        <w:rPr>
          <w:rFonts w:ascii="Arial" w:hAnsi="Arial" w:cs="Arial"/>
          <w:i/>
        </w:rPr>
        <w:t>hir</w:t>
      </w:r>
      <w:r w:rsidR="00AF1EA9">
        <w:rPr>
          <w:rFonts w:ascii="Arial" w:hAnsi="Arial" w:cs="Arial"/>
          <w:i/>
        </w:rPr>
        <w:t>sutus</w:t>
      </w:r>
      <w:proofErr w:type="spellEnd"/>
      <w:r w:rsidRPr="000C7549">
        <w:rPr>
          <w:rFonts w:ascii="Arial" w:hAnsi="Arial" w:cs="Arial"/>
          <w:i/>
        </w:rPr>
        <w:t>, Helianthus occidentalis, Collinsonia</w:t>
      </w:r>
      <w:r w:rsidR="00A03DF5">
        <w:rPr>
          <w:rFonts w:ascii="Arial" w:hAnsi="Arial" w:cs="Arial"/>
          <w:i/>
        </w:rPr>
        <w:t xml:space="preserve"> </w:t>
      </w:r>
      <w:r w:rsidR="0008319C" w:rsidRPr="000C7549">
        <w:rPr>
          <w:rFonts w:ascii="Arial" w:hAnsi="Arial" w:cs="Arial"/>
          <w:i/>
        </w:rPr>
        <w:t xml:space="preserve">canadensis, Eurybia saxicastelli, Lespedeza hirta, Lycopus virginicus, </w:t>
      </w:r>
      <w:r w:rsidR="0008319C" w:rsidRPr="000C7549">
        <w:rPr>
          <w:rFonts w:ascii="Arial" w:hAnsi="Arial" w:cs="Arial"/>
          <w:iCs/>
        </w:rPr>
        <w:t xml:space="preserve">and </w:t>
      </w:r>
      <w:r w:rsidR="0008319C" w:rsidRPr="000C7549">
        <w:rPr>
          <w:rFonts w:ascii="Arial" w:hAnsi="Arial" w:cs="Arial"/>
          <w:i/>
        </w:rPr>
        <w:t>Verbesina occidentalis</w:t>
      </w:r>
      <w:r w:rsidR="008500D0">
        <w:rPr>
          <w:rFonts w:ascii="Arial" w:hAnsi="Arial" w:cs="Arial"/>
          <w:i/>
        </w:rPr>
        <w:t xml:space="preserve"> </w:t>
      </w:r>
      <w:r w:rsidR="008500D0" w:rsidRPr="00546490">
        <w:rPr>
          <w:rFonts w:ascii="Arial" w:hAnsi="Arial" w:cs="Arial"/>
        </w:rPr>
        <w:t>(</w:t>
      </w:r>
      <w:r w:rsidR="00FE077B">
        <w:rPr>
          <w:rFonts w:ascii="Arial" w:hAnsi="Arial" w:cs="Arial"/>
          <w:iCs/>
        </w:rPr>
        <w:t>Fig. 3)</w:t>
      </w:r>
      <w:r w:rsidR="00FE077B">
        <w:rPr>
          <w:rFonts w:ascii="Arial" w:hAnsi="Arial" w:cs="Arial"/>
          <w:i/>
        </w:rPr>
        <w:t>.</w:t>
      </w:r>
      <w:r w:rsidR="0008319C" w:rsidRPr="000C7549">
        <w:rPr>
          <w:rFonts w:ascii="Arial" w:hAnsi="Arial" w:cs="Arial"/>
          <w:i/>
        </w:rPr>
        <w:t xml:space="preserve"> </w:t>
      </w:r>
      <w:r w:rsidR="0008319C" w:rsidRPr="000C7549">
        <w:rPr>
          <w:rFonts w:ascii="Arial" w:hAnsi="Arial" w:cs="Arial"/>
        </w:rPr>
        <w:t>Multiple plant species flowered at the same time</w:t>
      </w:r>
      <w:r w:rsidR="00D43862">
        <w:rPr>
          <w:rFonts w:ascii="Arial" w:hAnsi="Arial" w:cs="Arial"/>
        </w:rPr>
        <w:t xml:space="preserve"> in most weeks</w:t>
      </w:r>
      <w:r w:rsidR="0008319C" w:rsidRPr="000C7549">
        <w:rPr>
          <w:rFonts w:ascii="Arial" w:hAnsi="Arial" w:cs="Arial"/>
        </w:rPr>
        <w:t xml:space="preserve">, with the exception of weeks 1 and 2. At week 22, we observed the most plants in flower (15 different species). There was no discernable pattern in bloom timing across plant families. Some plant species were still flowering at the end of the field season (e.g., </w:t>
      </w:r>
      <w:r w:rsidR="0008319C" w:rsidRPr="000C7549">
        <w:rPr>
          <w:rFonts w:ascii="Arial" w:hAnsi="Arial" w:cs="Arial"/>
          <w:i/>
        </w:rPr>
        <w:t>Verbesina occidentalis</w:t>
      </w:r>
      <w:r w:rsidR="0008319C" w:rsidRPr="000C7549">
        <w:rPr>
          <w:rFonts w:ascii="Arial" w:hAnsi="Arial" w:cs="Arial"/>
        </w:rPr>
        <w:t>)</w:t>
      </w:r>
      <w:r w:rsidR="0008319C">
        <w:rPr>
          <w:rFonts w:ascii="Arial" w:hAnsi="Arial" w:cs="Arial"/>
        </w:rPr>
        <w:t>.</w:t>
      </w:r>
    </w:p>
    <w:p w14:paraId="25369FC2" w14:textId="3429D85E" w:rsidR="00207B01" w:rsidRPr="000C7549" w:rsidRDefault="00207B01" w:rsidP="00207B01">
      <w:pPr>
        <w:spacing w:line="480" w:lineRule="auto"/>
        <w:rPr>
          <w:rFonts w:ascii="Arial" w:hAnsi="Arial" w:cs="Arial"/>
          <w:b/>
          <w:bCs/>
          <w:i/>
          <w:iCs/>
        </w:rPr>
      </w:pPr>
      <w:r w:rsidRPr="000C7549">
        <w:rPr>
          <w:rFonts w:ascii="Arial" w:hAnsi="Arial" w:cs="Arial"/>
          <w:b/>
          <w:bCs/>
          <w:i/>
          <w:iCs/>
        </w:rPr>
        <w:t>Floral Display</w:t>
      </w:r>
    </w:p>
    <w:p w14:paraId="5F68A284" w14:textId="33FB6794" w:rsidR="0008319C" w:rsidRDefault="00207B01" w:rsidP="000225DE">
      <w:pPr>
        <w:spacing w:line="480" w:lineRule="auto"/>
        <w:ind w:firstLine="720"/>
        <w:rPr>
          <w:rFonts w:ascii="Arial" w:hAnsi="Arial" w:cs="Arial"/>
        </w:rPr>
      </w:pPr>
      <w:r w:rsidRPr="000C7549">
        <w:rPr>
          <w:rFonts w:ascii="Arial" w:hAnsi="Arial" w:cs="Arial"/>
        </w:rPr>
        <w:t xml:space="preserve">The plant species varied in their average floral display (Fig. </w:t>
      </w:r>
      <w:r w:rsidR="00213E9C">
        <w:rPr>
          <w:rFonts w:ascii="Arial" w:hAnsi="Arial" w:cs="Arial"/>
        </w:rPr>
        <w:t>4</w:t>
      </w:r>
      <w:r w:rsidRPr="000C7549">
        <w:rPr>
          <w:rFonts w:ascii="Arial" w:hAnsi="Arial" w:cs="Arial"/>
        </w:rPr>
        <w:t xml:space="preserve">). Asteraceae species had larger floral displays compared to Fabaceae and Lamiaceae. </w:t>
      </w:r>
      <w:r w:rsidRPr="000C7549">
        <w:rPr>
          <w:rFonts w:ascii="Arial" w:hAnsi="Arial" w:cs="Arial"/>
          <w:i/>
          <w:iCs/>
        </w:rPr>
        <w:t xml:space="preserve">Helianthus </w:t>
      </w:r>
      <w:proofErr w:type="spellStart"/>
      <w:r w:rsidR="009B1583" w:rsidRPr="000C7549">
        <w:rPr>
          <w:rFonts w:ascii="Arial" w:hAnsi="Arial" w:cs="Arial"/>
          <w:i/>
          <w:iCs/>
        </w:rPr>
        <w:t>hir</w:t>
      </w:r>
      <w:r w:rsidR="00D43862">
        <w:rPr>
          <w:rFonts w:ascii="Arial" w:hAnsi="Arial" w:cs="Arial"/>
          <w:i/>
          <w:iCs/>
        </w:rPr>
        <w:t>sutus</w:t>
      </w:r>
      <w:proofErr w:type="spellEnd"/>
      <w:r w:rsidRPr="000C7549">
        <w:rPr>
          <w:rFonts w:ascii="Arial" w:hAnsi="Arial" w:cs="Arial"/>
        </w:rPr>
        <w:t>, for example, had a floral display of 13246</w:t>
      </w:r>
      <w:r w:rsidR="009B1583" w:rsidRPr="000C7549">
        <w:rPr>
          <w:rFonts w:ascii="Arial" w:hAnsi="Arial" w:cs="Arial"/>
        </w:rPr>
        <w:t>mm</w:t>
      </w:r>
      <w:r w:rsidR="009B1583" w:rsidRPr="000C7549">
        <w:rPr>
          <w:rFonts w:ascii="Arial" w:hAnsi="Arial" w:cs="Arial"/>
          <w:vertAlign w:val="superscript"/>
        </w:rPr>
        <w:t>2</w:t>
      </w:r>
      <w:r w:rsidRPr="000C7549">
        <w:rPr>
          <w:rFonts w:ascii="Arial" w:hAnsi="Arial" w:cs="Arial"/>
        </w:rPr>
        <w:t xml:space="preserve"> </w:t>
      </w:r>
      <w:r w:rsidRPr="000C7549">
        <w:rPr>
          <w:rFonts w:ascii="Arial" w:hAnsi="Arial" w:cs="Arial"/>
          <w:color w:val="000000" w:themeColor="text1"/>
          <w:shd w:val="clear" w:color="auto" w:fill="FFFFFF"/>
        </w:rPr>
        <w:t>± 2160</w:t>
      </w:r>
      <w:r w:rsidR="009B1583" w:rsidRPr="000C7549">
        <w:rPr>
          <w:rFonts w:ascii="Arial" w:hAnsi="Arial" w:cs="Arial"/>
        </w:rPr>
        <w:t>mm</w:t>
      </w:r>
      <w:r w:rsidR="009B1583" w:rsidRPr="000C7549">
        <w:rPr>
          <w:rFonts w:ascii="Arial" w:hAnsi="Arial" w:cs="Arial"/>
          <w:vertAlign w:val="superscript"/>
        </w:rPr>
        <w:t>2</w:t>
      </w:r>
      <w:r w:rsidRPr="000C7549">
        <w:rPr>
          <w:rFonts w:ascii="Arial" w:hAnsi="Arial" w:cs="Arial"/>
          <w:color w:val="000000" w:themeColor="text1"/>
          <w:shd w:val="clear" w:color="auto" w:fill="FFFFFF"/>
        </w:rPr>
        <w:t xml:space="preserve"> on average per collection, while the Fabaceae species with the largest floral display, </w:t>
      </w:r>
      <w:r w:rsidRPr="000C7549">
        <w:rPr>
          <w:rFonts w:ascii="Arial" w:hAnsi="Arial" w:cs="Arial"/>
          <w:i/>
          <w:iCs/>
          <w:color w:val="000000" w:themeColor="text1"/>
          <w:shd w:val="clear" w:color="auto" w:fill="FFFFFF"/>
        </w:rPr>
        <w:t xml:space="preserve">Senna marilandica, </w:t>
      </w:r>
      <w:r w:rsidRPr="000C7549">
        <w:rPr>
          <w:rFonts w:ascii="Arial" w:hAnsi="Arial" w:cs="Arial"/>
          <w:color w:val="000000" w:themeColor="text1"/>
          <w:shd w:val="clear" w:color="auto" w:fill="FFFFFF"/>
        </w:rPr>
        <w:t xml:space="preserve">had a floral display of </w:t>
      </w:r>
      <w:r w:rsidRPr="000C7549">
        <w:rPr>
          <w:rFonts w:ascii="Arial" w:hAnsi="Arial" w:cs="Arial"/>
        </w:rPr>
        <w:t>1484</w:t>
      </w:r>
      <w:r w:rsidR="009B1583" w:rsidRPr="000C7549">
        <w:rPr>
          <w:rFonts w:ascii="Arial" w:hAnsi="Arial" w:cs="Arial"/>
        </w:rPr>
        <w:t xml:space="preserve"> mm</w:t>
      </w:r>
      <w:r w:rsidR="009B1583" w:rsidRPr="000C7549">
        <w:rPr>
          <w:rFonts w:ascii="Arial" w:hAnsi="Arial" w:cs="Arial"/>
          <w:vertAlign w:val="superscript"/>
        </w:rPr>
        <w:t>2</w:t>
      </w:r>
      <w:r w:rsidRPr="000C7549">
        <w:rPr>
          <w:rFonts w:ascii="Arial" w:hAnsi="Arial" w:cs="Arial"/>
        </w:rPr>
        <w:t xml:space="preserve"> </w:t>
      </w:r>
      <w:r w:rsidRPr="000C7549">
        <w:rPr>
          <w:rFonts w:ascii="Arial" w:hAnsi="Arial" w:cs="Arial"/>
          <w:color w:val="000000" w:themeColor="text1"/>
          <w:shd w:val="clear" w:color="auto" w:fill="FFFFFF"/>
        </w:rPr>
        <w:t>± 291</w:t>
      </w:r>
      <w:r w:rsidR="009B1583" w:rsidRPr="000C7549">
        <w:rPr>
          <w:rFonts w:ascii="Arial" w:hAnsi="Arial" w:cs="Arial"/>
        </w:rPr>
        <w:t xml:space="preserve"> mm</w:t>
      </w:r>
      <w:r w:rsidR="009B1583" w:rsidRPr="000C7549">
        <w:rPr>
          <w:rFonts w:ascii="Arial" w:hAnsi="Arial" w:cs="Arial"/>
          <w:vertAlign w:val="superscript"/>
        </w:rPr>
        <w:t>2</w:t>
      </w:r>
      <w:r w:rsidRPr="000C7549">
        <w:rPr>
          <w:rFonts w:ascii="Arial" w:hAnsi="Arial" w:cs="Arial"/>
          <w:color w:val="000000" w:themeColor="text1"/>
          <w:shd w:val="clear" w:color="auto" w:fill="FFFFFF"/>
        </w:rPr>
        <w:t xml:space="preserve"> on average per collection.</w:t>
      </w:r>
      <w:r w:rsidR="000225DE" w:rsidRPr="000225DE">
        <w:rPr>
          <w:rFonts w:ascii="Arial" w:hAnsi="Arial" w:cs="Arial"/>
        </w:rPr>
        <w:t xml:space="preserve"> </w:t>
      </w:r>
    </w:p>
    <w:p w14:paraId="1EF2CD46" w14:textId="2268450F" w:rsidR="006F7D9F" w:rsidRPr="000C7549" w:rsidRDefault="00906244" w:rsidP="00207BD4">
      <w:pPr>
        <w:spacing w:line="480" w:lineRule="auto"/>
        <w:ind w:firstLine="720"/>
        <w:rPr>
          <w:rFonts w:ascii="Arial" w:hAnsi="Arial" w:cs="Arial"/>
        </w:rPr>
      </w:pPr>
      <w:r>
        <w:rPr>
          <w:rFonts w:ascii="Arial" w:hAnsi="Arial" w:cs="Arial"/>
        </w:rPr>
        <w:lastRenderedPageBreak/>
        <w:t xml:space="preserve">There was a significant positive linear relationship between the log-transformed floral display and insect abundance (effect size = 0.33, N = 5, P &lt; 0.001, Fig. 5). The linear model had </w:t>
      </w:r>
      <w:r w:rsidR="00207B01" w:rsidRPr="000C7549">
        <w:rPr>
          <w:rFonts w:ascii="Arial" w:hAnsi="Arial" w:cs="Arial"/>
        </w:rPr>
        <w:t>a marginal R</w:t>
      </w:r>
      <w:r w:rsidR="00207B01" w:rsidRPr="000C7549">
        <w:rPr>
          <w:rFonts w:ascii="Arial" w:hAnsi="Arial" w:cs="Arial"/>
          <w:vertAlign w:val="superscript"/>
        </w:rPr>
        <w:t>2</w:t>
      </w:r>
      <w:r w:rsidR="00207B01" w:rsidRPr="000C7549">
        <w:rPr>
          <w:rFonts w:ascii="Arial" w:hAnsi="Arial" w:cs="Arial"/>
        </w:rPr>
        <w:t xml:space="preserve"> value of 0.35 and a conditional R</w:t>
      </w:r>
      <w:r w:rsidR="00207B01" w:rsidRPr="000C7549">
        <w:rPr>
          <w:rFonts w:ascii="Arial" w:hAnsi="Arial" w:cs="Arial"/>
          <w:vertAlign w:val="superscript"/>
        </w:rPr>
        <w:t>2</w:t>
      </w:r>
      <w:r w:rsidR="00207B01" w:rsidRPr="000C7549">
        <w:rPr>
          <w:rFonts w:ascii="Arial" w:hAnsi="Arial" w:cs="Arial"/>
        </w:rPr>
        <w:t xml:space="preserve"> value of 0.38</w:t>
      </w:r>
      <w:r>
        <w:rPr>
          <w:rFonts w:ascii="Arial" w:hAnsi="Arial" w:cs="Arial"/>
        </w:rPr>
        <w:t xml:space="preserve"> (Fig. 6)</w:t>
      </w:r>
      <w:r w:rsidR="00207B01" w:rsidRPr="000C7549">
        <w:rPr>
          <w:rFonts w:ascii="Arial" w:hAnsi="Arial" w:cs="Arial"/>
        </w:rPr>
        <w:t xml:space="preserve">. </w:t>
      </w:r>
    </w:p>
    <w:p w14:paraId="2BF1C4CF" w14:textId="77777777" w:rsidR="00207B01" w:rsidRPr="000C7549" w:rsidRDefault="00207B01" w:rsidP="00207B01">
      <w:pPr>
        <w:spacing w:line="480" w:lineRule="auto"/>
        <w:rPr>
          <w:rFonts w:ascii="Arial" w:hAnsi="Arial" w:cs="Arial"/>
          <w:b/>
          <w:bCs/>
          <w:i/>
          <w:iCs/>
        </w:rPr>
      </w:pPr>
      <w:r w:rsidRPr="000C7549">
        <w:rPr>
          <w:rFonts w:ascii="Arial" w:hAnsi="Arial" w:cs="Arial"/>
          <w:b/>
          <w:bCs/>
          <w:i/>
          <w:iCs/>
        </w:rPr>
        <w:t xml:space="preserve">Visitation Rate </w:t>
      </w:r>
    </w:p>
    <w:p w14:paraId="20D8E583" w14:textId="5E9E86EE" w:rsidR="0076530F" w:rsidRPr="001951BE" w:rsidRDefault="00906244" w:rsidP="002E64FB">
      <w:pPr>
        <w:spacing w:line="480" w:lineRule="auto"/>
        <w:ind w:firstLine="720"/>
        <w:rPr>
          <w:rFonts w:ascii="Arial" w:hAnsi="Arial" w:cs="Arial"/>
        </w:rPr>
      </w:pPr>
      <w:r>
        <w:rPr>
          <w:rFonts w:ascii="Arial" w:hAnsi="Arial" w:cs="Arial"/>
        </w:rPr>
        <w:t>Among the plant species</w:t>
      </w:r>
      <w:r w:rsidR="00422FE6" w:rsidRPr="000C7549">
        <w:rPr>
          <w:rFonts w:ascii="Arial" w:hAnsi="Arial" w:cs="Arial"/>
        </w:rPr>
        <w:t xml:space="preserve">, </w:t>
      </w:r>
      <w:r w:rsidR="00422FE6" w:rsidRPr="000C7549">
        <w:rPr>
          <w:rFonts w:ascii="Arial" w:hAnsi="Arial" w:cs="Arial"/>
          <w:i/>
          <w:iCs/>
        </w:rPr>
        <w:t>Pycnanthemum muticum</w:t>
      </w:r>
      <w:r w:rsidR="00422FE6" w:rsidRPr="000C7549">
        <w:rPr>
          <w:rFonts w:ascii="Arial" w:hAnsi="Arial" w:cs="Arial"/>
        </w:rPr>
        <w:t xml:space="preserve"> had the highest visitation rate of any plant species in 2020</w:t>
      </w:r>
      <w:r w:rsidR="001951BE">
        <w:rPr>
          <w:rFonts w:ascii="Arial" w:hAnsi="Arial" w:cs="Arial"/>
        </w:rPr>
        <w:t xml:space="preserve"> for total </w:t>
      </w:r>
      <w:r w:rsidR="00F61A5B">
        <w:rPr>
          <w:rFonts w:ascii="Arial" w:hAnsi="Arial" w:cs="Arial"/>
        </w:rPr>
        <w:t>insects</w:t>
      </w:r>
      <w:r w:rsidR="006C6D4D">
        <w:rPr>
          <w:rFonts w:ascii="Arial" w:hAnsi="Arial" w:cs="Arial"/>
        </w:rPr>
        <w:t xml:space="preserve"> (Figure 7a)</w:t>
      </w:r>
      <w:r w:rsidR="00F61A5B">
        <w:rPr>
          <w:rFonts w:ascii="Arial" w:hAnsi="Arial" w:cs="Arial"/>
        </w:rPr>
        <w:t>, and</w:t>
      </w:r>
      <w:r w:rsidR="002A596D">
        <w:rPr>
          <w:rFonts w:ascii="Arial" w:hAnsi="Arial" w:cs="Arial"/>
        </w:rPr>
        <w:t xml:space="preserve"> had the second highest visitation rate </w:t>
      </w:r>
      <w:r w:rsidR="009C1AB3">
        <w:rPr>
          <w:rFonts w:ascii="Arial" w:hAnsi="Arial" w:cs="Arial"/>
        </w:rPr>
        <w:t>when we looked exclusively at bee visitors (Fig. 7b)</w:t>
      </w:r>
      <w:r w:rsidR="0013405B">
        <w:rPr>
          <w:rFonts w:ascii="Arial" w:hAnsi="Arial" w:cs="Arial"/>
        </w:rPr>
        <w:t>.</w:t>
      </w:r>
      <w:r w:rsidR="001951BE">
        <w:rPr>
          <w:rFonts w:ascii="Arial" w:hAnsi="Arial" w:cs="Arial"/>
        </w:rPr>
        <w:t xml:space="preserve"> </w:t>
      </w:r>
      <w:r w:rsidR="009C1AB3">
        <w:rPr>
          <w:rFonts w:ascii="Arial" w:hAnsi="Arial" w:cs="Arial"/>
        </w:rPr>
        <w:t xml:space="preserve">The plant with the average highest </w:t>
      </w:r>
      <w:r w:rsidR="002D3978">
        <w:rPr>
          <w:rFonts w:ascii="Arial" w:hAnsi="Arial" w:cs="Arial"/>
        </w:rPr>
        <w:t xml:space="preserve">bee </w:t>
      </w:r>
      <w:r w:rsidR="00D53E72">
        <w:rPr>
          <w:rFonts w:ascii="Arial" w:hAnsi="Arial" w:cs="Arial"/>
        </w:rPr>
        <w:t>visitation rate</w:t>
      </w:r>
      <w:r w:rsidR="009C1AB3">
        <w:rPr>
          <w:rFonts w:ascii="Arial" w:hAnsi="Arial" w:cs="Arial"/>
        </w:rPr>
        <w:t xml:space="preserve"> </w:t>
      </w:r>
      <w:r w:rsidR="00D53E72">
        <w:rPr>
          <w:rFonts w:ascii="Arial" w:hAnsi="Arial" w:cs="Arial"/>
        </w:rPr>
        <w:t>was</w:t>
      </w:r>
      <w:r w:rsidR="009C1AB3">
        <w:rPr>
          <w:rFonts w:ascii="Arial" w:hAnsi="Arial" w:cs="Arial"/>
        </w:rPr>
        <w:t xml:space="preserve"> </w:t>
      </w:r>
      <w:r w:rsidR="001951BE">
        <w:rPr>
          <w:rFonts w:ascii="Arial" w:hAnsi="Arial" w:cs="Arial"/>
          <w:i/>
          <w:iCs/>
        </w:rPr>
        <w:t xml:space="preserve">Lespedeza </w:t>
      </w:r>
      <w:r w:rsidR="001951BE" w:rsidRPr="00906244">
        <w:rPr>
          <w:rFonts w:ascii="Arial" w:hAnsi="Arial" w:cs="Arial"/>
          <w:i/>
          <w:iCs/>
        </w:rPr>
        <w:t>hirta</w:t>
      </w:r>
      <w:r w:rsidRPr="00546490">
        <w:rPr>
          <w:rFonts w:ascii="Arial" w:hAnsi="Arial" w:cs="Arial"/>
        </w:rPr>
        <w:t xml:space="preserve"> (Fig. 7b)</w:t>
      </w:r>
      <w:r w:rsidR="002D3978">
        <w:rPr>
          <w:rFonts w:ascii="Arial" w:hAnsi="Arial" w:cs="Arial"/>
          <w:i/>
          <w:iCs/>
        </w:rPr>
        <w:t>.</w:t>
      </w:r>
      <w:r w:rsidR="003127CF">
        <w:rPr>
          <w:rFonts w:ascii="Arial" w:hAnsi="Arial" w:cs="Arial"/>
        </w:rPr>
        <w:t xml:space="preserve"> </w:t>
      </w:r>
      <w:r>
        <w:rPr>
          <w:rFonts w:ascii="Arial" w:hAnsi="Arial" w:cs="Arial"/>
        </w:rPr>
        <w:t>A</w:t>
      </w:r>
      <w:r w:rsidRPr="000C7549">
        <w:rPr>
          <w:rFonts w:ascii="Arial" w:hAnsi="Arial" w:cs="Arial"/>
        </w:rPr>
        <w:t>t the treatment level, the Mixed family treatment had the highest</w:t>
      </w:r>
      <w:r>
        <w:rPr>
          <w:rFonts w:ascii="Arial" w:hAnsi="Arial" w:cs="Arial"/>
        </w:rPr>
        <w:t xml:space="preserve">, and the Asteraceae </w:t>
      </w:r>
      <w:r w:rsidR="005B49FF">
        <w:rPr>
          <w:rFonts w:ascii="Arial" w:hAnsi="Arial" w:cs="Arial"/>
        </w:rPr>
        <w:t>treatment</w:t>
      </w:r>
      <w:r>
        <w:rPr>
          <w:rFonts w:ascii="Arial" w:hAnsi="Arial" w:cs="Arial"/>
        </w:rPr>
        <w:t xml:space="preserve"> the lowest, </w:t>
      </w:r>
      <w:r w:rsidRPr="000C7549">
        <w:rPr>
          <w:rFonts w:ascii="Arial" w:hAnsi="Arial" w:cs="Arial"/>
        </w:rPr>
        <w:t>average visitation rat</w:t>
      </w:r>
      <w:r>
        <w:rPr>
          <w:rFonts w:ascii="Arial" w:hAnsi="Arial" w:cs="Arial"/>
        </w:rPr>
        <w:t>e</w:t>
      </w:r>
      <w:r w:rsidRPr="000C7549">
        <w:rPr>
          <w:rFonts w:ascii="Arial" w:hAnsi="Arial" w:cs="Arial"/>
        </w:rPr>
        <w:t xml:space="preserve"> for both study years</w:t>
      </w:r>
      <w:r>
        <w:rPr>
          <w:rFonts w:ascii="Arial" w:hAnsi="Arial" w:cs="Arial"/>
        </w:rPr>
        <w:t xml:space="preserve"> (Fig. 8)</w:t>
      </w:r>
      <w:r w:rsidRPr="000C7549">
        <w:rPr>
          <w:rFonts w:ascii="Arial" w:hAnsi="Arial" w:cs="Arial"/>
        </w:rPr>
        <w:t>.</w:t>
      </w:r>
    </w:p>
    <w:p w14:paraId="63D66CA0" w14:textId="77777777" w:rsidR="00422FE6" w:rsidRPr="000C7549" w:rsidRDefault="00422FE6" w:rsidP="00422FE6">
      <w:pPr>
        <w:pStyle w:val="Heading2"/>
        <w:spacing w:line="480" w:lineRule="auto"/>
      </w:pPr>
      <w:bookmarkStart w:id="17" w:name="_Toc76799702"/>
      <w:r w:rsidRPr="000C7549">
        <w:t>Discussion</w:t>
      </w:r>
      <w:bookmarkEnd w:id="17"/>
    </w:p>
    <w:p w14:paraId="40978C89" w14:textId="5F2EAFBA" w:rsidR="005B49FF" w:rsidRDefault="006F339B" w:rsidP="0093661A">
      <w:pPr>
        <w:spacing w:line="480" w:lineRule="auto"/>
        <w:ind w:firstLine="720"/>
        <w:rPr>
          <w:rFonts w:ascii="Arial" w:hAnsi="Arial" w:cs="Arial"/>
        </w:rPr>
      </w:pPr>
      <w:r>
        <w:rPr>
          <w:rFonts w:ascii="Arial" w:hAnsi="Arial" w:cs="Arial"/>
        </w:rPr>
        <w:t>Overall, we found our forage preference hypothesis was not supported</w:t>
      </w:r>
      <w:r w:rsidR="003D3F01">
        <w:rPr>
          <w:rFonts w:ascii="Arial" w:hAnsi="Arial" w:cs="Arial"/>
        </w:rPr>
        <w:t xml:space="preserve">. </w:t>
      </w:r>
      <w:r w:rsidR="005B49FF">
        <w:rPr>
          <w:rFonts w:ascii="Arial" w:hAnsi="Arial" w:cs="Arial"/>
        </w:rPr>
        <w:t xml:space="preserve">In agreement with previous research studies, </w:t>
      </w:r>
      <w:r w:rsidR="005B49FF">
        <w:rPr>
          <w:rFonts w:ascii="Arial" w:hAnsi="Arial" w:cs="Arial"/>
          <w:color w:val="000000" w:themeColor="text1"/>
        </w:rPr>
        <w:t>w</w:t>
      </w:r>
      <w:r w:rsidR="005B49FF" w:rsidRPr="00F24224">
        <w:rPr>
          <w:rFonts w:ascii="Arial" w:hAnsi="Arial" w:cs="Arial"/>
          <w:color w:val="000000" w:themeColor="text1"/>
        </w:rPr>
        <w:t xml:space="preserve">e found floral display to be a significant predictor for abundance </w:t>
      </w:r>
      <w:r w:rsidR="005B49FF" w:rsidRPr="00F24224">
        <w:rPr>
          <w:rFonts w:ascii="Arial" w:hAnsi="Arial" w:cs="Arial"/>
          <w:color w:val="000000" w:themeColor="text1"/>
        </w:rPr>
        <w:fldChar w:fldCharType="begin"/>
      </w:r>
      <w:r w:rsidR="005B49FF" w:rsidRPr="00F24224">
        <w:rPr>
          <w:rFonts w:ascii="Arial" w:hAnsi="Arial" w:cs="Arial"/>
          <w:color w:val="000000" w:themeColor="text1"/>
        </w:rPr>
        <w:instrText xml:space="preserve"> ADDIN ZOTERO_ITEM CSL_CITATION {"citationID":"Ylb11BiY","properties":{"formattedCitation":"(Russo et al., 2019, 2020; Williams et al., 2015)","plainCitation":"(Russo et al., 2019, 2020; Williams et al., 2015)","noteIndex":0},"citationItems":[{"id":966,"uris":["http://zotero.org/users/6034784/items/5LBSIKFV"],"uri":["http://zotero.org/users/6034784/items/5LBSIKFV"],"itemData":{"id":966,"type":"article-journal","abstract":"Non-native plant species reliant on insect pollination must attract novel pollinators in their introduced habitat to reproduce. Indeed, pollination services provided by resident floral visitors may contribute to the spread of non-native species, which may then affect the pollination services received by native plants. To determine the mechanisms by which an invasive thistle attracts pollinators in its introduced range, and whether its presence changes the pollinator visitation to native plant species, we compared bee visitation to native plants in the presence or absence of the invader. We experimentally tested the effect of a thistle invasion into a native plant community. We found that the non-native thistle was the most attractive of the plant species to visiting bee species. However, there was no effect of experimental treatment (presence of thistle) on bee abundance or visitation rate (bees per unit floral area per sample) to native plant species. Across 68 bee and 6 plant species, we found a significant correlation between pollen protein content and bee abundance and visitation rate. Thistle pollen also had a similar protein:lipid ratio to legumes, which correlated with bumble bee visitation. The high protein content of the thistle pollen, as compared to four native asters, may allow it to attract pollinators in novel ecosystems, and potentially contribute to its success as an invader. At the same time, this high protein pollen may act as a novel resource to pollinators in the thistle’s invaded range.","container-title":"Oecologia","DOI":"10.1007/s00442-019-04462-5","ISSN":"1432-1939","issue":"4","journalAbbreviation":"Oecologia","language":"en","page":"901-912","source":"Springer Link","title":"Bee community preference for an invasive thistle associated with higher pollen protein content","volume":"190","author":[{"family":"Russo","given":"Laura"},{"family":"Vaudo","given":"Anthony D."},{"family":"Fisher","given":"C. Jacob"},{"family":"Grozinger","given":"Christina M."},{"family":"Shea","given":"Katriona"}],"issued":{"date-parts":[["2019",8,1]]}}},{"id":361,"uris":["http://zotero.org/users/6034784/items/UPNI35H8"],"uri":["http://zotero.org/users/6034784/items/UPNI35H8"],"itemData":{"id":361,"type":"article-journal","abstract":"The increasing extent and intensity of agricultural land use has led to an increase in the volume of agrochemicals applied to the landscape, including those used to improve the nutritional quality of soils (fertilizers) as well as those used to control undesirable species in the agroecosystem (pesticides). Chemicals can disperse in the air and surface and ground water, leading to exposure of non-target organisms. Ruderal, disturbance-tolerant plants on which many flower-visiting insects rely are commonly exposed to these chemicals in agroecosystems. Our research questions were: 1) how does non-target exposure to agrochemicals affect plant growth? 2) what are the indirect effects of non-target exposure to agrochemicals on flower-visitation by insects? We designed a two year field experiment imitating field-realistic fertilizer run-off and non-target herbicide exposure scenarios to explore the impact of low concentrations of fertilizer and herbicide alone, and in combination, on communities of seven plant species, including six native perennials and one non-native annual commonly found in agricultural systems in Ireland (Cirsium vulgare, Epilobium hirsutum, Plantago lanceolata, Origanum vulgare, Filipendula ulmaria, Hypochaeris radicata, Phacelia tanacetifolia). We created field-realistic exposure scenarios by applying concentrations of mineral fertilizer similar to those detected in ground water, and glyphosate levels equivalent to 7.6 % of a standard field application, to the foliage and soil of the plots. We found low concentrations of fertilizer and herbicide affected plant growth: fertilised plants were taller when flowering, while plants exposed to herbicide flowered at shorter heights and produced shorter leaves. The size of the floral display had the largest effect on insect visitation, with larger floral displays significantly more likely to receive a visitor in a given sampling event. The size of the floral display also interacted significantly with the fertilizer treatment for both the abundance and species richness of floral visitors. Overall, our results suggest that there are direct and indirect effects of agrochemical exposure on plants in field margins, and that these effects change the interactions between ruderal plants and flower-visiting insects.","container-title":"Agriculture, Ecosystems &amp; Environment","DOI":"10.1016/j.agee.2020.107141","ISSN":"0167-8809","journalAbbreviation":"Agriculture, Ecosystems &amp; Environment","language":"en","page":"107141","source":"ScienceDirect","title":"Low concentrations of fertilizer and herbicide alter plant growth and interactions with flower-visiting insects","volume":"304","author":[{"family":"Russo","given":"Laura"},{"family":"Buckley","given":"Yvonne M."},{"family":"Hamilton","given":"Hannah"},{"family":"Kavanagh","given":"Mark"},{"family":"Stout","given":"Jane C."}],"issued":{"date-parts":[["2020",12,1]]}}},{"id":954,"uris":["http://zotero.org/users/6034784/items/EA46AP47"],"uri":["http://zotero.org/users/6034784/items/EA46AP47"],"itemData":{"id":954,"type":"article-journal","abstract":"Global trends in pollinator-dependent crops have raised awareness of the need to support managed and wild bee populations to ensure sustainable crop production. Provision of sufﬁcient forage resources is a key element for promoting bee populations within human impacted landscapes, particularly those in agricultural lands where demand for pollination service is high and land use and management practices have reduced available ﬂowering resources. Recent government incentives in North America and Europe support the planting of wildﬂowers to beneﬁt pollinators; surprisingly, in North America there has been almost no rigorous testing of the performance of wildﬂower mixes, or their ability to support wild bee abundance and diversity. We tested different wildﬂower mixes in a spatially replicated, multiyear study in three regions of North America where production of pollinatordependent crops is high: Florida, Michigan, and California. In each region, we quantiﬁed ﬂowering among wildﬂower mixes composed of annual and perennial species, and with high and low relative diversity. We measured the abundance and species richness of wild bees, honey bees, and syrphid ﬂies at each mix over two seasons. In each region, some but not all wildﬂower mixes provided signiﬁcantly greater ﬂoral display area than unmanaged weedy control plots. Mixes also attracted greater abundance and richness of wild bees, although the identity of best mixes varied among regions. By partitioning ﬂoral display size from mix identity we show the importance of display size for attracting abundant and diverse wild bees. Season-long monitoring also revealed that designing mixes to provide continuous bloom throughout the growing season is critical to supporting the greatest pollinator species richness. Contrary to expectation, perennials bloomed in their ﬁrst season, and complementarity in attraction of pollinators among annuals and perennials suggests that inclusion of functionally diverse species may provide the greatest beneﬁt. Wildﬂower mixes may be particularly important for providing resources for some taxa, such as bumble bees, which are known to be in decline in several regions of North America. No mix consistently attained the full diversity that was planted. Further study is needed on how to achieve the desired ﬂoral display and diversity from seed mixes.","container-title":"Ecological Applications","DOI":"10.1890/14-1748.1","ISSN":"1051-0761","issue":"8","journalAbbreviation":"Ecological Applications","language":"en","page":"2119-2131","source":"DOI.org (Crossref)","title":"Native wildflower plantings support wild bee abundance and diversity in agricultural landscapes across the United States","volume":"25","author":[{"family":"Williams","given":"Neal M."},{"family":"Ward","given":"Kimiora L."},{"family":"Pope","given":"Nathaniel"},{"family":"Isaacs","given":"Rufus"},{"family":"Wilson","given":"Julianna"},{"family":"May","given":"Emily A."},{"family":"Ellis","given":"Jamie"},{"family":"Daniels","given":"Jaret"},{"family":"Pence","given":"Akers"},{"family":"Ullmann","given":"Katharina"},{"family":"Peters","given":"Jeff"}],"issued":{"date-parts":[["2015",12]]}}}],"schema":"https://github.com/citation-style-language/schema/raw/master/csl-citation.json"} </w:instrText>
      </w:r>
      <w:r w:rsidR="005B49FF" w:rsidRPr="00F24224">
        <w:rPr>
          <w:rFonts w:ascii="Arial" w:hAnsi="Arial" w:cs="Arial"/>
          <w:color w:val="000000" w:themeColor="text1"/>
        </w:rPr>
        <w:fldChar w:fldCharType="separate"/>
      </w:r>
      <w:r w:rsidR="005B49FF" w:rsidRPr="00F24224">
        <w:rPr>
          <w:rFonts w:ascii="Arial" w:hAnsi="Arial" w:cs="Arial"/>
          <w:noProof/>
          <w:color w:val="000000" w:themeColor="text1"/>
        </w:rPr>
        <w:t>(Russo et al., 2019, 2020; Williams et al., 2015)</w:t>
      </w:r>
      <w:r w:rsidR="005B49FF" w:rsidRPr="00F24224">
        <w:rPr>
          <w:rFonts w:ascii="Arial" w:hAnsi="Arial" w:cs="Arial"/>
          <w:color w:val="000000" w:themeColor="text1"/>
        </w:rPr>
        <w:fldChar w:fldCharType="end"/>
      </w:r>
      <w:r w:rsidR="005B49FF" w:rsidRPr="00F24224">
        <w:rPr>
          <w:rFonts w:ascii="Arial" w:hAnsi="Arial" w:cs="Arial"/>
          <w:color w:val="000000" w:themeColor="text1"/>
        </w:rPr>
        <w:t>.</w:t>
      </w:r>
      <w:r w:rsidR="005B49FF">
        <w:rPr>
          <w:rFonts w:ascii="Arial" w:hAnsi="Arial" w:cs="Arial"/>
          <w:color w:val="000000" w:themeColor="text1"/>
        </w:rPr>
        <w:t xml:space="preserve"> However, unlike similar studies </w:t>
      </w:r>
      <w:r w:rsidR="005B49FF" w:rsidRPr="00F24224">
        <w:rPr>
          <w:rFonts w:ascii="Arial" w:hAnsi="Arial" w:cs="Arial"/>
          <w:color w:val="000000" w:themeColor="text1"/>
        </w:rPr>
        <w:fldChar w:fldCharType="begin"/>
      </w:r>
      <w:r w:rsidR="005B49FF">
        <w:rPr>
          <w:rFonts w:ascii="Arial" w:hAnsi="Arial" w:cs="Arial"/>
          <w:color w:val="000000" w:themeColor="text1"/>
        </w:rPr>
        <w:instrText xml:space="preserve"> ADDIN ZOTERO_ITEM CSL_CITATION {"citationID":"5NtsZv7x","properties":{"formattedCitation":"(Tuell et al., 2008; Williams et al., 2015)","plainCitation":"(Tuell et al., 2008; Williams et al., 2015)","noteIndex":0},"citationItems":[{"id":380,"uris":["http://zotero.org/users/6034784/items/UHEGJTVH"],"uri":["http://zotero.org/users/6034784/items/UHEGJTVH"],"itemData":{"id":380,"type":"article-journal","abstract":"Abstract. Addition of floral resources to agricultural field margins has been shown to increase abundance of beneficial insects in crop fields, but most plants","container-title":"Environmental Entomology","DOI":"10.1603/0046-225X(2008)37[707:VBWAMB]2.0.CO;2","ISSN":"0046-225X","issue":"3","journalAbbreviation":"Environ Entomol","language":"en","note":"publisher: Oxford Academic","page":"707-718","source":"academic.oup.com","title":"Visitation by Wild and Managed Bees (Hymenoptera: Apoidea) to Eastern U.S. Native Plants for Use in Conservation Programs","title-short":"Visitation by Wild and Managed Bees (Hymenoptera","volume":"37","author":[{"family":"Tuell","given":"Julianna K."},{"family":"Fiedler","given":"Anna K."},{"family":"Landis","given":"Douglas"},{"family":"Isaacs","given":"Rufus"}],"issued":{"date-parts":[["2008",6,1]]}}},{"id":954,"uris":["http://zotero.org/users/6034784/items/EA46AP47"],"uri":["http://zotero.org/users/6034784/items/EA46AP47"],"itemData":{"id":954,"type":"article-journal","abstract":"Global trends in pollinator-dependent crops have raised awareness of the need to support managed and wild bee populations to ensure sustainable crop production. Provision of sufﬁcient forage resources is a key element for promoting bee populations within human impacted landscapes, particularly those in agricultural lands where demand for pollination service is high and land use and management practices have reduced available ﬂowering resources. Recent government incentives in North America and Europe support the planting of wildﬂowers to beneﬁt pollinators; surprisingly, in North America there has been almost no rigorous testing of the performance of wildﬂower mixes, or their ability to support wild bee abundance and diversity. We tested different wildﬂower mixes in a spatially replicated, multiyear study in three regions of North America where production of pollinatordependent crops is high: Florida, Michigan, and California. In each region, we quantiﬁed ﬂowering among wildﬂower mixes composed of annual and perennial species, and with high and low relative diversity. We measured the abundance and species richness of wild bees, honey bees, and syrphid ﬂies at each mix over two seasons. In each region, some but not all wildﬂower mixes provided signiﬁcantly greater ﬂoral display area than unmanaged weedy control plots. Mixes also attracted greater abundance and richness of wild bees, although the identity of best mixes varied among regions. By partitioning ﬂoral display size from mix identity we show the importance of display size for attracting abundant and diverse wild bees. Season-long monitoring also revealed that designing mixes to provide continuous bloom throughout the growing season is critical to supporting the greatest pollinator species richness. Contrary to expectation, perennials bloomed in their ﬁrst season, and complementarity in attraction of pollinators among annuals and perennials suggests that inclusion of functionally diverse species may provide the greatest beneﬁt. Wildﬂower mixes may be particularly important for providing resources for some taxa, such as bumble bees, which are known to be in decline in several regions of North America. No mix consistently attained the full diversity that was planted. Further study is needed on how to achieve the desired ﬂoral display and diversity from seed mixes.","container-title":"Ecological Applications","DOI":"10.1890/14-1748.1","ISSN":"1051-0761","issue":"8","journalAbbreviation":"Ecological Applications","language":"en","page":"2119-2131","source":"DOI.org (Crossref)","title":"Native wildflower plantings support wild bee abundance and diversity in agricultural landscapes across the United States","volume":"25","author":[{"family":"Williams","given":"Neal M."},{"family":"Ward","given":"Kimiora L."},{"family":"Pope","given":"Nathaniel"},{"family":"Isaacs","given":"Rufus"},{"family":"Wilson","given":"Julianna"},{"family":"May","given":"Emily A."},{"family":"Ellis","given":"Jamie"},{"family":"Daniels","given":"Jaret"},{"family":"Pence","given":"Akers"},{"family":"Ullmann","given":"Katharina"},{"family":"Peters","given":"Jeff"}],"issued":{"date-parts":[["2015",12]]}}}],"schema":"https://github.com/citation-style-language/schema/raw/master/csl-citation.json"} </w:instrText>
      </w:r>
      <w:r w:rsidR="005B49FF" w:rsidRPr="00F24224">
        <w:rPr>
          <w:rFonts w:ascii="Arial" w:hAnsi="Arial" w:cs="Arial"/>
          <w:color w:val="000000" w:themeColor="text1"/>
        </w:rPr>
        <w:fldChar w:fldCharType="separate"/>
      </w:r>
      <w:r w:rsidR="005B49FF">
        <w:rPr>
          <w:rFonts w:ascii="Arial" w:hAnsi="Arial" w:cs="Arial"/>
          <w:noProof/>
          <w:color w:val="000000" w:themeColor="text1"/>
        </w:rPr>
        <w:t>(Tuell et al., 2008; Williams et al., 2015)</w:t>
      </w:r>
      <w:r w:rsidR="005B49FF" w:rsidRPr="00F24224">
        <w:rPr>
          <w:rFonts w:ascii="Arial" w:hAnsi="Arial" w:cs="Arial"/>
          <w:color w:val="000000" w:themeColor="text1"/>
        </w:rPr>
        <w:fldChar w:fldCharType="end"/>
      </w:r>
      <w:r w:rsidR="005B49FF">
        <w:rPr>
          <w:rFonts w:ascii="Arial" w:hAnsi="Arial" w:cs="Arial"/>
          <w:color w:val="000000" w:themeColor="text1"/>
        </w:rPr>
        <w:t xml:space="preserve">, we did not find our Asteraceae plot to be the </w:t>
      </w:r>
      <w:r w:rsidR="005B49FF" w:rsidRPr="00C15E47">
        <w:rPr>
          <w:rFonts w:ascii="Arial" w:hAnsi="Arial" w:cs="Arial"/>
          <w:color w:val="000000" w:themeColor="text1"/>
        </w:rPr>
        <w:t xml:space="preserve">most attractive, nor did plants in the Asteraceae family have the highest visitation rates. </w:t>
      </w:r>
      <w:r w:rsidR="005B49FF">
        <w:rPr>
          <w:rFonts w:ascii="Arial" w:hAnsi="Arial" w:cs="Arial"/>
          <w:color w:val="000000" w:themeColor="text1"/>
        </w:rPr>
        <w:t>Instead,</w:t>
      </w:r>
      <w:r w:rsidR="005B49FF">
        <w:rPr>
          <w:rFonts w:ascii="Arial" w:hAnsi="Arial" w:cs="Arial"/>
        </w:rPr>
        <w:t xml:space="preserve"> t</w:t>
      </w:r>
      <w:r w:rsidR="00207B01" w:rsidRPr="000C7549">
        <w:rPr>
          <w:rFonts w:ascii="Arial" w:hAnsi="Arial" w:cs="Arial"/>
        </w:rPr>
        <w:t xml:space="preserve">he </w:t>
      </w:r>
      <w:r w:rsidR="00E325F5" w:rsidRPr="000C7549">
        <w:rPr>
          <w:rFonts w:ascii="Arial" w:hAnsi="Arial" w:cs="Arial"/>
        </w:rPr>
        <w:t>M</w:t>
      </w:r>
      <w:r w:rsidR="00207B01" w:rsidRPr="000C7549">
        <w:rPr>
          <w:rFonts w:ascii="Arial" w:hAnsi="Arial" w:cs="Arial"/>
        </w:rPr>
        <w:t>ixed family treatment had the highest average visitation rate for both study years</w:t>
      </w:r>
      <w:r w:rsidR="005B49FF">
        <w:rPr>
          <w:rFonts w:ascii="Arial" w:hAnsi="Arial" w:cs="Arial"/>
        </w:rPr>
        <w:t>, while the Asteraceae had the lowest average visitation rate</w:t>
      </w:r>
      <w:r w:rsidR="00207B01" w:rsidRPr="000C7549">
        <w:rPr>
          <w:rFonts w:ascii="Arial" w:hAnsi="Arial" w:cs="Arial"/>
        </w:rPr>
        <w:t xml:space="preserve">. </w:t>
      </w:r>
      <w:r w:rsidR="005B49FF">
        <w:rPr>
          <w:rFonts w:ascii="Arial" w:hAnsi="Arial" w:cs="Arial"/>
        </w:rPr>
        <w:t>I</w:t>
      </w:r>
      <w:r w:rsidR="005B49FF" w:rsidRPr="000C7549">
        <w:rPr>
          <w:rFonts w:ascii="Arial" w:hAnsi="Arial" w:cs="Arial"/>
        </w:rPr>
        <w:t xml:space="preserve">t is interesting to note that plants in the Lamiaceae family had higher visitation rates </w:t>
      </w:r>
      <w:r w:rsidR="005B49FF">
        <w:rPr>
          <w:rFonts w:ascii="Arial" w:hAnsi="Arial" w:cs="Arial"/>
        </w:rPr>
        <w:t>even though</w:t>
      </w:r>
      <w:r w:rsidR="005B49FF" w:rsidRPr="000C7549">
        <w:rPr>
          <w:rFonts w:ascii="Arial" w:hAnsi="Arial" w:cs="Arial"/>
        </w:rPr>
        <w:t xml:space="preserve"> the Asteraceae family had larger floral displays. </w:t>
      </w:r>
      <w:r w:rsidR="00207B01" w:rsidRPr="000C7549">
        <w:rPr>
          <w:rFonts w:ascii="Arial" w:hAnsi="Arial" w:cs="Arial"/>
        </w:rPr>
        <w:t>As th</w:t>
      </w:r>
      <w:r w:rsidR="005B49FF">
        <w:rPr>
          <w:rFonts w:ascii="Arial" w:hAnsi="Arial" w:cs="Arial"/>
        </w:rPr>
        <w:t>e Mixed</w:t>
      </w:r>
      <w:r w:rsidR="00207B01" w:rsidRPr="000C7549">
        <w:rPr>
          <w:rFonts w:ascii="Arial" w:hAnsi="Arial" w:cs="Arial"/>
        </w:rPr>
        <w:t xml:space="preserve"> treatment included all three plant families, </w:t>
      </w:r>
      <w:r w:rsidR="005B49FF">
        <w:rPr>
          <w:rFonts w:ascii="Arial" w:hAnsi="Arial" w:cs="Arial"/>
        </w:rPr>
        <w:t xml:space="preserve">this suggests that the presence of the </w:t>
      </w:r>
      <w:r w:rsidR="005B49FF">
        <w:rPr>
          <w:rFonts w:ascii="Arial" w:hAnsi="Arial" w:cs="Arial"/>
        </w:rPr>
        <w:lastRenderedPageBreak/>
        <w:t xml:space="preserve">other two families either led to increases in the visitation rate to the Asteraceae in the Mixed plots, or the Lamiaceae and Fabaceae were more attractive in the Mixed plots. </w:t>
      </w:r>
    </w:p>
    <w:p w14:paraId="2E222C72" w14:textId="470772B4" w:rsidR="00207B01" w:rsidRPr="000C7549" w:rsidRDefault="00200333" w:rsidP="0093661A">
      <w:pPr>
        <w:spacing w:line="480" w:lineRule="auto"/>
        <w:ind w:firstLine="720"/>
        <w:rPr>
          <w:rFonts w:ascii="Arial" w:hAnsi="Arial" w:cs="Arial"/>
        </w:rPr>
      </w:pPr>
      <w:r>
        <w:rPr>
          <w:rFonts w:ascii="Arial" w:hAnsi="Arial" w:cs="Arial"/>
        </w:rPr>
        <w:t xml:space="preserve">In the second year, we found many bee species that were not collected in the first year. Only two of them were collected in the new block, while the rest were new to </w:t>
      </w:r>
      <w:proofErr w:type="gramStart"/>
      <w:r>
        <w:rPr>
          <w:rFonts w:ascii="Arial" w:hAnsi="Arial" w:cs="Arial"/>
        </w:rPr>
        <w:t>sties</w:t>
      </w:r>
      <w:proofErr w:type="gramEnd"/>
      <w:r>
        <w:rPr>
          <w:rFonts w:ascii="Arial" w:hAnsi="Arial" w:cs="Arial"/>
        </w:rPr>
        <w:t xml:space="preserve"> we had sampled in the first year.</w:t>
      </w:r>
      <w:r w:rsidR="00207B01" w:rsidRPr="00C15E47">
        <w:rPr>
          <w:rFonts w:ascii="Arial" w:hAnsi="Arial" w:cs="Arial"/>
          <w:color w:val="000000" w:themeColor="text1"/>
        </w:rPr>
        <w:t xml:space="preserve"> </w:t>
      </w:r>
      <w:r>
        <w:rPr>
          <w:rFonts w:ascii="Arial" w:hAnsi="Arial" w:cs="Arial"/>
          <w:color w:val="000000" w:themeColor="text1"/>
        </w:rPr>
        <w:t xml:space="preserve">We may have found so many new bee species in the second year of the study </w:t>
      </w:r>
      <w:r w:rsidR="00207B01" w:rsidRPr="00C15E47">
        <w:rPr>
          <w:rFonts w:ascii="Arial" w:hAnsi="Arial" w:cs="Arial"/>
          <w:color w:val="000000" w:themeColor="text1"/>
        </w:rPr>
        <w:t xml:space="preserve">due to various factors; for example, we had a lower sampling </w:t>
      </w:r>
      <w:r w:rsidR="00207B01" w:rsidRPr="000C7549">
        <w:rPr>
          <w:rFonts w:ascii="Arial" w:hAnsi="Arial" w:cs="Arial"/>
          <w:color w:val="000000" w:themeColor="text1"/>
        </w:rPr>
        <w:t xml:space="preserve">effort in the first year of the study and fewer plants bloomed in their first year. It is also possible that plants were more attractive in their second year, attracting more pollinator species, rather than </w:t>
      </w:r>
      <w:r>
        <w:rPr>
          <w:rFonts w:ascii="Arial" w:hAnsi="Arial" w:cs="Arial"/>
          <w:color w:val="000000" w:themeColor="text1"/>
        </w:rPr>
        <w:t>a</w:t>
      </w:r>
      <w:r w:rsidRPr="000C7549">
        <w:rPr>
          <w:rFonts w:ascii="Arial" w:hAnsi="Arial" w:cs="Arial"/>
          <w:color w:val="000000" w:themeColor="text1"/>
        </w:rPr>
        <w:t xml:space="preserve"> </w:t>
      </w:r>
      <w:r w:rsidR="00207B01" w:rsidRPr="000C7549">
        <w:rPr>
          <w:rFonts w:ascii="Arial" w:hAnsi="Arial" w:cs="Arial"/>
          <w:color w:val="000000" w:themeColor="text1"/>
        </w:rPr>
        <w:t xml:space="preserve">larger abundance </w:t>
      </w:r>
      <w:r>
        <w:rPr>
          <w:rFonts w:ascii="Arial" w:hAnsi="Arial" w:cs="Arial"/>
          <w:color w:val="000000" w:themeColor="text1"/>
        </w:rPr>
        <w:t xml:space="preserve">as </w:t>
      </w:r>
      <w:r w:rsidR="00207B01" w:rsidRPr="000C7549">
        <w:rPr>
          <w:rFonts w:ascii="Arial" w:hAnsi="Arial" w:cs="Arial"/>
          <w:color w:val="000000" w:themeColor="text1"/>
        </w:rPr>
        <w:t xml:space="preserve">we expected. </w:t>
      </w:r>
    </w:p>
    <w:p w14:paraId="700FDCF0" w14:textId="77777777" w:rsidR="00207B01" w:rsidRPr="000C7549" w:rsidRDefault="00207B01" w:rsidP="00207B01">
      <w:pPr>
        <w:pStyle w:val="Heading2"/>
        <w:spacing w:line="480" w:lineRule="auto"/>
      </w:pPr>
      <w:bookmarkStart w:id="18" w:name="_Toc76799703"/>
      <w:r w:rsidRPr="000C7549">
        <w:t>Conclusion</w:t>
      </w:r>
      <w:bookmarkEnd w:id="18"/>
    </w:p>
    <w:p w14:paraId="2B9BE6FD" w14:textId="4451997A" w:rsidR="00207B01" w:rsidRPr="000C7549" w:rsidRDefault="00207B01" w:rsidP="0093661A">
      <w:pPr>
        <w:spacing w:line="480" w:lineRule="auto"/>
        <w:ind w:firstLine="720"/>
        <w:rPr>
          <w:rFonts w:ascii="Arial" w:hAnsi="Arial" w:cs="Arial"/>
        </w:rPr>
      </w:pPr>
      <w:r w:rsidRPr="000C7549">
        <w:rPr>
          <w:rFonts w:ascii="Arial" w:hAnsi="Arial" w:cs="Arial"/>
        </w:rPr>
        <w:t xml:space="preserve">Our data indicate that native plants provide vital nectar and pollen resources to a wide array of flower visiting insects. Most of </w:t>
      </w:r>
      <w:r w:rsidR="00200333">
        <w:rPr>
          <w:rFonts w:ascii="Arial" w:hAnsi="Arial" w:cs="Arial"/>
        </w:rPr>
        <w:t>the</w:t>
      </w:r>
      <w:r w:rsidR="00200333" w:rsidRPr="000C7549">
        <w:rPr>
          <w:rFonts w:ascii="Arial" w:hAnsi="Arial" w:cs="Arial"/>
        </w:rPr>
        <w:t xml:space="preserve"> </w:t>
      </w:r>
      <w:r w:rsidRPr="000C7549">
        <w:rPr>
          <w:rFonts w:ascii="Arial" w:hAnsi="Arial" w:cs="Arial"/>
        </w:rPr>
        <w:t xml:space="preserve">specimens collected were wild bees, thus furthering the much-needed empirical support that native plants can support wild bees, specifically in </w:t>
      </w:r>
      <w:r w:rsidR="00B62A66" w:rsidRPr="000C7549">
        <w:rPr>
          <w:rFonts w:ascii="Arial" w:hAnsi="Arial" w:cs="Arial"/>
        </w:rPr>
        <w:t>E</w:t>
      </w:r>
      <w:r w:rsidRPr="000C7549">
        <w:rPr>
          <w:rFonts w:ascii="Arial" w:hAnsi="Arial" w:cs="Arial"/>
        </w:rPr>
        <w:t xml:space="preserve">ast Tennessee. Our results provide a first glance at both the pollinator abundance and diversity in East Tennessee, and allow us to compare the forage preferences of pollinators among native plants. The continuous bloom offered by our selected plants can provide forage resources to support increased </w:t>
      </w:r>
      <w:r w:rsidR="00200333" w:rsidRPr="000C7549">
        <w:rPr>
          <w:rFonts w:ascii="Arial" w:hAnsi="Arial" w:cs="Arial"/>
        </w:rPr>
        <w:t>flower</w:t>
      </w:r>
      <w:r w:rsidR="00200333">
        <w:rPr>
          <w:rFonts w:ascii="Arial" w:hAnsi="Arial" w:cs="Arial"/>
        </w:rPr>
        <w:t>-</w:t>
      </w:r>
      <w:r w:rsidRPr="000C7549">
        <w:rPr>
          <w:rFonts w:ascii="Arial" w:hAnsi="Arial" w:cs="Arial"/>
        </w:rPr>
        <w:t xml:space="preserve">visiting insect species richness </w:t>
      </w:r>
      <w:r w:rsidRPr="000C7549">
        <w:rPr>
          <w:rFonts w:ascii="Arial" w:hAnsi="Arial" w:cs="Arial"/>
        </w:rPr>
        <w:fldChar w:fldCharType="begin"/>
      </w:r>
      <w:r w:rsidRPr="000C7549">
        <w:rPr>
          <w:rFonts w:ascii="Arial" w:hAnsi="Arial" w:cs="Arial"/>
        </w:rPr>
        <w:instrText xml:space="preserve"> ADDIN ZOTERO_ITEM CSL_CITATION {"citationID":"5YdNqpOD","properties":{"formattedCitation":"(Williams et al., 2015)","plainCitation":"(Williams et al., 2015)","noteIndex":0},"citationItems":[{"id":954,"uris":["http://zotero.org/users/6034784/items/EA46AP47"],"uri":["http://zotero.org/users/6034784/items/EA46AP47"],"itemData":{"id":954,"type":"article-journal","abstract":"Global trends in pollinator-dependent crops have raised awareness of the need to support managed and wild bee populations to ensure sustainable crop production. Provision of sufﬁcient forage resources is a key element for promoting bee populations within human impacted landscapes, particularly those in agricultural lands where demand for pollination service is high and land use and management practices have reduced available ﬂowering resources. Recent government incentives in North America and Europe support the planting of wildﬂowers to beneﬁt pollinators; surprisingly, in North America there has been almost no rigorous testing of the performance of wildﬂower mixes, or their ability to support wild bee abundance and diversity. We tested different wildﬂower mixes in a spatially replicated, multiyear study in three regions of North America where production of pollinatordependent crops is high: Florida, Michigan, and California. In each region, we quantiﬁed ﬂowering among wildﬂower mixes composed of annual and perennial species, and with high and low relative diversity. We measured the abundance and species richness of wild bees, honey bees, and syrphid ﬂies at each mix over two seasons. In each region, some but not all wildﬂower mixes provided signiﬁcantly greater ﬂoral display area than unmanaged weedy control plots. Mixes also attracted greater abundance and richness of wild bees, although the identity of best mixes varied among regions. By partitioning ﬂoral display size from mix identity we show the importance of display size for attracting abundant and diverse wild bees. Season-long monitoring also revealed that designing mixes to provide continuous bloom throughout the growing season is critical to supporting the greatest pollinator species richness. Contrary to expectation, perennials bloomed in their ﬁrst season, and complementarity in attraction of pollinators among annuals and perennials suggests that inclusion of functionally diverse species may provide the greatest beneﬁt. Wildﬂower mixes may be particularly important for providing resources for some taxa, such as bumble bees, which are known to be in decline in several regions of North America. No mix consistently attained the full diversity that was planted. Further study is needed on how to achieve the desired ﬂoral display and diversity from seed mixes.","container-title":"Ecological Applications","DOI":"10.1890/14-1748.1","ISSN":"1051-0761","issue":"8","journalAbbreviation":"Ecological Applications","language":"en","page":"2119-2131","source":"DOI.org (Crossref)","title":"Native wildflower plantings support wild bee abundance and diversity in agricultural landscapes across the United States","volume":"25","author":[{"family":"Williams","given":"Neal M."},{"family":"Ward","given":"Kimiora L."},{"family":"Pope","given":"Nathaniel"},{"family":"Isaacs","given":"Rufus"},{"family":"Wilson","given":"Julianna"},{"family":"May","given":"Emily A."},{"family":"Ellis","given":"Jamie"},{"family":"Daniels","given":"Jaret"},{"family":"Pence","given":"Akers"},{"family":"Ullmann","given":"Katharina"},{"family":"Peters","given":"Jeff"}],"issued":{"date-parts":[["2015",12]]}}}],"schema":"https://github.com/citation-style-language/schema/raw/master/csl-citation.json"} </w:instrText>
      </w:r>
      <w:r w:rsidRPr="000C7549">
        <w:rPr>
          <w:rFonts w:ascii="Arial" w:hAnsi="Arial" w:cs="Arial"/>
        </w:rPr>
        <w:fldChar w:fldCharType="separate"/>
      </w:r>
      <w:r w:rsidRPr="000C7549">
        <w:rPr>
          <w:rFonts w:ascii="Arial" w:hAnsi="Arial" w:cs="Arial"/>
          <w:noProof/>
        </w:rPr>
        <w:t>(Williams et al., 2015)</w:t>
      </w:r>
      <w:r w:rsidRPr="000C7549">
        <w:rPr>
          <w:rFonts w:ascii="Arial" w:hAnsi="Arial" w:cs="Arial"/>
        </w:rPr>
        <w:fldChar w:fldCharType="end"/>
      </w:r>
      <w:r w:rsidRPr="000C7549">
        <w:rPr>
          <w:rFonts w:ascii="Arial" w:hAnsi="Arial" w:cs="Arial"/>
        </w:rPr>
        <w:t xml:space="preserve">, thus highlighting the importance of incorporating multiple plant species for pollinator conservation efforts across land use types. </w:t>
      </w:r>
      <w:r w:rsidR="00200333">
        <w:rPr>
          <w:rFonts w:ascii="Arial" w:hAnsi="Arial" w:cs="Arial"/>
        </w:rPr>
        <w:t>W</w:t>
      </w:r>
      <w:r w:rsidRPr="000C7549">
        <w:rPr>
          <w:rFonts w:ascii="Arial" w:hAnsi="Arial" w:cs="Arial"/>
        </w:rPr>
        <w:t>e provided baseline data for not only pollinator species in the region, but also plant species that can be incorporated for native plantings. We suggest further research is required to better understand the visitation rate to each plant species</w:t>
      </w:r>
      <w:r w:rsidR="00BC01C6">
        <w:rPr>
          <w:rFonts w:ascii="Arial" w:hAnsi="Arial" w:cs="Arial"/>
        </w:rPr>
        <w:t xml:space="preserve">, for </w:t>
      </w:r>
      <w:r w:rsidR="00200333">
        <w:rPr>
          <w:rFonts w:ascii="Arial" w:hAnsi="Arial" w:cs="Arial"/>
        </w:rPr>
        <w:t xml:space="preserve">all </w:t>
      </w:r>
      <w:r w:rsidR="00200333">
        <w:rPr>
          <w:rFonts w:ascii="Arial" w:hAnsi="Arial" w:cs="Arial"/>
        </w:rPr>
        <w:lastRenderedPageBreak/>
        <w:t>pollinating insects</w:t>
      </w:r>
      <w:r w:rsidRPr="000C7549">
        <w:rPr>
          <w:rFonts w:ascii="Arial" w:hAnsi="Arial" w:cs="Arial"/>
        </w:rPr>
        <w:t>. Additionally, it would be interesting to investigate the</w:t>
      </w:r>
      <w:r w:rsidR="00200333">
        <w:rPr>
          <w:rFonts w:ascii="Arial" w:hAnsi="Arial" w:cs="Arial"/>
        </w:rPr>
        <w:t xml:space="preserve"> nesting resources provided by</w:t>
      </w:r>
      <w:r w:rsidRPr="000C7549">
        <w:rPr>
          <w:rFonts w:ascii="Arial" w:hAnsi="Arial" w:cs="Arial"/>
        </w:rPr>
        <w:t xml:space="preserve"> habitat provisioning </w:t>
      </w:r>
      <w:r w:rsidR="00200333">
        <w:rPr>
          <w:rFonts w:ascii="Arial" w:hAnsi="Arial" w:cs="Arial"/>
        </w:rPr>
        <w:t xml:space="preserve">in </w:t>
      </w:r>
      <w:r w:rsidRPr="000C7549">
        <w:rPr>
          <w:rFonts w:ascii="Arial" w:hAnsi="Arial" w:cs="Arial"/>
        </w:rPr>
        <w:t xml:space="preserve">native pollinator plots throughout the year. </w:t>
      </w:r>
    </w:p>
    <w:p w14:paraId="16F93EDF" w14:textId="77777777" w:rsidR="00207B01" w:rsidRPr="000C7549" w:rsidRDefault="00207B01" w:rsidP="00207B01">
      <w:pPr>
        <w:pStyle w:val="Heading1"/>
        <w:spacing w:line="480" w:lineRule="auto"/>
      </w:pPr>
      <w:r w:rsidRPr="000C7549">
        <w:br w:type="page"/>
      </w:r>
      <w:bookmarkStart w:id="19" w:name="_Toc289175833"/>
      <w:bookmarkStart w:id="20" w:name="_Toc76799704"/>
      <w:r w:rsidRPr="000C7549">
        <w:lastRenderedPageBreak/>
        <w:t>CHAPTER III</w:t>
      </w:r>
      <w:r w:rsidRPr="000C7549">
        <w:rPr>
          <w:caps w:val="0"/>
        </w:rPr>
        <w:br/>
      </w:r>
      <w:bookmarkEnd w:id="19"/>
      <w:r w:rsidRPr="000C7549">
        <w:rPr>
          <w:caps w:val="0"/>
        </w:rPr>
        <w:t>EFFECT OF LAND COVER ON POLLINATOR COMMUNITIES</w:t>
      </w:r>
      <w:bookmarkEnd w:id="20"/>
      <w:r w:rsidRPr="000C7549">
        <w:t xml:space="preserve"> </w:t>
      </w:r>
    </w:p>
    <w:p w14:paraId="72EDA502" w14:textId="77777777" w:rsidR="00207B01" w:rsidRPr="000C7549" w:rsidRDefault="00207B01" w:rsidP="00207B01">
      <w:pPr>
        <w:spacing w:line="480" w:lineRule="auto"/>
        <w:rPr>
          <w:rFonts w:ascii="Arial" w:hAnsi="Arial" w:cs="Arial"/>
        </w:rPr>
      </w:pPr>
      <w:r w:rsidRPr="000C7549">
        <w:rPr>
          <w:rFonts w:ascii="Arial" w:hAnsi="Arial" w:cs="Arial"/>
        </w:rPr>
        <w:br w:type="page"/>
      </w:r>
    </w:p>
    <w:p w14:paraId="1F69FCE4" w14:textId="77777777" w:rsidR="003E62F2" w:rsidRPr="000C7549" w:rsidRDefault="003E62F2" w:rsidP="003E62F2">
      <w:pPr>
        <w:pStyle w:val="Heading2"/>
        <w:spacing w:line="480" w:lineRule="auto"/>
      </w:pPr>
      <w:bookmarkStart w:id="21" w:name="_Toc289175834"/>
      <w:bookmarkStart w:id="22" w:name="_Toc76799705"/>
      <w:r w:rsidRPr="000C7549">
        <w:lastRenderedPageBreak/>
        <w:t>Abstract</w:t>
      </w:r>
      <w:bookmarkEnd w:id="21"/>
      <w:bookmarkEnd w:id="22"/>
    </w:p>
    <w:p w14:paraId="0855C17A" w14:textId="419941E0" w:rsidR="000011D1" w:rsidRDefault="003E62F2" w:rsidP="001F1346">
      <w:pPr>
        <w:spacing w:line="480" w:lineRule="auto"/>
        <w:rPr>
          <w:rFonts w:ascii="Arial" w:hAnsi="Arial" w:cs="Arial"/>
        </w:rPr>
      </w:pPr>
      <w:r w:rsidRPr="000C7549">
        <w:rPr>
          <w:rFonts w:ascii="Arial" w:hAnsi="Arial" w:cs="Arial"/>
        </w:rPr>
        <w:t>Globally, there is substantial concern regarding the contribution of land-use change and anthropogenic disturbance to declines in populations of beneficial insects. These concerns led to increased interest in biodiversity conservation, including providing supplemental habitat for these insects, especially in degraded landscapes. Promoting conservation efforts within landscapes requires an understanding of the spatial configuration of land-use types and landscape heterogeneity. As pollinators are mobile organisms, spatial analysis can provide additional context to many pollinator study findings. Using data from our two-year experiment, w</w:t>
      </w:r>
      <w:r w:rsidR="00046758">
        <w:rPr>
          <w:rFonts w:ascii="Arial" w:hAnsi="Arial" w:cs="Arial"/>
        </w:rPr>
        <w:t xml:space="preserve">e calculated the average pollinator abundance and species </w:t>
      </w:r>
      <w:r w:rsidR="002262FF">
        <w:rPr>
          <w:rFonts w:ascii="Arial" w:hAnsi="Arial" w:cs="Arial"/>
        </w:rPr>
        <w:t xml:space="preserve">diversity </w:t>
      </w:r>
      <w:r w:rsidR="00046758">
        <w:rPr>
          <w:rFonts w:ascii="Arial" w:hAnsi="Arial" w:cs="Arial"/>
        </w:rPr>
        <w:t xml:space="preserve">at each </w:t>
      </w:r>
      <w:r w:rsidR="002262FF">
        <w:rPr>
          <w:rFonts w:ascii="Arial" w:hAnsi="Arial" w:cs="Arial"/>
        </w:rPr>
        <w:t>site</w:t>
      </w:r>
      <w:r w:rsidR="00046758">
        <w:rPr>
          <w:rFonts w:ascii="Arial" w:hAnsi="Arial" w:cs="Arial"/>
        </w:rPr>
        <w:t>. We then analyzed</w:t>
      </w:r>
      <w:r w:rsidRPr="000C7549">
        <w:rPr>
          <w:rFonts w:ascii="Arial" w:hAnsi="Arial" w:cs="Arial"/>
        </w:rPr>
        <w:t xml:space="preserve"> the surrounding landscape around each of our research sites using ArcGIS and the National Land Cover Database to determine if there were any relationships between the observed abundance or species </w:t>
      </w:r>
      <w:r w:rsidR="002262FF">
        <w:rPr>
          <w:rFonts w:ascii="Arial" w:hAnsi="Arial" w:cs="Arial"/>
        </w:rPr>
        <w:t>diversity</w:t>
      </w:r>
      <w:r w:rsidR="002262FF" w:rsidRPr="000C7549">
        <w:rPr>
          <w:rFonts w:ascii="Arial" w:hAnsi="Arial" w:cs="Arial"/>
        </w:rPr>
        <w:t xml:space="preserve"> </w:t>
      </w:r>
      <w:r w:rsidRPr="000C7549">
        <w:rPr>
          <w:rFonts w:ascii="Arial" w:hAnsi="Arial" w:cs="Arial"/>
        </w:rPr>
        <w:t xml:space="preserve">at our research </w:t>
      </w:r>
      <w:r w:rsidR="002262FF">
        <w:rPr>
          <w:rFonts w:ascii="Arial" w:hAnsi="Arial" w:cs="Arial"/>
        </w:rPr>
        <w:t>sites</w:t>
      </w:r>
      <w:r w:rsidR="002262FF" w:rsidRPr="000C7549">
        <w:rPr>
          <w:rFonts w:ascii="Arial" w:hAnsi="Arial" w:cs="Arial"/>
        </w:rPr>
        <w:t xml:space="preserve"> </w:t>
      </w:r>
      <w:r w:rsidRPr="000C7549">
        <w:rPr>
          <w:rFonts w:ascii="Arial" w:hAnsi="Arial" w:cs="Arial"/>
        </w:rPr>
        <w:t xml:space="preserve">and the surrounding landscapes. </w:t>
      </w:r>
    </w:p>
    <w:p w14:paraId="40178979" w14:textId="02F73C3D" w:rsidR="003E62F2" w:rsidRPr="000C7549" w:rsidRDefault="000011D1" w:rsidP="000011D1">
      <w:pPr>
        <w:spacing w:line="480" w:lineRule="auto"/>
        <w:rPr>
          <w:rFonts w:ascii="Arial" w:hAnsi="Arial" w:cs="Arial"/>
        </w:rPr>
      </w:pPr>
      <w:r>
        <w:rPr>
          <w:rFonts w:ascii="Arial" w:hAnsi="Arial" w:cs="Arial"/>
        </w:rPr>
        <w:t>Overall, w</w:t>
      </w:r>
      <w:r w:rsidRPr="000C7549">
        <w:rPr>
          <w:rFonts w:ascii="Arial" w:hAnsi="Arial" w:cs="Arial"/>
        </w:rPr>
        <w:t xml:space="preserve">e found the highest abundance and </w:t>
      </w:r>
      <w:r w:rsidR="00DF2B7B" w:rsidRPr="000C7549">
        <w:rPr>
          <w:rFonts w:ascii="Arial" w:hAnsi="Arial" w:cs="Arial"/>
        </w:rPr>
        <w:t xml:space="preserve">species </w:t>
      </w:r>
      <w:r w:rsidRPr="000C7549">
        <w:rPr>
          <w:rFonts w:ascii="Arial" w:hAnsi="Arial" w:cs="Arial"/>
        </w:rPr>
        <w:t>richness in the agricultural sites</w:t>
      </w:r>
      <w:r>
        <w:rPr>
          <w:rFonts w:ascii="Arial" w:hAnsi="Arial" w:cs="Arial"/>
        </w:rPr>
        <w:t>, but w</w:t>
      </w:r>
      <w:r w:rsidR="003E62F2" w:rsidRPr="000C7549">
        <w:rPr>
          <w:rFonts w:ascii="Arial" w:hAnsi="Arial" w:cs="Arial"/>
        </w:rPr>
        <w:t xml:space="preserve">e could not identify a significant relationship between land cover and species </w:t>
      </w:r>
      <w:r w:rsidR="002262FF">
        <w:rPr>
          <w:rFonts w:ascii="Arial" w:hAnsi="Arial" w:cs="Arial"/>
        </w:rPr>
        <w:t>diversity</w:t>
      </w:r>
      <w:r w:rsidR="002262FF" w:rsidRPr="000C7549">
        <w:rPr>
          <w:rFonts w:ascii="Arial" w:hAnsi="Arial" w:cs="Arial"/>
        </w:rPr>
        <w:t xml:space="preserve"> </w:t>
      </w:r>
      <w:r w:rsidR="003E62F2" w:rsidRPr="000C7549">
        <w:rPr>
          <w:rFonts w:ascii="Arial" w:hAnsi="Arial" w:cs="Arial"/>
        </w:rPr>
        <w:t>or abundance</w:t>
      </w:r>
      <w:r w:rsidR="00831A7C">
        <w:rPr>
          <w:rFonts w:ascii="Arial" w:hAnsi="Arial" w:cs="Arial"/>
        </w:rPr>
        <w:t>.</w:t>
      </w:r>
      <w:r w:rsidR="003E62F2" w:rsidRPr="000C7549">
        <w:rPr>
          <w:rFonts w:ascii="Arial" w:hAnsi="Arial" w:cs="Arial"/>
        </w:rPr>
        <w:t xml:space="preserve"> Howeve</w:t>
      </w:r>
      <w:r>
        <w:rPr>
          <w:rFonts w:ascii="Arial" w:hAnsi="Arial" w:cs="Arial"/>
        </w:rPr>
        <w:t xml:space="preserve">r, </w:t>
      </w:r>
      <w:r w:rsidR="003E62F2" w:rsidRPr="000C7549">
        <w:rPr>
          <w:rFonts w:ascii="Arial" w:hAnsi="Arial" w:cs="Arial"/>
        </w:rPr>
        <w:t xml:space="preserve">as we increased the spatial scale, we found increased landscape heterogeneity at each research site, which may play a significant role in pollinator abundance and richness, but was unexplored in this study, thus warranting further investigation.  </w:t>
      </w:r>
    </w:p>
    <w:p w14:paraId="7A50ACA1" w14:textId="77777777" w:rsidR="003E62F2" w:rsidRPr="000C7549" w:rsidRDefault="003E62F2" w:rsidP="003E62F2">
      <w:pPr>
        <w:spacing w:line="480" w:lineRule="auto"/>
        <w:rPr>
          <w:rFonts w:ascii="Arial" w:hAnsi="Arial" w:cs="Arial"/>
        </w:rPr>
      </w:pPr>
    </w:p>
    <w:p w14:paraId="03FB937A" w14:textId="77777777" w:rsidR="003E62F2" w:rsidRPr="000C7549" w:rsidRDefault="003E62F2" w:rsidP="003E62F2">
      <w:pPr>
        <w:spacing w:line="480" w:lineRule="auto"/>
        <w:rPr>
          <w:rFonts w:ascii="Arial" w:hAnsi="Arial" w:cs="Arial"/>
        </w:rPr>
      </w:pPr>
    </w:p>
    <w:p w14:paraId="1A4B604C" w14:textId="77777777" w:rsidR="003E62F2" w:rsidRPr="000C7549" w:rsidRDefault="003E62F2" w:rsidP="003E62F2">
      <w:pPr>
        <w:spacing w:line="480" w:lineRule="auto"/>
        <w:rPr>
          <w:rFonts w:ascii="Arial" w:hAnsi="Arial" w:cs="Arial"/>
        </w:rPr>
      </w:pPr>
    </w:p>
    <w:p w14:paraId="58BA0A1E" w14:textId="77777777" w:rsidR="003E62F2" w:rsidRPr="000C7549" w:rsidRDefault="003E62F2" w:rsidP="003E62F2">
      <w:pPr>
        <w:pStyle w:val="Heading2"/>
        <w:spacing w:line="480" w:lineRule="auto"/>
      </w:pPr>
      <w:bookmarkStart w:id="23" w:name="_Toc289175835"/>
      <w:bookmarkStart w:id="24" w:name="_Toc76799706"/>
      <w:r w:rsidRPr="000C7549">
        <w:lastRenderedPageBreak/>
        <w:t>Introduction</w:t>
      </w:r>
      <w:bookmarkEnd w:id="23"/>
      <w:bookmarkEnd w:id="24"/>
    </w:p>
    <w:p w14:paraId="7422F7D0" w14:textId="77777777" w:rsidR="003E62F2" w:rsidRPr="000C7549" w:rsidRDefault="003E62F2" w:rsidP="003E62F2">
      <w:pPr>
        <w:spacing w:line="480" w:lineRule="auto"/>
        <w:ind w:firstLine="720"/>
        <w:rPr>
          <w:rFonts w:ascii="Arial" w:hAnsi="Arial" w:cs="Arial"/>
          <w:color w:val="000000" w:themeColor="text1"/>
        </w:rPr>
      </w:pPr>
      <w:r w:rsidRPr="000C7549">
        <w:rPr>
          <w:rFonts w:ascii="Arial" w:hAnsi="Arial" w:cs="Arial"/>
          <w:color w:val="000000" w:themeColor="text1"/>
        </w:rPr>
        <w:t xml:space="preserve">Agriculture is a multibillion-dollar industry in Tennessee (NASS USDA 2018), but the influence of this agricultural land-use on current populations of local, wild pollinators has not been adequately assessed in the state. Few studies have looked at pollinators in eastern Tennessee and, to our knowledge, none have assessed current populations and potential effects of land use. </w:t>
      </w:r>
    </w:p>
    <w:p w14:paraId="7C89DB5F" w14:textId="77777777" w:rsidR="003E62F2" w:rsidRPr="000C7549" w:rsidRDefault="003E62F2" w:rsidP="003E62F2">
      <w:pPr>
        <w:spacing w:line="480" w:lineRule="auto"/>
        <w:ind w:firstLine="720"/>
        <w:rPr>
          <w:rFonts w:ascii="Arial" w:hAnsi="Arial" w:cs="Arial"/>
          <w:color w:val="000000" w:themeColor="text1"/>
        </w:rPr>
      </w:pPr>
      <w:r w:rsidRPr="000C7549">
        <w:rPr>
          <w:rFonts w:ascii="Arial" w:hAnsi="Arial" w:cs="Arial"/>
          <w:color w:val="000000" w:themeColor="text1"/>
        </w:rPr>
        <w:t xml:space="preserve">Landscape-level factors such as habitat fragmentation and habitat loss have been identified as drivers of pollinator decline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{"citationID":"pHVbas3e","properties":{"formattedCitation":"(Cunningham, 2000)","plainCitation":"(Cunningham, 2000)","noteIndex":0},"citationItems":[{"id":846,"uris":["http://zotero.org/users/6034784/items/9YBACTI8"],"uri":["http://zotero.org/users/6034784/items/9YBACTI8"],"itemData":{"id":846,"type":"article-journal","abstract":"In central New South Wales, Australia, flowers of Acacia brachybotrya and Eremophila glabra plants growing in linear vegetation remnants received less pollen than conspecifics in nearby reserves. Pollen supplementation increased fruit production by both species, indicating pollen limitation of fruit set. Together these observations explain why fruit production by these species was depressed in linear-strip populations relative to nearby reserves. This study confirms that habitat fragmentation can lead to decline in pollination and subsequent fruit set in wild plant populations. Disrupted pollination interactions of the kind documented in this study may offer a substantial challenge to the conservation of biodiversity in fragmented landscapes.","container-title":"Proceedings of the Royal Society B: Biological Sciences","ISSN":"0962-8452","issue":"1448","journalAbbreviation":"Proc Biol Sci","note":"PMID: 10885521\nPMCID: PMC1690653","page":"1149-1152","source":"PubMed Central","title":"Depressed pollination in habitat fragments causes low fruit set.","volume":"267","author":[{"family":"Cunningham","given":"S A"}],"issued":{"date-parts":[["2000",6,7]]}}}],"schema":"https://github.com/citation-style-language/schema/raw/master/csl-citation.json"}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(Cunningham, 2000)</w:t>
      </w:r>
      <w:r w:rsidRPr="000C7549">
        <w:rPr>
          <w:rFonts w:ascii="Arial" w:hAnsi="Arial" w:cs="Arial"/>
          <w:color w:val="000000" w:themeColor="text1"/>
        </w:rPr>
        <w:fldChar w:fldCharType="end"/>
      </w:r>
      <w:r w:rsidRPr="000C7549">
        <w:rPr>
          <w:rFonts w:ascii="Arial" w:hAnsi="Arial" w:cs="Arial"/>
          <w:color w:val="000000" w:themeColor="text1"/>
        </w:rPr>
        <w:t xml:space="preserve">. Highly fragmented landscapes are unable to support pollinator populations, and the amount of remaining habitat may determine species survival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{"citationID":"BZpnp6nJ","properties":{"formattedCitation":"(Boscolo &amp; Metzger, 2011; Ferreira et al., 2015)","plainCitation":"(Boscolo &amp; Metzger, 2011; Ferreira et al., 2015)","noteIndex":0},"citationItems":[{"id":844,"uris":["http://zotero.org/users/6034784/items/BWJT7IKR"],"uri":["http://zotero.org/users/6034784/items/BWJT7IKR"],"itemData":{"id":844,"type":"article-journal","container-title":"Ecography","issue":"6","note":"publisher: Wiley Online Library","page":"1018–1029","source":"Google Scholar","title":"Isolation determines patterns of species presence in highly fragmented landscapes","volume":"34","author":[{"family":"Boscolo","given":"Danilo"},{"family":"Metzger","given":"Jean Paul"}],"issued":{"date-parts":[["2011"]]}}},{"id":832,"uris":["http://zotero.org/users/6034784/items/9T4QYC5F"],"uri":["http://zotero.org/users/6034784/items/9T4QYC5F"],"itemData":{"id":832,"type":"article-journal","abstract":"Loss of natural habitat can isolate pollinator populations and negatively affect sexual reproduction of animal-pollinated plants.","container-title":"Landscape Ecology","DOI":"10.1007/s10980-015-0231-3","ISSN":"1572-9761","issue":"10","journalAbbreviation":"Landscape Ecol","language":"en","page":"2067-2078","source":"Springer Link","title":"Responses of bees to habitat loss in fragmented landscapes of Brazilian Atlantic Rainforest","volume":"30","author":[{"family":"Ferreira","given":"Patrícia A."},{"family":"Boscolo","given":"Danilo"},{"family":"Carvalheiro","given":"Luísa G."},{"family":"Biesmeijer","given":"Jacobus C."},{"family":"Rocha","given":"Pedro L. B."},{"family":"Viana","given":"Blandina F."}],"issued":{"date-parts":[["2015",12,1]]}}}],"schema":"https://github.com/citation-style-language/schema/raw/master/csl-citation.json"}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(Boscolo &amp; Metzger, 2011; Ferreira et al., 2015)</w:t>
      </w:r>
      <w:r w:rsidRPr="000C7549">
        <w:rPr>
          <w:rFonts w:ascii="Arial" w:hAnsi="Arial" w:cs="Arial"/>
          <w:color w:val="000000" w:themeColor="text1"/>
        </w:rPr>
        <w:fldChar w:fldCharType="end"/>
      </w:r>
      <w:r w:rsidRPr="000C7549">
        <w:rPr>
          <w:rFonts w:ascii="Arial" w:hAnsi="Arial" w:cs="Arial"/>
          <w:color w:val="000000" w:themeColor="text1"/>
        </w:rPr>
        <w:t xml:space="preserve">. </w:t>
      </w:r>
      <w:r w:rsidRPr="000C7549">
        <w:rPr>
          <w:rFonts w:ascii="Arial" w:hAnsi="Arial" w:cs="Arial"/>
          <w:bCs/>
          <w:color w:val="000000" w:themeColor="text1"/>
        </w:rPr>
        <w:t xml:space="preserve">Habitat loss can have varying effects according to scale. Regional level habitat loss not only causes reduced habitat availability, but may also increase patch isolation, limiting population sizes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{"citationID":"Iaowdqy0","properties":{"formattedCitation":"(Ferreira et al., 2015)","plainCitation":"(Ferreira et al., 2015)","noteIndex":0},"citationItems":[{"id":832,"uris":["http://zotero.org/users/6034784/items/9T4QYC5F"],"uri":["http://zotero.org/users/6034784/items/9T4QYC5F"],"itemData":{"id":832,"type":"article-journal","abstract":"Loss of natural habitat can isolate pollinator populations and negatively affect sexual reproduction of animal-pollinated plants.","container-title":"Landscape Ecology","DOI":"10.1007/s10980-015-0231-3","ISSN":"1572-9761","issue":"10","journalAbbreviation":"Landscape Ecol","language":"en","page":"2067-2078","source":"Springer Link","title":"Responses of bees to habitat loss in fragmented landscapes of Brazilian Atlantic Rainforest","volume":"30","author":[{"family":"Ferreira","given":"Patrícia A."},{"family":"Boscolo","given":"Danilo"},{"family":"Carvalheiro","given":"Luísa G."},{"family":"Biesmeijer","given":"Jacobus C."},{"family":"Rocha","given":"Pedro L. B."},{"family":"Viana","given":"Blandina F."}],"issued":{"date-parts":[["2015",12,1]]}}}],"schema":"https://github.com/citation-style-language/schema/raw/master/csl-citation.json"}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noProof/>
          <w:color w:val="000000" w:themeColor="text1"/>
        </w:rPr>
        <w:t>(Ferreira et al., 2015)</w:t>
      </w:r>
      <w:r w:rsidRPr="000C7549">
        <w:rPr>
          <w:rFonts w:ascii="Arial" w:hAnsi="Arial" w:cs="Arial"/>
          <w:bCs/>
          <w:color w:val="000000" w:themeColor="text1"/>
        </w:rPr>
        <w:fldChar w:fldCharType="end"/>
      </w:r>
      <w:r w:rsidRPr="000C7549">
        <w:rPr>
          <w:rFonts w:ascii="Arial" w:hAnsi="Arial" w:cs="Arial"/>
          <w:bCs/>
          <w:color w:val="000000" w:themeColor="text1"/>
        </w:rPr>
        <w:t xml:space="preserve">. The impacts of local habitat loss can lead to reduced forage resources, resulting in increasing forage distances, which may impact different types of bees in different ways. In European grasslands,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{"citationID":"TWAyd3I4","properties":{"formattedCitation":"(Jauker et al., 2013)","plainCitation":"(Jauker et al., 2013)","dontUpdate":true,"noteIndex":0},"citationItems":[{"id":707,"uris":["http://zotero.org/users/6034784/items/S6M6V2YI"],"uri":["http://zotero.org/users/6034784/items/S6M6V2YI"],"itemData":{"id":707,"type":"article-journal","abstract":"To gain insight into the drivers of pollinator loss, a holistic approach to land-use change including habitat size, isolation, habitat quality and the surrounding landscape matrix is necessary. Moreover, species’ responses to land-use change may differ depending on their life history traits such as dispersal ability, trophic level, or sociality. We assessed species richness and life history traits of wild bees in 32 calcareous grasslands in central Germany that differ in size, connectivity, resource availability and landscape context. Declining habitat area and, to a lesser degree, reduced diversity of the surrounding landscape were the key factors negatively influencing species richness. In the community-wide analysis, small body size and solitary reproduction were traits that made species particularly vulnerable to habitat loss. Contrary to our expectations, cleptoparasitic species were not more affected by reduced habitat area and landscape diversity than nest-building species. We performed further detailed trait analyses within the family Halictidae to prevent possible confounding effects due to trait correlations across families. Here, social as opposed to solitary species were more affected by habitat loss. We conclude that the opposite pattern observed for all social bees was mainly caused by large-sized social bumblebee species with high mobility and large foraging distances. Our results demonstrate the risks of concealed trait interference when analyzing community-wide patterns of life history traits. As a consequence, conservation requirements of small social bee species might be overlooked by generalizations from community responses.","container-title":"Landscape Ecology","DOI":"10.1007/s10980-012-9820-6","ISSN":"1572-9761","issue":"1","journalAbbreviation":"Landscape Ecol","language":"en","page":"107-120","source":"Springer Link","title":"Linking life history traits to pollinator loss in fragmented calcareous grasslands","volume":"28","author":[{"family":"Jauker","given":"Birgit"},{"family":"Krauss","given":"Jochen"},{"family":"Jauker","given":"Frank"},{"family":"Steffan-Dewenter","given":"Ingolf"}],"issued":{"date-parts":[["2013",1,1]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Jauker et al., (2013)</w:t>
      </w:r>
      <w:r w:rsidRPr="000C7549">
        <w:rPr>
          <w:rFonts w:ascii="Arial" w:hAnsi="Arial" w:cs="Arial"/>
          <w:color w:val="000000" w:themeColor="text1"/>
        </w:rPr>
        <w:fldChar w:fldCharType="end"/>
      </w:r>
      <w:r w:rsidRPr="000C7549">
        <w:rPr>
          <w:rFonts w:ascii="Arial" w:hAnsi="Arial" w:cs="Arial"/>
          <w:color w:val="000000" w:themeColor="text1"/>
        </w:rPr>
        <w:t xml:space="preserve"> found that small bodied and solitary bees were particularly vulnerable, as compared to other body sizes of bees, while other studies found</w:t>
      </w:r>
      <w:r w:rsidRPr="000C7549">
        <w:rPr>
          <w:rFonts w:ascii="Arial" w:hAnsi="Arial" w:cs="Arial"/>
          <w:bCs/>
          <w:color w:val="000000" w:themeColor="text1"/>
        </w:rPr>
        <w:t xml:space="preserve"> </w:t>
      </w:r>
      <w:r w:rsidRPr="000C7549">
        <w:rPr>
          <w:rFonts w:ascii="Arial" w:hAnsi="Arial" w:cs="Arial"/>
          <w:color w:val="000000" w:themeColor="text1"/>
        </w:rPr>
        <w:t xml:space="preserve">larger, social bees were more vulnerable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{"citationID":"05ik7VRK","properties":{"formattedCitation":"(Benjamin et al., 2014; Bommarco et al., 2010)","plainCitation":"(Benjamin et al., 2014; Bommarco et al., 2010)","noteIndex":0},"citationItems":[{"id":704,"uris":["http://zotero.org/users/6034784/items/9FRZLFFW"],"uri":["http://zotero.org/users/6034784/items/9FRZLFFW"],"itemData":{"id":704,"type":"article-journal","abstract":"Ecosystem services to agriculture, such as pollination, rely on natural areas adjacent to farmland to support organisms that provide services. Native insect pollinators depend on natural or semi-natural land surrounding farms for nesting and alternative foraging resources. Despite interest in conserving pollinators through habitat restoration, the scale at which land use affects pollinators and thus crop pollination services is not well understood. We measured abundance of native, wild bee pollinators and the pollination services they provided to highbush blueberry Vaccinium corymbosum L. crops at 16 sites that varied in the proportion of surrounding agricultural land cover at both the field scale (300-m radius) and the landscape scale (1500-m radius). We designed our study such that agricultural land cover at the field scale was uncorrelated with agricultural cover at the landscape scale across sites. We used model selection to determine which spatial scale better predicted aggregate bee abundance, abundance of large versus small bees and crop pollination services. We found that, overall, bees responded more strongly to field-scale than to landscape-scale land cover, but the scale at which land cover had the strongest effect varied by bee body size. Large bees showed a negative response to increasing agricultural cover at both scales, but were most strongly affected by the landscape scale. Small bees were negatively affected by agricultural land cover but only at the field scale, while they had a small positive response to agricultural cover at the landscape scale. Aggregate pollination services from native bees were more strongly influenced by field-scale agricultural cover, due to the combined effects of both large and small bees responding at that scale. Synthesis and applications. Bee abundance and pollination services were strongly determined by field-scale agricultural cover, suggesting that field-scale set-asides may provide significant benefits to pollination services. Further, we found that pollinators respond differently to land use depending on body size, but all groups of bees benefit from decreasing agricultural cover at the field scale. Therefore, small-scale modifications to habitat can have significant impacts on both pollinator abundance and pollination services to crop plants.","container-title":"Journal of Applied Ecology","DOI":"https://doi.org/10.1111/1365-2664.12198","ISSN":"1365-2664","issue":"2","language":"en","note":"_eprint: https://besjournals.onlinelibrary.wiley.com/doi/pdf/10.1111/1365-2664.12198","page":"440-449","source":"Wiley Online Library","title":"Pollinator body size mediates the scale at which land use drives crop pollination services","volume":"51","author":[{"family":"Benjamin","given":"Faye E."},{"family":"Reilly","given":"James R."},{"family":"Winfree","given":"Rachael"}],"issued":{"date-parts":[["2014"]]}}},{"id":630,"uris":["http://zotero.org/users/6034784/items/26GP2UNU"],"uri":["http://zotero.org/users/6034784/items/26GP2UNU"],"itemData":{"id":630,"type":"article-journal","abstract":"Habitat loss poses a major threat to biodiversity, and species-specific extinction risks are inextricably linked to life-history characteristics. This relationship is still poorly documented for many functionally important taxa, and at larger continental scales. With data from five replicated field studies from three countries, we examined how species richness of wild bees varies with habitat patch size. We hypothesized that the form of this relationship is affected by body size, degree of host plant specialization and sociality. Across all species, we found a positive species–area slope (z = 0.19), and species traits modified this relationship. Large-bodied generalists had a lower z value than small generalists. Contrary to predictions, small specialists had similar or slightly lower z value compared with large specialists, and small generalists also tended to be more strongly affected by habitat loss as compared with small specialists. Social bees were negatively affected by habitat loss (z = 0.11) irrespective of body size. We conclude that habitat loss leads to clear shifts in the species composition of wild bee communities.","container-title":"Proceedings of the Royal Society B: Biological Sciences","DOI":"10.1098/rspb.2009.2221","ISSN":"0962-8452","issue":"1690","journalAbbreviation":"Proc Biol Sci","note":"PMID: 20219735\nPMCID: PMC2880091","page":"2075-2082","source":"PubMed Central","title":"Dispersal capacity and diet breadth modify the response of wild bees to habitat loss","volume":"277","author":[{"family":"Bommarco","given":"Riccardo"},{"family":"Biesmeijer","given":"Jacobus C."},{"family":"Meyer","given":"Birgit"},{"family":"Potts","given":"Simon G."},{"family":"Pöyry","given":"Juha"},{"family":"Roberts","given":"Stuart P. M."},{"family":"Steffan-Dewenter","given":"Ingolf"},{"family":"Öckinger","given":"Erik"}],"issued":{"date-parts":[["2010",7,7]]}}}],"schema":"https://github.com/citation-style-language/schema/raw/master/csl-citation.json"}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(Benjamin et al., 2014; Bommarco et al., 2010)</w:t>
      </w:r>
      <w:r w:rsidRPr="000C7549">
        <w:rPr>
          <w:rFonts w:ascii="Arial" w:hAnsi="Arial" w:cs="Arial"/>
          <w:color w:val="000000" w:themeColor="text1"/>
        </w:rPr>
        <w:fldChar w:fldCharType="end"/>
      </w:r>
      <w:r w:rsidRPr="000C7549">
        <w:rPr>
          <w:rFonts w:ascii="Arial" w:hAnsi="Arial" w:cs="Arial"/>
          <w:color w:val="000000" w:themeColor="text1"/>
        </w:rPr>
        <w:t xml:space="preserve">, indicating a strong negative effect of field-scale agricultural intensity. However, both </w:t>
      </w:r>
      <w:r w:rsidRPr="000C7549">
        <w:rPr>
          <w:rFonts w:ascii="Arial" w:hAnsi="Arial" w:cs="Arial"/>
          <w:color w:val="000000" w:themeColor="text1"/>
        </w:rPr>
        <w:fldChar w:fldCharType="begin"/>
      </w:r>
      <w:r>
        <w:rPr>
          <w:rFonts w:ascii="Arial" w:hAnsi="Arial" w:cs="Arial"/>
          <w:color w:val="000000" w:themeColor="text1"/>
        </w:rPr>
        <w:instrText xml:space="preserve"> ADDIN ZOTERO_ITEM CSL_CITATION {"citationID":"tHaibjHw","properties":{"formattedCitation":"(Benjamin et al., 2014; B. Jauker et al., 2013)","plainCitation":"(Benjamin et al., 2014; B. Jauker et al., 2013)","dontUpdate":true,"noteIndex":0},"citationItems":[{"id":704,"uris":["http://zotero.org/users/6034784/items/9FRZLFFW"],"uri":["http://zotero.org/users/6034784/items/9FRZLFFW"],"itemData":{"id":704,"type":"article-journal","abstract":"Ecosystem services to agriculture, such as pollination, rely on natural areas adjacent to farmland to support organisms that provide services. Native insect pollinators depend on natural or semi-natural land surrounding farms for nesting and alternative foraging resources. Despite interest in conserving pollinators through habitat restoration, the scale at which land use affects pollinators and thus crop pollination services is not well understood. We measured abundance of native, wild bee pollinators and the pollination services they provided to highbush blueberry Vaccinium corymbosum L. crops at 16 sites that varied in the proportion of surrounding agricultural land cover at both the field scale (300-m radius) and the landscape scale (1500-m radius). We designed our study such that agricultural land cover at the field scale was uncorrelated with agricultural cover at the landscape scale across sites. We used model selection to determine which spatial scale better predicted aggregate bee abundance, abundance of large versus small bees and crop pollination services. We found that, overall, bees responded more strongly to field-scale than to landscape-scale land cover, but the scale at which land cover had the strongest effect varied by bee body size. Large bees showed a negative response to increasing agricultural cover at both scales, but were most strongly affected by the landscape scale. Small bees were negatively affected by agricultural land cover but only at the field scale, while they had a small positive response to agricultural cover at the landscape scale. Aggregate pollination services from native bees were more strongly influenced by field-scale agricultural cover, due to the combined effects of both large and small bees responding at that scale. Synthesis and applications. Bee abundance and pollination services were strongly determined by field-scale agricultural cover, suggesting that field-scale set-asides may provide significant benefits to pollination services. Further, we found that pollinators respond differently to land use depending on body size, but all groups of bees benefit from decreasing agricultural cover at the field scale. Therefore, small-scale modifications to habitat can have significant impacts on both pollinator abundance and pollination services to crop plants.","container-title":"Journal of Applied Ecology","DOI":"https://doi.org/10.1111/1365-2664.12198","ISSN":"1365-2664","issue":"2","language":"en","note":"_eprint: https://besjournals.onlinelibrary.wiley.com/doi/pdf/10.1111/1365-2664.12198","page":"440-449","source":"Wiley Online Library","title":"Pollinator body size mediates the scale at which land use drives crop pollination services","volume":"51","author":[{"family":"Benjamin","given":"Faye E."},{"family":"Reilly","given":"James R."},{"family":"Winfree","given":"Rachael"}],"issued":{"date-parts":[["2014"]]}}},{"id":707,"uris":["http://zotero.org/users/6034784/items/S6M6V2YI"],"uri":["http://zotero.org/users/6034784/items/S6M6V2YI"],"itemData":{"id":707,"type":"article-journal","abstract":"To gain insight into the drivers of pollinator loss, a holistic approach to land-use change including habitat size, isolation, habitat quality and the surrounding landscape matrix is necessary. Moreover, species’ responses to land-use change may differ depending on their life history traits such as dispersal ability, trophic level, or sociality. We assessed species richness and life history traits of wild bees in 32 calcareous grasslands in central Germany that differ in size, connectivity, resource availability and landscape context. Declining habitat area and, to a lesser degree, reduced diversity of the surrounding landscape were the key factors negatively influencing species richness. In the community-wide analysis, small body size and solitary reproduction were traits that made species particularly vulnerable to habitat loss. Contrary to our expectations, cleptoparasitic species were not more affected by reduced habitat area and landscape diversity than nest-building species. We performed further detailed trait analyses within the family Halictidae to prevent possible confounding effects due to trait correlations across families. Here, social as opposed to solitary species were more affected by habitat loss. We conclude that the opposite pattern observed for all social bees was mainly caused by large-sized social bumblebee species with high mobility and large foraging distances. Our results demonstrate the risks of concealed trait interference when analyzing community-wide patterns of life history traits. As a consequence, conservation requirements of small social bee species might be overlooked by generalizations from community responses.","container-title":"Landscape Ecology","DOI":"10.1007/s10980-012-9820-6","ISSN":"1572-9761","issue":"1","journalAbbreviation":"Landscape Ecol","language":"en","page":"107-120","source":"Springer Link","title":"Linking life history traits to pollinator loss in fragmented calcareous grasslands","volume":"28","author":[{"family":"Jauker","given":"Birgit"},{"family":"Krauss","given":"Jochen"},{"family":"Jauker","given":"Frank"},{"family":"Steffan-Dewenter","given":"Ingolf"}],"issued":{"date-parts":[["2013",1,1]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(Benjamin et al., 2014; Jauker et al., 2013)</w:t>
      </w:r>
      <w:r w:rsidRPr="000C7549">
        <w:rPr>
          <w:rFonts w:ascii="Arial" w:hAnsi="Arial" w:cs="Arial"/>
          <w:color w:val="000000" w:themeColor="text1"/>
        </w:rPr>
        <w:fldChar w:fldCharType="end"/>
      </w:r>
      <w:r w:rsidRPr="000C7549">
        <w:rPr>
          <w:rFonts w:ascii="Arial" w:hAnsi="Arial" w:cs="Arial"/>
          <w:color w:val="000000" w:themeColor="text1"/>
        </w:rPr>
        <w:t xml:space="preserve"> found an effect of large scale agricultural intensification of 1500m, which negatively impacted small bees. At the family level, bee genera within Halictidae, were found to be most impacted by habitat loss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{"citationID":"7Sc573gW","properties":{"formattedCitation":"(Benjamin et al., 2014; B. Jauker et al., 2013)","plainCitation":"(Benjamin et al., 2014; B. Jauker et al., 2013)","dontUpdate":true,"noteIndex":0},"citationItems":[{"id":704,"uris":["http://zotero.org/users/6034784/items/9FRZLFFW"],"uri":["http://zotero.org/users/6034784/items/9FRZLFFW"],"itemData":{"id":704,"type":"article-journal","abstract":"Ecosystem services to agriculture, such as pollination, rely on natural areas adjacent to farmland to support organisms that provide services. Native insect pollinators depend on natural or semi-natural land surrounding farms for nesting and alternative foraging resources. Despite interest in conserving pollinators through habitat restoration, the scale at which land use affects pollinators and thus crop pollination services is not well understood. We measured abundance of native, wild bee pollinators and the pollination services they provided to highbush blueberry Vaccinium corymbosum L. crops at 16 sites that varied in the proportion of surrounding agricultural land cover at both the field scale (300-m radius) and the landscape scale (1500-m radius). We designed our study such that agricultural land cover at the field scale was uncorrelated with agricultural cover at the landscape scale across sites. We used model selection to determine which spatial scale better predicted aggregate bee abundance, abundance of large versus small bees and crop pollination services. We found that, overall, bees responded more strongly to field-scale than to landscape-scale land cover, but the scale at which land cover had the strongest effect varied by bee body size. Large bees showed a negative response to increasing agricultural cover at both scales, but were most strongly affected by the landscape scale. Small bees were negatively affected by agricultural land cover but only at the field scale, while they had a small positive response to agricultural cover at the landscape scale. Aggregate pollination services from native bees were more strongly influenced by field-scale agricultural cover, due to the combined effects of both large and small bees responding at that scale. Synthesis and applications. Bee abundance and pollination services were strongly determined by field-scale agricultural cover, suggesting that field-scale set-asides may provide significant benefits to pollination services. Further, we found that pollinators respond differently to land use depending on body size, but all groups of bees benefit from decreasing agricultural cover at the field scale. Therefore, small-scale modifications to habitat can have significant impacts on both pollinator abundance and pollination services to crop plants.","container-title":"Journal of Applied Ecology","DOI":"https://doi.org/10.1111/1365-2664.12198","ISSN":"1365-2664","issue":"2","language":"en","note":"_eprint: https://besjournals.onlinelibrary.wiley.com/doi/pdf/10.1111/1365-2664.12198","page":"440-449","source":"Wiley Online Library","title":"Pollinator body size mediates the scale at which land use drives crop pollination services","volume":"51","author":[{"family":"Benjamin","given":"Faye E."},{"family":"Reilly","given":"James R."},{"family":"Winfree","given":"Rachael"}],"issued":{"date-parts":[["2014"]]}}},{"id":707,"uris":["http://zotero.org/users/6034784/items/S6M6V2YI"],"uri":["http://zotero.org/users/6034784/items/S6M6V2YI"],"itemData":{"id":707,"type":"article-journal","abstract":"To gain insight into the drivers of pollinator loss, a holistic approach to land-use change including habitat size, isolation, habitat quality and the surrounding landscape matrix is necessary. Moreover, species’ responses to land-use change may differ depending on their life history traits such as dispersal ability, trophic level, or sociality. We assessed species richness and life history traits of wild bees in 32 calcareous grasslands in central Germany that differ in size, connectivity, resource availability and landscape context. Declining habitat area and, to a lesser degree, reduced diversity of the surrounding landscape were the key factors negatively influencing species richness. In the community-wide analysis, small body size and solitary reproduction were traits that made species particularly vulnerable to habitat loss. Contrary to our expectations, cleptoparasitic species were not more affected by reduced habitat area and landscape diversity than nest-building species. We performed further detailed trait analyses within the family Halictidae to prevent possible confounding effects due to trait correlations across families. Here, social as opposed to solitary species were more affected by habitat loss. We conclude that the opposite pattern observed for all social bees was mainly caused by large-sized social bumblebee species with high mobility and large foraging distances. Our results demonstrate the risks of concealed trait interference when analyzing community-wide patterns of life history traits. As a consequence, conservation requirements of small social bee species might be overlooked by generalizations from community responses.","container-title":"Landscape Ecology","DOI":"10.1007/s10980-012-9820-6","ISSN":"1572-9761","issue":"1","journalAbbreviation":"Landscape Ecol","language":"en","page":"107-120","source":"Springer Link","title":"Linking life history traits to pollinator loss in fragmented calcareous grasslands","volume":"28","author":[{"family":"Jauker","given":"Birgit"},{"family":"Krauss","given":"Jochen"},{"family":"Jauker","given":"Frank"},{"family":"Steffan-Dewenter","given":"Ingolf"}],"issued":{"date-parts":[["2013",1,1]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(Benjamin et al., 2014; Jauker et al., 2013)</w:t>
      </w:r>
      <w:r w:rsidRPr="000C7549">
        <w:rPr>
          <w:rFonts w:ascii="Arial" w:hAnsi="Arial" w:cs="Arial"/>
          <w:color w:val="000000" w:themeColor="text1"/>
        </w:rPr>
        <w:fldChar w:fldCharType="end"/>
      </w:r>
      <w:r w:rsidRPr="000C7549">
        <w:rPr>
          <w:rFonts w:ascii="Arial" w:hAnsi="Arial" w:cs="Arial"/>
          <w:color w:val="000000" w:themeColor="text1"/>
        </w:rPr>
        <w:t xml:space="preserve">. </w:t>
      </w:r>
      <w:r w:rsidRPr="000C7549">
        <w:rPr>
          <w:rFonts w:ascii="Arial" w:hAnsi="Arial" w:cs="Arial"/>
          <w:color w:val="000000" w:themeColor="text1"/>
        </w:rPr>
        <w:lastRenderedPageBreak/>
        <w:t xml:space="preserve">Mixed sociality in the Halictidae family may be an important distinction at the genus level. Certain genera may have better resource acquisition in highly fragmented landscapes through sociality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{"citationID":"rmANjcAp","properties":{"formattedCitation":"(Bommarco et al., 2010)","plainCitation":"(Bommarco et al., 2010)","noteIndex":0},"citationItems":[{"id":630,"uris":["http://zotero.org/users/6034784/items/26GP2UNU"],"uri":["http://zotero.org/users/6034784/items/26GP2UNU"],"itemData":{"id":630,"type":"article-journal","abstract":"Habitat loss poses a major threat to biodiversity, and species-specific extinction risks are inextricably linked to life-history characteristics. This relationship is still poorly documented for many functionally important taxa, and at larger continental scales. With data from five replicated field studies from three countries, we examined how species richness of wild bees varies with habitat patch size. We hypothesized that the form of this relationship is affected by body size, degree of host plant specialization and sociality. Across all species, we found a positive species–area slope (z = 0.19), and species traits modified this relationship. Large-bodied generalists had a lower z value than small generalists. Contrary to predictions, small specialists had similar or slightly lower z value compared with large specialists, and small generalists also tended to be more strongly affected by habitat loss as compared with small specialists. Social bees were negatively affected by habitat loss (z = 0.11) irrespective of body size. We conclude that habitat loss leads to clear shifts in the species composition of wild bee communities.","container-title":"Proceedings of the Royal Society B: Biological Sciences","DOI":"10.1098/rspb.2009.2221","ISSN":"0962-8452","issue":"1690","journalAbbreviation":"Proc Biol Sci","note":"PMID: 20219735\nPMCID: PMC2880091","page":"2075-2082","source":"PubMed Central","title":"Dispersal capacity and diet breadth modify the response of wild bees to habitat loss","volume":"277","author":[{"family":"Bommarco","given":"Riccardo"},{"family":"Biesmeijer","given":"Jacobus C."},{"family":"Meyer","given":"Birgit"},{"family":"Potts","given":"Simon G."},{"family":"Pöyry","given":"Juha"},{"family":"Roberts","given":"Stuart P. M."},{"family":"Steffan-Dewenter","given":"Ingolf"},{"family":"Öckinger","given":"Erik"}],"issued":{"date-parts":[["2010",7,7]]}}}],"schema":"https://github.com/citation-style-language/schema/raw/master/csl-citation.json"}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(Bommarco et al., 2010)</w:t>
      </w:r>
      <w:r w:rsidRPr="000C7549">
        <w:rPr>
          <w:rFonts w:ascii="Arial" w:hAnsi="Arial" w:cs="Arial"/>
          <w:color w:val="000000" w:themeColor="text1"/>
        </w:rPr>
        <w:fldChar w:fldCharType="end"/>
      </w:r>
      <w:r w:rsidRPr="000C7549">
        <w:rPr>
          <w:rFonts w:ascii="Arial" w:hAnsi="Arial" w:cs="Arial"/>
          <w:color w:val="000000" w:themeColor="text1"/>
        </w:rPr>
        <w:t xml:space="preserve">, but no data is available to compare individual species populations or nests to determine which groups outperform others. Finally, </w:t>
      </w:r>
      <w:proofErr w:type="spellStart"/>
      <w:r w:rsidRPr="000C7549">
        <w:rPr>
          <w:rFonts w:ascii="Arial" w:hAnsi="Arial" w:cs="Arial"/>
          <w:color w:val="000000" w:themeColor="text1"/>
        </w:rPr>
        <w:t>kleptoparasitic</w:t>
      </w:r>
      <w:proofErr w:type="spellEnd"/>
      <w:r w:rsidRPr="000C7549">
        <w:rPr>
          <w:rFonts w:ascii="Arial" w:hAnsi="Arial" w:cs="Arial"/>
          <w:color w:val="000000" w:themeColor="text1"/>
        </w:rPr>
        <w:t xml:space="preserve"> bees were not found to be impacted by reduced habitat or homogenous landscapes, as compared to non-parasitic species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{"citationID":"mTjBL0qN","properties":{"formattedCitation":"(B. Jauker et al., 2013)","plainCitation":"(B. Jauker et al., 2013)","dontUpdate":true,"noteIndex":0},"citationItems":[{"id":707,"uris":["http://zotero.org/users/6034784/items/S6M6V2YI"],"uri":["http://zotero.org/users/6034784/items/S6M6V2YI"],"itemData":{"id":707,"type":"article-journal","abstract":"To gain insight into the drivers of pollinator loss, a holistic approach to land-use change including habitat size, isolation, habitat quality and the surrounding landscape matrix is necessary. Moreover, species’ responses to land-use change may differ depending on their life history traits such as dispersal ability, trophic level, or sociality. We assessed species richness and life history traits of wild bees in 32 calcareous grasslands in central Germany that differ in size, connectivity, resource availability and landscape context. Declining habitat area and, to a lesser degree, reduced diversity of the surrounding landscape were the key factors negatively influencing species richness. In the community-wide analysis, small body size and solitary reproduction were traits that made species particularly vulnerable to habitat loss. Contrary to our expectations, cleptoparasitic species were not more affected by reduced habitat area and landscape diversity than nest-building species. We performed further detailed trait analyses within the family Halictidae to prevent possible confounding effects due to trait correlations across families. Here, social as opposed to solitary species were more affected by habitat loss. We conclude that the opposite pattern observed for all social bees was mainly caused by large-sized social bumblebee species with high mobility and large foraging distances. Our results demonstrate the risks of concealed trait interference when analyzing community-wide patterns of life history traits. As a consequence, conservation requirements of small social bee species might be overlooked by generalizations from community responses.","container-title":"Landscape Ecology","DOI":"10.1007/s10980-012-9820-6","ISSN":"1572-9761","issue":"1","journalAbbreviation":"Landscape Ecol","language":"en","page":"107-120","source":"Springer Link","title":"Linking life history traits to pollinator loss in fragmented calcareous grasslands","volume":"28","author":[{"family":"Jauker","given":"Birgit"},{"family":"Krauss","given":"Jochen"},{"family":"Jauker","given":"Frank"},{"family":"Steffan-Dewenter","given":"Ingolf"}],"issued":{"date-parts":[["2013",1,1]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(Jauker et al., 2013)</w:t>
      </w:r>
      <w:r w:rsidRPr="000C7549">
        <w:rPr>
          <w:rFonts w:ascii="Arial" w:hAnsi="Arial" w:cs="Arial"/>
          <w:color w:val="000000" w:themeColor="text1"/>
        </w:rPr>
        <w:fldChar w:fldCharType="end"/>
      </w:r>
      <w:r w:rsidRPr="000C7549">
        <w:rPr>
          <w:rFonts w:ascii="Arial" w:hAnsi="Arial" w:cs="Arial"/>
          <w:color w:val="000000" w:themeColor="text1"/>
        </w:rPr>
        <w:t xml:space="preserve">. The stability of parasitic bee populations may further negatively impact the already vulnerable solitary species.  </w:t>
      </w:r>
    </w:p>
    <w:p w14:paraId="4FB1D29B" w14:textId="0B3EDD1C" w:rsidR="003E62F2" w:rsidRPr="000C7549" w:rsidRDefault="003E62F2" w:rsidP="003E62F2">
      <w:pPr>
        <w:spacing w:line="480" w:lineRule="auto"/>
        <w:ind w:firstLine="720"/>
        <w:rPr>
          <w:rFonts w:ascii="Arial" w:hAnsi="Arial" w:cs="Arial"/>
          <w:color w:val="000000" w:themeColor="text1"/>
        </w:rPr>
      </w:pPr>
      <w:r w:rsidRPr="000C7549">
        <w:rPr>
          <w:rFonts w:ascii="Arial" w:hAnsi="Arial" w:cs="Arial"/>
          <w:bCs/>
          <w:color w:val="000000" w:themeColor="text1"/>
        </w:rPr>
        <w:t xml:space="preserve">Similar findings were reported in urban areas, where certain individual bee groups were found in higher numbers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{"citationID":"P8sFti9Z","properties":{"formattedCitation":"(Cardoso &amp; Gon\\uc0\\u231{}alves, 2018)","plainCitation":"(Cardoso &amp; Gonçalves, 2018)","noteIndex":0},"citationItems":[{"id":808,"uris":["http://zotero.org/users/6034784/items/KG6XWQDH"],"uri":["http://zotero.org/users/6034784/items/KG6XWQDH"],"itemData":{"id":808,"type":"article-journal","abstract":"Urban ecosystems are growing rapidly and urbanization is an important cause of the loss of biodiversity. Bees are declining in abundance worldwide, including urban areas, and this decline is alarming because of their global importance as plant pollinators. Here we examine that decline by comparing a bee assemblage sampled in the 1980s and again in 2015, in an urban area of the city of Curitiba. Both studies sampled assemblages with hand-nets every two weeks during one year of study. Bee species richness has declined by 45% (112 species then, 63 today). Two species that have disappeared, Gaesischia fulgurans (Holmberg, 1903) and Thectochlora basiatra (Strand, 1910), have also disappeared elsewhere in the city. Also, relative abundances of species have changed, notably with the increase of social bees. Large bees that nest in cavities have also increased relative to small bees that nest in the ground. These findings are similar with previous reports indicating the sensibility of bees to urbanization. The increase in paved areas, in urban population and in exotic plants are all probably responsible for the sharp decline in bee diversity and abundance.","container-title":"Urban Ecosystems","DOI":"10.1007/s11252-018-0773-7","ISSN":"1573-1642","issue":"5","journalAbbreviation":"Urban Ecosyst","language":"en","page":"943-949","source":"Springer Link","title":"Reduction by half: the impact on bees of 34 years of urbanization","title-short":"Reduction by half","volume":"21","author":[{"family":"Cardoso","given":"Marina Candido"},{"family":"Gonçalves","given":"Rodrigo Barbosa"}],"issued":{"date-parts":[["2018",10,1]]}}}],"schema":"https://github.com/citation-style-language/schema/raw/master/csl-citation.json"}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color w:val="000000"/>
        </w:rPr>
        <w:t>(Cardoso &amp; Gonçalves, 2018)</w:t>
      </w:r>
      <w:r w:rsidRPr="000C7549">
        <w:rPr>
          <w:rFonts w:ascii="Arial" w:hAnsi="Arial" w:cs="Arial"/>
          <w:bCs/>
          <w:color w:val="000000" w:themeColor="text1"/>
        </w:rPr>
        <w:fldChar w:fldCharType="end"/>
      </w:r>
      <w:r w:rsidRPr="000C7549">
        <w:rPr>
          <w:rFonts w:ascii="Arial" w:hAnsi="Arial" w:cs="Arial"/>
          <w:bCs/>
          <w:color w:val="000000" w:themeColor="text1"/>
        </w:rPr>
        <w:t xml:space="preserve">. </w:t>
      </w:r>
      <w:r w:rsidRPr="000C7549">
        <w:rPr>
          <w:rFonts w:ascii="Arial" w:hAnsi="Arial" w:cs="Arial"/>
          <w:color w:val="000000" w:themeColor="text1"/>
        </w:rPr>
        <w:t xml:space="preserve">Urban area studies are critical as urbanization is the leading driver behind local extinction rates and losses in native species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{"citationID":"90wNi259","properties":{"formattedCitation":"(McKinney, 2002)","plainCitation":"(McKinney, 2002)","noteIndex":0},"citationItems":[{"id":869,"uris":["http://zotero.org/users/6034784/items/E35SD7SS"],"uri":["http://zotero.org/users/6034784/items/E35SD7SS"],"itemData":{"id":869,"type":"article-journal","container-title":"BioScience","DOI":"10.1641/0006-3568(2002)052[0883:UBAC]2.0.CO;2","ISSN":"0006-3568","issue":"10","journalAbbreviation":"BioScience","page":"883-890","source":"Silverchair","title":"Urbanization, Biodiversity, and Conservation: The impacts of urbanization on native species are poorly studied, but educating a highly urbanized human population about these impacts can greatly improve species conservation in all ecosystems","title-short":"Urbanization, Biodiversity, and Conservation","volume":"52","author":[{"family":"McKinney","given":"Michael L."}],"issued":{"date-parts":[["2002",10,1]]}}}],"schema":"https://github.com/citation-style-language/schema/raw/master/csl-citation.json"}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(McKinney, 2002)</w:t>
      </w:r>
      <w:r w:rsidRPr="000C7549">
        <w:rPr>
          <w:rFonts w:ascii="Arial" w:hAnsi="Arial" w:cs="Arial"/>
          <w:color w:val="000000" w:themeColor="text1"/>
        </w:rPr>
        <w:fldChar w:fldCharType="end"/>
      </w:r>
      <w:r w:rsidRPr="000C7549">
        <w:rPr>
          <w:rFonts w:ascii="Arial" w:hAnsi="Arial" w:cs="Arial"/>
          <w:color w:val="000000" w:themeColor="text1"/>
        </w:rPr>
        <w:t xml:space="preserve">. Due to the nature of development, negative effects of urbanization have long-term implications. Buildings and roads generally maintain their original land use for extended amounts of time and are rarely converted back to green areas. Alternatively, undeveloped areas within cities, such as parks or green areas that may foster pollinators are usually the first to be converted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{"citationID":"PYkaGuxW","properties":{"formattedCitation":"(McFrederick &amp; LeBuhn, 2006)","plainCitation":"(McFrederick &amp; LeBuhn, 2006)","noteIndex":0},"citationItems":[{"id":872,"uris":["http://zotero.org/users/6034784/items/H3EPUIHP"],"uri":["http://zotero.org/users/6034784/items/H3EPUIHP"],"itemData":{"id":872,"type":"article-journal","abstract":"Declines in bee populations have been documented in several parts of the world. Bees are dependent upon flowering plants for resources, and flowering plants often depend upon bees for pollination services. Bees can therefore serve as indicator species of habitat degradation due to these relationships with flowering plants. This study investigates how the bumble bee community in San Francisco has responded to urbanization and which urban park characteristics are important for the current community’s structure. To answer these questions we sampled bumble bees, in 18 urban parks and two nearby wild parks. We estimated park characteristics and used multiple regression analysis to determine which characteristics predicted bumble bee abundance and species richness. Bumble bee abundance was positively associated with resource availability or proxies of resource availability; “natural area” (areas that contain remnant fragments that have been largely unchanged by human activity) in 2003 and nest site abundance and openness of the surrounding matrix in both 2003 and 2004. Bumble bee species richness was negatively associated with abundance of a dominant species, Bombus vosnesenskii, in 2004. The importance of the surrounding matrix suggests that these parks do not act as islands. Accordingly, area of park did not explain species richness, while abundance of the dominant competitor did. The species that was most influenced by competition, Bombus sitkensis, uses rodent holes as nest sites and is possibly excluded from nest sites by the early emerging B. vosnesenskii, another subterranean nester. The species least influenced by competition, Bombus melanopygus, is able to use both rodent holes and abandoned bird nests as nest sites.","container-title":"Biological Conservation","DOI":"10.1016/j.biocon.2005.11.004","ISSN":"0006-3207","issue":"3","journalAbbreviation":"Biological Conservation","language":"en","page":"372-382","source":"ScienceDirect","title":"Are urban parks refuges for bumble bees Bombus spp. (Hymenoptera: Apidae)?","title-short":"Are urban parks refuges for bumble bees Bombus spp. (Hymenoptera","volume":"129","author":[{"family":"McFrederick","given":"Quinn S."},{"family":"LeBuhn","given":"Gretchen"}],"issued":{"date-parts":[["2006",5,1]]}}}],"schema":"https://github.com/citation-style-language/schema/raw/master/csl-citation.json"}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(McFrederick &amp; LeBuhn, 2006)</w:t>
      </w:r>
      <w:r w:rsidRPr="000C7549">
        <w:rPr>
          <w:rFonts w:ascii="Arial" w:hAnsi="Arial" w:cs="Arial"/>
          <w:color w:val="000000" w:themeColor="text1"/>
        </w:rPr>
        <w:fldChar w:fldCharType="end"/>
      </w:r>
      <w:r w:rsidRPr="000C7549">
        <w:rPr>
          <w:rFonts w:ascii="Arial" w:hAnsi="Arial" w:cs="Arial"/>
          <w:color w:val="000000" w:themeColor="text1"/>
        </w:rPr>
        <w:t xml:space="preserve">. Although development is replacing natural areas, in a review of bees in urban landscapes, </w:t>
      </w:r>
      <w:r w:rsidRPr="000C7549">
        <w:rPr>
          <w:rFonts w:ascii="Arial" w:hAnsi="Arial" w:cs="Arial"/>
          <w:color w:val="000000" w:themeColor="text1"/>
        </w:rPr>
        <w:fldChar w:fldCharType="begin"/>
      </w:r>
      <w:r w:rsidR="00EE5B67">
        <w:rPr>
          <w:rFonts w:ascii="Arial" w:hAnsi="Arial" w:cs="Arial"/>
          <w:color w:val="000000" w:themeColor="text1"/>
        </w:rPr>
        <w:instrText xml:space="preserve"> ADDIN ZOTERO_ITEM CSL_CITATION {"citationID":"T2JuXciP","properties":{"formattedCitation":"(Hall et al., 2017)","plainCitation":"(Hall et al., 2017)","dontUpdate":true,"noteIndex":0},"citationItems":[{"id":"FJJlbcfR/NkPrSUry","uris":["http://zotero.org/users/6034784/items/VZFY3LRL"],"uri":["http://zotero.org/users/6034784/items/VZFY3LRL"],"itemData":{"id":444,"type":"article-journal","abstract":"Research on urban insect pollinators is changing views on the biological value and ecological importance of cities. The abundance and diversity of native bee species in urban landscapes that are absent in nearby rural lands evidence the biological value and ecological importance of cities and have implications for biodiversity conservation. Lagging behind this revised image of the city are urban conservation programs that historically have invested in education and outreach rather than programs designed to achieve high-priority species conservation results. We synthesized research on urban bee species diversity and abundance to determine how urban conservation could be repositioned to better align with new views on the ecological importance of urban landscapes. Due to insect pollinators’ relatively small functional requirements—habitat range, life cycle, and nesting behavior—relative to larger mammals, we argue that pollinators put high-priority and high-impact urban conservation within reach. In a rapidly urbanizing world, transforming how environmental managers view the city can improve citizen engagement and contribute to the development of more sustainable urbanization.","container-title":"Conservation Biology","DOI":"https://doi.org/10.1111/cobi.12840","ISSN":"1523-1739","issue":"1","language":"es","note":"_eprint: https://conbio.onlinelibrary.wiley.com/doi/pdf/10.1111/cobi.12840","page":"24-29","source":"Wiley Online Library","title":"The city as a refuge for insect pollinators","volume":"31","author":[{"family":"Hall","given":"Damon M."},{"family":"Camilo","given":"Gerardo R."},{"family":"Tonietto","given":"Rebecca K."},{"family":"Ollerton","given":"Jeff"},{"family":"Ahrné","given":"Karin"},{"family":"Arduser","given":"Mike"},{"family":"Ascher","given":"John S."},{"family":"Baldock","given":"Katherine C. R."},{"family":"Fowler","given":"Robert"},{"family":"Frankie","given":"Gordon"},{"family":"Goulson","given":"Dave"},{"family":"Gunnarsson","given":"Bengt"},{"family":"Hanley","given":"Mick E."},{"family":"Jackson","given":"Janet I."},{"family":"Langellotto","given":"Gail"},{"family":"Lowenstein","given":"David"},{"family":"Minor","given":"Emily S."},{"family":"Philpott","given":"Stacy M."},{"family":"Potts","given":"Simon G."},{"family":"Sirohi","given":"Muzafar H."},{"family":"Spevak","given":"Edward M."},{"family":"Stone","given":"Graham N."},{"family":"Threlfall","given":"Caragh G."}],"issued":{"date-parts":[["2017"]]}}}],"schema":"https://github.com/citation-style-language/schema/raw/master/csl-citation.json"}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Hall et al., (2017)</w:t>
      </w:r>
      <w:r w:rsidRPr="000C7549">
        <w:rPr>
          <w:rFonts w:ascii="Arial" w:hAnsi="Arial" w:cs="Arial"/>
          <w:color w:val="000000" w:themeColor="text1"/>
        </w:rPr>
        <w:fldChar w:fldCharType="end"/>
      </w:r>
      <w:r w:rsidRPr="000C7549">
        <w:rPr>
          <w:rFonts w:ascii="Arial" w:hAnsi="Arial" w:cs="Arial"/>
          <w:color w:val="000000" w:themeColor="text1"/>
        </w:rPr>
        <w:t xml:space="preserve"> found global evidence of native bee richness and abundance in cities. Even in studies that did not find increased native bee richness or abundance in urban areas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{"citationID":"RCHWWi7K","properties":{"formattedCitation":"(Bates et al., 2011; Cardoso &amp; Gon\\uc0\\u231{}alves, 2018; Hernandez et al., 2009)","plainCitation":"(Bates et al., 2011; Cardoso &amp; Gonçalves, 2018; Hernandez et al., 2009)","noteIndex":0},"citationItems":[{"id":877,"uris":["http://zotero.org/users/6034784/items/LS22I9JZ"],"uri":["http://zotero.org/users/6034784/items/LS22I9JZ"],"itemData":{"id":877,"type":"article-journal","abstract":"Background The potential for reduced pollination ecosystem service due to global declines of bees and other pollinators is cause for considerable concern. Habitat degradation, destruction and fragmentation due to agricultural intensification have historically been the main causes of this pollinator decline. However, despite increasing and accelerating levels of global urbanization, very little research has investigated the effects of urbanization on pollinator assemblages. We assessed changes in the diversity, abundance and species composition of bee and hoverfly pollinator assemblages in urban, suburban, and rural sites across a UK city. Methodology/Principal Findings Bees and hoverflies were trapped and netted at 24 sites of similar habitat character (churchyards and cemeteries) that varied in position along a gradient of urbanization. Local habitat quality (altitude, shelter from wind, diversity and abundance of flowers), and the broader-scale degree of urbanization (e.g. percentage of built landscape and gardens within 100 m, 250 m, 500 m, 1 km, and 2.5 km of the site) were assessed for each study site. The diversity and abundance of pollinators were both significantly negatively associated with higher levels of urbanization. Assemblage composition changed along the urbanization gradient with some species positively associated with urban and suburban land-use, but more species negatively so. Pollinator assemblages were positively affected by good site habitat quality, in particular the availability of flowering plants. Conclusions/Significance Our results show that urban areas can support diverse pollinator assemblages, but that this capacity is strongly affected by local habitat quality. Nonetheless, in both urban and suburban areas of the city the assemblages had fewer individuals and lower diversity than similar rural habitats. The unique development histories of different urban areas, and the difficulty of assessing mobile pollinator assemblages in just part of their range, mean that complementary studies in different cities and urban habitats are required to discover if these findings are more widely applicable.","container-title":"PLOS ONE","DOI":"10.1371/journal.pone.0023459","ISSN":"1932-6203","issue":"8","journalAbbreviation":"PLOS ONE","language":"en","note":"publisher: Public Library of Science","page":"e23459","source":"PLoS Journals","title":"Changing Bee and Hoverfly Pollinator Assemblages along an Urban-Rural Gradient","volume":"6","author":[{"family":"Bates","given":"Adam J."},{"family":"Sadler","given":"Jon P."},{"family":"Fairbrass","given":"Alison J."},{"family":"Falk","given":"Steven J."},{"family":"Hale","given":"James D."},{"family":"Matthews","given":"Tom J."}],"issued":{"date-parts":[["2011",8,12]]}}},{"id":808,"uris":["http://zotero.org/users/6034784/items/KG6XWQDH"],"uri":["http://zotero.org/users/6034784/items/KG6XWQDH"],"itemData":{"id":808,"type":"article-journal","abstract":"Urban ecosystems are growing rapidly and urbanization is an important cause of the loss of biodiversity. Bees are declining in abundance worldwide, including urban areas, and this decline is alarming because of their global importance as plant pollinators. Here we examine that decline by comparing a bee assemblage sampled in the 1980s and again in 2015, in an urban area of the city of Curitiba. Both studies sampled assemblages with hand-nets every two weeks during one year of study. Bee species richness has declined by 45% (112 species then, 63 today). Two species that have disappeared, Gaesischia fulgurans (Holmberg, 1903) and Thectochlora basiatra (Strand, 1910), have also disappeared elsewhere in the city. Also, relative abundances of species have changed, notably with the increase of social bees. Large bees that nest in cavities have also increased relative to small bees that nest in the ground. These findings are similar with previous reports indicating the sensibility of bees to urbanization. The increase in paved areas, in urban population and in exotic plants are all probably responsible for the sharp decline in bee diversity and abundance.","container-title":"Urban Ecosystems","DOI":"10.1007/s11252-018-0773-7","ISSN":"1573-1642","issue":"5","journalAbbreviation":"Urban Ecosyst","language":"en","page":"943-949","source":"Springer Link","title":"Reduction by half: the impact on bees of 34 years of urbanization","title-short":"Reduction by half","volume":"21","author":[{"family":"Cardoso","given":"Marina Candido"},{"family":"Gonçalves","given":"Rodrigo Barbosa"}],"issued":{"date-parts":[["2018",10,1]]}}},{"id":876,"uris":["http://zotero.org/users/6034784/items/XIJP4QHI"],"uri":["http://zotero.org/users/6034784/items/XIJP4QHI"],"itemData":{"id":876,"type":"article-journal","abstract":"Urban bee ecology is an emerging field that holds promise for advancing knowledge of bee community dynamics and promoting bee conservation. Published studies of bee communities in urban and suburban habitats are fewer than those documenting bees in agricultural and wildland settings. As land lost to urbanization is predicted to increase in coming years the necessity of studying urban bee populations is growing. We reviewed 59 publications on urban bee ecology with the following goals, to assess current knowledge, to highlight areas in need of further research, and to suggest applications of study findings to bee conservation. Identified trends in urban areas included the following, negative correlation between bee species richness and urban development, increase in abundance of cavity-nesters in urban habitats, and scarcity of floral specialists. Future directions for studying urban bee ecology include incorporation of landscape-scale assessments, conducting manipulative experiments and actively designing urban bee habitats.","container-title":"Cities and the Environment","DOI":"10.15365/cate.2132009","ISSN":"19327048","issue":"1","journalAbbreviation":"CATE","language":"en","page":"1-15","source":"DOI.org (Crossref)","title":"Ecology of Urban Bees: A Review of Current Knowledge and Directions for Future Study","title-short":"Ecology of Urban Bees","volume":"2","author":[{"family":"Hernandez","given":"Jennifer L."},{"family":"Frankie","given":"Gordon W."},{"family":"Thorp","given":"Robbin W."}],"issued":{"date-parts":[["2009"]]}}}],"schema":"https://github.com/citation-style-language/schema/raw/master/csl-citation.json"}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(Bates et al., 2011; Cardoso &amp; Gonçalves, 2018; Hernandez et al., 2009)</w:t>
      </w:r>
      <w:r w:rsidRPr="000C7549">
        <w:rPr>
          <w:rFonts w:ascii="Arial" w:hAnsi="Arial" w:cs="Arial"/>
          <w:color w:val="000000" w:themeColor="text1"/>
        </w:rPr>
        <w:fldChar w:fldCharType="end"/>
      </w:r>
      <w:r w:rsidRPr="000C7549">
        <w:rPr>
          <w:rFonts w:ascii="Arial" w:hAnsi="Arial" w:cs="Arial"/>
          <w:color w:val="000000" w:themeColor="text1"/>
        </w:rPr>
        <w:t xml:space="preserve">, cavity nesting bees were found in greater abundance, overall, as compared to ground nesting bees and there were fewer floral specialists </w:t>
      </w:r>
      <w:r w:rsidRPr="000C7549">
        <w:rPr>
          <w:rFonts w:ascii="Arial" w:hAnsi="Arial" w:cs="Arial"/>
          <w:color w:val="000000" w:themeColor="text1"/>
        </w:rPr>
        <w:lastRenderedPageBreak/>
        <w:t xml:space="preserve">present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{"citationID":"UC7Mt42U","properties":{"formattedCitation":"(Bates et al., 2011; Cane, 2005; Cane et al., 2006; Cardoso &amp; Gon\\uc0\\u231{}alves, 2018; Matteson &amp; Langellotto, 2011)","plainCitation":"(Bates et al., 2011; Cane, 2005; Cane et al., 2006; Cardoso &amp; Gonçalves, 2018; Matteson &amp; Langellotto, 2011)","noteIndex":0},"citationItems":[{"id":877,"uris":["http://zotero.org/users/6034784/items/LS22I9JZ"],"uri":["http://zotero.org/users/6034784/items/LS22I9JZ"],"itemData":{"id":877,"type":"article-journal","abstract":"Background The potential for reduced pollination ecosystem service due to global declines of bees and other pollinators is cause for considerable concern. Habitat degradation, destruction and fragmentation due to agricultural intensification have historically been the main causes of this pollinator decline. However, despite increasing and accelerating levels of global urbanization, very little research has investigated the effects of urbanization on pollinator assemblages. We assessed changes in the diversity, abundance and species composition of bee and hoverfly pollinator assemblages in urban, suburban, and rural sites across a UK city. Methodology/Principal Findings Bees and hoverflies were trapped and netted at 24 sites of similar habitat character (churchyards and cemeteries) that varied in position along a gradient of urbanization. Local habitat quality (altitude, shelter from wind, diversity and abundance of flowers), and the broader-scale degree of urbanization (e.g. percentage of built landscape and gardens within 100 m, 250 m, 500 m, 1 km, and 2.5 km of the site) were assessed for each study site. The diversity and abundance of pollinators were both significantly negatively associated with higher levels of urbanization. Assemblage composition changed along the urbanization gradient with some species positively associated with urban and suburban land-use, but more species negatively so. Pollinator assemblages were positively affected by good site habitat quality, in particular the availability of flowering plants. Conclusions/Significance Our results show that urban areas can support diverse pollinator assemblages, but that this capacity is strongly affected by local habitat quality. Nonetheless, in both urban and suburban areas of the city the assemblages had fewer individuals and lower diversity than similar rural habitats. The unique development histories of different urban areas, and the difficulty of assessing mobile pollinator assemblages in just part of their range, mean that complementary studies in different cities and urban habitats are required to discover if these findings are more widely applicable.","container-title":"PLOS ONE","DOI":"10.1371/journal.pone.0023459","ISSN":"1932-6203","issue":"8","journalAbbreviation":"PLOS ONE","language":"en","note":"publisher: Public Library of Science","page":"e23459","source":"PLoS Journals","title":"Changing Bee and Hoverfly Pollinator Assemblages along an Urban-Rural Gradient","volume":"6","author":[{"family":"Bates","given":"Adam J."},{"family":"Sadler","given":"Jon P."},{"family":"Fairbrass","given":"Alison J."},{"family":"Falk","given":"Steven J."},{"family":"Hale","given":"James D."},{"family":"Matthews","given":"Tom J."}],"issued":{"date-parts":[["2011",8,12]]}}},{"id":813,"uris":["http://zotero.org/users/6034784/items/WPIBHRFS"],"uri":["http://zotero.org/users/6034784/items/WPIBHRFS"],"itemData":{"id":813,"type":"chapter","container-title":"Nature in Fragments: the Legacy of Sprawl","page":"109–124","publisher":"Columbia University Press","source":"Google Scholar","title":"Bees, Pollination, and the Challenges of Sprawl","author":[{"family":"Cane","given":"James H."}],"issued":{"date-parts":[["2005"]]}}},{"id":812,"uris":["http://zotero.org/users/6034784/items/WF6QKZN9"],"uri":["http://zotero.org/users/6034784/items/WF6QKZN9"],"itemData":{"id":812,"type":"article-journal","container-title":"Ecological Applications","issue":"2","note":"publisher: Wiley Online Library","page":"632–644","source":"Google Scholar","title":"Complex responses within a desert bee guild (Hymenoptera: Apiformes) to urban habitat fragmentation","title-short":"Complex responses within a desert bee guild (Hymenoptera","volume":"16","author":[{"family":"Cane","given":"James H."},{"family":"Minckley","given":"Robert L."},{"family":"Kervin","given":"Linda J."},{"family":"Roulston","given":"T'ai H."},{"family":"Williams","given":"Neal M."}],"issued":{"date-parts":[["2006"]]}}},{"id":808,"uris":["http://zotero.org/users/6034784/items/KG6XWQDH"],"uri":["http://zotero.org/users/6034784/items/KG6XWQDH"],"itemData":{"id":808,"type":"article-journal","abstract":"Urban ecosystems are growing rapidly and urbanization is an important cause of the loss of biodiversity. Bees are declining in abundance worldwide, including urban areas, and this decline is alarming because of their global importance as plant pollinators. Here we examine that decline by comparing a bee assemblage sampled in the 1980s and again in 2015, in an urban area of the city of Curitiba. Both studies sampled assemblages with hand-nets every two weeks during one year of study. Bee species richness has declined by 45% (112 species then, 63 today). Two species that have disappeared, Gaesischia fulgurans (Holmberg, 1903) and Thectochlora basiatra (Strand, 1910), have also disappeared elsewhere in the city. Also, relative abundances of species have changed, notably with the increase of social bees. Large bees that nest in cavities have also increased relative to small bees that nest in the ground. These findings are similar with previous reports indicating the sensibility of bees to urbanization. The increase in paved areas, in urban population and in exotic plants are all probably responsible for the sharp decline in bee diversity and abundance.","container-title":"Urban Ecosystems","DOI":"10.1007/s11252-018-0773-7","ISSN":"1573-1642","issue":"5","journalAbbreviation":"Urban Ecosyst","language":"en","page":"943-949","source":"Springer Link","title":"Reduction by half: the impact on bees of 34 years of urbanization","title-short":"Reduction by half","volume":"21","author":[{"family":"Cardoso","given":"Marina Candido"},{"family":"Gonçalves","given":"Rodrigo Barbosa"}],"issued":{"date-parts":[["2018",10,1]]}}},{"id":790,"uris":["http://zotero.org/users/6034784/items/IWQZWGIH"],"uri":["http://zotero.org/users/6034784/items/IWQZWGIH"],"itemData":{"id":790,"type":"article-journal","abstract":"Abstract. 1. Despite increasing interest in gardening for wildlife, experiments testing the conservation value of garden alterations are scarce, particularly in heavily urbanised landscapes. 2. In this paper, we assess the ability of discrete additions of native wildflowers (70 plants of seven plant species added and subsequently monitored for 2 years) to augment species richness of beneficial insects including bees, butterflies and predatory wasps in New York City community gardens. We also evaluate the overall use of native and introduced flowers by these insect groups in the urban garden study sites. 3. Bayesian analyses failed to find a strong influence of the native plant additions on beneficial insect richness, after correcting for prior floral abundance. 4. In addition, butterflies and megachilid (leaf-cutter) bees were found to heavily utilise introduced ornamental and crop flowers in these gardens, even when native flowers were present. 5. Our results suggest that exotic garden plants are utilised by, and important in maintaining richness of, beneficial insects in urbanised landscapes. Furthermore, garden manipulations need to be more substantial than often recommended, if they are to significantly influence the richness of beneficial insects in urban gardens.","container-title":"Insect Conservation and Diversity","DOI":"https://doi.org/10.1111/j.1752-4598.2010.00103.x","ISSN":"1752-4598","issue":"2","language":"en","note":"_eprint: https://onlinelibrary.wiley.com/doi/pdf/10.1111/j.1752-4598.2010.00103.x","page":"89-98","source":"Wiley Online Library","title":"Small scale additions of native plants fail to increase beneficial insect richness in urban gardens","volume":"4","author":[{"family":"Matteson","given":"Kevin C."},{"family":"Langellotto","given":"Gail A."}],"issued":{"date-parts":[["2011"]]}}}],"schema":"https://github.com/citation-style-language/schema/raw/master/csl-citation.json"}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(Bates et al., 2011; Cane, 2005; Cane et al., 2006; Cardoso &amp; Gonçalves, 2018; Matteson &amp; Langellotto, 2011)</w:t>
      </w:r>
      <w:r w:rsidRPr="000C7549">
        <w:rPr>
          <w:rFonts w:ascii="Arial" w:hAnsi="Arial" w:cs="Arial"/>
          <w:color w:val="000000" w:themeColor="text1"/>
        </w:rPr>
        <w:fldChar w:fldCharType="end"/>
      </w:r>
      <w:r w:rsidRPr="000C7549">
        <w:rPr>
          <w:rFonts w:ascii="Arial" w:hAnsi="Arial" w:cs="Arial"/>
          <w:color w:val="000000" w:themeColor="text1"/>
        </w:rPr>
        <w:t xml:space="preserve">. However, diversity has also been demonstrated to be negatively impacted by urbanization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{"citationID":"9OLqZV8s","properties":{"formattedCitation":"(Ahrn\\uc0\\u233{} et al., 2009; Kearns &amp; Oliveras, 2009; Matteson &amp; Langellotto, 2011)","plainCitation":"(Ahrné et al., 2009; Kearns &amp; Oliveras, 2009; Matteson &amp; Langellotto, 2011)","noteIndex":0},"citationItems":[{"id":882,"uris":["http://zotero.org/users/6034784/items/7WLMPLBI"],"uri":["http://zotero.org/users/6034784/items/7WLMPLBI"],"itemData":{"id":882,"type":"article-journal","abstract":"Background Bumble bees and other wild bees are important pollinators of wild flowers and several cultivated crop plants, and have declined in diversity and abundance during the last decades. The main cause of the decline is believed to be habitat destruction and fragmentation associated with urbanization and agricultural intensification. Urbanization is a process that involves dramatic and persistent changes of the landscape, increasing the amount of built-up areas while decreasing the amount of green areas. However, urban green areas can also provide suitable alternative habitats for wild bees. Methodology/Principal Findings We studied bumble bees in allotment gardens, i.e. intensively managed flower rich green areas, along a gradient of urbanization from the inner city of Stockholm towards more rural (periurban) areas. Keeping habitat quality similar along the urbanization gradient allowed us to separate the effect of landscape change (e.g. proportion impervious surface) from variation in habitat quality. Bumble bee diversity (after rarefaction to 25 individuals) decreased with increasing urbanization, from around eight species on sites in more rural areas to between five and six species in urban allotment gardens. Bumble bee abundance and species composition were most affected by qualities related to the management of the allotment areas, such as local flower abundance. The variability in bumble bee visits between allotment gardens was higher in an urban than in a periurban context, particularly among small and long-tongued bumble bee species. Conclusions/Significance Our results suggest that allotment gardens and other urban green areas can serve as important alternatives to natural habitats for many bumble bee species, but that the surrounding urban landscape influences how many species that will be present. The higher variability in abundance of certain species in the most urban areas may indicate a weaker reliability of the ecosystem service pollination in areas strongly influenced by human activity.","container-title":"PLOS ONE","DOI":"10.1371/journal.pone.0005574","ISSN":"1932-6203","issue":"5","journalAbbreviation":"PLOS ONE","language":"en","note":"publisher: Public Library of Science","page":"e5574","source":"PLoS Journals","title":"Bumble Bees (Bombus spp) along a Gradient of Increasing Urbanization","volume":"4","author":[{"family":"Ahrné","given":"Karin"},{"family":"Bengtsson","given":"Jan"},{"family":"Elmqvist","given":"Thomas"}],"issued":{"date-parts":[["2009",5,15]]}}},{"id":880,"uris":["http://zotero.org/users/6034784/items/WZSLJDMY"],"uri":["http://zotero.org/users/6034784/items/WZSLJDMY"],"itemData":{"id":880,"type":"article-journal","abstract":"Insects provide essential ecological services in both the natural environment and in human-dominated habitats. Because pollinator declines associated with land use change have been reported across the globe, there is great concern that pollinators and the ecosystem services they provide will be negatively affected. This study examines the diversity and abundance of bee pollinators in grasslands in Boulder County, Colorado, USA. Over five years, 5,200 bees were collected in grassland plots with different levels of urbanization. Most of the difference in species composition among three levels of urbanization was due to rare species that may not have been discovered in all plots. Neither the number of species nor their abundance differed significantly among the plot types, although the trend indicated increasing diversity with increasing distance from urbanization. Most notably, measures of urbanization, such as the amount of pavement and development, were not correlated with diversity. The most important factor affecting bee abundance, particularly for ground-nesting bees, was grazing regime. Bee abundance also was positively related to the number of flowering plant species. Other studies of different insects (grasshoppers and butterflies) in these plots showed results similar to ours. In contrast, previous studies on song-birds, raptors, and rodents showed significant differences between urban edge and remote plots in terms of organism abundance and diversity. Together, these results suggest that factors other than the degree of urbanization are important in determining insect abundance and diversity.","container-title":"Journal of Insect Conservation","DOI":"10.1007/s10841-009-9215-4","ISSN":"1572-9753","issue":"6","journalAbbreviation":"J Insect Conserv","language":"en","page":"655-665","source":"Springer Link","title":"Environmental factors affecting bee diversity in urban and remote grassland plots in Boulder, Colorado","volume":"13","author":[{"family":"Kearns","given":"Carol A."},{"family":"Oliveras","given":"Diana M."}],"issued":{"date-parts":[["2009",12,1]]}}},{"id":790,"uris":["http://zotero.org/users/6034784/items/IWQZWGIH"],"uri":["http://zotero.org/users/6034784/items/IWQZWGIH"],"itemData":{"id":790,"type":"article-journal","abstract":"Abstract. 1. Despite increasing interest in gardening for wildlife, experiments testing the conservation value of garden alterations are scarce, particularly in heavily urbanised landscapes. 2. In this paper, we assess the ability of discrete additions of native wildflowers (70 plants of seven plant species added and subsequently monitored for 2 years) to augment species richness of beneficial insects including bees, butterflies and predatory wasps in New York City community gardens. We also evaluate the overall use of native and introduced flowers by these insect groups in the urban garden study sites. 3. Bayesian analyses failed to find a strong influence of the native plant additions on beneficial insect richness, after correcting for prior floral abundance. 4. In addition, butterflies and megachilid (leaf-cutter) bees were found to heavily utilise introduced ornamental and crop flowers in these gardens, even when native flowers were present. 5. Our results suggest that exotic garden plants are utilised by, and important in maintaining richness of, beneficial insects in urbanised landscapes. Furthermore, garden manipulations need to be more substantial than often recommended, if they are to significantly influence the richness of beneficial insects in urban gardens.","container-title":"Insect Conservation and Diversity","DOI":"https://doi.org/10.1111/j.1752-4598.2010.00103.x","ISSN":"1752-4598","issue":"2","language":"en","note":"_eprint: https://onlinelibrary.wiley.com/doi/pdf/10.1111/j.1752-4598.2010.00103.x","page":"89-98","source":"Wiley Online Library","title":"Small scale additions of native plants fail to increase beneficial insect richness in urban gardens","volume":"4","author":[{"family":"Matteson","given":"Kevin C."},{"family":"Langellotto","given":"Gail A."}],"issued":{"date-parts":[["2011"]]}}}],"schema":"https://github.com/citation-style-language/schema/raw/master/csl-citation.json"}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(Ahrné et al., 2009; Kearns &amp; Oliveras, 2009; Matteson &amp; Langellotto, 2011)</w:t>
      </w:r>
      <w:r w:rsidRPr="000C7549">
        <w:rPr>
          <w:rFonts w:ascii="Arial" w:hAnsi="Arial" w:cs="Arial"/>
          <w:color w:val="000000" w:themeColor="text1"/>
        </w:rPr>
        <w:fldChar w:fldCharType="end"/>
      </w:r>
      <w:r w:rsidRPr="000C7549">
        <w:rPr>
          <w:rFonts w:ascii="Arial" w:hAnsi="Arial" w:cs="Arial"/>
          <w:color w:val="000000" w:themeColor="text1"/>
        </w:rPr>
        <w:t xml:space="preserve">. Other studies point to resource availability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{"citationID":"kzaj8anC","properties":{"formattedCitation":"(Ahrn\\uc0\\u233{} et al., 2009; Kearns &amp; Oliveras, 2009; McFrederick &amp; LeBuhn, 2006)","plainCitation":"(Ahrné et al., 2009; Kearns &amp; Oliveras, 2009; McFrederick &amp; LeBuhn, 2006)","noteIndex":0},"citationItems":[{"id":882,"uris":["http://zotero.org/users/6034784/items/7WLMPLBI"],"uri":["http://zotero.org/users/6034784/items/7WLMPLBI"],"itemData":{"id":882,"type":"article-journal","abstract":"Background Bumble bees and other wild bees are important pollinators of wild flowers and several cultivated crop plants, and have declined in diversity and abundance during the last decades. The main cause of the decline is believed to be habitat destruction and fragmentation associated with urbanization and agricultural intensification. Urbanization is a process that involves dramatic and persistent changes of the landscape, increasing the amount of built-up areas while decreasing the amount of green areas. However, urban green areas can also provide suitable alternative habitats for wild bees. Methodology/Principal Findings We studied bumble bees in allotment gardens, i.e. intensively managed flower rich green areas, along a gradient of urbanization from the inner city of Stockholm towards more rural (periurban) areas. Keeping habitat quality similar along the urbanization gradient allowed us to separate the effect of landscape change (e.g. proportion impervious surface) from variation in habitat quality. Bumble bee diversity (after rarefaction to 25 individuals) decreased with increasing urbanization, from around eight species on sites in more rural areas to between five and six species in urban allotment gardens. Bumble bee abundance and species composition were most affected by qualities related to the management of the allotment areas, such as local flower abundance. The variability in bumble bee visits between allotment gardens was higher in an urban than in a periurban context, particularly among small and long-tongued bumble bee species. Conclusions/Significance Our results suggest that allotment gardens and other urban green areas can serve as important alternatives to natural habitats for many bumble bee species, but that the surrounding urban landscape influences how many species that will be present. The higher variability in abundance of certain species in the most urban areas may indicate a weaker reliability of the ecosystem service pollination in areas strongly influenced by human activity.","container-title":"PLOS ONE","DOI":"10.1371/journal.pone.0005574","ISSN":"1932-6203","issue":"5","journalAbbreviation":"PLOS ONE","language":"en","note":"publisher: Public Library of Science","page":"e5574","source":"PLoS Journals","title":"Bumble Bees (Bombus spp) along a Gradient of Increasing Urbanization","volume":"4","author":[{"family":"Ahrné","given":"Karin"},{"family":"Bengtsson","given":"Jan"},{"family":"Elmqvist","given":"Thomas"}],"issued":{"date-parts":[["2009",5,15]]}}},{"id":880,"uris":["http://zotero.org/users/6034784/items/WZSLJDMY"],"uri":["http://zotero.org/users/6034784/items/WZSLJDMY"],"itemData":{"id":880,"type":"article-journal","abstract":"Insects provide essential ecological services in both the natural environment and in human-dominated habitats. Because pollinator declines associated with land use change have been reported across the globe, there is great concern that pollinators and the ecosystem services they provide will be negatively affected. This study examines the diversity and abundance of bee pollinators in grasslands in Boulder County, Colorado, USA. Over five years, 5,200 bees were collected in grassland plots with different levels of urbanization. Most of the difference in species composition among three levels of urbanization was due to rare species that may not have been discovered in all plots. Neither the number of species nor their abundance differed significantly among the plot types, although the trend indicated increasing diversity with increasing distance from urbanization. Most notably, measures of urbanization, such as the amount of pavement and development, were not correlated with diversity. The most important factor affecting bee abundance, particularly for ground-nesting bees, was grazing regime. Bee abundance also was positively related to the number of flowering plant species. Other studies of different insects (grasshoppers and butterflies) in these plots showed results similar to ours. In contrast, previous studies on song-birds, raptors, and rodents showed significant differences between urban edge and remote plots in terms of organism abundance and diversity. Together, these results suggest that factors other than the degree of urbanization are important in determining insect abundance and diversity.","container-title":"Journal of Insect Conservation","DOI":"10.1007/s10841-009-9215-4","ISSN":"1572-9753","issue":"6","journalAbbreviation":"J Insect Conserv","language":"en","page":"655-665","source":"Springer Link","title":"Environmental factors affecting bee diversity in urban and remote grassland plots in Boulder, Colorado","volume":"13","author":[{"family":"Kearns","given":"Carol A."},{"family":"Oliveras","given":"Diana M."}],"issued":{"date-parts":[["2009",12,1]]}}},{"id":872,"uris":["http://zotero.org/users/6034784/items/H3EPUIHP"],"uri":["http://zotero.org/users/6034784/items/H3EPUIHP"],"itemData":{"id":872,"type":"article-journal","abstract":"Declines in bee populations have been documented in several parts of the world. Bees are dependent upon flowering plants for resources, and flowering plants often depend upon bees for pollination services. Bees can therefore serve as indicator species of habitat degradation due to these relationships with flowering plants. This study investigates how the bumble bee community in San Francisco has responded to urbanization and which urban park characteristics are important for the current community’s structure. To answer these questions we sampled bumble bees, in 18 urban parks and two nearby wild parks. We estimated park characteristics and used multiple regression analysis to determine which characteristics predicted bumble bee abundance and species richness. Bumble bee abundance was positively associated with resource availability or proxies of resource availability; “natural area” (areas that contain remnant fragments that have been largely unchanged by human activity) in 2003 and nest site abundance and openness of the surrounding matrix in both 2003 and 2004. Bumble bee species richness was negatively associated with abundance of a dominant species, Bombus vosnesenskii, in 2004. The importance of the surrounding matrix suggests that these parks do not act as islands. Accordingly, area of park did not explain species richness, while abundance of the dominant competitor did. The species that was most influenced by competition, Bombus sitkensis, uses rodent holes as nest sites and is possibly excluded from nest sites by the early emerging B. vosnesenskii, another subterranean nester. The species least influenced by competition, Bombus melanopygus, is able to use both rodent holes and abandoned bird nests as nest sites.","container-title":"Biological Conservation","DOI":"10.1016/j.biocon.2005.11.004","ISSN":"0006-3207","issue":"3","journalAbbreviation":"Biological Conservation","language":"en","page":"372-382","source":"ScienceDirect","title":"Are urban parks refuges for bumble bees Bombus spp. (Hymenoptera: Apidae)?","title-short":"Are urban parks refuges for bumble bees Bombus spp. (Hymenoptera","volume":"129","author":[{"family":"McFrederick","given":"Quinn S."},{"family":"LeBuhn","given":"Gretchen"}],"issued":{"date-parts":[["2006",5,1]]}}}],"schema":"https://github.com/citation-style-language/schema/raw/master/csl-citation.json"}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(Ahrné et al., 2009; Kearns &amp; Oliveras, 2009; McFrederick &amp; LeBuhn, 2006)</w:t>
      </w:r>
      <w:r w:rsidRPr="000C7549">
        <w:rPr>
          <w:rFonts w:ascii="Arial" w:hAnsi="Arial" w:cs="Arial"/>
          <w:color w:val="000000" w:themeColor="text1"/>
        </w:rPr>
        <w:fldChar w:fldCharType="end"/>
      </w:r>
      <w:r w:rsidRPr="000C7549">
        <w:rPr>
          <w:rFonts w:ascii="Arial" w:hAnsi="Arial" w:cs="Arial"/>
          <w:color w:val="000000" w:themeColor="text1"/>
        </w:rPr>
        <w:t>, such as food and nesting, rather than development intensity, as one key driver of pollinator decline.</w:t>
      </w:r>
    </w:p>
    <w:p w14:paraId="73BA1D4F" w14:textId="77777777" w:rsidR="005D2387" w:rsidRDefault="003E62F2" w:rsidP="003E62F2">
      <w:pPr>
        <w:spacing w:line="480" w:lineRule="auto"/>
        <w:ind w:firstLine="720"/>
        <w:rPr>
          <w:rFonts w:ascii="Arial" w:hAnsi="Arial" w:cs="Arial"/>
          <w:bCs/>
          <w:color w:val="000000" w:themeColor="text1"/>
        </w:rPr>
      </w:pPr>
      <w:r w:rsidRPr="000C7549">
        <w:rPr>
          <w:rFonts w:ascii="Arial" w:hAnsi="Arial" w:cs="Arial"/>
          <w:color w:val="000000" w:themeColor="text1"/>
        </w:rPr>
        <w:t xml:space="preserve">Ground nesting bees may be in lower abundance in urbanized landscapes due to different nesting behavior, as compared to cavity nesting bees </w:t>
      </w:r>
      <w:r w:rsidRPr="000C7549">
        <w:rPr>
          <w:rFonts w:ascii="Arial" w:hAnsi="Arial" w:cs="Arial"/>
          <w:color w:val="000000"/>
        </w:rPr>
        <w:t xml:space="preserve">(Bates et al., 2011; Cane, 2005; Cane et al., 2006; Cardoso &amp; Gonçalves, 2018; Matteson &amp; </w:t>
      </w:r>
      <w:proofErr w:type="spellStart"/>
      <w:r w:rsidRPr="000C7549">
        <w:rPr>
          <w:rFonts w:ascii="Arial" w:hAnsi="Arial" w:cs="Arial"/>
          <w:color w:val="000000"/>
        </w:rPr>
        <w:t>Langellotto</w:t>
      </w:r>
      <w:proofErr w:type="spellEnd"/>
      <w:r w:rsidRPr="000C7549">
        <w:rPr>
          <w:rFonts w:ascii="Arial" w:hAnsi="Arial" w:cs="Arial"/>
          <w:color w:val="000000"/>
        </w:rPr>
        <w:t>)</w:t>
      </w:r>
      <w:r w:rsidRPr="000C7549">
        <w:rPr>
          <w:rFonts w:ascii="Arial" w:hAnsi="Arial" w:cs="Arial"/>
          <w:color w:val="000000" w:themeColor="text1"/>
        </w:rPr>
        <w:t xml:space="preserve">. Impervious surfaces, such as roads, sidewalks or parking lots, may prevent nest excavation for ground nesting bees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{"citationID":"phrWmrvD","properties":{"formattedCitation":"(Cardoso &amp; Gon\\uc0\\u231{}alves, 2018)","plainCitation":"(Cardoso &amp; Gonçalves, 2018)","noteIndex":0},"citationItems":[{"id":808,"uris":["http://zotero.org/users/6034784/items/KG6XWQDH"],"uri":["http://zotero.org/users/6034784/items/KG6XWQDH"],"itemData":{"id":808,"type":"article-journal","abstract":"Urban ecosystems are growing rapidly and urbanization is an important cause of the loss of biodiversity. Bees are declining in abundance worldwide, including urban areas, and this decline is alarming because of their global importance as plant pollinators. Here we examine that decline by comparing a bee assemblage sampled in the 1980s and again in 2015, in an urban area of the city of Curitiba. Both studies sampled assemblages with hand-nets every two weeks during one year of study. Bee species richness has declined by 45% (112 species then, 63 today). Two species that have disappeared, Gaesischia fulgurans (Holmberg, 1903) and Thectochlora basiatra (Strand, 1910), have also disappeared elsewhere in the city. Also, relative abundances of species have changed, notably with the increase of social bees. Large bees that nest in cavities have also increased relative to small bees that nest in the ground. These findings are similar with previous reports indicating the sensibility of bees to urbanization. The increase in paved areas, in urban population and in exotic plants are all probably responsible for the sharp decline in bee diversity and abundance.","container-title":"Urban Ecosystems","DOI":"10.1007/s11252-018-0773-7","ISSN":"1573-1642","issue":"5","journalAbbreviation":"Urban Ecosyst","language":"en","page":"943-949","source":"Springer Link","title":"Reduction by half: the impact on bees of 34 years of urbanization","title-short":"Reduction by half","volume":"21","author":[{"family":"Cardoso","given":"Marina Candido"},{"family":"Gonçalves","given":"Rodrigo Barbosa"}],"issued":{"date-parts":[["2018",10,1]]}}}],"schema":"https://github.com/citation-style-language/schema/raw/master/csl-citation.json"}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color w:val="000000"/>
        </w:rPr>
        <w:t>(Cardoso &amp; Gonçalves, 2018)</w:t>
      </w:r>
      <w:r w:rsidRPr="000C7549">
        <w:rPr>
          <w:rFonts w:ascii="Arial" w:hAnsi="Arial" w:cs="Arial"/>
          <w:color w:val="000000" w:themeColor="text1"/>
        </w:rPr>
        <w:fldChar w:fldCharType="end"/>
      </w:r>
      <w:r w:rsidRPr="000C7549">
        <w:rPr>
          <w:rFonts w:ascii="Arial" w:hAnsi="Arial" w:cs="Arial"/>
          <w:color w:val="000000" w:themeColor="text1"/>
        </w:rPr>
        <w:t xml:space="preserve">. The constant disturbance of mowing, weeding, seeding and removal of brush or debris might also make urban habitats less suitable for other pollinators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{"citationID":"TeLcVhke","properties":{"formattedCitation":"(McFrederick &amp; LeBuhn, 2006)","plainCitation":"(McFrederick &amp; LeBuhn, 2006)","noteIndex":0},"citationItems":[{"id":872,"uris":["http://zotero.org/users/6034784/items/H3EPUIHP"],"uri":["http://zotero.org/users/6034784/items/H3EPUIHP"],"itemData":{"id":872,"type":"article-journal","abstract":"Declines in bee populations have been documented in several parts of the world. Bees are dependent upon flowering plants for resources, and flowering plants often depend upon bees for pollination services. Bees can therefore serve as indicator species of habitat degradation due to these relationships with flowering plants. This study investigates how the bumble bee community in San Francisco has responded to urbanization and which urban park characteristics are important for the current community’s structure. To answer these questions we sampled bumble bees, in 18 urban parks and two nearby wild parks. We estimated park characteristics and used multiple regression analysis to determine which characteristics predicted bumble bee abundance and species richness. Bumble bee abundance was positively associated with resource availability or proxies of resource availability; “natural area” (areas that contain remnant fragments that have been largely unchanged by human activity) in 2003 and nest site abundance and openness of the surrounding matrix in both 2003 and 2004. Bumble bee species richness was negatively associated with abundance of a dominant species, Bombus vosnesenskii, in 2004. The importance of the surrounding matrix suggests that these parks do not act as islands. Accordingly, area of park did not explain species richness, while abundance of the dominant competitor did. The species that was most influenced by competition, Bombus sitkensis, uses rodent holes as nest sites and is possibly excluded from nest sites by the early emerging B. vosnesenskii, another subterranean nester. The species least influenced by competition, Bombus melanopygus, is able to use both rodent holes and abandoned bird nests as nest sites.","container-title":"Biological Conservation","DOI":"10.1016/j.biocon.2005.11.004","ISSN":"0006-3207","issue":"3","journalAbbreviation":"Biological Conservation","language":"en","page":"372-382","source":"ScienceDirect","title":"Are urban parks refuges for bumble bees Bombus spp. (Hymenoptera: Apidae)?","title-short":"Are urban parks refuges for bumble bees Bombus spp. (Hymenoptera","volume":"129","author":[{"family":"McFrederick","given":"Quinn S."},{"family":"LeBuhn","given":"Gretchen"}],"issued":{"date-parts":[["2006",5,1]]}}}],"schema":"https://github.com/citation-style-language/schema/raw/master/csl-citation.json"}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(McFrederick &amp; LeBuhn, 2006)</w:t>
      </w:r>
      <w:r w:rsidRPr="000C7549">
        <w:rPr>
          <w:rFonts w:ascii="Arial" w:hAnsi="Arial" w:cs="Arial"/>
          <w:color w:val="000000" w:themeColor="text1"/>
        </w:rPr>
        <w:fldChar w:fldCharType="end"/>
      </w:r>
      <w:r w:rsidRPr="000C7549">
        <w:rPr>
          <w:rFonts w:ascii="Arial" w:hAnsi="Arial" w:cs="Arial"/>
          <w:color w:val="000000" w:themeColor="text1"/>
        </w:rPr>
        <w:t xml:space="preserve">. On the other hand, cavity nesting bees can utilize a range of nesting habitats found in disturbed urban landscapes, such as weep holes in brickwork. In contrast, </w:t>
      </w:r>
      <w:r w:rsidRPr="000C7549">
        <w:rPr>
          <w:rFonts w:ascii="Arial" w:hAnsi="Arial" w:cs="Arial"/>
          <w:bCs/>
          <w:color w:val="000000" w:themeColor="text1"/>
        </w:rPr>
        <w:t xml:space="preserve">natural land cover can provide greater resource availability and connectivity between habitat patches and has been identified as providing crucial habitat for wild pollinators </w:t>
      </w:r>
      <w:r w:rsidRPr="000C7549">
        <w:rPr>
          <w:rFonts w:ascii="Arial" w:hAnsi="Arial" w:cs="Arial"/>
          <w:bCs/>
          <w:color w:val="000000" w:themeColor="text1"/>
        </w:rPr>
        <w:fldChar w:fldCharType="begin"/>
      </w:r>
      <w:r w:rsidRPr="000C7549">
        <w:rPr>
          <w:rFonts w:ascii="Arial" w:hAnsi="Arial" w:cs="Arial"/>
          <w:bCs/>
          <w:color w:val="000000" w:themeColor="text1"/>
        </w:rPr>
        <w:instrText xml:space="preserve"> ADDIN ZOTERO_ITEM CSL_CITATION {"citationID":"4l7Quswn","properties":{"formattedCitation":"(Lucas A. Garibaldi et al., 2011)","plainCitation":"(Lucas A. Garibaldi et al., 2011)","dontUpdate":true,"noteIndex":0},"citationItems":[{"id":839,"uris":["http://zotero.org/users/6034784/items/4HPGZCRI"],"uri":["http://zotero.org/users/6034784/items/4HPGZCRI"],"itemData":{"id":839,"type":"article-journal","abstract":"Ecology Letters (2011) 14: 1062–1072 Abstract Sustainable agricultural landscapes by definition provide high magnitude and stability of ecosystem services, biodiversity and crop productivity. However, few studies have considered landscape effects on the stability of ecosystem services. We tested whether isolation from florally diverse natural and semi-natural areas reduces the spatial and temporal stability of flower-visitor richness and pollination services in crop fields. We synthesised data from 29 studies with contrasting biomes, crop species and pollinator communities. Stability of flower-visitor richness, visitation rate (all insects except honey bees) and fruit set all decreased with distance from natural areas. At 1 km from adjacent natural areas, spatial stability decreased by 25, 16 and 9% for richness, visitation and fruit set, respectively, while temporal stability decreased by 39% for richness and 13% for visitation. Mean richness, visitation and fruit set also decreased with isolation, by 34, 27 and 16% at 1 km respectively. In contrast, honey bee visitation did not change with isolation and represented &gt; 25% of crop visits in 21 studies. Therefore, wild pollinators are relevant for crop productivity and stability even when honey bees are abundant. Policies to preserve and restore natural areas in agricultural landscapes should enhance levels and reliability of pollination services.","container-title":"Ecology Letters","DOI":"https://doi.org/10.1111/j.1461-0248.2011.01669.x","ISSN":"1461-0248","issue":"10","language":"en","note":"_eprint: https://onlinelibrary.wiley.com/doi/pdf/10.1111/j.1461-0248.2011.01669.x","page":"1062-1072","source":"Wiley Online Library","title":"Stability of pollination services decreases with isolation from natural areas despite honey bee visits","volume":"14","author":[{"family":"Garibaldi","given":"Lucas A."},{"family":"Steffan-Dewenter","given":"Ingolf"},{"family":"Kremen","given":"Claire"},{"family":"Morales","given":"Juan M."},{"family":"Bommarco","given":"Riccardo"},{"family":"Cunningham","given":"Saul A."},{"family":"Carvalheiro","given":"Luísa G."},{"family":"Chacoff","given":"Natacha P."},{"family":"Dudenhöffer","given":"Jan H."},{"family":"Greenleaf","given":"Sarah S."},{"family":"Holzschuh","given":"Andrea"},{"family":"Isaacs","given":"Rufus"},{"family":"Krewenka","given":"Kristin"},{"family":"Mandelik","given":"Yael"},{"family":"Mayfield","given":"Margaret M."},{"family":"Morandin","given":"Lora A."},{"family":"Potts","given":"Simon G."},{"family":"Ricketts","given":"Taylor H."},{"family":"Szentgyörgyi","given":"Hajnalka"},{"family":"Viana","given":"Blandina F."},{"family":"Westphal","given":"Catrin"},{"family":"Winfree","given":"Rachael"},{"family":"Klein","given":"Alexandra M."}],"issued":{"date-parts":[["2011"]]}}}],"schema":"https://github.com/citation-style-language/schema/raw/master/csl-citation.json"} </w:instrText>
      </w:r>
      <w:r w:rsidRPr="000C7549">
        <w:rPr>
          <w:rFonts w:ascii="Arial" w:hAnsi="Arial" w:cs="Arial"/>
          <w:bCs/>
          <w:color w:val="000000" w:themeColor="text1"/>
        </w:rPr>
        <w:fldChar w:fldCharType="separate"/>
      </w:r>
      <w:r w:rsidRPr="000C7549">
        <w:rPr>
          <w:rFonts w:ascii="Arial" w:hAnsi="Arial" w:cs="Arial"/>
          <w:bCs/>
          <w:color w:val="000000" w:themeColor="text1"/>
        </w:rPr>
        <w:t>(Garibaldi et al., 2011)</w:t>
      </w:r>
      <w:r w:rsidRPr="000C7549">
        <w:rPr>
          <w:rFonts w:ascii="Arial" w:hAnsi="Arial" w:cs="Arial"/>
          <w:bCs/>
          <w:color w:val="000000" w:themeColor="text1"/>
        </w:rPr>
        <w:fldChar w:fldCharType="end"/>
      </w:r>
      <w:r w:rsidRPr="000C7549">
        <w:rPr>
          <w:rFonts w:ascii="Arial" w:hAnsi="Arial" w:cs="Arial"/>
          <w:bCs/>
          <w:color w:val="000000" w:themeColor="text1"/>
        </w:rPr>
        <w:t xml:space="preserve">. Thus, maintaining some high-quality natural land cover is essential to mitigate the negative effects of habitat loss. </w:t>
      </w:r>
    </w:p>
    <w:p w14:paraId="73E97154" w14:textId="4F9673D2" w:rsidR="003E62F2" w:rsidRPr="000C7549" w:rsidRDefault="003E62F2" w:rsidP="003E62F2">
      <w:pPr>
        <w:spacing w:line="480" w:lineRule="auto"/>
        <w:ind w:firstLine="720"/>
        <w:rPr>
          <w:rFonts w:ascii="Arial" w:hAnsi="Arial" w:cs="Arial"/>
        </w:rPr>
      </w:pPr>
      <w:r w:rsidRPr="000C7549">
        <w:rPr>
          <w:rFonts w:ascii="Arial" w:hAnsi="Arial" w:cs="Arial"/>
          <w:bCs/>
          <w:color w:val="000000" w:themeColor="text1"/>
        </w:rPr>
        <w:t>Our study sites represent</w:t>
      </w:r>
      <w:r>
        <w:rPr>
          <w:rFonts w:ascii="Arial" w:hAnsi="Arial" w:cs="Arial"/>
          <w:bCs/>
          <w:color w:val="000000" w:themeColor="text1"/>
        </w:rPr>
        <w:t>ed</w:t>
      </w:r>
      <w:r w:rsidRPr="000C7549">
        <w:rPr>
          <w:rFonts w:ascii="Arial" w:hAnsi="Arial" w:cs="Arial"/>
          <w:bCs/>
          <w:color w:val="000000" w:themeColor="text1"/>
        </w:rPr>
        <w:t xml:space="preserve"> common land use types, urban, semi-natural and agriculture</w:t>
      </w:r>
      <w:r w:rsidR="005D2387">
        <w:rPr>
          <w:rFonts w:ascii="Arial" w:hAnsi="Arial" w:cs="Arial"/>
          <w:bCs/>
          <w:color w:val="000000" w:themeColor="text1"/>
        </w:rPr>
        <w:t xml:space="preserve"> (Cattle Pasture, Mixed Use Agriculture and Organic)</w:t>
      </w:r>
      <w:r w:rsidRPr="000C7549">
        <w:rPr>
          <w:rFonts w:ascii="Arial" w:hAnsi="Arial" w:cs="Arial"/>
          <w:bCs/>
          <w:color w:val="000000" w:themeColor="text1"/>
        </w:rPr>
        <w:t xml:space="preserve">. </w:t>
      </w:r>
      <w:r w:rsidR="00FC72E3">
        <w:rPr>
          <w:rFonts w:ascii="Arial" w:hAnsi="Arial" w:cs="Arial"/>
          <w:bCs/>
          <w:color w:val="000000" w:themeColor="text1"/>
        </w:rPr>
        <w:t>We used a</w:t>
      </w:r>
      <w:r w:rsidR="00FC72E3" w:rsidRPr="000C7549">
        <w:rPr>
          <w:rFonts w:ascii="Arial" w:hAnsi="Arial" w:cs="Arial"/>
          <w:bCs/>
          <w:color w:val="000000" w:themeColor="text1"/>
        </w:rPr>
        <w:t xml:space="preserve"> </w:t>
      </w:r>
      <w:r w:rsidRPr="000C7549">
        <w:rPr>
          <w:rFonts w:ascii="Arial" w:hAnsi="Arial" w:cs="Arial"/>
          <w:bCs/>
          <w:color w:val="000000" w:themeColor="text1"/>
        </w:rPr>
        <w:t xml:space="preserve">landscape </w:t>
      </w:r>
      <w:r w:rsidRPr="000C7549">
        <w:rPr>
          <w:rFonts w:ascii="Arial" w:hAnsi="Arial" w:cs="Arial"/>
          <w:bCs/>
          <w:color w:val="000000" w:themeColor="text1"/>
        </w:rPr>
        <w:lastRenderedPageBreak/>
        <w:t>analysis</w:t>
      </w:r>
      <w:r w:rsidR="00FC72E3">
        <w:rPr>
          <w:rFonts w:ascii="Arial" w:hAnsi="Arial" w:cs="Arial"/>
          <w:bCs/>
          <w:color w:val="000000" w:themeColor="text1"/>
        </w:rPr>
        <w:t xml:space="preserve"> to </w:t>
      </w:r>
      <w:r w:rsidRPr="000C7549">
        <w:rPr>
          <w:rStyle w:val="normaltextrun"/>
          <w:rFonts w:ascii="Arial" w:hAnsi="Arial" w:cs="Arial"/>
        </w:rPr>
        <w:t xml:space="preserve">provide insight into the pollinator communities in these areas and how they </w:t>
      </w:r>
      <w:r w:rsidR="00F00FFA">
        <w:rPr>
          <w:rStyle w:val="normaltextrun"/>
          <w:rFonts w:ascii="Arial" w:hAnsi="Arial" w:cs="Arial"/>
        </w:rPr>
        <w:t>may be</w:t>
      </w:r>
      <w:r w:rsidRPr="000C7549">
        <w:rPr>
          <w:rStyle w:val="normaltextrun"/>
          <w:rFonts w:ascii="Arial" w:hAnsi="Arial" w:cs="Arial"/>
        </w:rPr>
        <w:t xml:space="preserve"> affected by </w:t>
      </w:r>
      <w:r w:rsidR="00F00FFA">
        <w:rPr>
          <w:rStyle w:val="normaltextrun"/>
          <w:rFonts w:ascii="Arial" w:hAnsi="Arial" w:cs="Arial"/>
        </w:rPr>
        <w:t>general land use</w:t>
      </w:r>
      <w:r w:rsidRPr="000C7549">
        <w:rPr>
          <w:rStyle w:val="normaltextrun"/>
          <w:rFonts w:ascii="Arial" w:hAnsi="Arial" w:cs="Arial"/>
        </w:rPr>
        <w:t xml:space="preserve">. </w:t>
      </w:r>
    </w:p>
    <w:p w14:paraId="5DAD885E" w14:textId="77777777" w:rsidR="003E62F2" w:rsidRPr="000C7549" w:rsidRDefault="003E62F2" w:rsidP="003E62F2">
      <w:pPr>
        <w:spacing w:line="480" w:lineRule="auto"/>
        <w:rPr>
          <w:rFonts w:ascii="Arial" w:hAnsi="Arial" w:cs="Arial"/>
          <w:b/>
          <w:bCs/>
          <w:i/>
          <w:iCs/>
        </w:rPr>
      </w:pPr>
      <w:r w:rsidRPr="000C7549">
        <w:rPr>
          <w:rFonts w:ascii="Arial" w:hAnsi="Arial" w:cs="Arial"/>
          <w:b/>
          <w:bCs/>
          <w:i/>
          <w:iCs/>
        </w:rPr>
        <w:t>Objectives</w:t>
      </w:r>
    </w:p>
    <w:p w14:paraId="65556ADE" w14:textId="77777777" w:rsidR="003E62F2" w:rsidRPr="000C7549" w:rsidRDefault="003E62F2" w:rsidP="003E62F2">
      <w:pPr>
        <w:spacing w:line="480" w:lineRule="auto"/>
        <w:rPr>
          <w:rFonts w:ascii="Arial" w:hAnsi="Arial" w:cs="Arial"/>
        </w:rPr>
      </w:pPr>
      <w:r w:rsidRPr="000C7549">
        <w:rPr>
          <w:rFonts w:ascii="Arial" w:hAnsi="Arial" w:cs="Arial"/>
        </w:rPr>
        <w:t>1) To examine the effect of landscape composition on pollinator communities</w:t>
      </w:r>
    </w:p>
    <w:p w14:paraId="18F1B5FF" w14:textId="77777777" w:rsidR="003E62F2" w:rsidRPr="000C7549" w:rsidRDefault="003E62F2" w:rsidP="003E62F2">
      <w:pPr>
        <w:spacing w:line="480" w:lineRule="auto"/>
        <w:rPr>
          <w:rFonts w:ascii="Arial" w:hAnsi="Arial" w:cs="Arial"/>
        </w:rPr>
      </w:pPr>
      <w:r w:rsidRPr="000C7549">
        <w:rPr>
          <w:rFonts w:ascii="Arial" w:hAnsi="Arial" w:cs="Arial"/>
        </w:rPr>
        <w:t xml:space="preserve">2) To analyze potential relationships between pollinator abundance and land-use </w:t>
      </w:r>
    </w:p>
    <w:p w14:paraId="0BDFA7F8" w14:textId="59E6141B" w:rsidR="003E62F2" w:rsidRDefault="003E62F2" w:rsidP="003E62F2">
      <w:pPr>
        <w:spacing w:line="480" w:lineRule="auto"/>
        <w:rPr>
          <w:rFonts w:ascii="Arial" w:hAnsi="Arial" w:cs="Arial"/>
        </w:rPr>
      </w:pPr>
      <w:r w:rsidRPr="000C7549">
        <w:rPr>
          <w:rFonts w:ascii="Arial" w:hAnsi="Arial" w:cs="Arial"/>
        </w:rPr>
        <w:t xml:space="preserve">3) To analyze potential relationships between </w:t>
      </w:r>
      <w:r w:rsidR="00196C42">
        <w:rPr>
          <w:rFonts w:ascii="Arial" w:hAnsi="Arial" w:cs="Arial"/>
        </w:rPr>
        <w:t>species</w:t>
      </w:r>
      <w:r w:rsidRPr="000C7549">
        <w:rPr>
          <w:rFonts w:ascii="Arial" w:hAnsi="Arial" w:cs="Arial"/>
        </w:rPr>
        <w:t xml:space="preserve"> </w:t>
      </w:r>
      <w:r w:rsidR="002262FF">
        <w:rPr>
          <w:rFonts w:ascii="Arial" w:hAnsi="Arial" w:cs="Arial"/>
        </w:rPr>
        <w:t>diversity</w:t>
      </w:r>
      <w:r w:rsidR="002262FF" w:rsidRPr="000C7549">
        <w:rPr>
          <w:rFonts w:ascii="Arial" w:hAnsi="Arial" w:cs="Arial"/>
        </w:rPr>
        <w:t xml:space="preserve"> </w:t>
      </w:r>
      <w:r w:rsidRPr="000C7549">
        <w:rPr>
          <w:rFonts w:ascii="Arial" w:hAnsi="Arial" w:cs="Arial"/>
        </w:rPr>
        <w:t>and land-use</w:t>
      </w:r>
    </w:p>
    <w:p w14:paraId="0A3ED0B9" w14:textId="77777777" w:rsidR="002262FF" w:rsidRPr="000C7549" w:rsidRDefault="002262FF" w:rsidP="002262FF">
      <w:pPr>
        <w:pStyle w:val="Heading2"/>
        <w:spacing w:line="480" w:lineRule="auto"/>
      </w:pPr>
      <w:bookmarkStart w:id="25" w:name="_Toc76799707"/>
      <w:r w:rsidRPr="000C7549">
        <w:t>Methods</w:t>
      </w:r>
      <w:bookmarkEnd w:id="25"/>
    </w:p>
    <w:p w14:paraId="1E3B8EA4" w14:textId="77777777" w:rsidR="003E62F2" w:rsidRPr="000C7549" w:rsidRDefault="003E62F2" w:rsidP="003E62F2">
      <w:pPr>
        <w:spacing w:line="480" w:lineRule="auto"/>
        <w:rPr>
          <w:rFonts w:ascii="Arial" w:hAnsi="Arial" w:cs="Arial"/>
          <w:b/>
          <w:bCs/>
          <w:i/>
          <w:iCs/>
        </w:rPr>
      </w:pPr>
      <w:r w:rsidRPr="000C7549">
        <w:rPr>
          <w:rFonts w:ascii="Arial" w:hAnsi="Arial" w:cs="Arial"/>
          <w:b/>
          <w:bCs/>
          <w:i/>
          <w:iCs/>
        </w:rPr>
        <w:t>Study Sites</w:t>
      </w:r>
    </w:p>
    <w:p w14:paraId="6DDBF03C" w14:textId="408783A9" w:rsidR="003E62F2" w:rsidRPr="000C7549" w:rsidRDefault="003E62F2" w:rsidP="003E62F2">
      <w:pPr>
        <w:spacing w:line="480" w:lineRule="auto"/>
        <w:ind w:firstLine="720"/>
        <w:rPr>
          <w:rFonts w:ascii="Arial" w:hAnsi="Arial" w:cs="Arial"/>
        </w:rPr>
      </w:pPr>
      <w:r w:rsidRPr="000C7549">
        <w:rPr>
          <w:rFonts w:ascii="Arial" w:hAnsi="Arial" w:cs="Arial"/>
        </w:rPr>
        <w:t xml:space="preserve">We chose five sites, representing three common landscapes in East TN: urban, semi-natural, and agricultural. </w:t>
      </w:r>
      <w:r w:rsidRPr="000C7549">
        <w:rPr>
          <w:rFonts w:ascii="Arial" w:hAnsi="Arial" w:cs="Arial"/>
          <w:color w:val="000000" w:themeColor="text1"/>
        </w:rPr>
        <w:t xml:space="preserve">The University of Tennessee Knoxville Gardens (UT Gardens), (1) in Knoxville, TN represented the urban landscape for our study. The UT Gardens comprises 10 acres of native and non-native plants, shrubs, and tree species surrounded by the Tennessee River, highways, buildings, and parking lots, near downtown Knoxville, TN. The semi-natural landscape was the UT Arboretum (2) in Oak Ridge, TN approximately 20 miles west of Knoxville, TN. The property comprises 250 </w:t>
      </w:r>
      <w:r w:rsidRPr="000C7549">
        <w:rPr>
          <w:rFonts w:ascii="Arial" w:hAnsi="Arial" w:cs="Arial"/>
        </w:rPr>
        <w:t xml:space="preserve">acres of semi-managed forests and woody plants, with a high diversity of protected natural habitat and native plant species. The location of the Arboretum is also close to major highways, residential homes, and the Oak Ridge National Laboratory. </w:t>
      </w:r>
    </w:p>
    <w:p w14:paraId="299C12A7" w14:textId="29D2BBEB" w:rsidR="003E62F2" w:rsidRPr="000C7549" w:rsidRDefault="003E62F2" w:rsidP="003E62F2">
      <w:pPr>
        <w:spacing w:line="480" w:lineRule="auto"/>
        <w:ind w:firstLine="720"/>
        <w:rPr>
          <w:rFonts w:ascii="Arial" w:hAnsi="Arial" w:cs="Arial"/>
        </w:rPr>
      </w:pPr>
      <w:r w:rsidRPr="000C7549">
        <w:rPr>
          <w:rFonts w:ascii="Arial" w:hAnsi="Arial" w:cs="Arial"/>
          <w:color w:val="000000" w:themeColor="text1"/>
        </w:rPr>
        <w:t>To assess pollinator communities in agricultural land, we selected three sites that represented common cropping systems and land uses in the region</w:t>
      </w:r>
      <w:r w:rsidR="00FC72E3">
        <w:rPr>
          <w:rFonts w:ascii="Arial" w:hAnsi="Arial" w:cs="Arial"/>
          <w:color w:val="000000" w:themeColor="text1"/>
        </w:rPr>
        <w:t>:</w:t>
      </w:r>
      <w:r w:rsidRPr="000C7549">
        <w:rPr>
          <w:rFonts w:ascii="Arial" w:hAnsi="Arial" w:cs="Arial"/>
          <w:color w:val="000000" w:themeColor="text1"/>
        </w:rPr>
        <w:t xml:space="preserve"> organic agriculture, conventional row crops, and cattle pasture. The Cattle Pasture site (3) and Mixed Use Agriculture site (4) were both at the Plateau AgResearch &amp; Education Center (PREC) </w:t>
      </w:r>
      <w:r w:rsidRPr="000C7549">
        <w:rPr>
          <w:rFonts w:ascii="Arial" w:hAnsi="Arial" w:cs="Arial"/>
          <w:color w:val="000000" w:themeColor="text1"/>
        </w:rPr>
        <w:lastRenderedPageBreak/>
        <w:t xml:space="preserve">located in Crossville, TN approximately 80 miles west of Knoxville, TN. The 2,000-acre conventional farm is used for cattle, cash crops, and horticulture research. The two independent replicates were placed on opposite sides of the property, approximately one mile apart. The Organic Crops Unit (Organic Agriculture) at the East Tennessee AgResearch and Education Center (ETREC) (5) served as our Organic Agriculture site. The agriculture research facility is located 8 miles south of Knoxville on 90-acre dedicated to organic horticulture and field crop research. Outside of those 90 acres is residential housing and some small-scale independent farm operations. </w:t>
      </w:r>
    </w:p>
    <w:p w14:paraId="31CAAD68" w14:textId="615929F5" w:rsidR="00FC72E3" w:rsidRPr="000C7549" w:rsidRDefault="001C76FE" w:rsidP="00FC72E3">
      <w:pPr>
        <w:spacing w:line="480" w:lineRule="auto"/>
        <w:ind w:firstLine="720"/>
        <w:rPr>
          <w:rFonts w:ascii="Arial" w:hAnsi="Arial" w:cs="Arial"/>
        </w:rPr>
      </w:pPr>
      <w:r>
        <w:rPr>
          <w:rFonts w:ascii="Arial" w:hAnsi="Arial" w:cs="Arial"/>
        </w:rPr>
        <w:t>We used the data from our 2019/2020 field experiment to</w:t>
      </w:r>
      <w:r w:rsidR="00716C31">
        <w:rPr>
          <w:rFonts w:ascii="Arial" w:hAnsi="Arial" w:cs="Arial"/>
        </w:rPr>
        <w:t xml:space="preserve"> evaluate the bee community at each of the sites</w:t>
      </w:r>
      <w:r w:rsidR="00FC72E3">
        <w:rPr>
          <w:rFonts w:ascii="Arial" w:hAnsi="Arial" w:cs="Arial"/>
        </w:rPr>
        <w:t xml:space="preserve"> (Chapter 2)</w:t>
      </w:r>
      <w:r w:rsidR="00716C31">
        <w:rPr>
          <w:rFonts w:ascii="Arial" w:hAnsi="Arial" w:cs="Arial"/>
        </w:rPr>
        <w:t xml:space="preserve">. We calculated </w:t>
      </w:r>
      <w:r w:rsidR="001B4FE6">
        <w:rPr>
          <w:rFonts w:ascii="Arial" w:hAnsi="Arial" w:cs="Arial"/>
        </w:rPr>
        <w:t xml:space="preserve">average bee </w:t>
      </w:r>
      <w:r>
        <w:rPr>
          <w:rFonts w:ascii="Arial" w:hAnsi="Arial" w:cs="Arial"/>
        </w:rPr>
        <w:t>abundance</w:t>
      </w:r>
      <w:r w:rsidR="001B4FE6">
        <w:rPr>
          <w:rFonts w:ascii="Arial" w:hAnsi="Arial" w:cs="Arial"/>
        </w:rPr>
        <w:t xml:space="preserve"> (Fig. 10)</w:t>
      </w:r>
      <w:r>
        <w:rPr>
          <w:rFonts w:ascii="Arial" w:hAnsi="Arial" w:cs="Arial"/>
        </w:rPr>
        <w:t xml:space="preserve"> and species </w:t>
      </w:r>
      <w:r w:rsidR="001B4FE6">
        <w:rPr>
          <w:rFonts w:ascii="Arial" w:hAnsi="Arial" w:cs="Arial"/>
        </w:rPr>
        <w:t>diversity</w:t>
      </w:r>
      <w:r w:rsidR="005A4D27">
        <w:rPr>
          <w:rFonts w:ascii="Arial" w:hAnsi="Arial" w:cs="Arial"/>
        </w:rPr>
        <w:t xml:space="preserve"> using Shannon’s Diversity Index</w:t>
      </w:r>
      <w:r w:rsidR="001B4FE6">
        <w:rPr>
          <w:rFonts w:ascii="Arial" w:hAnsi="Arial" w:cs="Arial"/>
        </w:rPr>
        <w:t xml:space="preserve"> (Fig. 11)</w:t>
      </w:r>
      <w:r w:rsidR="00FC72E3">
        <w:rPr>
          <w:rFonts w:ascii="Arial" w:hAnsi="Arial" w:cs="Arial"/>
        </w:rPr>
        <w:t xml:space="preserve"> from the fixed plant community plots at each site</w:t>
      </w:r>
      <w:r w:rsidR="00716C31">
        <w:rPr>
          <w:rFonts w:ascii="Arial" w:hAnsi="Arial" w:cs="Arial"/>
        </w:rPr>
        <w:t xml:space="preserve">. </w:t>
      </w:r>
      <w:r w:rsidR="00FC72E3">
        <w:rPr>
          <w:rFonts w:ascii="Arial" w:hAnsi="Arial" w:cs="Arial"/>
        </w:rPr>
        <w:t>W</w:t>
      </w:r>
      <w:r w:rsidR="008F6630">
        <w:rPr>
          <w:rFonts w:ascii="Arial" w:hAnsi="Arial" w:cs="Arial"/>
        </w:rPr>
        <w:t>e used</w:t>
      </w:r>
      <w:r w:rsidR="003E62F2" w:rsidRPr="000C7549">
        <w:rPr>
          <w:rFonts w:ascii="Arial" w:hAnsi="Arial" w:cs="Arial"/>
        </w:rPr>
        <w:t xml:space="preserve"> ArcGIS and the US National Land Cover Database (NLCD) </w:t>
      </w:r>
      <w:r w:rsidR="00FC72E3" w:rsidRPr="000C7549">
        <w:rPr>
          <w:rFonts w:ascii="Arial" w:hAnsi="Arial" w:cs="Arial"/>
        </w:rPr>
        <w:fldChar w:fldCharType="begin"/>
      </w:r>
      <w:r w:rsidR="00FC72E3" w:rsidRPr="000C7549">
        <w:rPr>
          <w:rFonts w:ascii="Arial" w:hAnsi="Arial" w:cs="Arial"/>
        </w:rPr>
        <w:instrText xml:space="preserve"> ADDIN ZOTERO_ITEM CSL_CITATION {"citationID":"RAPC02y1","properties":{"formattedCitation":"(Dewitz, 2019)","plainCitation":"(Dewitz, 2019)","noteIndex":0},"citationItems":[{"id":364,"uris":["http://zotero.org/users/6034784/items/I4SASAFL"],"uri":["http://zotero.org/users/6034784/items/I4SASAFL"],"itemData":{"id":364,"type":"article","abstract":"The U.S. Geological Survey (USGS), in partnership with several federal agencies, has developed and released four National Land Cover Database (NLCD) products over the past two decades: NLCD 1992, 2001, 2006, and 2011. These products provide spatially explicit and reliable information on the Nation&amp;amp;amp;amp;amp;amp;iuml;&amp;amp;amp;amp;amp;amp;iquest;&amp;amp;amp;amp;amp;amp;frac12;s land cover and land cover change. To continue the legacy of NLCD and further establish a long-term monitoring capability for the Nation&amp;amp;amp;amp;amp;amp;iuml;&amp;amp;amp;amp;amp;amp;iquest;&amp;amp;amp;amp;amp;amp;frac12;s land resources, the USGS has designed a new generation of NLCD products named NLCD 2016. The NLCD 2016 design aims to provide innovative, consistent, and robust methodologies for production of a multi-temporal land cover and land cover change database from 2001 to 2016 at 2&amp;amp;amp;amp;amp;amp;iuml;&amp;amp;amp;amp;amp;amp;iquest;&amp;amp;amp;amp;amp;amp;frac12;3-year intervals. Comprehensive research was conducted and resulted in developed strategies for NLCD 2016: a streamlined process for assembling and preprocessing Landsat imagery and geospatial ancillary datasets; a multi-source integrated training data development and decision-tree based land cover classifications; a temporally, spectrally, and spatially integrated land cover change analysis strategy; a hierarchical theme-based post-classification and integration protocol for generating land cover and change products; a continuous fields biophysical parameters modeling method; and an automated scripted operational system for the NLCD 2016 production. The performance of the developed strategies and methods were tested in twenty World Reference System-2 path/row throughout the conterminous U.S. An overall agreement ranging from 71% to 97% between land cover classification and reference data was achieved for all tested area and all years. Results from this study confirm the robustness of this comprehensive and highly automated procedure for NLCD 2016 operational mapping. Questions about the NLCD 2016 land cover product can be directed to the NLCD 2016 land cover mapping team at USGS EROS, Sioux Falls, SD (605) 594-6151 or mrlc@usgs.gov. See included spatial metadata for more details. Products can be downloaded from www.mrlc.gov.","note":"type: dataset\nDOI: 10.5066/P96HHBIE","publisher":"U.S. Geological Survey","source":"DOI.org (Datacite)","title":"National Land Cover Dataset (NLCD) 2016 Products","URL":"https://www.sciencebase.gov/catalog/item/5d4c6a1de4b01d82ce8dfd2f","author":[{"family":"Dewitz","given":"Jon"}],"accessed":{"date-parts":[["2021",1,15]]},"issued":{"date-parts":[["2019"]]}}}],"schema":"https://github.com/citation-style-language/schema/raw/master/csl-citation.json"} </w:instrText>
      </w:r>
      <w:r w:rsidR="00FC72E3" w:rsidRPr="000C7549">
        <w:rPr>
          <w:rFonts w:ascii="Arial" w:hAnsi="Arial" w:cs="Arial"/>
        </w:rPr>
        <w:fldChar w:fldCharType="separate"/>
      </w:r>
      <w:r w:rsidR="00FC72E3" w:rsidRPr="000C7549">
        <w:rPr>
          <w:rFonts w:ascii="Arial" w:hAnsi="Arial" w:cs="Arial"/>
          <w:noProof/>
        </w:rPr>
        <w:t>(Dewitz, 2019)</w:t>
      </w:r>
      <w:r w:rsidR="00FC72E3" w:rsidRPr="000C7549">
        <w:rPr>
          <w:rFonts w:ascii="Arial" w:hAnsi="Arial" w:cs="Arial"/>
        </w:rPr>
        <w:fldChar w:fldCharType="end"/>
      </w:r>
      <w:r w:rsidR="00FC72E3" w:rsidRPr="000C7549">
        <w:rPr>
          <w:rFonts w:ascii="Arial" w:hAnsi="Arial" w:cs="Arial"/>
        </w:rPr>
        <w:t xml:space="preserve">, </w:t>
      </w:r>
      <w:r w:rsidR="00FC72E3">
        <w:rPr>
          <w:rFonts w:ascii="Arial" w:hAnsi="Arial" w:cs="Arial"/>
        </w:rPr>
        <w:t xml:space="preserve">to </w:t>
      </w:r>
      <w:r w:rsidR="003E62F2" w:rsidRPr="000C7549">
        <w:rPr>
          <w:rFonts w:ascii="Arial" w:hAnsi="Arial" w:cs="Arial"/>
        </w:rPr>
        <w:t>classif</w:t>
      </w:r>
      <w:r w:rsidR="00FC72E3">
        <w:rPr>
          <w:rFonts w:ascii="Arial" w:hAnsi="Arial" w:cs="Arial"/>
        </w:rPr>
        <w:t>y</w:t>
      </w:r>
      <w:r w:rsidR="003E62F2" w:rsidRPr="000C7549">
        <w:rPr>
          <w:rFonts w:ascii="Arial" w:hAnsi="Arial" w:cs="Arial"/>
        </w:rPr>
        <w:t xml:space="preserve"> the land cover surrounding </w:t>
      </w:r>
      <w:r w:rsidR="00FC72E3">
        <w:rPr>
          <w:rFonts w:ascii="Arial" w:hAnsi="Arial" w:cs="Arial"/>
        </w:rPr>
        <w:t xml:space="preserve">each of </w:t>
      </w:r>
      <w:r w:rsidR="003E62F2" w:rsidRPr="000C7549">
        <w:rPr>
          <w:rFonts w:ascii="Arial" w:hAnsi="Arial" w:cs="Arial"/>
        </w:rPr>
        <w:t xml:space="preserve">our </w:t>
      </w:r>
      <w:r w:rsidR="00FC72E3">
        <w:rPr>
          <w:rFonts w:ascii="Arial" w:hAnsi="Arial" w:cs="Arial"/>
        </w:rPr>
        <w:t>research sites</w:t>
      </w:r>
      <w:r w:rsidR="003E62F2" w:rsidRPr="000C7549">
        <w:rPr>
          <w:rFonts w:ascii="Arial" w:hAnsi="Arial" w:cs="Arial"/>
        </w:rPr>
        <w:t xml:space="preserve"> at 500m, 1000m, and 2000m</w:t>
      </w:r>
      <w:r w:rsidR="00FC72E3" w:rsidRPr="00FC72E3">
        <w:rPr>
          <w:rFonts w:ascii="Arial" w:hAnsi="Arial" w:cs="Arial"/>
        </w:rPr>
        <w:t xml:space="preserve"> </w:t>
      </w:r>
      <w:r w:rsidR="00FC72E3">
        <w:rPr>
          <w:rFonts w:ascii="Arial" w:hAnsi="Arial" w:cs="Arial"/>
        </w:rPr>
        <w:t xml:space="preserve">with </w:t>
      </w:r>
      <w:r w:rsidR="00FC72E3" w:rsidRPr="000C7549">
        <w:rPr>
          <w:rFonts w:ascii="Arial" w:hAnsi="Arial" w:cs="Arial"/>
        </w:rPr>
        <w:t>the Asteraceae plots as the center (Fig. 14)</w:t>
      </w:r>
      <w:r w:rsidR="003E62F2" w:rsidRPr="000C7549">
        <w:rPr>
          <w:rFonts w:ascii="Arial" w:hAnsi="Arial" w:cs="Arial"/>
        </w:rPr>
        <w:t xml:space="preserve">. </w:t>
      </w:r>
      <w:r w:rsidR="00FC72E3" w:rsidRPr="000C7549">
        <w:rPr>
          <w:rFonts w:ascii="Arial" w:hAnsi="Arial" w:cs="Arial"/>
        </w:rPr>
        <w:t xml:space="preserve">These three radii were chosen based on differences in forage distances for pollinators, specifically bees, as there is some correlation with body size and forage distance capabilities </w:t>
      </w:r>
      <w:r w:rsidR="00FC72E3" w:rsidRPr="000C7549">
        <w:rPr>
          <w:rFonts w:ascii="Arial" w:hAnsi="Arial" w:cs="Arial"/>
        </w:rPr>
        <w:fldChar w:fldCharType="begin"/>
      </w:r>
      <w:r w:rsidR="00FC72E3" w:rsidRPr="000C7549">
        <w:rPr>
          <w:rFonts w:ascii="Arial" w:hAnsi="Arial" w:cs="Arial"/>
        </w:rPr>
        <w:instrText xml:space="preserve"> ADDIN ZOTERO_ITEM CSL_CITATION {"citationID":"sXe8jVen","properties":{"formattedCitation":"(S. Greenleaf et al., 2007)","plainCitation":"(S. Greenleaf et al., 2007)","dontUpdate":true,"noteIndex":0},"citationItems":[{"id":354,"uris":["http://zotero.org/users/6034784/items/M7J8JVND"],"uri":["http://zotero.org/users/6034784/items/M7J8JVND"],"itemData":{"id":354,"type":"article-journal","abstract":"Bees are the most important pollinator taxon; therefore, understanding the scale at which they forage has important ecological implications and conservation applications. The foraging ranges for most bee species are unknown. Foraging distance information is critical for understanding the scale at which bee populations respond to the landscape, assessing the role of bee pollinators in affecting plant population structure, planning conservation strategies for plants, and designing bee habitat refugia that maintain pollination function for wild and crop plants. We used data from 96 records of 62 bee species to determine whether body size predicts foraging distance. We regressed maximum and typical foraging distances on body size and found highly significant and explanatory nonlinear relationships. We used a second data set to: (1) compare observed reports of foraging distance to the distances predicted by our regression equations and (2) assess the biases inherent to the different techniques that have been used to assess foraging distance. The equations we present can be used to predict foraging distances for many bee species, based on a simple measurement of body size.","container-title":"Oecologia","DOI":"10.1007/s00442-007-0752-9","journalAbbreviation":"Oecologia","page":"589-96","source":"ResearchGate","title":"Bee foraging ranges and their relationship to body size","volume":"153","author":[{"family":"Greenleaf","given":"Sarah"},{"family":"Williams","given":"Neal"},{"family":"Winfree","given":"Rachael"},{"family":"Kremen","given":"Claire"}],"issued":{"date-parts":[["2007",10,1]]}}}],"schema":"https://github.com/citation-style-language/schema/raw/master/csl-citation.json"} </w:instrText>
      </w:r>
      <w:r w:rsidR="00FC72E3" w:rsidRPr="000C7549">
        <w:rPr>
          <w:rFonts w:ascii="Arial" w:hAnsi="Arial" w:cs="Arial"/>
        </w:rPr>
        <w:fldChar w:fldCharType="separate"/>
      </w:r>
      <w:r w:rsidR="00FC72E3" w:rsidRPr="000C7549">
        <w:rPr>
          <w:rFonts w:ascii="Arial" w:hAnsi="Arial" w:cs="Arial"/>
          <w:noProof/>
        </w:rPr>
        <w:t>(Greenleaf et al., 2007)</w:t>
      </w:r>
      <w:r w:rsidR="00FC72E3" w:rsidRPr="000C7549">
        <w:rPr>
          <w:rFonts w:ascii="Arial" w:hAnsi="Arial" w:cs="Arial"/>
        </w:rPr>
        <w:fldChar w:fldCharType="end"/>
      </w:r>
      <w:r w:rsidR="00FC72E3" w:rsidRPr="000C7549">
        <w:rPr>
          <w:rFonts w:ascii="Arial" w:hAnsi="Arial" w:cs="Arial"/>
        </w:rPr>
        <w:t xml:space="preserve">. Smaller bodied, solitary bees have an estimated forage range of 150-600m for some bee species </w:t>
      </w:r>
      <w:r w:rsidR="00FC72E3" w:rsidRPr="000C7549">
        <w:rPr>
          <w:rFonts w:ascii="Arial" w:hAnsi="Arial" w:cs="Arial"/>
        </w:rPr>
        <w:fldChar w:fldCharType="begin"/>
      </w:r>
      <w:r w:rsidR="00FC72E3" w:rsidRPr="000C7549">
        <w:rPr>
          <w:rFonts w:ascii="Arial" w:hAnsi="Arial" w:cs="Arial"/>
        </w:rPr>
        <w:instrText xml:space="preserve"> ADDIN ZOTERO_ITEM CSL_CITATION {"citationID":"69lX2NQm","properties":{"formattedCitation":"(Gathmann &amp; Tscharntke, 2002)","plainCitation":"(Gathmann &amp; Tscharntke, 2002)","noteIndex":0},"citationItems":[{"id":169,"uris":["http://zotero.org/users/6034784/items/KJEY4U7R"],"uri":["http://zotero.org/users/6034784/items/KJEY4U7R"],"itemData":{"id":169,"type":"article-journal","abstract":"1 Habitat requirements of solitary bees include nesting sites, food resources and nesting material. We used translocation experiments to establish foraging distances and measured foraging trip duration to analyse how solitary bees cope with the distance between nesting sites and suitable food plants in different habitat types. 2 Maximum foraging distance between nesting site and food patch was 150–600 m for the 16 bee species examined. Foraging distance was correlated positively with body length. Mean foraging trip duration, measured for seven bee species, ranged from 6 to 28 min and was also correlated with body length. In a study of the polylectic species Osmia rufa , we found a significant decrease in foraging trip duration with increasing number of plant species. Logistic regressions showed that the oligolectic Megachile lapponica nested in trap nests with a probability of 50% if the distance between trap nest and food patch was less than 250 m. The oligolectic Chelostoma rapunculi utilized trap nests when the distance to the nearest food patch was less than 300 m. 3 These experiments showed that solitary bees have a rather small foraging range so local habitat structure appears to be of more importance than large-scale landscape structure. All requirements for sustaining viable populations must be within this range. Therefore, it is necessary to maintain and restore a dense network of habitat patches in landscapes to ensure long-term sustainability of wild bee diversity and their ecological function as pollinators.","container-title":"Journal of Animal Ecology","DOI":"10.1046/j.1365-2656.2002.00641.x","ISSN":"1365-2656","issue":"5","language":"en","note":"_eprint: https://besjournals.onlinelibrary.wiley.com/doi/pdf/10.1046/j.1365-2656.2002.00641.x","page":"757-764","source":"Wiley Online Library","title":"Foraging ranges of solitary bees","volume":"71","author":[{"family":"Gathmann","given":"Achim"},{"family":"Tscharntke","given":"Teja"}],"issued":{"date-parts":[["2002"]]}}}],"schema":"https://github.com/citation-style-language/schema/raw/master/csl-citation.json"} </w:instrText>
      </w:r>
      <w:r w:rsidR="00FC72E3" w:rsidRPr="000C7549">
        <w:rPr>
          <w:rFonts w:ascii="Arial" w:hAnsi="Arial" w:cs="Arial"/>
        </w:rPr>
        <w:fldChar w:fldCharType="separate"/>
      </w:r>
      <w:r w:rsidR="00FC72E3" w:rsidRPr="000C7549">
        <w:rPr>
          <w:rFonts w:ascii="Arial" w:hAnsi="Arial" w:cs="Arial"/>
          <w:noProof/>
        </w:rPr>
        <w:t>(Gathmann &amp; Tscharntke, 2002)</w:t>
      </w:r>
      <w:r w:rsidR="00FC72E3" w:rsidRPr="000C7549">
        <w:rPr>
          <w:rFonts w:ascii="Arial" w:hAnsi="Arial" w:cs="Arial"/>
        </w:rPr>
        <w:fldChar w:fldCharType="end"/>
      </w:r>
      <w:r w:rsidR="00FC72E3" w:rsidRPr="000C7549">
        <w:rPr>
          <w:rFonts w:ascii="Arial" w:hAnsi="Arial" w:cs="Arial"/>
        </w:rPr>
        <w:t xml:space="preserve">, while large body bees such as </w:t>
      </w:r>
      <w:r w:rsidR="00FC72E3" w:rsidRPr="000C7549">
        <w:rPr>
          <w:rFonts w:ascii="Arial" w:hAnsi="Arial" w:cs="Arial"/>
          <w:i/>
          <w:iCs/>
        </w:rPr>
        <w:t>Bombus</w:t>
      </w:r>
      <w:r w:rsidR="00FC72E3" w:rsidRPr="000C7549">
        <w:rPr>
          <w:rFonts w:ascii="Arial" w:hAnsi="Arial" w:cs="Arial"/>
        </w:rPr>
        <w:t xml:space="preserve"> spp</w:t>
      </w:r>
      <w:r w:rsidR="00FC72E3" w:rsidRPr="000C7549">
        <w:rPr>
          <w:rFonts w:ascii="Arial" w:hAnsi="Arial" w:cs="Arial"/>
          <w:i/>
          <w:iCs/>
        </w:rPr>
        <w:t>.</w:t>
      </w:r>
      <w:r w:rsidR="00FC72E3" w:rsidRPr="000C7549">
        <w:rPr>
          <w:rFonts w:ascii="Arial" w:hAnsi="Arial" w:cs="Arial"/>
        </w:rPr>
        <w:t xml:space="preserve"> have been documented to forage well over 2000m </w:t>
      </w:r>
      <w:r w:rsidR="00FC72E3" w:rsidRPr="000C7549">
        <w:rPr>
          <w:rFonts w:ascii="Arial" w:hAnsi="Arial" w:cs="Arial"/>
        </w:rPr>
        <w:fldChar w:fldCharType="begin"/>
      </w:r>
      <w:r w:rsidR="00FC72E3" w:rsidRPr="000C7549">
        <w:rPr>
          <w:rFonts w:ascii="Arial" w:hAnsi="Arial" w:cs="Arial"/>
        </w:rPr>
        <w:instrText xml:space="preserve"> ADDIN ZOTERO_ITEM CSL_CITATION {"citationID":"tekYeRJe","properties":{"formattedCitation":"(Rao &amp; Strange, 2012; Redhead et al., 2016)","plainCitation":"(Rao &amp; Strange, 2012; Redhead et al., 2016)","noteIndex":0},"citationItems":[{"id":360,"uris":["http://zotero.org/users/6034784/items/Q4UJ33WK"],"uri":["http://zotero.org/users/6034784/items/Q4UJ33WK"],"itemData":{"id":360,"type":"article-journal","abstract":"Foraging behaviors of bumble bee workers have been examined in natural habitats, whereas agricultural landscapes, which can provide insights on flight distances to fragmented patches of bloom, have received limited attention. In particular, information on worker flight distances to crops blooming several months after nests have been established is invaluable. Here, we examined foraging patterns of Bombus vosnesenskii Radoszkowski in late-season blooming clover in the agricultural-dominated Willamette Valley in Oregon. Workers from 10 fields collected over 2 yr were assigned to full sibling families (colonies) by using eight microsatellite loci. With estimation of numbers of unseen species, we inferred the presence of 189 colonies from 433 bees genotyped in year 1, and 144 from 296 genotyped the next year. Worker foraging distance was estimated to be at least 11.6 km, half the distance between the most remote fields visited by the same colonies. Numbers of nests contributing workers to each field ranged from 15 to 163. Overall, 165 (50%) colonies foraged in two or more fields, and thus used common resources within the landscape. Estimates of average nest densities in the landscape each year ranged from 0.76/km2 to 22.16/km2, and highlighted the influences of various study parameters incorporated into the calculation including sample size, distances between sites, and analytical tools used to estimate unsampled individuals. Based on the results, bumble bees can fly long distances, and this could facilitate their survival in fragmented agricultural landscapes. This has important implications for the scale of habitat management in bumble bee conservation programs.","container-title":"Environmental Entomology","DOI":"10.1603/EN11316","ISSN":"0046-225X","issue":"4","journalAbbreviation":"Environmental Entomology","page":"905-915","source":"Silverchair","title":"Bumble Bee (Hymenoptera: Apidae) Foraging Distance and Colony Density Associated With a Late-Season Mass Flowering Crop","title-short":"Bumble Bee (Hymenoptera","volume":"41","author":[{"family":"Rao","given":"Sujaya"},{"family":"Strange","given":"James P."}],"issued":{"date-parts":[["2012",8,1]]}}},{"id":357,"uris":["http://zotero.org/users/6034784/items/YDDI7TXB"],"uri":["http://zotero.org/users/6034784/items/YDDI7TXB"],"itemData":{"id":357,"type":"article-journal","abstract":"Bumble bees (Bombus spp.) are important pollinators of both crops and wildflowers. Their contribution to this essential ecosystem service has been threatened over recent decades by changes in land use, which have led to declines in their populations. In order to design effective conservation measures, it is important to understand the effects of variation in landscape composition and structure on the foraging activities of worker bumble bees. This is because the viability of individual colonies is likely to be affected by the trade-­off between the energetic costs of foraging over greater distances and the potential gains from access to additional resources. We used field surveys, molecular genetics, and fine resolution remote sensing to estimate the locations of wild bumble bee nests and to infer foraging distances across a 20-k­ m2 agricultural landscape in southern England, UK. We investigated five species, including the rare B. ruderatus and ecologically similar but widespread B. hortorum. We compared worker foraging distances between species and examined how variation in landscape composition and structure affected foraging distances at the colony level. Mean worker foraging distances differed significantly between species. Bombus terrestris, B. lapidarius, and B. ruderatus exhibited significantly greater mean foraging distances (551, 536, and 501 m, respectively) than B. hortorum and B. pascuorum (336 and 272 m, respectively). There was wide variation in worker foraging distances between colonies of the same species, which was in turn strongly influenced by the amount and spatial configuration of available foraging habitats. Shorter foraging distances were found for colonies where the local landscape had high coverage and low fragmentation of seminatural vegetation, including managed agri-­environmental field margins. The strength of relationships between different landscape variables and foraging distance varied between species, for example the strongest relationship for B. ruderatus being with floral cover of preferred forage plants. Our findings suggest that management of landscape composition and configuration has the potential to reduce foraging distances across a range of bumble bee species. There is thus potential for improvements in the design and implementation of landscape management options, such as agri-e­nvironment schemes, aimed at providing foraging habitat for bumble bees and enhancing crop pollination services.","container-title":"Ecological Applications","DOI":"10.1890/15-0546","ISSN":"10510761","issue":"3","journalAbbreviation":"Ecol Appl","language":"en","page":"726-739","source":"DOI.org (Crossref)","title":"Effects of habitat composition and landscape structure on worker foraging distances of five bumble bee species","volume":"26","author":[{"family":"Redhead","given":"John W."},{"family":"Dreier","given":"Stephanie"},{"family":"Bourke","given":"Andrew F. G."},{"family":"Heard","given":"Matthew S."},{"family":"Jordan","given":"William C."},{"family":"Sumner","given":"Seirian"},{"family":"Wang","given":"Jinliang"},{"family":"Carvell","given":"Claire"}],"issued":{"date-parts":[["2016",4]]}}}],"schema":"https://github.com/citation-style-language/schema/raw/master/csl-citation.json"} </w:instrText>
      </w:r>
      <w:r w:rsidR="00FC72E3" w:rsidRPr="000C7549">
        <w:rPr>
          <w:rFonts w:ascii="Arial" w:hAnsi="Arial" w:cs="Arial"/>
        </w:rPr>
        <w:fldChar w:fldCharType="separate"/>
      </w:r>
      <w:r w:rsidR="00FC72E3" w:rsidRPr="000C7549">
        <w:rPr>
          <w:rFonts w:ascii="Arial" w:hAnsi="Arial" w:cs="Arial"/>
          <w:noProof/>
        </w:rPr>
        <w:t>(Rao &amp; Strange, 2012; Redhead et al., 2016)</w:t>
      </w:r>
      <w:r w:rsidR="00FC72E3" w:rsidRPr="000C7549">
        <w:rPr>
          <w:rFonts w:ascii="Arial" w:hAnsi="Arial" w:cs="Arial"/>
        </w:rPr>
        <w:fldChar w:fldCharType="end"/>
      </w:r>
      <w:r w:rsidR="00FC72E3" w:rsidRPr="000C7549">
        <w:rPr>
          <w:rFonts w:ascii="Arial" w:hAnsi="Arial" w:cs="Arial"/>
        </w:rPr>
        <w:t xml:space="preserve">. </w:t>
      </w:r>
    </w:p>
    <w:p w14:paraId="5B7A15F2" w14:textId="10B4D904" w:rsidR="002464A6" w:rsidRDefault="003E62F2" w:rsidP="008F6630">
      <w:pPr>
        <w:spacing w:line="480" w:lineRule="auto"/>
        <w:ind w:firstLine="720"/>
        <w:rPr>
          <w:rFonts w:ascii="Arial" w:hAnsi="Arial" w:cs="Arial"/>
        </w:rPr>
      </w:pPr>
      <w:r w:rsidRPr="000C7549">
        <w:rPr>
          <w:rFonts w:ascii="Arial" w:hAnsi="Arial" w:cs="Arial"/>
        </w:rPr>
        <w:t xml:space="preserve">The NLCD has more than 20 different land cover classifications, including categories for vegetation, and various land-use densities. </w:t>
      </w:r>
      <w:r w:rsidR="00FC72E3">
        <w:rPr>
          <w:rFonts w:ascii="Arial" w:hAnsi="Arial" w:cs="Arial"/>
        </w:rPr>
        <w:t>W</w:t>
      </w:r>
      <w:r w:rsidR="00FC72E3" w:rsidRPr="000C7549">
        <w:rPr>
          <w:rFonts w:ascii="Arial" w:hAnsi="Arial" w:cs="Arial"/>
        </w:rPr>
        <w:t xml:space="preserve">e </w:t>
      </w:r>
      <w:r w:rsidR="00FC72E3">
        <w:rPr>
          <w:rFonts w:ascii="Arial" w:hAnsi="Arial" w:cs="Arial"/>
        </w:rPr>
        <w:t>aggregated</w:t>
      </w:r>
      <w:r w:rsidR="00FC72E3" w:rsidRPr="000C7549">
        <w:rPr>
          <w:rFonts w:ascii="Arial" w:hAnsi="Arial" w:cs="Arial"/>
        </w:rPr>
        <w:t xml:space="preserve"> the classes </w:t>
      </w:r>
      <w:r w:rsidR="00FC72E3" w:rsidRPr="000C7549">
        <w:rPr>
          <w:rFonts w:ascii="Arial" w:hAnsi="Arial" w:cs="Arial"/>
        </w:rPr>
        <w:lastRenderedPageBreak/>
        <w:t xml:space="preserve">into </w:t>
      </w:r>
      <w:r w:rsidR="00FC72E3">
        <w:rPr>
          <w:rFonts w:ascii="Arial" w:hAnsi="Arial" w:cs="Arial"/>
        </w:rPr>
        <w:t xml:space="preserve">four </w:t>
      </w:r>
      <w:r w:rsidR="00FC72E3" w:rsidRPr="000C7549">
        <w:rPr>
          <w:rFonts w:ascii="Arial" w:hAnsi="Arial" w:cs="Arial"/>
        </w:rPr>
        <w:t>general land-use types: water, developed, agriculture, and natural.</w:t>
      </w:r>
      <w:r w:rsidR="00FC72E3">
        <w:rPr>
          <w:rFonts w:ascii="Arial" w:hAnsi="Arial" w:cs="Arial"/>
        </w:rPr>
        <w:t xml:space="preserve"> For example, there are three different classifications for developed land-use, low, medium, and high, and all three were aggregated to represent developed land use. </w:t>
      </w:r>
      <w:r w:rsidR="00FC72E3" w:rsidRPr="000C7549">
        <w:rPr>
          <w:rFonts w:ascii="Arial" w:hAnsi="Arial" w:cs="Arial"/>
        </w:rPr>
        <w:t>The NLCD defined developed land as constructed materials and impervious surfaces such as commercial and residential housing, roadways, and even lawn grasses. Areas classified as water included open water and areas with minimal soil and vegetation. Natural included different forest types, wetlands, shrubland, and non-grassland herbaceous land cover. Agriculture comprised of land cover categorized as pastureland, cultivated crops, or grasslands by the NLCD.</w:t>
      </w:r>
      <w:r w:rsidR="00FC72E3">
        <w:rPr>
          <w:rFonts w:ascii="Arial" w:hAnsi="Arial" w:cs="Arial"/>
        </w:rPr>
        <w:t xml:space="preserve"> </w:t>
      </w:r>
      <w:r w:rsidR="002464A6">
        <w:rPr>
          <w:rFonts w:ascii="Arial" w:hAnsi="Arial" w:cs="Arial"/>
        </w:rPr>
        <w:t xml:space="preserve">Finally, we used the Zonal Statistics as Table tool in ArcGIS Pro to determine the total number of cells per land cover classification. We then used that total to create a percentage of each land cover classification for each radius (Table 5). </w:t>
      </w:r>
      <w:r w:rsidR="00FC72E3" w:rsidRPr="000C7549">
        <w:rPr>
          <w:rFonts w:ascii="Arial" w:hAnsi="Arial" w:cs="Arial"/>
        </w:rPr>
        <w:t xml:space="preserve"> </w:t>
      </w:r>
      <w:r w:rsidR="002464A6">
        <w:rPr>
          <w:rFonts w:ascii="Arial" w:hAnsi="Arial" w:cs="Arial"/>
        </w:rPr>
        <w:t>W</w:t>
      </w:r>
      <w:r w:rsidRPr="000C7549">
        <w:rPr>
          <w:rFonts w:ascii="Arial" w:hAnsi="Arial" w:cs="Arial"/>
        </w:rPr>
        <w:t>e hypothesized that</w:t>
      </w:r>
      <w:r w:rsidR="00FC72E3">
        <w:rPr>
          <w:rFonts w:ascii="Arial" w:hAnsi="Arial" w:cs="Arial"/>
        </w:rPr>
        <w:t>,</w:t>
      </w:r>
      <w:r w:rsidRPr="000C7549">
        <w:rPr>
          <w:rFonts w:ascii="Arial" w:hAnsi="Arial" w:cs="Arial"/>
        </w:rPr>
        <w:t xml:space="preserve"> as a forestry research facility, the Arboretum should have the highest proportion of natural land cover, at any radius, of all our selected sites. </w:t>
      </w:r>
    </w:p>
    <w:p w14:paraId="670B7085" w14:textId="72D3A9DF" w:rsidR="003E62F2" w:rsidRDefault="002464A6" w:rsidP="008F6630">
      <w:pPr>
        <w:spacing w:line="480" w:lineRule="auto"/>
        <w:ind w:firstLine="720"/>
        <w:rPr>
          <w:rFonts w:ascii="Arial" w:hAnsi="Arial" w:cs="Arial"/>
        </w:rPr>
      </w:pPr>
      <w:r>
        <w:rPr>
          <w:rFonts w:ascii="Arial" w:hAnsi="Arial" w:cs="Arial"/>
        </w:rPr>
        <w:t xml:space="preserve">We used these generalized land cover types (specifically natural habitat) as a proxy for </w:t>
      </w:r>
      <w:r w:rsidRPr="000C7549">
        <w:rPr>
          <w:rFonts w:ascii="Arial" w:hAnsi="Arial" w:cs="Arial"/>
        </w:rPr>
        <w:t xml:space="preserve">suitable pollinator habitat directly around our plots and in the surrounding areas. We </w:t>
      </w:r>
      <w:r>
        <w:rPr>
          <w:rFonts w:ascii="Arial" w:hAnsi="Arial" w:cs="Arial"/>
        </w:rPr>
        <w:t xml:space="preserve">then </w:t>
      </w:r>
      <w:r w:rsidRPr="000C7549">
        <w:rPr>
          <w:rFonts w:ascii="Arial" w:hAnsi="Arial" w:cs="Arial"/>
        </w:rPr>
        <w:t>estimated the relationship between land cover</w:t>
      </w:r>
      <w:r>
        <w:rPr>
          <w:rFonts w:ascii="Arial" w:hAnsi="Arial" w:cs="Arial"/>
        </w:rPr>
        <w:t xml:space="preserve"> type</w:t>
      </w:r>
      <w:r w:rsidRPr="000C7549">
        <w:rPr>
          <w:rFonts w:ascii="Arial" w:hAnsi="Arial" w:cs="Arial"/>
        </w:rPr>
        <w:t xml:space="preserve"> and pollinator abundance and richness across </w:t>
      </w:r>
      <w:r>
        <w:rPr>
          <w:rFonts w:ascii="Arial" w:hAnsi="Arial" w:cs="Arial"/>
        </w:rPr>
        <w:t xml:space="preserve">the </w:t>
      </w:r>
      <w:r w:rsidRPr="000C7549">
        <w:rPr>
          <w:rFonts w:ascii="Arial" w:hAnsi="Arial" w:cs="Arial"/>
        </w:rPr>
        <w:t xml:space="preserve">landscapes. </w:t>
      </w:r>
      <w:r>
        <w:rPr>
          <w:rFonts w:ascii="Arial" w:hAnsi="Arial" w:cs="Arial"/>
        </w:rPr>
        <w:t>W</w:t>
      </w:r>
      <w:r w:rsidR="003E62F2" w:rsidRPr="000C7549">
        <w:rPr>
          <w:rFonts w:ascii="Arial" w:hAnsi="Arial" w:cs="Arial"/>
        </w:rPr>
        <w:t>e hypothesized that landscape context has some effect on pollinator diversity or abundance; specifically, greater proportions of natural land cover in the landscape can better promote more abundant and diverse pollinator populations.</w:t>
      </w:r>
    </w:p>
    <w:p w14:paraId="76BE9D19" w14:textId="77777777" w:rsidR="003E62F2" w:rsidRPr="000C7549" w:rsidRDefault="003E62F2" w:rsidP="003E62F2">
      <w:pPr>
        <w:pStyle w:val="Heading2"/>
        <w:spacing w:line="480" w:lineRule="auto"/>
      </w:pPr>
      <w:bookmarkStart w:id="26" w:name="_Toc76799708"/>
      <w:r w:rsidRPr="000C7549">
        <w:lastRenderedPageBreak/>
        <w:t>Data Analysis</w:t>
      </w:r>
      <w:bookmarkEnd w:id="26"/>
    </w:p>
    <w:p w14:paraId="1EEDDCA9" w14:textId="0FAD3F4C" w:rsidR="002464A6" w:rsidRPr="000C7549" w:rsidRDefault="002464A6" w:rsidP="002464A6">
      <w:pPr>
        <w:spacing w:line="480" w:lineRule="auto"/>
        <w:ind w:firstLine="720"/>
        <w:rPr>
          <w:rFonts w:ascii="Arial" w:hAnsi="Arial" w:cs="Arial"/>
        </w:rPr>
      </w:pPr>
      <w:r>
        <w:rPr>
          <w:rFonts w:ascii="Arial" w:hAnsi="Arial" w:cs="Arial"/>
          <w:color w:val="000000" w:themeColor="text1"/>
        </w:rPr>
        <w:t xml:space="preserve">We used pollinator collection data from the experiment described in Chapter 2. </w:t>
      </w:r>
      <w:r w:rsidR="002262FF" w:rsidRPr="00661985">
        <w:rPr>
          <w:rFonts w:ascii="Arial" w:hAnsi="Arial" w:cs="Arial"/>
          <w:color w:val="000000" w:themeColor="text1"/>
        </w:rPr>
        <w:t xml:space="preserve">To determine differences in bee abundance at each of the sites, we averaged the abundance per sample, per </w:t>
      </w:r>
      <w:r w:rsidR="002262FF">
        <w:rPr>
          <w:rFonts w:ascii="Arial" w:hAnsi="Arial" w:cs="Arial"/>
          <w:color w:val="000000" w:themeColor="text1"/>
        </w:rPr>
        <w:t>plot</w:t>
      </w:r>
      <w:r w:rsidR="002262FF" w:rsidRPr="00661985">
        <w:rPr>
          <w:rFonts w:ascii="Arial" w:hAnsi="Arial" w:cs="Arial"/>
          <w:color w:val="000000" w:themeColor="text1"/>
        </w:rPr>
        <w:t xml:space="preserve">. </w:t>
      </w:r>
      <w:r>
        <w:rPr>
          <w:rFonts w:ascii="Arial" w:hAnsi="Arial" w:cs="Arial"/>
        </w:rPr>
        <w:t>There were 4 plots at each site, for a total of 20 plots across all sites.</w:t>
      </w:r>
      <w:r w:rsidRPr="000C7549">
        <w:rPr>
          <w:rFonts w:ascii="Arial" w:hAnsi="Arial" w:cs="Arial"/>
        </w:rPr>
        <w:t xml:space="preserve"> </w:t>
      </w:r>
      <w:r w:rsidR="002262FF">
        <w:rPr>
          <w:rFonts w:ascii="Arial" w:hAnsi="Arial" w:cs="Arial"/>
        </w:rPr>
        <w:t>In addition to bee abundance, w</w:t>
      </w:r>
      <w:r w:rsidRPr="00661985">
        <w:rPr>
          <w:rFonts w:ascii="Arial" w:hAnsi="Arial" w:cs="Arial"/>
          <w:color w:val="000000" w:themeColor="text1"/>
        </w:rPr>
        <w:t>e calculated species diversity using Shannon’s Diversity Index, as this accounted for evenness of the bee community</w:t>
      </w:r>
      <w:r>
        <w:rPr>
          <w:rFonts w:ascii="Arial" w:hAnsi="Arial" w:cs="Arial"/>
          <w:color w:val="000000" w:themeColor="text1"/>
        </w:rPr>
        <w:t>.</w:t>
      </w:r>
    </w:p>
    <w:p w14:paraId="099DC8E3" w14:textId="49C95AB5" w:rsidR="003E62F2" w:rsidRPr="000C7549" w:rsidRDefault="003E62F2" w:rsidP="003E62F2">
      <w:pPr>
        <w:spacing w:line="480" w:lineRule="auto"/>
        <w:ind w:firstLine="720"/>
        <w:rPr>
          <w:rFonts w:ascii="Arial" w:hAnsi="Arial" w:cs="Arial"/>
        </w:rPr>
      </w:pPr>
      <w:r w:rsidRPr="000C7549">
        <w:rPr>
          <w:rFonts w:ascii="Arial" w:hAnsi="Arial" w:cs="Arial"/>
          <w:color w:val="000000" w:themeColor="text1"/>
        </w:rPr>
        <w:t xml:space="preserve">To determine the model that best predicted the effect of the four land cover classifications and the three different radii on abundance and species richness, we used the </w:t>
      </w:r>
      <w:r w:rsidRPr="00546490">
        <w:rPr>
          <w:rFonts w:ascii="Arial" w:hAnsi="Arial" w:cs="Arial"/>
          <w:i/>
          <w:color w:val="000000" w:themeColor="text1"/>
        </w:rPr>
        <w:t>dredge</w:t>
      </w:r>
      <w:r w:rsidRPr="000C7549">
        <w:rPr>
          <w:rFonts w:ascii="Arial" w:hAnsi="Arial" w:cs="Arial"/>
          <w:color w:val="000000" w:themeColor="text1"/>
        </w:rPr>
        <w:t xml:space="preserve"> function from the </w:t>
      </w:r>
      <w:proofErr w:type="spellStart"/>
      <w:r w:rsidRPr="000C7549">
        <w:rPr>
          <w:rFonts w:ascii="Arial" w:hAnsi="Arial" w:cs="Arial"/>
          <w:color w:val="000000" w:themeColor="text1"/>
        </w:rPr>
        <w:t>MuMln</w:t>
      </w:r>
      <w:proofErr w:type="spellEnd"/>
      <w:r w:rsidRPr="000C7549">
        <w:rPr>
          <w:rFonts w:ascii="Arial" w:hAnsi="Arial" w:cs="Arial"/>
          <w:color w:val="000000" w:themeColor="text1"/>
        </w:rPr>
        <w:t xml:space="preserve"> package in R </w:t>
      </w:r>
      <w:r w:rsidRPr="000C7549">
        <w:rPr>
          <w:rFonts w:ascii="Arial" w:hAnsi="Arial" w:cs="Arial"/>
        </w:rPr>
        <w:fldChar w:fldCharType="begin"/>
      </w:r>
      <w:r w:rsidRPr="000C7549">
        <w:rPr>
          <w:rFonts w:ascii="Arial" w:hAnsi="Arial" w:cs="Arial"/>
        </w:rPr>
        <w:instrText xml:space="preserve"> ADDIN ZOTERO_ITEM CSL_CITATION {"citationID":"Ptt3MDH2","properties":{"formattedCitation":"(Barton, 2018; Russo et al., 2019)","plainCitation":"(Barton, 2018; Russo et al., 2019)","noteIndex":0},"citationItems":[{"id":970,"uris":["http://zotero.org/users/6034784/items/UJEBDDXM"],"uri":["http://zotero.org/users/6034784/items/UJEBDDXM"],"itemData":{"id":970,"type":"article-journal","page":"version 1.42.1","title":"MuMIn: multi-model inference. In: R Packag.","author":[{"family":"Barton","given":"K"}],"issued":{"date-parts":[["2018"]]}}},{"id":966,"uris":["http://zotero.org/users/6034784/items/5LBSIKFV"],"uri":["http://zotero.org/users/6034784/items/5LBSIKFV"],"itemData":{"id":966,"type":"article-journal","abstract":"Non-native plant species reliant on insect pollination must attract novel pollinators in their introduced habitat to reproduce. Indeed, pollination services provided by resident floral visitors may contribute to the spread of non-native species, which may then affect the pollination services received by native plants. To determine the mechanisms by which an invasive thistle attracts pollinators in its introduced range, and whether its presence changes the pollinator visitation to native plant species, we compared bee visitation to native plants in the presence or absence of the invader. We experimentally tested the effect of a thistle invasion into a native plant community. We found that the non-native thistle was the most attractive of the plant species to visiting bee species. However, there was no effect of experimental treatment (presence of thistle) on bee abundance or visitation rate (bees per unit floral area per sample) to native plant species. Across 68 bee and 6 plant species, we found a significant correlation between pollen protein content and bee abundance and visitation rate. Thistle pollen also had a similar protein:lipid ratio to legumes, which correlated with bumble bee visitation. The high protein content of the thistle pollen, as compared to four native asters, may allow it to attract pollinators in novel ecosystems, and potentially contribute to its success as an invader. At the same time, this high protein pollen may act as a novel resource to pollinators in the thistle’s invaded range.","container-title":"Oecologia","DOI":"10.1007/s00442-019-04462-5","ISSN":"1432-1939","issue":"4","journalAbbreviation":"Oecologia","language":"en","page":"901-912","source":"Springer Link","title":"Bee community preference for an invasive thistle associated with higher pollen protein content","volume":"190","author":[{"family":"Russo","given":"Laura"},{"family":"Vaudo","given":"Anthony D."},{"family":"Fisher","given":"C. Jacob"},{"family":"Grozinger","given":"Christina M."},{"family":"Shea","given":"Katriona"}],"issued":{"date-parts":[["2019",8,1]]}}}],"schema":"https://github.com/citation-style-language/schema/raw/master/csl-citation.json"} </w:instrText>
      </w:r>
      <w:r w:rsidRPr="000C7549">
        <w:rPr>
          <w:rFonts w:ascii="Arial" w:hAnsi="Arial" w:cs="Arial"/>
        </w:rPr>
        <w:fldChar w:fldCharType="separate"/>
      </w:r>
      <w:r w:rsidRPr="000C7549">
        <w:rPr>
          <w:rFonts w:ascii="Arial" w:hAnsi="Arial" w:cs="Arial"/>
        </w:rPr>
        <w:t>(Barton, 2018; Russo et al., 2019)</w:t>
      </w:r>
      <w:r w:rsidRPr="000C7549">
        <w:rPr>
          <w:rFonts w:ascii="Arial" w:hAnsi="Arial" w:cs="Arial"/>
        </w:rPr>
        <w:fldChar w:fldCharType="end"/>
      </w:r>
      <w:r w:rsidRPr="000C7549">
        <w:rPr>
          <w:rFonts w:ascii="Arial" w:hAnsi="Arial" w:cs="Arial"/>
        </w:rPr>
        <w:t>.</w:t>
      </w:r>
      <w:r>
        <w:rPr>
          <w:rFonts w:ascii="Arial" w:hAnsi="Arial" w:cs="Arial"/>
        </w:rPr>
        <w:t xml:space="preserve"> </w:t>
      </w:r>
      <w:r w:rsidRPr="000C7549">
        <w:rPr>
          <w:rFonts w:ascii="Arial" w:hAnsi="Arial" w:cs="Arial"/>
        </w:rPr>
        <w:t xml:space="preserve">The response variables included species richness and abundance, separately, and each radius with an accompanied land cover served as the covariates. </w:t>
      </w:r>
      <w:r w:rsidR="002464A6">
        <w:rPr>
          <w:rFonts w:ascii="Arial" w:hAnsi="Arial" w:cs="Arial"/>
        </w:rPr>
        <w:t>For this analysis, we used plot</w:t>
      </w:r>
      <w:r w:rsidR="002464A6" w:rsidRPr="000C7549">
        <w:rPr>
          <w:rFonts w:ascii="Arial" w:hAnsi="Arial" w:cs="Arial"/>
        </w:rPr>
        <w:t xml:space="preserve"> </w:t>
      </w:r>
      <w:r w:rsidR="002464A6">
        <w:rPr>
          <w:rFonts w:ascii="Arial" w:hAnsi="Arial" w:cs="Arial"/>
        </w:rPr>
        <w:t xml:space="preserve">as </w:t>
      </w:r>
      <w:r w:rsidRPr="000C7549">
        <w:rPr>
          <w:rFonts w:ascii="Arial" w:hAnsi="Arial" w:cs="Arial"/>
        </w:rPr>
        <w:t xml:space="preserve">a random </w:t>
      </w:r>
      <w:r w:rsidR="002464A6">
        <w:rPr>
          <w:rFonts w:ascii="Arial" w:hAnsi="Arial" w:cs="Arial"/>
        </w:rPr>
        <w:t>effect</w:t>
      </w:r>
      <w:r w:rsidRPr="000C7549">
        <w:rPr>
          <w:rFonts w:ascii="Arial" w:hAnsi="Arial" w:cs="Arial"/>
        </w:rPr>
        <w:t>.</w:t>
      </w:r>
      <w:r w:rsidR="002464A6">
        <w:rPr>
          <w:rFonts w:ascii="Arial" w:hAnsi="Arial" w:cs="Arial"/>
        </w:rPr>
        <w:t xml:space="preserve"> </w:t>
      </w:r>
      <w:r w:rsidRPr="000C7549">
        <w:rPr>
          <w:rFonts w:ascii="Arial" w:hAnsi="Arial" w:cs="Arial"/>
        </w:rPr>
        <w:t xml:space="preserve">Additionally, we </w:t>
      </w:r>
      <w:r w:rsidR="002464A6">
        <w:rPr>
          <w:rFonts w:ascii="Arial" w:hAnsi="Arial" w:cs="Arial"/>
        </w:rPr>
        <w:t>tested for a correlation between</w:t>
      </w:r>
      <w:r w:rsidR="002464A6" w:rsidRPr="000C7549">
        <w:rPr>
          <w:rFonts w:ascii="Arial" w:hAnsi="Arial" w:cs="Arial"/>
        </w:rPr>
        <w:t xml:space="preserve"> </w:t>
      </w:r>
      <w:r w:rsidRPr="000C7549">
        <w:rPr>
          <w:rFonts w:ascii="Arial" w:hAnsi="Arial" w:cs="Arial"/>
        </w:rPr>
        <w:t xml:space="preserve">the average </w:t>
      </w:r>
      <w:r w:rsidR="002464A6">
        <w:rPr>
          <w:rFonts w:ascii="Arial" w:hAnsi="Arial" w:cs="Arial"/>
        </w:rPr>
        <w:t xml:space="preserve">pollinator </w:t>
      </w:r>
      <w:r w:rsidRPr="000C7549">
        <w:rPr>
          <w:rFonts w:ascii="Arial" w:hAnsi="Arial" w:cs="Arial"/>
        </w:rPr>
        <w:t>abundance and the proportion of natural land cover at three radii</w:t>
      </w:r>
      <w:r w:rsidR="002464A6">
        <w:rPr>
          <w:rFonts w:ascii="Arial" w:hAnsi="Arial" w:cs="Arial"/>
        </w:rPr>
        <w:t>:</w:t>
      </w:r>
      <w:r w:rsidRPr="000C7549">
        <w:rPr>
          <w:rFonts w:ascii="Arial" w:hAnsi="Arial" w:cs="Arial"/>
        </w:rPr>
        <w:t xml:space="preserve"> 500m, 1000m, and 2000 (Fig. 15). </w:t>
      </w:r>
      <w:r w:rsidR="002464A6">
        <w:rPr>
          <w:rFonts w:ascii="Arial" w:hAnsi="Arial" w:cs="Arial"/>
        </w:rPr>
        <w:t>W</w:t>
      </w:r>
      <w:r w:rsidRPr="000C7549">
        <w:rPr>
          <w:rFonts w:ascii="Arial" w:hAnsi="Arial" w:cs="Arial"/>
        </w:rPr>
        <w:t xml:space="preserve">e </w:t>
      </w:r>
      <w:r w:rsidR="002464A6">
        <w:rPr>
          <w:rFonts w:ascii="Arial" w:hAnsi="Arial" w:cs="Arial"/>
        </w:rPr>
        <w:t>also tested for correlations between</w:t>
      </w:r>
      <w:r w:rsidR="002464A6" w:rsidRPr="000C7549">
        <w:rPr>
          <w:rFonts w:ascii="Arial" w:hAnsi="Arial" w:cs="Arial"/>
        </w:rPr>
        <w:t xml:space="preserve"> </w:t>
      </w:r>
      <w:r w:rsidRPr="000C7549">
        <w:rPr>
          <w:rFonts w:ascii="Arial" w:hAnsi="Arial" w:cs="Arial"/>
        </w:rPr>
        <w:t xml:space="preserve">the average </w:t>
      </w:r>
      <w:r w:rsidR="002464A6">
        <w:rPr>
          <w:rFonts w:ascii="Arial" w:hAnsi="Arial" w:cs="Arial"/>
        </w:rPr>
        <w:t xml:space="preserve">pollinator </w:t>
      </w:r>
      <w:r w:rsidRPr="000C7549">
        <w:rPr>
          <w:rFonts w:ascii="Arial" w:hAnsi="Arial" w:cs="Arial"/>
        </w:rPr>
        <w:t xml:space="preserve">abundance at each of the sites and the major land cover classes </w:t>
      </w:r>
      <w:r w:rsidR="002464A6">
        <w:rPr>
          <w:rFonts w:ascii="Arial" w:hAnsi="Arial" w:cs="Arial"/>
        </w:rPr>
        <w:t>(</w:t>
      </w:r>
      <w:r w:rsidRPr="000C7549">
        <w:rPr>
          <w:rFonts w:ascii="Arial" w:hAnsi="Arial" w:cs="Arial"/>
        </w:rPr>
        <w:t>agriculture, developed and natural</w:t>
      </w:r>
      <w:r w:rsidR="002464A6">
        <w:rPr>
          <w:rFonts w:ascii="Arial" w:hAnsi="Arial" w:cs="Arial"/>
        </w:rPr>
        <w:t>)</w:t>
      </w:r>
      <w:r w:rsidRPr="000C7549">
        <w:rPr>
          <w:rFonts w:ascii="Arial" w:hAnsi="Arial" w:cs="Arial"/>
        </w:rPr>
        <w:t xml:space="preserve"> at the 2000m radius (Fig.16).</w:t>
      </w:r>
    </w:p>
    <w:p w14:paraId="57952D21" w14:textId="087D5A2A" w:rsidR="00BB1588" w:rsidRPr="00D23EF3" w:rsidRDefault="003E62F2" w:rsidP="00D23EF3">
      <w:pPr>
        <w:pStyle w:val="Heading2"/>
        <w:spacing w:line="480" w:lineRule="auto"/>
      </w:pPr>
      <w:bookmarkStart w:id="27" w:name="_Toc76799709"/>
      <w:r w:rsidRPr="000C7549">
        <w:t>Results</w:t>
      </w:r>
      <w:bookmarkEnd w:id="27"/>
    </w:p>
    <w:p w14:paraId="7982A579" w14:textId="3DBC2162" w:rsidR="00CE19C2" w:rsidRPr="00661985" w:rsidRDefault="008F6630" w:rsidP="00CE19C2">
      <w:pPr>
        <w:spacing w:line="480" w:lineRule="auto"/>
        <w:rPr>
          <w:rFonts w:ascii="Arial" w:hAnsi="Arial" w:cs="Arial"/>
          <w:b/>
          <w:bCs/>
          <w:i/>
          <w:iCs/>
          <w:color w:val="000000" w:themeColor="text1"/>
        </w:rPr>
      </w:pPr>
      <w:r w:rsidRPr="00661985">
        <w:rPr>
          <w:rFonts w:ascii="Arial" w:hAnsi="Arial" w:cs="Arial"/>
          <w:b/>
          <w:bCs/>
          <w:i/>
          <w:iCs/>
          <w:color w:val="000000" w:themeColor="text1"/>
        </w:rPr>
        <w:t xml:space="preserve">Bee </w:t>
      </w:r>
      <w:r w:rsidR="00CE19C2" w:rsidRPr="00661985">
        <w:rPr>
          <w:rFonts w:ascii="Arial" w:hAnsi="Arial" w:cs="Arial"/>
          <w:b/>
          <w:bCs/>
          <w:i/>
          <w:iCs/>
          <w:color w:val="000000" w:themeColor="text1"/>
        </w:rPr>
        <w:t>Abundance &amp;</w:t>
      </w:r>
      <w:r w:rsidR="00D23EF3" w:rsidRPr="00661985">
        <w:rPr>
          <w:rFonts w:ascii="Arial" w:hAnsi="Arial" w:cs="Arial"/>
          <w:b/>
          <w:bCs/>
          <w:i/>
          <w:iCs/>
          <w:color w:val="000000" w:themeColor="text1"/>
        </w:rPr>
        <w:t xml:space="preserve"> Species</w:t>
      </w:r>
      <w:r w:rsidR="00CE19C2" w:rsidRPr="00661985">
        <w:rPr>
          <w:rFonts w:ascii="Arial" w:hAnsi="Arial" w:cs="Arial"/>
          <w:b/>
          <w:bCs/>
          <w:i/>
          <w:iCs/>
          <w:color w:val="000000" w:themeColor="text1"/>
        </w:rPr>
        <w:t xml:space="preserve"> </w:t>
      </w:r>
      <w:r w:rsidR="00C3420E" w:rsidRPr="00661985">
        <w:rPr>
          <w:rFonts w:ascii="Arial" w:hAnsi="Arial" w:cs="Arial"/>
          <w:b/>
          <w:bCs/>
          <w:i/>
          <w:iCs/>
          <w:color w:val="000000" w:themeColor="text1"/>
        </w:rPr>
        <w:t>Diversity</w:t>
      </w:r>
      <w:r w:rsidR="00CE19C2" w:rsidRPr="00661985">
        <w:rPr>
          <w:rFonts w:ascii="Arial" w:hAnsi="Arial" w:cs="Arial"/>
          <w:b/>
          <w:bCs/>
          <w:i/>
          <w:iCs/>
          <w:color w:val="000000" w:themeColor="text1"/>
        </w:rPr>
        <w:t xml:space="preserve">  </w:t>
      </w:r>
    </w:p>
    <w:p w14:paraId="47FDDCF2" w14:textId="368F0F2D" w:rsidR="00CE1435" w:rsidRPr="00661985" w:rsidRDefault="000815EF" w:rsidP="00661985">
      <w:pPr>
        <w:spacing w:line="480" w:lineRule="auto"/>
        <w:ind w:firstLine="720"/>
        <w:rPr>
          <w:rFonts w:ascii="Arial" w:hAnsi="Arial" w:cs="Arial"/>
          <w:color w:val="000000" w:themeColor="text1"/>
          <w:shd w:val="clear" w:color="auto" w:fill="FFFFFF"/>
        </w:rPr>
      </w:pPr>
      <w:r w:rsidRPr="00661985">
        <w:rPr>
          <w:rFonts w:ascii="Arial" w:hAnsi="Arial" w:cs="Arial"/>
          <w:color w:val="000000" w:themeColor="text1"/>
        </w:rPr>
        <w:t>We found a</w:t>
      </w:r>
      <w:r w:rsidR="00CE19C2" w:rsidRPr="00661985">
        <w:rPr>
          <w:rFonts w:ascii="Arial" w:hAnsi="Arial" w:cs="Arial"/>
          <w:color w:val="000000" w:themeColor="text1"/>
        </w:rPr>
        <w:t xml:space="preserve">ll three agriculture sites had higher abundance compared to the Urban Gardens and Semi-natural </w:t>
      </w:r>
      <w:r w:rsidR="002464A6">
        <w:rPr>
          <w:rFonts w:ascii="Arial" w:hAnsi="Arial" w:cs="Arial"/>
          <w:color w:val="000000" w:themeColor="text1"/>
        </w:rPr>
        <w:t>sites</w:t>
      </w:r>
      <w:r w:rsidR="002262FF">
        <w:rPr>
          <w:rFonts w:ascii="Arial" w:hAnsi="Arial" w:cs="Arial"/>
          <w:color w:val="000000" w:themeColor="text1"/>
        </w:rPr>
        <w:t xml:space="preserve"> (Fig. 10)</w:t>
      </w:r>
      <w:r w:rsidR="00CE19C2" w:rsidRPr="00661985">
        <w:rPr>
          <w:rFonts w:ascii="Arial" w:hAnsi="Arial" w:cs="Arial"/>
          <w:color w:val="000000" w:themeColor="text1"/>
        </w:rPr>
        <w:t xml:space="preserve">. The Organic Agriculture </w:t>
      </w:r>
      <w:r w:rsidR="002464A6">
        <w:rPr>
          <w:rFonts w:ascii="Arial" w:hAnsi="Arial" w:cs="Arial"/>
          <w:color w:val="000000" w:themeColor="text1"/>
        </w:rPr>
        <w:t>site</w:t>
      </w:r>
      <w:r w:rsidR="002464A6" w:rsidRPr="00661985">
        <w:rPr>
          <w:rFonts w:ascii="Arial" w:hAnsi="Arial" w:cs="Arial"/>
          <w:color w:val="000000" w:themeColor="text1"/>
        </w:rPr>
        <w:t xml:space="preserve"> </w:t>
      </w:r>
      <w:r w:rsidR="00CE19C2" w:rsidRPr="00661985">
        <w:rPr>
          <w:rFonts w:ascii="Arial" w:hAnsi="Arial" w:cs="Arial"/>
          <w:color w:val="000000" w:themeColor="text1"/>
        </w:rPr>
        <w:t xml:space="preserve">had the highest average abundance, while the Semi-natural site had the lowest. </w:t>
      </w:r>
      <w:r w:rsidR="005A4D27">
        <w:rPr>
          <w:rFonts w:ascii="Arial" w:hAnsi="Arial" w:cs="Arial"/>
          <w:color w:val="000000" w:themeColor="text1"/>
        </w:rPr>
        <w:t xml:space="preserve">Using, </w:t>
      </w:r>
      <w:r w:rsidR="005A4D27">
        <w:rPr>
          <w:rFonts w:ascii="Arial" w:hAnsi="Arial" w:cs="Arial"/>
          <w:color w:val="000000" w:themeColor="text1"/>
        </w:rPr>
        <w:lastRenderedPageBreak/>
        <w:t>Shannon’s Diversity Index, w</w:t>
      </w:r>
      <w:r w:rsidR="00F45235" w:rsidRPr="00661985">
        <w:rPr>
          <w:rFonts w:ascii="Arial" w:hAnsi="Arial" w:cs="Arial"/>
          <w:color w:val="000000" w:themeColor="text1"/>
        </w:rPr>
        <w:t xml:space="preserve">e found the Cattle Pasture site </w:t>
      </w:r>
      <w:r w:rsidR="00177B3A" w:rsidRPr="00661985">
        <w:rPr>
          <w:rFonts w:ascii="Arial" w:hAnsi="Arial" w:cs="Arial"/>
          <w:color w:val="000000" w:themeColor="text1"/>
        </w:rPr>
        <w:t>to</w:t>
      </w:r>
      <w:r w:rsidR="00F45235" w:rsidRPr="00661985">
        <w:rPr>
          <w:rFonts w:ascii="Arial" w:hAnsi="Arial" w:cs="Arial"/>
          <w:color w:val="000000" w:themeColor="text1"/>
        </w:rPr>
        <w:t xml:space="preserve"> have the highest species </w:t>
      </w:r>
      <w:r w:rsidR="005A4D27">
        <w:rPr>
          <w:rFonts w:ascii="Arial" w:hAnsi="Arial" w:cs="Arial"/>
          <w:color w:val="000000" w:themeColor="text1"/>
        </w:rPr>
        <w:t>diversity, with an index of</w:t>
      </w:r>
      <w:r w:rsidR="00F45235" w:rsidRPr="00661985">
        <w:rPr>
          <w:rFonts w:ascii="Arial" w:hAnsi="Arial" w:cs="Arial"/>
          <w:color w:val="000000" w:themeColor="text1"/>
        </w:rPr>
        <w:t xml:space="preserve"> </w:t>
      </w:r>
      <w:r w:rsidR="00177B3A" w:rsidRPr="00661985">
        <w:rPr>
          <w:rFonts w:ascii="Arial" w:hAnsi="Arial" w:cs="Arial"/>
          <w:color w:val="000000" w:themeColor="text1"/>
        </w:rPr>
        <w:t>16</w:t>
      </w:r>
      <w:r w:rsidR="00565D59" w:rsidRPr="00661985">
        <w:rPr>
          <w:rFonts w:ascii="Arial" w:hAnsi="Arial" w:cs="Arial"/>
          <w:color w:val="000000" w:themeColor="text1"/>
        </w:rPr>
        <w:t>, but</w:t>
      </w:r>
      <w:r w:rsidR="002262FF">
        <w:rPr>
          <w:rFonts w:ascii="Arial" w:hAnsi="Arial" w:cs="Arial"/>
          <w:color w:val="000000" w:themeColor="text1"/>
        </w:rPr>
        <w:t xml:space="preserve"> it</w:t>
      </w:r>
      <w:r w:rsidR="00565D59" w:rsidRPr="00661985">
        <w:rPr>
          <w:rFonts w:ascii="Arial" w:hAnsi="Arial" w:cs="Arial"/>
          <w:color w:val="000000" w:themeColor="text1"/>
        </w:rPr>
        <w:t xml:space="preserve"> also had the largest confidence intervals of the five sites</w:t>
      </w:r>
      <w:r w:rsidR="002262FF">
        <w:rPr>
          <w:rFonts w:ascii="Arial" w:hAnsi="Arial" w:cs="Arial"/>
          <w:color w:val="000000" w:themeColor="text1"/>
        </w:rPr>
        <w:t>, suggesting high variation</w:t>
      </w:r>
      <w:r w:rsidR="005A4D27">
        <w:rPr>
          <w:rFonts w:ascii="Arial" w:hAnsi="Arial" w:cs="Arial"/>
          <w:color w:val="000000" w:themeColor="text1"/>
        </w:rPr>
        <w:t xml:space="preserve"> </w:t>
      </w:r>
      <w:r w:rsidR="005A4D27">
        <w:rPr>
          <w:rFonts w:ascii="Arial" w:hAnsi="Arial" w:cs="Arial"/>
          <w:color w:val="000000" w:themeColor="text1"/>
        </w:rPr>
        <w:t>(</w:t>
      </w:r>
      <w:r w:rsidR="005A4D27" w:rsidRPr="00661985">
        <w:rPr>
          <w:rFonts w:ascii="Arial" w:hAnsi="Arial" w:cs="Arial"/>
          <w:color w:val="000000" w:themeColor="text1"/>
        </w:rPr>
        <w:t>Fig. 11)</w:t>
      </w:r>
      <w:r w:rsidR="00565D59" w:rsidRPr="00661985">
        <w:rPr>
          <w:rFonts w:ascii="Arial" w:hAnsi="Arial" w:cs="Arial"/>
          <w:color w:val="000000" w:themeColor="text1"/>
        </w:rPr>
        <w:t xml:space="preserve">. </w:t>
      </w:r>
      <w:r w:rsidR="00405678" w:rsidRPr="00661985">
        <w:rPr>
          <w:rFonts w:ascii="Arial" w:hAnsi="Arial" w:cs="Arial"/>
          <w:color w:val="000000" w:themeColor="text1"/>
        </w:rPr>
        <w:t xml:space="preserve">The next </w:t>
      </w:r>
      <w:r w:rsidR="002262FF">
        <w:rPr>
          <w:rFonts w:ascii="Arial" w:hAnsi="Arial" w:cs="Arial"/>
          <w:color w:val="000000" w:themeColor="text1"/>
        </w:rPr>
        <w:t xml:space="preserve">highest species </w:t>
      </w:r>
      <w:r w:rsidR="005A4D27">
        <w:rPr>
          <w:rFonts w:ascii="Arial" w:hAnsi="Arial" w:cs="Arial"/>
          <w:color w:val="000000" w:themeColor="text1"/>
        </w:rPr>
        <w:t>diversity</w:t>
      </w:r>
      <w:r w:rsidR="002262FF" w:rsidRPr="00661985">
        <w:rPr>
          <w:rFonts w:ascii="Arial" w:hAnsi="Arial" w:cs="Arial"/>
          <w:color w:val="000000" w:themeColor="text1"/>
        </w:rPr>
        <w:t xml:space="preserve"> was </w:t>
      </w:r>
      <w:r w:rsidR="002262FF">
        <w:rPr>
          <w:rFonts w:ascii="Arial" w:hAnsi="Arial" w:cs="Arial"/>
          <w:color w:val="000000" w:themeColor="text1"/>
        </w:rPr>
        <w:t xml:space="preserve">at </w:t>
      </w:r>
      <w:r w:rsidR="002262FF" w:rsidRPr="00661985">
        <w:rPr>
          <w:rFonts w:ascii="Arial" w:hAnsi="Arial" w:cs="Arial"/>
          <w:color w:val="000000" w:themeColor="text1"/>
        </w:rPr>
        <w:t xml:space="preserve">the Mixed Use Agriculture site </w:t>
      </w:r>
      <w:r w:rsidR="002262FF">
        <w:rPr>
          <w:rFonts w:ascii="Arial" w:hAnsi="Arial" w:cs="Arial"/>
          <w:color w:val="000000" w:themeColor="text1"/>
        </w:rPr>
        <w:t>(</w:t>
      </w:r>
      <w:r w:rsidR="005A4D27">
        <w:rPr>
          <w:rFonts w:ascii="Arial" w:hAnsi="Arial" w:cs="Arial"/>
          <w:color w:val="000000" w:themeColor="text1"/>
        </w:rPr>
        <w:t xml:space="preserve">index of </w:t>
      </w:r>
      <w:r w:rsidR="00A573F5" w:rsidRPr="00661985">
        <w:rPr>
          <w:rFonts w:ascii="Arial" w:hAnsi="Arial" w:cs="Arial"/>
          <w:color w:val="000000" w:themeColor="text1"/>
        </w:rPr>
        <w:t>14</w:t>
      </w:r>
      <w:r w:rsidR="002262FF">
        <w:rPr>
          <w:rFonts w:ascii="Arial" w:hAnsi="Arial" w:cs="Arial"/>
          <w:color w:val="000000" w:themeColor="text1"/>
        </w:rPr>
        <w:t>)</w:t>
      </w:r>
      <w:r w:rsidR="00A573F5" w:rsidRPr="00661985">
        <w:rPr>
          <w:rFonts w:ascii="Arial" w:hAnsi="Arial" w:cs="Arial"/>
          <w:color w:val="000000" w:themeColor="text1"/>
        </w:rPr>
        <w:t>, followed closely by the Semi-natural site</w:t>
      </w:r>
      <w:r w:rsidR="001A4337" w:rsidRPr="00661985">
        <w:rPr>
          <w:rFonts w:ascii="Arial" w:hAnsi="Arial" w:cs="Arial"/>
          <w:color w:val="000000" w:themeColor="text1"/>
        </w:rPr>
        <w:t xml:space="preserve">. </w:t>
      </w:r>
      <w:r w:rsidR="00F25DF6" w:rsidRPr="00661985">
        <w:rPr>
          <w:rFonts w:ascii="Arial" w:hAnsi="Arial" w:cs="Arial"/>
          <w:color w:val="000000" w:themeColor="text1"/>
        </w:rPr>
        <w:t>The Urban site had a</w:t>
      </w:r>
      <w:r w:rsidR="005A4D27">
        <w:rPr>
          <w:rFonts w:ascii="Arial" w:hAnsi="Arial" w:cs="Arial"/>
          <w:color w:val="000000" w:themeColor="text1"/>
        </w:rPr>
        <w:t>n index</w:t>
      </w:r>
      <w:r w:rsidR="002262FF" w:rsidRPr="00661985">
        <w:rPr>
          <w:rFonts w:ascii="Arial" w:hAnsi="Arial" w:cs="Arial"/>
          <w:color w:val="000000" w:themeColor="text1"/>
        </w:rPr>
        <w:t xml:space="preserve"> </w:t>
      </w:r>
      <w:r w:rsidR="00F25DF6" w:rsidRPr="00661985">
        <w:rPr>
          <w:rFonts w:ascii="Arial" w:hAnsi="Arial" w:cs="Arial"/>
          <w:color w:val="000000" w:themeColor="text1"/>
        </w:rPr>
        <w:t>of 12</w:t>
      </w:r>
      <w:r w:rsidR="00C3420E" w:rsidRPr="00661985">
        <w:rPr>
          <w:rFonts w:ascii="Arial" w:hAnsi="Arial" w:cs="Arial"/>
          <w:color w:val="000000" w:themeColor="text1"/>
        </w:rPr>
        <w:t xml:space="preserve"> and lastly, the Organic Agriculture site had the lowest species </w:t>
      </w:r>
      <w:r w:rsidR="005A4D27">
        <w:rPr>
          <w:rFonts w:ascii="Arial" w:hAnsi="Arial" w:cs="Arial"/>
          <w:color w:val="000000" w:themeColor="text1"/>
        </w:rPr>
        <w:t>diversity index of 7</w:t>
      </w:r>
      <w:r w:rsidR="00C3420E" w:rsidRPr="00661985">
        <w:rPr>
          <w:rFonts w:ascii="Arial" w:hAnsi="Arial" w:cs="Arial"/>
          <w:color w:val="000000" w:themeColor="text1"/>
        </w:rPr>
        <w:t xml:space="preserve">. </w:t>
      </w:r>
    </w:p>
    <w:p w14:paraId="2C5DA540" w14:textId="10F139E3" w:rsidR="00BB1588" w:rsidRPr="00661985" w:rsidRDefault="00BB1588" w:rsidP="00546490">
      <w:pPr>
        <w:spacing w:line="480" w:lineRule="auto"/>
        <w:rPr>
          <w:rFonts w:ascii="Arial" w:hAnsi="Arial" w:cs="Arial"/>
          <w:b/>
          <w:bCs/>
          <w:i/>
          <w:iCs/>
          <w:color w:val="000000" w:themeColor="text1"/>
        </w:rPr>
      </w:pPr>
      <w:r w:rsidRPr="00661985">
        <w:rPr>
          <w:rFonts w:ascii="Arial" w:hAnsi="Arial" w:cs="Arial"/>
          <w:b/>
          <w:bCs/>
          <w:i/>
          <w:iCs/>
          <w:color w:val="000000" w:themeColor="text1"/>
        </w:rPr>
        <w:t xml:space="preserve">Spatial Analysis Results </w:t>
      </w:r>
    </w:p>
    <w:p w14:paraId="3159BE07" w14:textId="77777777" w:rsidR="00F87605" w:rsidRDefault="00F87605" w:rsidP="00F87605">
      <w:pPr>
        <w:spacing w:line="480" w:lineRule="auto"/>
        <w:ind w:firstLine="720"/>
        <w:rPr>
          <w:rFonts w:ascii="Arial" w:hAnsi="Arial" w:cs="Arial"/>
        </w:rPr>
      </w:pPr>
      <w:r w:rsidRPr="000C7549">
        <w:rPr>
          <w:rFonts w:ascii="Arial" w:hAnsi="Arial" w:cs="Arial"/>
        </w:rPr>
        <w:t xml:space="preserve">The Urban Gardens had the highest proportion of developed land coverage at any given radius (Table 2). The Arboretum, identified as the </w:t>
      </w:r>
      <w:r>
        <w:rPr>
          <w:rFonts w:ascii="Arial" w:hAnsi="Arial" w:cs="Arial"/>
        </w:rPr>
        <w:t>S</w:t>
      </w:r>
      <w:r w:rsidRPr="000C7549">
        <w:rPr>
          <w:rFonts w:ascii="Arial" w:hAnsi="Arial" w:cs="Arial"/>
        </w:rPr>
        <w:t>emi-natural site, had the highest proportion of natural land cover at the smallest radius, 500m, but showed just as much natural cover as the Organic Agriculture site at 1000m and the Mixed</w:t>
      </w:r>
      <w:r>
        <w:rPr>
          <w:rFonts w:ascii="Arial" w:hAnsi="Arial" w:cs="Arial"/>
        </w:rPr>
        <w:t xml:space="preserve"> </w:t>
      </w:r>
      <w:r w:rsidRPr="000C7549">
        <w:rPr>
          <w:rFonts w:ascii="Arial" w:hAnsi="Arial" w:cs="Arial"/>
        </w:rPr>
        <w:t>Use Agriculture site at 2000m, respectively.</w:t>
      </w:r>
    </w:p>
    <w:p w14:paraId="5ADBD813" w14:textId="77777777" w:rsidR="00F87605" w:rsidRPr="000C7549" w:rsidRDefault="00F87605" w:rsidP="00F87605">
      <w:pPr>
        <w:spacing w:line="480" w:lineRule="auto"/>
        <w:ind w:firstLine="720"/>
        <w:rPr>
          <w:rFonts w:ascii="Arial" w:hAnsi="Arial" w:cs="Arial"/>
        </w:rPr>
      </w:pPr>
      <w:r w:rsidRPr="000C7549">
        <w:rPr>
          <w:rFonts w:ascii="Arial" w:hAnsi="Arial" w:cs="Arial"/>
        </w:rPr>
        <w:t xml:space="preserve"> Additionally, the Arboretum had the second highest proportion of land cover classified as developed at any scale. For the agriculture sites, in general, as the spatial scale increased, the percentage of land classified as agriculture decreased, while the percentage of land classified as natural increased. The Mixed-Use Agriculture had the largest land cover classified as natural at both the 500m and 2000m scale and had the lowest percentage of developed at any scale as compared to the Cattle </w:t>
      </w:r>
      <w:r>
        <w:rPr>
          <w:rFonts w:ascii="Arial" w:hAnsi="Arial" w:cs="Arial"/>
        </w:rPr>
        <w:t>Pasture</w:t>
      </w:r>
      <w:r w:rsidRPr="000C7549">
        <w:rPr>
          <w:rFonts w:ascii="Arial" w:hAnsi="Arial" w:cs="Arial"/>
        </w:rPr>
        <w:t xml:space="preserve"> and Organic Agriculture.  </w:t>
      </w:r>
    </w:p>
    <w:p w14:paraId="2D41E230" w14:textId="4B87C68E" w:rsidR="003E62F2" w:rsidRPr="000C7549" w:rsidRDefault="003E62F2" w:rsidP="003E62F2">
      <w:pPr>
        <w:spacing w:line="480" w:lineRule="auto"/>
        <w:ind w:firstLine="720"/>
        <w:rPr>
          <w:rFonts w:ascii="Arial" w:hAnsi="Arial" w:cs="Arial"/>
        </w:rPr>
      </w:pPr>
      <w:r w:rsidRPr="000C7549">
        <w:rPr>
          <w:rFonts w:ascii="Arial" w:hAnsi="Arial" w:cs="Arial"/>
        </w:rPr>
        <w:t xml:space="preserve">Through model comparisons, and ranking order depending on AIC score, the results showed no one radius was more predictive than </w:t>
      </w:r>
      <w:r w:rsidR="00F87605">
        <w:rPr>
          <w:rFonts w:ascii="Arial" w:hAnsi="Arial" w:cs="Arial"/>
        </w:rPr>
        <w:t>any</w:t>
      </w:r>
      <w:r w:rsidR="00F87605" w:rsidRPr="000C7549">
        <w:rPr>
          <w:rFonts w:ascii="Arial" w:hAnsi="Arial" w:cs="Arial"/>
        </w:rPr>
        <w:t xml:space="preserve"> </w:t>
      </w:r>
      <w:r w:rsidRPr="000C7549">
        <w:rPr>
          <w:rFonts w:ascii="Arial" w:hAnsi="Arial" w:cs="Arial"/>
        </w:rPr>
        <w:t xml:space="preserve">other. </w:t>
      </w:r>
      <w:r w:rsidR="002262FF">
        <w:rPr>
          <w:rFonts w:ascii="Arial" w:hAnsi="Arial" w:cs="Arial"/>
        </w:rPr>
        <w:t>T</w:t>
      </w:r>
      <w:r w:rsidRPr="000C7549">
        <w:rPr>
          <w:rFonts w:ascii="Arial" w:hAnsi="Arial" w:cs="Arial"/>
        </w:rPr>
        <w:t xml:space="preserve">he results suggested the best predictive model included all land cover types at any of the </w:t>
      </w:r>
    </w:p>
    <w:p w14:paraId="538F188A" w14:textId="5324D1F3" w:rsidR="003E62F2" w:rsidRPr="000C7549" w:rsidRDefault="003E62F2" w:rsidP="003E62F2">
      <w:pPr>
        <w:spacing w:line="480" w:lineRule="auto"/>
        <w:rPr>
          <w:rFonts w:ascii="Arial" w:hAnsi="Arial" w:cs="Arial"/>
        </w:rPr>
      </w:pPr>
      <w:r w:rsidRPr="000C7549">
        <w:rPr>
          <w:rFonts w:ascii="Arial" w:hAnsi="Arial" w:cs="Arial"/>
        </w:rPr>
        <w:lastRenderedPageBreak/>
        <w:t>three radii, thus we were unable to identify a relationship between land</w:t>
      </w:r>
      <w:r w:rsidR="002262FF">
        <w:rPr>
          <w:rFonts w:ascii="Arial" w:hAnsi="Arial" w:cs="Arial"/>
        </w:rPr>
        <w:t xml:space="preserve"> </w:t>
      </w:r>
      <w:r w:rsidRPr="000C7549">
        <w:rPr>
          <w:rFonts w:ascii="Arial" w:hAnsi="Arial" w:cs="Arial"/>
        </w:rPr>
        <w:t xml:space="preserve">cover and species </w:t>
      </w:r>
      <w:r w:rsidR="002262FF">
        <w:rPr>
          <w:rFonts w:ascii="Arial" w:hAnsi="Arial" w:cs="Arial"/>
        </w:rPr>
        <w:t>diversity</w:t>
      </w:r>
      <w:r w:rsidR="002262FF" w:rsidRPr="000C7549">
        <w:rPr>
          <w:rFonts w:ascii="Arial" w:hAnsi="Arial" w:cs="Arial"/>
        </w:rPr>
        <w:t xml:space="preserve"> </w:t>
      </w:r>
      <w:r w:rsidRPr="000C7549">
        <w:rPr>
          <w:rFonts w:ascii="Arial" w:hAnsi="Arial" w:cs="Arial"/>
        </w:rPr>
        <w:t>(Fig.</w:t>
      </w:r>
      <w:r w:rsidR="002262FF">
        <w:rPr>
          <w:rFonts w:ascii="Arial" w:hAnsi="Arial" w:cs="Arial"/>
        </w:rPr>
        <w:t xml:space="preserve"> </w:t>
      </w:r>
      <w:r w:rsidRPr="000C7549">
        <w:rPr>
          <w:rFonts w:ascii="Arial" w:hAnsi="Arial" w:cs="Arial"/>
        </w:rPr>
        <w:t>17) or abundance (Fig.</w:t>
      </w:r>
      <w:r w:rsidR="002262FF">
        <w:rPr>
          <w:rFonts w:ascii="Arial" w:hAnsi="Arial" w:cs="Arial"/>
        </w:rPr>
        <w:t xml:space="preserve"> </w:t>
      </w:r>
      <w:r w:rsidRPr="000C7549">
        <w:rPr>
          <w:rFonts w:ascii="Arial" w:hAnsi="Arial" w:cs="Arial"/>
        </w:rPr>
        <w:t>18).</w:t>
      </w:r>
      <w:r>
        <w:rPr>
          <w:rFonts w:ascii="Arial" w:hAnsi="Arial" w:cs="Arial"/>
        </w:rPr>
        <w:t xml:space="preserve"> </w:t>
      </w:r>
      <w:r w:rsidRPr="000C7549">
        <w:rPr>
          <w:rFonts w:ascii="Arial" w:hAnsi="Arial" w:cs="Arial"/>
        </w:rPr>
        <w:t xml:space="preserve">Additionally, through comparisons between abundance and proportion of natural land cover (Fig. 15), we found that </w:t>
      </w:r>
      <w:r w:rsidR="00F87605">
        <w:rPr>
          <w:rFonts w:ascii="Arial" w:hAnsi="Arial" w:cs="Arial"/>
        </w:rPr>
        <w:t xml:space="preserve">the proportion of </w:t>
      </w:r>
      <w:r w:rsidRPr="000C7549">
        <w:rPr>
          <w:rFonts w:ascii="Arial" w:hAnsi="Arial" w:cs="Arial"/>
        </w:rPr>
        <w:t xml:space="preserve">natural land cover </w:t>
      </w:r>
      <w:r w:rsidR="00F87605">
        <w:rPr>
          <w:rFonts w:ascii="Arial" w:hAnsi="Arial" w:cs="Arial"/>
        </w:rPr>
        <w:t xml:space="preserve">around the sites </w:t>
      </w:r>
      <w:r w:rsidRPr="000C7549">
        <w:rPr>
          <w:rFonts w:ascii="Arial" w:hAnsi="Arial" w:cs="Arial"/>
        </w:rPr>
        <w:t>did not serve as a viable explanatory variable for the observed abundance</w:t>
      </w:r>
      <w:r w:rsidR="00F87605">
        <w:rPr>
          <w:rFonts w:ascii="Arial" w:hAnsi="Arial" w:cs="Arial"/>
        </w:rPr>
        <w:t>.</w:t>
      </w:r>
      <w:r w:rsidRPr="000C7549">
        <w:rPr>
          <w:rFonts w:ascii="Arial" w:hAnsi="Arial" w:cs="Arial"/>
        </w:rPr>
        <w:t xml:space="preserve"> </w:t>
      </w:r>
      <w:r w:rsidR="00F87605">
        <w:rPr>
          <w:rFonts w:ascii="Arial" w:hAnsi="Arial" w:cs="Arial"/>
        </w:rPr>
        <w:t xml:space="preserve">We observed the </w:t>
      </w:r>
      <w:r w:rsidR="00F87605" w:rsidRPr="000C7549">
        <w:rPr>
          <w:rFonts w:ascii="Arial" w:hAnsi="Arial" w:cs="Arial"/>
        </w:rPr>
        <w:t xml:space="preserve">highest R² value </w:t>
      </w:r>
      <w:r w:rsidR="00F87605">
        <w:rPr>
          <w:rFonts w:ascii="Arial" w:hAnsi="Arial" w:cs="Arial"/>
        </w:rPr>
        <w:t xml:space="preserve">between natural land cover and bee abundance at the </w:t>
      </w:r>
      <w:r w:rsidRPr="000C7549">
        <w:rPr>
          <w:rFonts w:ascii="Arial" w:hAnsi="Arial" w:cs="Arial"/>
        </w:rPr>
        <w:t xml:space="preserve">2000m radius </w:t>
      </w:r>
      <w:r w:rsidR="00F87605">
        <w:rPr>
          <w:rFonts w:ascii="Arial" w:hAnsi="Arial" w:cs="Arial"/>
        </w:rPr>
        <w:t>(</w:t>
      </w:r>
      <w:r w:rsidR="00AF1EA9" w:rsidRPr="00546490">
        <w:rPr>
          <w:rFonts w:ascii="Arial" w:hAnsi="Arial" w:cs="Arial"/>
          <w:i/>
        </w:rPr>
        <w:t>y</w:t>
      </w:r>
      <w:r w:rsidR="00AF1EA9">
        <w:rPr>
          <w:rFonts w:ascii="Arial" w:hAnsi="Arial" w:cs="Arial"/>
        </w:rPr>
        <w:t xml:space="preserve"> = 5.66</w:t>
      </w:r>
      <w:r w:rsidR="00AF1EA9" w:rsidRPr="00546490">
        <w:rPr>
          <w:rFonts w:ascii="Arial" w:hAnsi="Arial" w:cs="Arial"/>
          <w:i/>
        </w:rPr>
        <w:t>x</w:t>
      </w:r>
      <w:r w:rsidR="00AF1EA9">
        <w:rPr>
          <w:rFonts w:ascii="Arial" w:hAnsi="Arial" w:cs="Arial"/>
        </w:rPr>
        <w:t xml:space="preserve"> + 3.83, </w:t>
      </w:r>
      <w:r w:rsidR="00F87605" w:rsidRPr="000C7549">
        <w:rPr>
          <w:rFonts w:ascii="Arial" w:hAnsi="Arial" w:cs="Arial"/>
        </w:rPr>
        <w:t>R²</w:t>
      </w:r>
      <w:r w:rsidR="00F87605">
        <w:rPr>
          <w:rFonts w:ascii="Arial" w:hAnsi="Arial" w:cs="Arial"/>
        </w:rPr>
        <w:t xml:space="preserve"> =</w:t>
      </w:r>
      <w:r w:rsidR="00F87605" w:rsidRPr="000C7549">
        <w:rPr>
          <w:rFonts w:ascii="Arial" w:hAnsi="Arial" w:cs="Arial"/>
        </w:rPr>
        <w:t xml:space="preserve"> 0.</w:t>
      </w:r>
      <w:r w:rsidR="00F87605">
        <w:rPr>
          <w:rFonts w:ascii="Arial" w:hAnsi="Arial" w:cs="Arial"/>
        </w:rPr>
        <w:t>10)</w:t>
      </w:r>
      <w:r w:rsidRPr="000C7549">
        <w:rPr>
          <w:rFonts w:ascii="Arial" w:hAnsi="Arial" w:cs="Arial"/>
        </w:rPr>
        <w:t xml:space="preserve">. </w:t>
      </w:r>
    </w:p>
    <w:p w14:paraId="33AD3C74" w14:textId="07C77BC7" w:rsidR="003E62F2" w:rsidRPr="000C7549" w:rsidRDefault="003E62F2" w:rsidP="00AF1EA9">
      <w:pPr>
        <w:spacing w:line="480" w:lineRule="auto"/>
        <w:ind w:firstLine="720"/>
        <w:rPr>
          <w:rFonts w:ascii="Arial" w:hAnsi="Arial" w:cs="Arial"/>
        </w:rPr>
      </w:pPr>
      <w:r w:rsidRPr="000C7549">
        <w:rPr>
          <w:rFonts w:ascii="Arial" w:hAnsi="Arial" w:cs="Arial"/>
        </w:rPr>
        <w:t xml:space="preserve">Following these findings, we compared abundance and all three major land cover types at the 2000m radius (Fig.16). We found the developed land cover provided the highest R² value </w:t>
      </w:r>
      <w:r w:rsidR="00F87605">
        <w:rPr>
          <w:rFonts w:ascii="Arial" w:hAnsi="Arial" w:cs="Arial"/>
        </w:rPr>
        <w:t>(</w:t>
      </w:r>
      <w:r w:rsidR="00AF1EA9" w:rsidRPr="00546490">
        <w:rPr>
          <w:rFonts w:ascii="Arial" w:hAnsi="Arial" w:cs="Arial"/>
          <w:i/>
        </w:rPr>
        <w:t>y</w:t>
      </w:r>
      <w:r w:rsidR="00AF1EA9">
        <w:rPr>
          <w:rFonts w:ascii="Arial" w:hAnsi="Arial" w:cs="Arial"/>
        </w:rPr>
        <w:t xml:space="preserve"> = -4.88</w:t>
      </w:r>
      <w:r w:rsidR="00AF1EA9" w:rsidRPr="00546490">
        <w:rPr>
          <w:rFonts w:ascii="Arial" w:hAnsi="Arial" w:cs="Arial"/>
          <w:i/>
        </w:rPr>
        <w:t>x</w:t>
      </w:r>
      <w:r w:rsidR="00AF1EA9">
        <w:rPr>
          <w:rFonts w:ascii="Arial" w:hAnsi="Arial" w:cs="Arial"/>
        </w:rPr>
        <w:t xml:space="preserve"> + 7.51, </w:t>
      </w:r>
      <w:r w:rsidR="00F87605" w:rsidRPr="000C7549">
        <w:rPr>
          <w:rFonts w:ascii="Arial" w:hAnsi="Arial" w:cs="Arial"/>
        </w:rPr>
        <w:t xml:space="preserve">R² </w:t>
      </w:r>
      <w:r w:rsidR="00F87605">
        <w:rPr>
          <w:rFonts w:ascii="Arial" w:hAnsi="Arial" w:cs="Arial"/>
        </w:rPr>
        <w:t xml:space="preserve">= </w:t>
      </w:r>
      <w:r w:rsidRPr="000C7549">
        <w:rPr>
          <w:rFonts w:ascii="Arial" w:hAnsi="Arial" w:cs="Arial"/>
        </w:rPr>
        <w:t>0.2</w:t>
      </w:r>
      <w:r w:rsidR="00F87605">
        <w:rPr>
          <w:rFonts w:ascii="Arial" w:hAnsi="Arial" w:cs="Arial"/>
        </w:rPr>
        <w:t>2)</w:t>
      </w:r>
      <w:r w:rsidRPr="000C7549">
        <w:rPr>
          <w:rFonts w:ascii="Arial" w:hAnsi="Arial" w:cs="Arial"/>
        </w:rPr>
        <w:t xml:space="preserve"> with a slightly negative relationship, as compared to the agriculture </w:t>
      </w:r>
      <w:r w:rsidR="00AF1EA9">
        <w:rPr>
          <w:rFonts w:ascii="Arial" w:hAnsi="Arial" w:cs="Arial"/>
        </w:rPr>
        <w:t>(</w:t>
      </w:r>
      <w:r w:rsidR="00AF1EA9" w:rsidRPr="00546490">
        <w:rPr>
          <w:rFonts w:ascii="Arial" w:hAnsi="Arial" w:cs="Arial"/>
          <w:i/>
        </w:rPr>
        <w:t>y</w:t>
      </w:r>
      <w:r w:rsidR="00AF1EA9">
        <w:rPr>
          <w:rFonts w:ascii="Arial" w:hAnsi="Arial" w:cs="Arial"/>
        </w:rPr>
        <w:t xml:space="preserve"> = 5.78</w:t>
      </w:r>
      <w:r w:rsidR="00AF1EA9" w:rsidRPr="00546490">
        <w:rPr>
          <w:rFonts w:ascii="Arial" w:hAnsi="Arial" w:cs="Arial"/>
          <w:i/>
        </w:rPr>
        <w:t xml:space="preserve">x </w:t>
      </w:r>
      <w:r w:rsidR="00AF1EA9">
        <w:rPr>
          <w:rFonts w:ascii="Arial" w:hAnsi="Arial" w:cs="Arial"/>
        </w:rPr>
        <w:t>+ 4.81, R</w:t>
      </w:r>
      <w:r w:rsidR="00AF1EA9">
        <w:rPr>
          <w:rFonts w:ascii="Arial" w:hAnsi="Arial" w:cs="Arial"/>
          <w:vertAlign w:val="superscript"/>
        </w:rPr>
        <w:t>2</w:t>
      </w:r>
      <w:r w:rsidR="00AF1EA9">
        <w:rPr>
          <w:rFonts w:ascii="Arial" w:hAnsi="Arial" w:cs="Arial"/>
        </w:rPr>
        <w:t xml:space="preserve"> = 0.18) </w:t>
      </w:r>
      <w:r w:rsidRPr="000C7549">
        <w:rPr>
          <w:rFonts w:ascii="Arial" w:hAnsi="Arial" w:cs="Arial"/>
        </w:rPr>
        <w:t>and natural</w:t>
      </w:r>
      <w:r w:rsidR="00AF1EA9">
        <w:rPr>
          <w:rFonts w:ascii="Arial" w:hAnsi="Arial" w:cs="Arial"/>
        </w:rPr>
        <w:t xml:space="preserve"> (</w:t>
      </w:r>
      <w:r w:rsidR="00AF1EA9" w:rsidRPr="00546490">
        <w:rPr>
          <w:rFonts w:ascii="Arial" w:hAnsi="Arial" w:cs="Arial"/>
          <w:i/>
        </w:rPr>
        <w:t>y</w:t>
      </w:r>
      <w:r w:rsidR="00AF1EA9">
        <w:rPr>
          <w:rFonts w:ascii="Arial" w:hAnsi="Arial" w:cs="Arial"/>
        </w:rPr>
        <w:t xml:space="preserve"> = 5.66</w:t>
      </w:r>
      <w:r w:rsidR="00AF1EA9" w:rsidRPr="00546490">
        <w:rPr>
          <w:rFonts w:ascii="Arial" w:hAnsi="Arial" w:cs="Arial"/>
          <w:i/>
        </w:rPr>
        <w:t>x</w:t>
      </w:r>
      <w:r w:rsidR="00AF1EA9">
        <w:rPr>
          <w:rFonts w:ascii="Arial" w:hAnsi="Arial" w:cs="Arial"/>
        </w:rPr>
        <w:t xml:space="preserve"> + 3.83, R</w:t>
      </w:r>
      <w:r w:rsidR="00AF1EA9">
        <w:rPr>
          <w:rFonts w:ascii="Arial" w:hAnsi="Arial" w:cs="Arial"/>
          <w:vertAlign w:val="superscript"/>
        </w:rPr>
        <w:t>2</w:t>
      </w:r>
      <w:r w:rsidR="00AF1EA9">
        <w:rPr>
          <w:rFonts w:ascii="Arial" w:hAnsi="Arial" w:cs="Arial"/>
        </w:rPr>
        <w:t xml:space="preserve"> = 0.10)</w:t>
      </w:r>
      <w:r w:rsidRPr="000C7549">
        <w:rPr>
          <w:rFonts w:ascii="Arial" w:hAnsi="Arial" w:cs="Arial"/>
        </w:rPr>
        <w:t xml:space="preserve"> land covers that both had slightly positive relationship with abundance</w:t>
      </w:r>
      <w:r w:rsidR="00F87605">
        <w:rPr>
          <w:rFonts w:ascii="Arial" w:hAnsi="Arial" w:cs="Arial"/>
        </w:rPr>
        <w:t xml:space="preserve"> (Fig. 16)</w:t>
      </w:r>
      <w:r w:rsidRPr="000C7549">
        <w:rPr>
          <w:rFonts w:ascii="Arial" w:hAnsi="Arial" w:cs="Arial"/>
        </w:rPr>
        <w:t xml:space="preserve">. </w:t>
      </w:r>
    </w:p>
    <w:p w14:paraId="7DC249EE" w14:textId="77777777" w:rsidR="003E62F2" w:rsidRPr="00A83773" w:rsidRDefault="003E62F2" w:rsidP="003E62F2">
      <w:pPr>
        <w:pStyle w:val="Heading2"/>
        <w:spacing w:line="480" w:lineRule="auto"/>
        <w:rPr>
          <w:color w:val="000000" w:themeColor="text1"/>
        </w:rPr>
      </w:pPr>
      <w:bookmarkStart w:id="28" w:name="_Toc76799710"/>
      <w:r w:rsidRPr="00A83773">
        <w:rPr>
          <w:color w:val="000000" w:themeColor="text1"/>
        </w:rPr>
        <w:t>Discussion</w:t>
      </w:r>
      <w:bookmarkEnd w:id="28"/>
    </w:p>
    <w:p w14:paraId="219B2DA4" w14:textId="4BBFA482" w:rsidR="003E62F2" w:rsidRPr="00A83773" w:rsidRDefault="003E62F2" w:rsidP="003E62F2">
      <w:pPr>
        <w:spacing w:line="480" w:lineRule="auto"/>
        <w:ind w:firstLine="720"/>
        <w:rPr>
          <w:rFonts w:ascii="Arial" w:hAnsi="Arial" w:cs="Arial"/>
          <w:color w:val="000000" w:themeColor="text1"/>
          <w:shd w:val="clear" w:color="auto" w:fill="FFFFFF"/>
        </w:rPr>
      </w:pPr>
      <w:r w:rsidRPr="00A83773">
        <w:rPr>
          <w:rFonts w:ascii="Arial" w:hAnsi="Arial" w:cs="Arial"/>
          <w:color w:val="000000" w:themeColor="text1"/>
        </w:rPr>
        <w:t xml:space="preserve">We expected to see lower abundance and species </w:t>
      </w:r>
      <w:r w:rsidR="00F87605">
        <w:rPr>
          <w:rFonts w:ascii="Arial" w:hAnsi="Arial" w:cs="Arial"/>
          <w:color w:val="000000" w:themeColor="text1"/>
        </w:rPr>
        <w:t>diversity</w:t>
      </w:r>
      <w:r w:rsidR="00F87605" w:rsidRPr="00A83773">
        <w:rPr>
          <w:rFonts w:ascii="Arial" w:hAnsi="Arial" w:cs="Arial"/>
          <w:color w:val="000000" w:themeColor="text1"/>
        </w:rPr>
        <w:t xml:space="preserve"> </w:t>
      </w:r>
      <w:r w:rsidRPr="00A83773">
        <w:rPr>
          <w:rFonts w:ascii="Arial" w:hAnsi="Arial" w:cs="Arial"/>
          <w:color w:val="000000" w:themeColor="text1"/>
        </w:rPr>
        <w:t xml:space="preserve">in the agricultural </w:t>
      </w:r>
      <w:r w:rsidR="00661985" w:rsidRPr="00A83773">
        <w:rPr>
          <w:rFonts w:ascii="Arial" w:hAnsi="Arial" w:cs="Arial"/>
          <w:color w:val="000000" w:themeColor="text1"/>
        </w:rPr>
        <w:t>sites</w:t>
      </w:r>
      <w:r w:rsidRPr="00A83773">
        <w:rPr>
          <w:rFonts w:ascii="Arial" w:hAnsi="Arial" w:cs="Arial"/>
          <w:color w:val="000000" w:themeColor="text1"/>
        </w:rPr>
        <w:t xml:space="preserve">, and higher abundance in the Semi-natural </w:t>
      </w:r>
      <w:r w:rsidR="00661985" w:rsidRPr="00A83773">
        <w:rPr>
          <w:rFonts w:ascii="Arial" w:hAnsi="Arial" w:cs="Arial"/>
          <w:color w:val="000000" w:themeColor="text1"/>
        </w:rPr>
        <w:t>site</w:t>
      </w:r>
      <w:r w:rsidRPr="00A83773">
        <w:rPr>
          <w:rFonts w:ascii="Arial" w:hAnsi="Arial" w:cs="Arial"/>
          <w:color w:val="000000" w:themeColor="text1"/>
        </w:rPr>
        <w:t xml:space="preserve">. We also expected to find increased species </w:t>
      </w:r>
      <w:r w:rsidR="00661985" w:rsidRPr="00A83773">
        <w:rPr>
          <w:rFonts w:ascii="Arial" w:hAnsi="Arial" w:cs="Arial"/>
          <w:color w:val="000000" w:themeColor="text1"/>
        </w:rPr>
        <w:t>diversity</w:t>
      </w:r>
      <w:r w:rsidRPr="00A83773">
        <w:rPr>
          <w:rFonts w:ascii="Arial" w:hAnsi="Arial" w:cs="Arial"/>
          <w:color w:val="000000" w:themeColor="text1"/>
        </w:rPr>
        <w:t xml:space="preserve"> and abundance in our </w:t>
      </w:r>
      <w:r w:rsidR="00F87605">
        <w:rPr>
          <w:rFonts w:ascii="Arial" w:hAnsi="Arial" w:cs="Arial"/>
          <w:color w:val="000000" w:themeColor="text1"/>
        </w:rPr>
        <w:t>S</w:t>
      </w:r>
      <w:r w:rsidR="00F87605" w:rsidRPr="00A83773">
        <w:rPr>
          <w:rFonts w:ascii="Arial" w:hAnsi="Arial" w:cs="Arial"/>
          <w:color w:val="000000" w:themeColor="text1"/>
        </w:rPr>
        <w:t>emi</w:t>
      </w:r>
      <w:r w:rsidRPr="00A83773">
        <w:rPr>
          <w:rFonts w:ascii="Arial" w:hAnsi="Arial" w:cs="Arial"/>
          <w:color w:val="000000" w:themeColor="text1"/>
        </w:rPr>
        <w:t>-natural site as s</w:t>
      </w:r>
      <w:r w:rsidRPr="00A83773">
        <w:rPr>
          <w:rFonts w:ascii="Arial" w:hAnsi="Arial" w:cs="Arial"/>
          <w:bCs/>
          <w:color w:val="000000" w:themeColor="text1"/>
        </w:rPr>
        <w:t xml:space="preserve">tudies within forested habitats found increased bee species </w:t>
      </w:r>
      <w:r w:rsidR="004174CA">
        <w:rPr>
          <w:rFonts w:ascii="Arial" w:hAnsi="Arial" w:cs="Arial"/>
          <w:bCs/>
          <w:color w:val="000000" w:themeColor="text1"/>
        </w:rPr>
        <w:t>diversity</w:t>
      </w:r>
      <w:r w:rsidRPr="00A83773">
        <w:rPr>
          <w:rFonts w:ascii="Arial" w:hAnsi="Arial" w:cs="Arial"/>
          <w:bCs/>
          <w:color w:val="000000" w:themeColor="text1"/>
        </w:rPr>
        <w:t xml:space="preserve"> and abundance in open canopies and increased herbaceous plant cover and diversity </w:t>
      </w:r>
      <w:r w:rsidRPr="00A83773">
        <w:rPr>
          <w:rFonts w:ascii="Arial" w:hAnsi="Arial" w:cs="Arial"/>
          <w:bCs/>
          <w:color w:val="000000" w:themeColor="text1"/>
        </w:rPr>
        <w:fldChar w:fldCharType="begin"/>
      </w:r>
      <w:r w:rsidRPr="00A83773">
        <w:rPr>
          <w:rFonts w:ascii="Arial" w:hAnsi="Arial" w:cs="Arial"/>
          <w:bCs/>
          <w:color w:val="000000" w:themeColor="text1"/>
        </w:rPr>
        <w:instrText xml:space="preserve"> ADDIN ZOTERO_ITEM CSL_CITATION {"citationID":"1dMgD1qy","properties":{"formattedCitation":"(Hanula et al., 2015; Romey et al., 2007)","plainCitation":"(Hanula et al., 2015; Romey et al., 2007)","noteIndex":0},"citationItems":[{"id":927,"uris":["http://zotero.org/users/6034784/items/D96YLSG3"],"uri":["http://zotero.org/users/6034784/items/D96YLSG3"],"itemData":{"id":927,"type":"article-journal","abstract":"Two conservation goals of the early 20th century, extensive reforestation and reduced wildﬁre through ﬁre exclusion, may have contributed to declining pollinator abundance as forests became denser and shrub covered. To examine how forest structure affects bees we selected 5 stands in each of 7 forest types including: cleared forest; dense young pines; thinned young pines; mature open pine with extensive shrub/sapling cover; mature open pine with extensive herbaceous plant cover and little shrub cover; mature upland hardwood forest; and mature riparian hardwood forest. We sampled bees during the 2008 growing season using pan traps and measured overstory tree density, understory herbaceous plant and shrub diversity and cover, light penetration, and leaf area index. Numbers of bees and numbers of species per plot were highest in cleared forest and in mature pine stands with an herbaceous plant understory. Estimates of asymptotic species richness were highest in mature riparian hardwood forests, cleared forests and open pine forests with an herbaceous plant understory. Bee communities in the cleared forests and in the mature pine with an herbaceous plant understory were grouped together in ordination space which was consistent with perMANOVA results. The best predictor variable for bee species density was total tree basal area which was negatively correlated (r2 = 0.58), while the best model for predicting bee abundance (r2 = 0.62) included canopy openness, plant species density (both positively correlated) and shrub cover (negatively correlated). Our results combined with many others show that thinning forests combined with shrub control provides good bee habitat, is compatible with habitat restoration and management for other species, and the resulting forests will be healthier and less susceptible to old (e.g., southern pine beetle, Dendroctonus frontalis) and new (European woodwasp, Sirex noctilio) threats.","container-title":"Forest Ecology and Management","DOI":"10.1016/j.foreco.2015.03.044","ISSN":"03781127","journalAbbreviation":"Forest Ecology and Management","language":"en","page":"142-152","source":"DOI.org (Crossref)","title":"Have changing forests conditions contributed to pollinator decline in the southeastern United States?","volume":"348","author":[{"family":"Hanula","given":"James L."},{"family":"Horn","given":"Scott"},{"family":"O’Brien","given":"Joseph J."}],"issued":{"date-parts":[["2015",7]]}}},{"id":928,"uris":["http://zotero.org/users/6034784/items/8YRKYJTY"],"uri":["http://zotero.org/users/6034784/items/8YRKYJTY"],"itemData":{"id":928,"type":"article-journal","abstract":"Although there is a worldwide concern about anthropogenic causes of pollinator declines, little is known about how specific land use practices, such as agriculture, urbanization, and logging, influence the diversity and abundance of native bees. We investigated the impact of logging on native bees (Apoidea) in the Adirondack Mountains of New York State (USA) in an area isolated from the effects of both agriculture and introduced honey bees. Specifically, we measured midsummer bee abundance and diversity on matched 5-acre plots two and three years after experimental logging cuts to remove 30, 60, and 100% of the trees. We obtained additional data on floral abundance and weather in relation to bee abundance. We found that bee abundance and diversity was highest in areas where the most trees had been removed. Also, we found little difference in diversity between the two study years, despite major differences in weather. The observed diversity patterns were best explained by the observed increase in abundance of flowering plants such as Rubus and Solidago. Despite the overall relationship between logging and bee diversity, the abundance of four species of Lasioglossum were significantly greater in the 60% tree removal plot than the 100% removal clear cut. Overall, our results suggest that a small-scale tree removal within a northern hardwood forest increases diversity and abundance of many bee species in the short term.","container-title":"Journal of the Kansas Entomological Society","DOI":"10.2317/0022-8567(2007)80[327:IOLOMD]2.0.CO;2","ISSN":"0022-8567, 1937-2353","issue":"4","journalAbbreviation":"kent","note":"publisher: Kansas Entomological Society","page":"327-338","source":"bioone.org","title":"Impacts of Logging on Midsummer Diversity of Native Bees (Apoidea) in a Northern Hardwood Forest","volume":"80","author":[{"family":"Romey","given":"W. L."},{"family":"Ascher","given":"J. S."},{"family":"Powell","given":"D. A."},{"family":"Yanek","given":"M."}],"issued":{"date-parts":[["2007",10]]}}}],"schema":"https://github.com/citation-style-language/schema/raw/master/csl-citation.json"} </w:instrText>
      </w:r>
      <w:r w:rsidRPr="00A83773">
        <w:rPr>
          <w:rFonts w:ascii="Arial" w:hAnsi="Arial" w:cs="Arial"/>
          <w:bCs/>
          <w:color w:val="000000" w:themeColor="text1"/>
        </w:rPr>
        <w:fldChar w:fldCharType="separate"/>
      </w:r>
      <w:r w:rsidRPr="00A83773">
        <w:rPr>
          <w:rFonts w:ascii="Arial" w:hAnsi="Arial" w:cs="Arial"/>
          <w:bCs/>
          <w:noProof/>
          <w:color w:val="000000" w:themeColor="text1"/>
        </w:rPr>
        <w:t>(Hanula et al., 2015; Romey et al., 2007)</w:t>
      </w:r>
      <w:r w:rsidRPr="00A83773">
        <w:rPr>
          <w:rFonts w:ascii="Arial" w:hAnsi="Arial" w:cs="Arial"/>
          <w:bCs/>
          <w:color w:val="000000" w:themeColor="text1"/>
        </w:rPr>
        <w:fldChar w:fldCharType="end"/>
      </w:r>
      <w:r w:rsidRPr="00A83773">
        <w:rPr>
          <w:rFonts w:ascii="Arial" w:hAnsi="Arial" w:cs="Arial"/>
          <w:bCs/>
          <w:color w:val="000000" w:themeColor="text1"/>
        </w:rPr>
        <w:t xml:space="preserve">. </w:t>
      </w:r>
      <w:r w:rsidRPr="00A83773">
        <w:rPr>
          <w:rFonts w:ascii="Arial" w:hAnsi="Arial" w:cs="Arial"/>
          <w:color w:val="000000" w:themeColor="text1"/>
        </w:rPr>
        <w:t>However, our data did not support these findings.</w:t>
      </w:r>
      <w:r w:rsidRPr="00A83773">
        <w:rPr>
          <w:rFonts w:ascii="Arial" w:hAnsi="Arial" w:cs="Arial"/>
          <w:color w:val="000000" w:themeColor="text1"/>
          <w:shd w:val="clear" w:color="auto" w:fill="FFFFFF"/>
        </w:rPr>
        <w:t xml:space="preserve"> </w:t>
      </w:r>
      <w:r w:rsidRPr="00A83773">
        <w:rPr>
          <w:rFonts w:ascii="Arial" w:hAnsi="Arial" w:cs="Arial"/>
          <w:color w:val="000000" w:themeColor="text1"/>
        </w:rPr>
        <w:t xml:space="preserve">All three agriculture </w:t>
      </w:r>
      <w:r w:rsidR="00EB09A5" w:rsidRPr="00A83773">
        <w:rPr>
          <w:rFonts w:ascii="Arial" w:hAnsi="Arial" w:cs="Arial"/>
          <w:color w:val="000000" w:themeColor="text1"/>
        </w:rPr>
        <w:t>sites</w:t>
      </w:r>
      <w:r w:rsidRPr="00A83773">
        <w:rPr>
          <w:rFonts w:ascii="Arial" w:hAnsi="Arial" w:cs="Arial"/>
          <w:color w:val="000000" w:themeColor="text1"/>
        </w:rPr>
        <w:t xml:space="preserve"> </w:t>
      </w:r>
      <w:r w:rsidR="00F87605">
        <w:rPr>
          <w:rFonts w:ascii="Arial" w:hAnsi="Arial" w:cs="Arial"/>
          <w:color w:val="000000" w:themeColor="text1"/>
        </w:rPr>
        <w:t>(</w:t>
      </w:r>
      <w:r w:rsidRPr="00A83773">
        <w:rPr>
          <w:rFonts w:ascii="Arial" w:hAnsi="Arial" w:cs="Arial"/>
          <w:color w:val="000000" w:themeColor="text1"/>
        </w:rPr>
        <w:t>Cattle Pasture, Mixed Use Agriculture, and Organic Agriculture</w:t>
      </w:r>
      <w:r w:rsidR="00F87605">
        <w:rPr>
          <w:rFonts w:ascii="Arial" w:hAnsi="Arial" w:cs="Arial"/>
          <w:color w:val="000000" w:themeColor="text1"/>
        </w:rPr>
        <w:t>)</w:t>
      </w:r>
      <w:r w:rsidRPr="00A83773">
        <w:rPr>
          <w:rFonts w:ascii="Arial" w:hAnsi="Arial" w:cs="Arial"/>
          <w:color w:val="000000" w:themeColor="text1"/>
        </w:rPr>
        <w:t xml:space="preserve"> had higher abundances and species </w:t>
      </w:r>
      <w:r w:rsidR="00F87605">
        <w:rPr>
          <w:rFonts w:ascii="Arial" w:hAnsi="Arial" w:cs="Arial"/>
          <w:color w:val="000000" w:themeColor="text1"/>
        </w:rPr>
        <w:t>diversity</w:t>
      </w:r>
      <w:r w:rsidR="00F87605" w:rsidRPr="00A83773">
        <w:rPr>
          <w:rFonts w:ascii="Arial" w:hAnsi="Arial" w:cs="Arial"/>
          <w:color w:val="000000" w:themeColor="text1"/>
        </w:rPr>
        <w:t xml:space="preserve"> </w:t>
      </w:r>
      <w:r w:rsidRPr="00A83773">
        <w:rPr>
          <w:rFonts w:ascii="Arial" w:hAnsi="Arial" w:cs="Arial"/>
          <w:color w:val="000000" w:themeColor="text1"/>
        </w:rPr>
        <w:t xml:space="preserve">compared to the Semi-natural </w:t>
      </w:r>
      <w:r w:rsidR="00EB09A5" w:rsidRPr="00A83773">
        <w:rPr>
          <w:rFonts w:ascii="Arial" w:hAnsi="Arial" w:cs="Arial"/>
          <w:color w:val="000000" w:themeColor="text1"/>
        </w:rPr>
        <w:t>site</w:t>
      </w:r>
      <w:r w:rsidRPr="00A83773">
        <w:rPr>
          <w:rFonts w:ascii="Arial" w:hAnsi="Arial" w:cs="Arial"/>
          <w:color w:val="000000" w:themeColor="text1"/>
        </w:rPr>
        <w:t xml:space="preserve">. </w:t>
      </w:r>
    </w:p>
    <w:p w14:paraId="5932C1EC" w14:textId="66F2AF3C" w:rsidR="003E62F2" w:rsidRPr="00A83773" w:rsidRDefault="003E62F2" w:rsidP="003E62F2">
      <w:pPr>
        <w:spacing w:line="480" w:lineRule="auto"/>
        <w:ind w:firstLine="720"/>
        <w:rPr>
          <w:rFonts w:ascii="Arial" w:hAnsi="Arial" w:cs="Arial"/>
          <w:color w:val="000000" w:themeColor="text1"/>
        </w:rPr>
      </w:pPr>
      <w:r w:rsidRPr="00A83773">
        <w:rPr>
          <w:rFonts w:ascii="Arial" w:hAnsi="Arial" w:cs="Arial"/>
          <w:color w:val="000000" w:themeColor="text1"/>
        </w:rPr>
        <w:lastRenderedPageBreak/>
        <w:t xml:space="preserve">Our findings from the Semi-natural </w:t>
      </w:r>
      <w:r w:rsidR="00EB09A5" w:rsidRPr="00A83773">
        <w:rPr>
          <w:rFonts w:ascii="Arial" w:hAnsi="Arial" w:cs="Arial"/>
          <w:color w:val="000000" w:themeColor="text1"/>
        </w:rPr>
        <w:t>site</w:t>
      </w:r>
      <w:r w:rsidRPr="00A83773">
        <w:rPr>
          <w:rFonts w:ascii="Arial" w:hAnsi="Arial" w:cs="Arial"/>
          <w:color w:val="000000" w:themeColor="text1"/>
        </w:rPr>
        <w:t xml:space="preserve"> may be due to lack of floral resources in forests or other historical variables such as fire suppression in the region, even though </w:t>
      </w:r>
      <w:r w:rsidRPr="00A83773">
        <w:rPr>
          <w:rFonts w:ascii="Arial" w:hAnsi="Arial" w:cs="Arial"/>
          <w:bCs/>
          <w:color w:val="000000" w:themeColor="text1"/>
        </w:rPr>
        <w:t xml:space="preserve">trees provide multiple resources to bees, including pollen, nesting habitat and material, honeydew, and resins </w:t>
      </w:r>
      <w:r w:rsidRPr="00A83773">
        <w:rPr>
          <w:rFonts w:ascii="Arial" w:hAnsi="Arial" w:cs="Arial"/>
          <w:bCs/>
          <w:color w:val="000000" w:themeColor="text1"/>
        </w:rPr>
        <w:fldChar w:fldCharType="begin"/>
      </w:r>
      <w:r w:rsidR="00EE5B67" w:rsidRPr="00A83773">
        <w:rPr>
          <w:rFonts w:ascii="Arial" w:hAnsi="Arial" w:cs="Arial"/>
          <w:bCs/>
          <w:color w:val="000000" w:themeColor="text1"/>
        </w:rPr>
        <w:instrText xml:space="preserve"> ADDIN ZOTERO_ITEM CSL_CITATION {"citationID":"ALkTr8fM","properties":{"formattedCitation":"(Requier &amp; Leonhardt, 2020; Winfree, Griswold, et al., 2007)","plainCitation":"(Requier &amp; Leonhardt, 2020; Winfree, Griswold, et al., 2007)","dontUpdate":true,"noteIndex":0},"citationItems":[{"id":906,"uris":["http://zotero.org/users/6034784/items/MZXBJJMP"],"uri":["http://zotero.org/users/6034784/items/MZXBJJMP"],"itemData":{"id":906,"type":"article-journal","abstract":"Land-use change and habitat loss have profoundly disturbed the resource availability for many organisms in farmlands, including bees. To counteract the resulting decline of bees and to maintain their pollination service to crops, bee pollinator-friendly schemes have been developed. We assessed the most established bee pollinator-friendly schemes which mainly aim at enhancing the availability of floral food resources and, or, nesting sites. We found that the availability of non-floral resources was typically overlooked in these schemes, although more than 30% of bee species worldwide depend on non-floral resources. In this opinion paper, we call for more attention on the role of non-floral resources in such conservation schemes. In fact, at least two of the most species rich Apoidea families, the Apidae and Megachilidae, need non-floral resources for nest building, defence, protection and health. For example, resin is known to improve health and resistance to pests and pathogens in stingless bees and the western honey bee Apis mellifera. Beyond social bees, many solitary bee species, in particularly within the Euglossini, Centridini and Megachilidae, also use resin, leaf pieces, trichome secretions and other materials for the construction and protection of brood cells and the nest. Besides protection, non-floral resources can also provide alternative food resources for bees, e.g. sugary secretions from other insects. Surprisingly little is known on this insect–insect interaction although some studies suggest that honey production by beekeepers can largely depend on this alternative food resource. The apparent knowledge gap on the role of non-floral resources for bees can thus directly concern stakeholders. Interestingly, many non-floral resources are provided by woody vegetation, but most of the bee pollinator-friendly schemes are currently orientated towards enhancing flower availability in field margins and flower strips. We therefore suggest more attention in the protection of trees and hedgerows in conservation, restoration and management schemes to best supporting bee health by providing combined access to nesting, floral and non-floral foraging resources.","container-title":"Journal of Insect Conservation","DOI":"10.1007/s10841-019-00206-1","journalAbbreviation":"Journal of Insect Conservation","source":"ResearchGate","title":"Beyond flowers: including non-floral resources in bee conservation schemes","title-short":"Beyond flowers","volume":"24","author":[{"family":"Requier","given":"Fabrice"},{"family":"Leonhardt","given":"Sara"}],"issued":{"date-parts":[["2020",2,1]]}}},{"id":"FJJlbcfR/N9mceQ2A","uris":["http://zotero.org/users/6034784/items/KEQTM2KJ"],"uri":["http://zotero.org/users/6034784/items/KEQTM2KJ"],"itemData":{"id":"0BUgL1oz/9ycESTlK","type":"article-journal","abstract":"Abstract: It is important for conservation biologists to understand how well species persist in human-dominated ecosystems because protected areas constitute a small fraction of the Earth's surface and because anthropogenic habitats may offer more opportunities for conservation than has been previously thought. We investigated how an important functional group, pollinators (bees; Hymenoptera: Apiformes), are affected by human land use at the landscape and local scales in southern New Jersey (U.S.A.). We established 40 sites that differed in surrounding landscape cover or local habitat type and collected 2551 bees of 130 species. The natural habitat in this ecosystem is a forested, ericaceous heath. Bee abundance and species richness within forest habitat decreased, not increased, with increasing forest cover in the surrounding landscape. Similarly, bee abundance was greater in agricultural fields and suburban and urban developments than in extensive forests, and the same trend was found for species richness. Particular species groups that might be expected to show greater sensitivity to habitat loss, such as floral specialists and bees of small or large body size, did not show strong positive associations with forest habitat. Nevertheless, 18 of the 130 bee species studied were positively associated with extensive forest. One of these species is a narrow endemic that was last seen in 1939. Our results suggest that at least in this system, moderate anthropogenic land use may be compatible with the conservation of many, but not all, bee species.","container-title":"Conservation Biology","DOI":"https://doi.org/10.1111/j.1523-1739.2006.00574.x","ISSN":"1523-1739","issue":"1","language":"en","note":"_eprint: https://conbio.onlinelibrary.wiley.com/doi/pdf/10.1111/j.1523-1739.2006.00574.x","page":"213-223","source":"Wiley Online Library","title":"Effect of Human Disturbance on Bee Communities in a Forested Ecosystem","volume":"21","author":[{"family":"Winfree","given":"Rachael"},{"family":"Griswold","given":"Terry"},{"family":"Kremen","given":"Claire"}],"issued":{"date-parts":[["2007"]]}}}],"schema":"https://github.com/citation-style-language/schema/raw/master/csl-citation.json"} </w:instrText>
      </w:r>
      <w:r w:rsidRPr="00A83773">
        <w:rPr>
          <w:rFonts w:ascii="Arial" w:hAnsi="Arial" w:cs="Arial"/>
          <w:bCs/>
          <w:color w:val="000000" w:themeColor="text1"/>
        </w:rPr>
        <w:fldChar w:fldCharType="separate"/>
      </w:r>
      <w:r w:rsidRPr="00A83773">
        <w:rPr>
          <w:rFonts w:ascii="Arial" w:hAnsi="Arial" w:cs="Arial"/>
          <w:bCs/>
          <w:noProof/>
          <w:color w:val="000000" w:themeColor="text1"/>
        </w:rPr>
        <w:t>(Requier &amp; Leonhardt, 2020; Winfree, Griswold, &amp; Kremen, 2007)</w:t>
      </w:r>
      <w:r w:rsidRPr="00A83773">
        <w:rPr>
          <w:rFonts w:ascii="Arial" w:hAnsi="Arial" w:cs="Arial"/>
          <w:bCs/>
          <w:color w:val="000000" w:themeColor="text1"/>
        </w:rPr>
        <w:fldChar w:fldCharType="end"/>
      </w:r>
      <w:r w:rsidRPr="00A83773">
        <w:rPr>
          <w:rFonts w:ascii="Arial" w:hAnsi="Arial" w:cs="Arial"/>
          <w:color w:val="000000" w:themeColor="text1"/>
        </w:rPr>
        <w:t xml:space="preserve">. </w:t>
      </w:r>
      <w:r w:rsidRPr="00A83773">
        <w:rPr>
          <w:rFonts w:ascii="Arial" w:hAnsi="Arial" w:cs="Arial"/>
          <w:bCs/>
          <w:color w:val="000000" w:themeColor="text1"/>
        </w:rPr>
        <w:t xml:space="preserve">Moreover, understory floral resource </w:t>
      </w:r>
      <w:r w:rsidR="00F87605">
        <w:rPr>
          <w:rFonts w:ascii="Arial" w:hAnsi="Arial" w:cs="Arial"/>
          <w:bCs/>
          <w:color w:val="000000" w:themeColor="text1"/>
        </w:rPr>
        <w:t>abundance</w:t>
      </w:r>
      <w:r w:rsidR="00F87605" w:rsidRPr="00A83773">
        <w:rPr>
          <w:rFonts w:ascii="Arial" w:hAnsi="Arial" w:cs="Arial"/>
          <w:bCs/>
          <w:color w:val="000000" w:themeColor="text1"/>
        </w:rPr>
        <w:t xml:space="preserve"> </w:t>
      </w:r>
      <w:r w:rsidRPr="00A83773">
        <w:rPr>
          <w:rFonts w:ascii="Arial" w:hAnsi="Arial" w:cs="Arial"/>
          <w:bCs/>
          <w:color w:val="000000" w:themeColor="text1"/>
        </w:rPr>
        <w:t xml:space="preserve">is assumed to be strongest in early spring when light can pass through the canopy, which may not coincide with the flowering time of our study plant species </w:t>
      </w:r>
      <w:r w:rsidRPr="00A83773">
        <w:rPr>
          <w:rFonts w:ascii="Arial" w:hAnsi="Arial" w:cs="Arial"/>
          <w:bCs/>
          <w:color w:val="000000" w:themeColor="text1"/>
        </w:rPr>
        <w:fldChar w:fldCharType="begin"/>
      </w:r>
      <w:r w:rsidR="00EE5B67" w:rsidRPr="00A83773">
        <w:rPr>
          <w:rFonts w:ascii="Arial" w:hAnsi="Arial" w:cs="Arial"/>
          <w:bCs/>
          <w:color w:val="000000" w:themeColor="text1"/>
        </w:rPr>
        <w:instrText xml:space="preserve"> ADDIN ZOTERO_ITEM CSL_CITATION {"citationID":"eJJITbve","properties":{"formattedCitation":"(Winfree, Williams, et al., 2007)","plainCitation":"(Winfree, Williams, et al., 2007)","dontUpdate":true,"noteIndex":0},"citationItems":[{"id":"FJJlbcfR/JGkiCJny","uris":["http://zotero.org/users/6034784/items/MTL3TMDU"],"uri":["http://zotero.org/users/6034784/items/MTL3TMDU"],"itemData":{"id":312,"type":"article-journal","container-title":"Ecology Letters","DOI":"10.1111/j.1461-0248.2007.01110.x","ISSN":"1461-023X, 1461-0248","issue":"11","journalAbbreviation":"Ecol Letters","language":"en","page":"1105-1113","source":"DOI.org (Crossref)","title":"Native bees provide insurance against ongoing honey bee losses","volume":"10","author":[{"family":"Winfree","given":"Rachael"},{"family":"Williams","given":"Neal M."},{"family":"Dushoff","given":"Jonathan"},{"family":"Kremen","given":"Claire"}],"issued":{"date-parts":[["2007",11]]}}}],"schema":"https://github.com/citation-style-language/schema/raw/master/csl-citation.json"} </w:instrText>
      </w:r>
      <w:r w:rsidRPr="00A83773">
        <w:rPr>
          <w:rFonts w:ascii="Arial" w:hAnsi="Arial" w:cs="Arial"/>
          <w:bCs/>
          <w:color w:val="000000" w:themeColor="text1"/>
        </w:rPr>
        <w:fldChar w:fldCharType="separate"/>
      </w:r>
      <w:r w:rsidRPr="00A83773">
        <w:rPr>
          <w:rFonts w:ascii="Arial" w:hAnsi="Arial" w:cs="Arial"/>
          <w:bCs/>
          <w:noProof/>
          <w:color w:val="000000" w:themeColor="text1"/>
        </w:rPr>
        <w:t>(Winfree et al., 2007)</w:t>
      </w:r>
      <w:r w:rsidRPr="00A83773">
        <w:rPr>
          <w:rFonts w:ascii="Arial" w:hAnsi="Arial" w:cs="Arial"/>
          <w:bCs/>
          <w:color w:val="000000" w:themeColor="text1"/>
        </w:rPr>
        <w:fldChar w:fldCharType="end"/>
      </w:r>
      <w:r w:rsidRPr="00A83773">
        <w:rPr>
          <w:rFonts w:ascii="Arial" w:hAnsi="Arial" w:cs="Arial"/>
          <w:bCs/>
          <w:color w:val="000000" w:themeColor="text1"/>
        </w:rPr>
        <w:t xml:space="preserve">. This limited flowering window may best support early emergence solitary bees and their brood parasites </w:t>
      </w:r>
      <w:r w:rsidRPr="00A83773">
        <w:rPr>
          <w:rFonts w:ascii="Arial" w:hAnsi="Arial" w:cs="Arial"/>
          <w:bCs/>
          <w:color w:val="000000" w:themeColor="text1"/>
        </w:rPr>
        <w:fldChar w:fldCharType="begin"/>
      </w:r>
      <w:r w:rsidRPr="00A83773">
        <w:rPr>
          <w:rFonts w:ascii="Arial" w:hAnsi="Arial" w:cs="Arial"/>
          <w:bCs/>
          <w:color w:val="000000" w:themeColor="text1"/>
        </w:rPr>
        <w:instrText xml:space="preserve"> ADDIN ZOTERO_ITEM CSL_CITATION {"citationID":"5HvqeOnj","properties":{"formattedCitation":"(Harrison et al., 2018)","plainCitation":"(Harrison et al., 2018)","noteIndex":0},"citationItems":[{"id":919,"uris":["http://zotero.org/users/6034784/items/F7AAG4G9"],"uri":["http://zotero.org/users/6034784/items/F7AAG4G9"],"itemData":{"id":919,"type":"article-journal","abstract":"Anthropogenic landscapes are associated with biodiversity loss and large shifts in species composition and traits. These changes predict the identities of winners and losers of future global change, and also reveal which environmental variables drive a taxon’s response to land use change. We explored how the biodiversity of native bee species changes across forested, agricultural, and urban landscapes. We collected bee community data from 36 sites across a 75,000 km2 region, and analyzed bee abundance, species richness, composition, and life-history traits. Season-long bee abundance and richness were not detectably different between natural and anthropogenic landscapes, but community phenologies differed strongly, with an early spring peak followed by decline in forests, and a more extended summer season in agricultural and urban habitats. Bee community composition differed significantly between all three land use types, as did phylogenetic composition. Anthropogenic land use had negative effects on the persistence of several life-history strategies, including early spring flight season and brood parasitism, which may indicate adaptation to conditions in forest habitat. Overall, anthropogenic communities are not diminished subsets of contemporary natural communities. Rather, forest species do not persist in anthropogenic habitats, but are replaced by different native species and phylogenetic lineages preadapted to open habitats. Characterizing compositional and functional differences is crucial for understanding land use as a global change driver across large regional scales.","container-title":"Global Change Biology","DOI":"10.1111/gcb.13921","ISSN":"13541013","issue":"1","journalAbbreviation":"Glob Change Biol","language":"en","page":"287-296","source":"DOI.org (Crossref)","title":"Forest bees are replaced in agricultural and urban landscapes by native species with different phenologies and life-history traits","volume":"24","author":[{"family":"Harrison","given":"Tina"},{"family":"Gibbs","given":"Jason"},{"family":"Winfree","given":"Rachael"}],"issued":{"date-parts":[["2018",1]]}}}],"schema":"https://github.com/citation-style-language/schema/raw/master/csl-citation.json"} </w:instrText>
      </w:r>
      <w:r w:rsidRPr="00A83773">
        <w:rPr>
          <w:rFonts w:ascii="Arial" w:hAnsi="Arial" w:cs="Arial"/>
          <w:bCs/>
          <w:color w:val="000000" w:themeColor="text1"/>
        </w:rPr>
        <w:fldChar w:fldCharType="separate"/>
      </w:r>
      <w:r w:rsidRPr="00A83773">
        <w:rPr>
          <w:rFonts w:ascii="Arial" w:hAnsi="Arial" w:cs="Arial"/>
          <w:bCs/>
          <w:noProof/>
          <w:color w:val="000000" w:themeColor="text1"/>
        </w:rPr>
        <w:t>(Harrison et al., 2018)</w:t>
      </w:r>
      <w:r w:rsidRPr="00A83773">
        <w:rPr>
          <w:rFonts w:ascii="Arial" w:hAnsi="Arial" w:cs="Arial"/>
          <w:bCs/>
          <w:color w:val="000000" w:themeColor="text1"/>
        </w:rPr>
        <w:fldChar w:fldCharType="end"/>
      </w:r>
      <w:r w:rsidRPr="00A83773">
        <w:rPr>
          <w:rFonts w:ascii="Arial" w:hAnsi="Arial" w:cs="Arial"/>
          <w:bCs/>
          <w:color w:val="000000" w:themeColor="text1"/>
        </w:rPr>
        <w:t xml:space="preserve">. These bees generally have shorter flight seasons and smaller range sizes </w:t>
      </w:r>
      <w:r w:rsidRPr="00A83773">
        <w:rPr>
          <w:rFonts w:ascii="Arial" w:hAnsi="Arial" w:cs="Arial"/>
          <w:bCs/>
          <w:color w:val="000000" w:themeColor="text1"/>
        </w:rPr>
        <w:fldChar w:fldCharType="begin"/>
      </w:r>
      <w:r w:rsidRPr="00A83773">
        <w:rPr>
          <w:rFonts w:ascii="Arial" w:hAnsi="Arial" w:cs="Arial"/>
          <w:bCs/>
          <w:color w:val="000000" w:themeColor="text1"/>
        </w:rPr>
        <w:instrText xml:space="preserve"> ADDIN ZOTERO_ITEM CSL_CITATION {"citationID":"YZD3vyMI","properties":{"formattedCitation":"(Harrison et al., 2019)","plainCitation":"(Harrison et al., 2019)","noteIndex":0},"citationItems":[{"id":856,"uris":["http://zotero.org/users/6034784/items/BHUHIRJL"],"uri":["http://zotero.org/users/6034784/items/BHUHIRJL"],"itemData":{"id":856,"type":"article-journal","abstract":"Context The response of rare species to human land use is poorly known because rarity is difﬁcult to study; however, it is also important because rare species compose most of biodiversity, and are disproportionately vulnerable. Regional bee pollinator faunas have not been assessed for rarity outside of Europe. Therefore, we do not know to what extent anthropogenic landscapes support rare North American bee biodiversity.","container-title":"Landscape Ecology","DOI":"10.1007/s10980-017-0592-x","ISSN":"0921-2973, 1572-9761","issue":"5","journalAbbreviation":"Landscape Ecol","language":"en","page":"967-978","source":"DOI.org (Crossref)","title":"Anthropogenic landscapes support fewer rare bee species","volume":"34","author":[{"family":"Harrison","given":"Tina"},{"family":"Gibbs","given":"Jason"},{"family":"Winfree","given":"Rachael"}],"issued":{"date-parts":[["2019",5]]}}}],"schema":"https://github.com/citation-style-language/schema/raw/master/csl-citation.json"} </w:instrText>
      </w:r>
      <w:r w:rsidRPr="00A83773">
        <w:rPr>
          <w:rFonts w:ascii="Arial" w:hAnsi="Arial" w:cs="Arial"/>
          <w:bCs/>
          <w:color w:val="000000" w:themeColor="text1"/>
        </w:rPr>
        <w:fldChar w:fldCharType="separate"/>
      </w:r>
      <w:r w:rsidRPr="00A83773">
        <w:rPr>
          <w:rFonts w:ascii="Arial" w:hAnsi="Arial" w:cs="Arial"/>
          <w:bCs/>
          <w:noProof/>
          <w:color w:val="000000" w:themeColor="text1"/>
        </w:rPr>
        <w:t>(Harrison et al., 2019)</w:t>
      </w:r>
      <w:r w:rsidRPr="00A83773">
        <w:rPr>
          <w:rFonts w:ascii="Arial" w:hAnsi="Arial" w:cs="Arial"/>
          <w:bCs/>
          <w:color w:val="000000" w:themeColor="text1"/>
        </w:rPr>
        <w:fldChar w:fldCharType="end"/>
      </w:r>
      <w:r w:rsidRPr="00A83773">
        <w:rPr>
          <w:rFonts w:ascii="Arial" w:hAnsi="Arial" w:cs="Arial"/>
          <w:bCs/>
          <w:color w:val="000000" w:themeColor="text1"/>
        </w:rPr>
        <w:t xml:space="preserve"> and may explain findings of lower pollinator richness and abundance in forested sites as compared to other land uses </w:t>
      </w:r>
      <w:r w:rsidRPr="00A83773">
        <w:rPr>
          <w:rFonts w:ascii="Arial" w:hAnsi="Arial" w:cs="Arial"/>
          <w:bCs/>
          <w:color w:val="000000" w:themeColor="text1"/>
        </w:rPr>
        <w:fldChar w:fldCharType="begin"/>
      </w:r>
      <w:r w:rsidR="00EE5B67" w:rsidRPr="00A83773">
        <w:rPr>
          <w:rFonts w:ascii="Arial" w:hAnsi="Arial" w:cs="Arial"/>
          <w:bCs/>
          <w:color w:val="000000" w:themeColor="text1"/>
        </w:rPr>
        <w:instrText xml:space="preserve"> ADDIN ZOTERO_ITEM CSL_CITATION {"citationID":"Y82K76W4","properties":{"formattedCitation":"(Winfree et al., 2011; Winfree, Griswold, et al., 2007)","plainCitation":"(Winfree et al., 2011; Winfree, Griswold, et al., 2007)","dontUpdate":true,"noteIndex":0},"citationItems":[{"id":608,"uris":["http://zotero.org/users/6034784/items/ZR5SHJIH"],"uri":["http://zotero.org/users/6034784/items/ZR5SHJIH"],"itemData":{"id":608,"type":"article-journal","abstract":"Animals pollinate 87% of the world's flowering plant species. Therefore, how pollinators respond to human-induced land-use change has important implications for plants and the species that depend on them. Here, we synthesize the published literature on how land-use change affects the main groups of pollinators: bees, butterflies, flies, birds, and bats. Responses to land-use change are predominantly negative but are highly variable within and across taxa. The directionality of pollinator response varies according to study design, with comparisons across gradients in surrounding landscape cover finding largely negative responses and comparisons across local land-use types finding largely positive responses. Furthermore, among the studies using landscape designs, most were performed in systems where land-use change is extreme, and such studies find stronger negative effects than those performed in more moderate systems. Across multiple taxa, dietary specialists show greater sensitivity to land use than do generalists. There is a need for studies of pollinator species composition and relative abundance, rather than simply species richness and aggregate abundance, to identify the species that are lost and gained with increasing land-use change.","container-title":"Annual Review of Ecology, Evolution, and Systematics","DOI":"10.1146/annurev-ecolsys-102710-145042","issue":"1","note":"_eprint: https://doi.org/10.1146/annurev-ecolsys-102710-145042","page":"1-22","source":"Annual Reviews","title":"Native Pollinators in Anthropogenic Habitats","volume":"42","author":[{"family":"Winfree","given":"Rachael"},{"family":"Bartomeus","given":"Ignasi"},{"family":"Cariveau","given":"Daniel P."}],"issued":{"date-parts":[["2011"]]}}},{"id":"FJJlbcfR/N9mceQ2A","uris":["http://zotero.org/users/6034784/items/KEQTM2KJ"],"uri":["http://zotero.org/users/6034784/items/KEQTM2KJ"],"itemData":{"id":900,"type":"article-journal","abstract":"Abstract: It is important for conservation biologists to understand how well species persist in human-dominated ecosystems because protected areas constitute a small fraction of the Earth's surface and because anthropogenic habitats may offer more opportunities for conservation than has been previously thought. We investigated how an important functional group, pollinators (bees; Hymenoptera: Apiformes), are affected by human land use at the landscape and local scales in southern New Jersey (U.S.A.). We established 40 sites that differed in surrounding landscape cover or local habitat type and collected 2551 bees of 130 species. The natural habitat in this ecosystem is a forested, ericaceous heath. Bee abundance and species richness within forest habitat decreased, not increased, with increasing forest cover in the surrounding landscape. Similarly, bee abundance was greater in agricultural fields and suburban and urban developments than in extensive forests, and the same trend was found for species richness. Particular species groups that might be expected to show greater sensitivity to habitat loss, such as floral specialists and bees of small or large body size, did not show strong positive associations with forest habitat. Nevertheless, 18 of the 130 bee species studied were positively associated with extensive forest. One of these species is a narrow endemic that was last seen in 1939. Our results suggest that at least in this system, moderate anthropogenic land use may be compatible with the conservation of many, but not all, bee species.","container-title":"Conservation Biology","DOI":"https://doi.org/10.1111/j.1523-1739.2006.00574.x","ISSN":"1523-1739","issue":"1","language":"en","note":"_eprint: https://conbio.onlinelibrary.wiley.com/doi/pdf/10.1111/j.1523-1739.2006.00574.x","page":"213-223","source":"Wiley Online Library","title":"Effect of Human Disturbance on Bee Communities in a Forested Ecosystem","volume":"21","author":[{"family":"Winfree","given":"Rachael"},{"family":"Griswold","given":"Terry"},{"family":"Kremen","given":"Claire"}],"issued":{"date-parts":[["2007"]]}}}],"schema":"https://github.com/citation-style-language/schema/raw/master/csl-citation.json"} </w:instrText>
      </w:r>
      <w:r w:rsidRPr="00A83773">
        <w:rPr>
          <w:rFonts w:ascii="Arial" w:hAnsi="Arial" w:cs="Arial"/>
          <w:bCs/>
          <w:color w:val="000000" w:themeColor="text1"/>
        </w:rPr>
        <w:fldChar w:fldCharType="separate"/>
      </w:r>
      <w:r w:rsidRPr="00A83773">
        <w:rPr>
          <w:rFonts w:ascii="Arial" w:hAnsi="Arial" w:cs="Arial"/>
          <w:bCs/>
          <w:noProof/>
          <w:color w:val="000000" w:themeColor="text1"/>
        </w:rPr>
        <w:t>(Winfree et al., 2011; Winfree et al., 2007)</w:t>
      </w:r>
      <w:r w:rsidRPr="00A83773">
        <w:rPr>
          <w:rFonts w:ascii="Arial" w:hAnsi="Arial" w:cs="Arial"/>
          <w:bCs/>
          <w:color w:val="000000" w:themeColor="text1"/>
        </w:rPr>
        <w:fldChar w:fldCharType="end"/>
      </w:r>
      <w:r w:rsidRPr="00A83773">
        <w:rPr>
          <w:rFonts w:ascii="Arial" w:hAnsi="Arial" w:cs="Arial"/>
          <w:bCs/>
          <w:color w:val="000000" w:themeColor="text1"/>
        </w:rPr>
        <w:t xml:space="preserve">. </w:t>
      </w:r>
      <w:r w:rsidRPr="00A83773">
        <w:rPr>
          <w:rFonts w:ascii="Arial" w:hAnsi="Arial" w:cs="Arial"/>
          <w:color w:val="000000" w:themeColor="text1"/>
        </w:rPr>
        <w:t xml:space="preserve">We found the highest average species </w:t>
      </w:r>
      <w:r w:rsidR="004174CA">
        <w:rPr>
          <w:rFonts w:ascii="Arial" w:hAnsi="Arial" w:cs="Arial"/>
          <w:color w:val="000000" w:themeColor="text1"/>
        </w:rPr>
        <w:t>diversity in our conventional agriculture systems, that</w:t>
      </w:r>
      <w:r w:rsidR="002D3461">
        <w:rPr>
          <w:rFonts w:ascii="Arial" w:hAnsi="Arial" w:cs="Arial"/>
          <w:color w:val="000000" w:themeColor="text1"/>
        </w:rPr>
        <w:t xml:space="preserve"> share various</w:t>
      </w:r>
      <w:r w:rsidRPr="00A83773">
        <w:rPr>
          <w:rFonts w:ascii="Arial" w:hAnsi="Arial" w:cs="Arial"/>
          <w:color w:val="000000" w:themeColor="text1"/>
        </w:rPr>
        <w:t xml:space="preserve"> land uses, including horticulture, forests, row crops and cattle pasture, suggesting landscape heterogeneity may be more important than previously considered for pollinator conservation </w:t>
      </w:r>
      <w:r w:rsidRPr="00A83773">
        <w:rPr>
          <w:rFonts w:ascii="Arial" w:hAnsi="Arial" w:cs="Arial"/>
          <w:color w:val="000000" w:themeColor="text1"/>
        </w:rPr>
        <w:fldChar w:fldCharType="begin"/>
      </w:r>
      <w:r w:rsidR="00EE5B67" w:rsidRPr="00A83773">
        <w:rPr>
          <w:rFonts w:ascii="Arial" w:hAnsi="Arial" w:cs="Arial"/>
          <w:color w:val="000000" w:themeColor="text1"/>
        </w:rPr>
        <w:instrText xml:space="preserve"> ADDIN ZOTERO_ITEM CSL_CITATION {"citationID":"a905fe7b4m","properties":{"formattedCitation":"(Winfree, Williams, et al., 2007)","plainCitation":"(Winfree, Williams, et al., 2007)","dontUpdate":true,"noteIndex":0},"citationItems":[{"id":"FJJlbcfR/JGkiCJny","uris":["http://zotero.org/users/6034784/items/MTL3TMDU"],"uri":["http://zotero.org/users/6034784/items/MTL3TMDU"],"itemData":{"id":"2E0PeqnP/EILp4zXn","type":"article-journal","container-title":"Ecology Letters","DOI":"10.1111/j.1461-0248.2007.01110.x","ISSN":"1461-023X, 1461-0248","issue":"11","journalAbbreviation":"Ecol Letters","language":"en","page":"1105-1113","source":"DOI.org (Crossref)","title":"Native bees provide insurance against ongoing honey bee losses","volume":"10","author":[{"family":"Winfree","given":"Rachael"},{"family":"Williams","given":"Neal M."},{"family":"Dushoff","given":"Jonathan"},{"family":"Kremen","given":"Claire"}],"issued":{"date-parts":[["2007",11]]}}}],"schema":"https://github.com/citation-style-language/schema/raw/master/csl-citation.json"} </w:instrText>
      </w:r>
      <w:r w:rsidRPr="00A83773">
        <w:rPr>
          <w:rFonts w:ascii="Arial" w:hAnsi="Arial" w:cs="Arial"/>
          <w:color w:val="000000" w:themeColor="text1"/>
        </w:rPr>
        <w:fldChar w:fldCharType="separate"/>
      </w:r>
      <w:r w:rsidRPr="00A83773">
        <w:rPr>
          <w:rFonts w:ascii="Arial" w:hAnsi="Arial" w:cs="Arial"/>
          <w:color w:val="000000" w:themeColor="text1"/>
        </w:rPr>
        <w:t>(Winfree et al., 2007)</w:t>
      </w:r>
      <w:r w:rsidRPr="00A83773">
        <w:rPr>
          <w:rFonts w:ascii="Arial" w:hAnsi="Arial" w:cs="Arial"/>
          <w:color w:val="000000" w:themeColor="text1"/>
        </w:rPr>
        <w:fldChar w:fldCharType="end"/>
      </w:r>
      <w:r w:rsidRPr="00A83773">
        <w:rPr>
          <w:rFonts w:ascii="Arial" w:hAnsi="Arial" w:cs="Arial"/>
          <w:color w:val="000000" w:themeColor="text1"/>
        </w:rPr>
        <w:t xml:space="preserve">. </w:t>
      </w:r>
    </w:p>
    <w:p w14:paraId="0B46504E" w14:textId="3A143E88" w:rsidR="003E62F2" w:rsidRPr="00A83773" w:rsidRDefault="003E62F2" w:rsidP="003E62F2">
      <w:pPr>
        <w:spacing w:line="480" w:lineRule="auto"/>
        <w:ind w:firstLine="720"/>
        <w:rPr>
          <w:rFonts w:ascii="Arial" w:hAnsi="Arial" w:cs="Arial"/>
          <w:bCs/>
          <w:color w:val="000000" w:themeColor="text1"/>
        </w:rPr>
      </w:pPr>
      <w:r w:rsidRPr="00A83773">
        <w:rPr>
          <w:rFonts w:ascii="Arial" w:hAnsi="Arial" w:cs="Arial"/>
          <w:color w:val="000000" w:themeColor="text1"/>
        </w:rPr>
        <w:t xml:space="preserve">Bees are considered central place foragers </w:t>
      </w:r>
      <w:r w:rsidRPr="00A83773">
        <w:rPr>
          <w:rFonts w:ascii="Arial" w:hAnsi="Arial" w:cs="Arial"/>
          <w:color w:val="000000" w:themeColor="text1"/>
        </w:rPr>
        <w:fldChar w:fldCharType="begin"/>
      </w:r>
      <w:r w:rsidRPr="00A83773">
        <w:rPr>
          <w:rFonts w:ascii="Arial" w:hAnsi="Arial" w:cs="Arial"/>
          <w:color w:val="000000" w:themeColor="text1"/>
        </w:rPr>
        <w:instrText xml:space="preserve"> ADDIN ZOTERO_ITEM CSL_CITATION {"citationID":"KQ3HapRo","properties":{"formattedCitation":"(Michener, 2007b)","plainCitation":"(Michener, 2007b)","dontUpdate":true,"noteIndex":0},"citationItems":[{"id":499,"uris":["http://zotero.org/users/6034784/items/MKR8KDPZ"],"uri":["http://zotero.org/users/6034784/items/MKR8KDPZ"],"itemData":{"id":499,"type":"book","call-number":"QL566 .M53 2007","edition":"2nd ed","event-place":"Baltimore","ISBN":"978-0-8018-8573-0","language":"en","note":"OCLC: ocm70660080","number-of-pages":"953","publisher":"Johns Hopkins University Press","publisher-place":"Baltimore","source":"Library of Congress ISBN","title":"The bees of the world","author":[{"family":"Michener","given":"Charles D."}],"issued":{"date-parts":[["2007"]]}}}],"schema":"https://github.com/citation-style-language/schema/raw/master/csl-citation.json"} </w:instrText>
      </w:r>
      <w:r w:rsidRPr="00A83773">
        <w:rPr>
          <w:rFonts w:ascii="Arial" w:hAnsi="Arial" w:cs="Arial"/>
          <w:color w:val="000000" w:themeColor="text1"/>
        </w:rPr>
        <w:fldChar w:fldCharType="separate"/>
      </w:r>
      <w:r w:rsidRPr="00A83773">
        <w:rPr>
          <w:rFonts w:ascii="Arial" w:hAnsi="Arial" w:cs="Arial"/>
          <w:noProof/>
          <w:color w:val="000000" w:themeColor="text1"/>
        </w:rPr>
        <w:t>(Michener, 2007)</w:t>
      </w:r>
      <w:r w:rsidRPr="00A83773">
        <w:rPr>
          <w:rFonts w:ascii="Arial" w:hAnsi="Arial" w:cs="Arial"/>
          <w:color w:val="000000" w:themeColor="text1"/>
        </w:rPr>
        <w:fldChar w:fldCharType="end"/>
      </w:r>
      <w:r w:rsidR="00E6224C" w:rsidRPr="00A83773">
        <w:rPr>
          <w:rFonts w:ascii="Arial" w:hAnsi="Arial" w:cs="Arial"/>
          <w:color w:val="000000" w:themeColor="text1"/>
        </w:rPr>
        <w:t xml:space="preserve"> and t</w:t>
      </w:r>
      <w:r w:rsidRPr="00A83773">
        <w:rPr>
          <w:rFonts w:ascii="Arial" w:hAnsi="Arial" w:cs="Arial"/>
          <w:color w:val="000000" w:themeColor="text1"/>
        </w:rPr>
        <w:t xml:space="preserve">hey travel constantly to forage for food and other resources. Highly fragmented and isolated landscapes can increase forage distance requirements, ultimately reducing forage performance and fitness </w:t>
      </w:r>
      <w:r w:rsidRPr="00A83773">
        <w:rPr>
          <w:rFonts w:ascii="Arial" w:hAnsi="Arial" w:cs="Arial"/>
          <w:color w:val="000000" w:themeColor="text1"/>
        </w:rPr>
        <w:fldChar w:fldCharType="begin"/>
      </w:r>
      <w:r w:rsidRPr="00A83773">
        <w:rPr>
          <w:rFonts w:ascii="Arial" w:hAnsi="Arial" w:cs="Arial"/>
          <w:color w:val="000000" w:themeColor="text1"/>
        </w:rPr>
        <w:instrText xml:space="preserve"> ADDIN ZOTERO_ITEM CSL_CITATION {"citationID":"oMt7hhbY","properties":{"formattedCitation":"(S. Klein et al., 2017)","plainCitation":"(S. Klein et al., 2017)","dontUpdate":true,"noteIndex":0},"citationItems":[{"id":984,"uris":["http://zotero.org/users/6034784/items/B68XMFQA"],"uri":["http://zotero.org/users/6034784/items/B68XMFQA"],"itemData":{"id":984,"type":"article-journal","abstract":"Bee populations are declining in the industrialized world, raising concerns for the sustainable pollination of crops. Pesticides, pollutants, parasites, diseases, and malnutrition have all been linked to this problem. We consider here neurobiological, ecological, and evolutionary reasons why bees are particularly vulnerable to these environmental stressors. Central-place foraging on flowers demands advanced capacities of learning, memory, and navigation. However, even at low intensity levels, many stressors damage the bee brain, disrupting key cognitive functions needed for effective foraging, with dramatic consequences for brood development and colony survival. We discuss how understanding the relationships between the actions of stressors on the nervous system, individual cognitive impairments, and colony decline can inform constructive interventions to sustain bee populations.","container-title":"Trends in Ecology &amp; Evolution","DOI":"10.1016/j.tree.2016.12.009","journalAbbreviation":"Trends in Ecology &amp; Evolution","source":"ResearchGate","title":"Why Bees Are So Vulnerable to Environmental Stressors","volume":"32","author":[{"family":"Klein","given":"Simon"},{"family":"Cabirol","given":"Amélie"},{"family":"Devaud","given":"Jean-Marc"},{"family":"Barron","given":"Andrew"},{"family":"Lihoreau","given":"Mathieu"}],"issued":{"date-parts":[["2017",1,19]]}}}],"schema":"https://github.com/citation-style-language/schema/raw/master/csl-citation.json"} </w:instrText>
      </w:r>
      <w:r w:rsidRPr="00A83773">
        <w:rPr>
          <w:rFonts w:ascii="Arial" w:hAnsi="Arial" w:cs="Arial"/>
          <w:color w:val="000000" w:themeColor="text1"/>
        </w:rPr>
        <w:fldChar w:fldCharType="separate"/>
      </w:r>
      <w:r w:rsidRPr="00A83773">
        <w:rPr>
          <w:rFonts w:ascii="Arial" w:hAnsi="Arial" w:cs="Arial"/>
          <w:noProof/>
          <w:color w:val="000000" w:themeColor="text1"/>
        </w:rPr>
        <w:t>(Klein et al., 2017)</w:t>
      </w:r>
      <w:r w:rsidRPr="00A83773">
        <w:rPr>
          <w:rFonts w:ascii="Arial" w:hAnsi="Arial" w:cs="Arial"/>
          <w:color w:val="000000" w:themeColor="text1"/>
        </w:rPr>
        <w:fldChar w:fldCharType="end"/>
      </w:r>
      <w:r w:rsidRPr="00A83773">
        <w:rPr>
          <w:rFonts w:ascii="Arial" w:hAnsi="Arial" w:cs="Arial"/>
          <w:color w:val="000000" w:themeColor="text1"/>
        </w:rPr>
        <w:t xml:space="preserve">. Foraging distance differs between bee species and body size, with more literature available for larger-bodied bees. Large-bodied bees have an estimated forage range from 1-2 kilometers, but may differ depending on local resource availability </w:t>
      </w:r>
      <w:r w:rsidRPr="00A83773">
        <w:rPr>
          <w:rFonts w:ascii="Arial" w:hAnsi="Arial" w:cs="Arial"/>
          <w:color w:val="000000" w:themeColor="text1"/>
        </w:rPr>
        <w:fldChar w:fldCharType="begin"/>
      </w:r>
      <w:r w:rsidRPr="00A83773">
        <w:rPr>
          <w:rFonts w:ascii="Arial" w:hAnsi="Arial" w:cs="Arial"/>
          <w:color w:val="000000" w:themeColor="text1"/>
        </w:rPr>
        <w:instrText xml:space="preserve"> ADDIN ZOTERO_ITEM CSL_CITATION {"citationID":"CfaOS5gB","properties":{"formattedCitation":"(Cane, 2005)","plainCitation":"(Cane, 2005)","noteIndex":0},"citationItems":[{"id":813,"uris":["http://zotero.org/users/6034784/items/WPIBHRFS"],"uri":["http://zotero.org/users/6034784/items/WPIBHRFS"],"itemData":{"id":813,"type":"chapter","container-title":"Nature in Fragments: the Legacy of Sprawl","page":"109–124","publisher":"Columbia University Press","source":"Google Scholar","title":"Bees, Pollination, and the Challenges of Sprawl","author":[{"family":"Cane","given":"James H."}],"issued":{"date-parts":[["2005"]]}}}],"schema":"https://github.com/citation-style-language/schema/raw/master/csl-citation.json"} </w:instrText>
      </w:r>
      <w:r w:rsidRPr="00A83773">
        <w:rPr>
          <w:rFonts w:ascii="Arial" w:hAnsi="Arial" w:cs="Arial"/>
          <w:color w:val="000000" w:themeColor="text1"/>
        </w:rPr>
        <w:fldChar w:fldCharType="separate"/>
      </w:r>
      <w:r w:rsidRPr="00A83773">
        <w:rPr>
          <w:rFonts w:ascii="Arial" w:hAnsi="Arial" w:cs="Arial"/>
          <w:noProof/>
          <w:color w:val="000000" w:themeColor="text1"/>
        </w:rPr>
        <w:t>(Cane, 2005)</w:t>
      </w:r>
      <w:r w:rsidRPr="00A83773">
        <w:rPr>
          <w:rFonts w:ascii="Arial" w:hAnsi="Arial" w:cs="Arial"/>
          <w:color w:val="000000" w:themeColor="text1"/>
        </w:rPr>
        <w:fldChar w:fldCharType="end"/>
      </w:r>
      <w:r w:rsidRPr="00A83773">
        <w:rPr>
          <w:rFonts w:ascii="Arial" w:hAnsi="Arial" w:cs="Arial"/>
          <w:color w:val="000000" w:themeColor="text1"/>
        </w:rPr>
        <w:t xml:space="preserve">. Even when resources are </w:t>
      </w:r>
      <w:r w:rsidRPr="00A83773">
        <w:rPr>
          <w:rFonts w:ascii="Arial" w:hAnsi="Arial" w:cs="Arial"/>
          <w:color w:val="000000" w:themeColor="text1"/>
        </w:rPr>
        <w:lastRenderedPageBreak/>
        <w:t xml:space="preserve">available, if their supply is limited, it may be unable to support the production of future generations </w:t>
      </w:r>
      <w:r w:rsidRPr="00A83773">
        <w:rPr>
          <w:rFonts w:ascii="Arial" w:hAnsi="Arial" w:cs="Arial"/>
          <w:color w:val="000000" w:themeColor="text1"/>
        </w:rPr>
        <w:fldChar w:fldCharType="begin"/>
      </w:r>
      <w:r w:rsidRPr="00A83773">
        <w:rPr>
          <w:rFonts w:ascii="Arial" w:hAnsi="Arial" w:cs="Arial"/>
          <w:color w:val="000000" w:themeColor="text1"/>
        </w:rPr>
        <w:instrText xml:space="preserve"> ADDIN ZOTERO_ITEM CSL_CITATION {"citationID":"dUrrkAXS","properties":{"formattedCitation":"(Cane, 2005)","plainCitation":"(Cane, 2005)","noteIndex":0},"citationItems":[{"id":813,"uris":["http://zotero.org/users/6034784/items/WPIBHRFS"],"uri":["http://zotero.org/users/6034784/items/WPIBHRFS"],"itemData":{"id":813,"type":"chapter","container-title":"Nature in Fragments: the Legacy of Sprawl","page":"109–124","publisher":"Columbia University Press","source":"Google Scholar","title":"Bees, Pollination, and the Challenges of Sprawl","author":[{"family":"Cane","given":"James H."}],"issued":{"date-parts":[["2005"]]}}}],"schema":"https://github.com/citation-style-language/schema/raw/master/csl-citation.json"} </w:instrText>
      </w:r>
      <w:r w:rsidRPr="00A83773">
        <w:rPr>
          <w:rFonts w:ascii="Arial" w:hAnsi="Arial" w:cs="Arial"/>
          <w:color w:val="000000" w:themeColor="text1"/>
        </w:rPr>
        <w:fldChar w:fldCharType="separate"/>
      </w:r>
      <w:r w:rsidRPr="00A83773">
        <w:rPr>
          <w:rFonts w:ascii="Arial" w:hAnsi="Arial" w:cs="Arial"/>
          <w:noProof/>
          <w:color w:val="000000" w:themeColor="text1"/>
        </w:rPr>
        <w:t>(Cane, 2005)</w:t>
      </w:r>
      <w:r w:rsidRPr="00A83773">
        <w:rPr>
          <w:rFonts w:ascii="Arial" w:hAnsi="Arial" w:cs="Arial"/>
          <w:color w:val="000000" w:themeColor="text1"/>
        </w:rPr>
        <w:fldChar w:fldCharType="end"/>
      </w:r>
      <w:r w:rsidRPr="00A83773">
        <w:rPr>
          <w:rFonts w:ascii="Arial" w:hAnsi="Arial" w:cs="Arial"/>
          <w:color w:val="000000" w:themeColor="text1"/>
        </w:rPr>
        <w:t xml:space="preserve">. Although we did not identify any significant relationship between land cover and abundance or species </w:t>
      </w:r>
      <w:r w:rsidR="002D3461">
        <w:rPr>
          <w:rFonts w:ascii="Arial" w:hAnsi="Arial" w:cs="Arial"/>
          <w:color w:val="000000" w:themeColor="text1"/>
        </w:rPr>
        <w:t>richness</w:t>
      </w:r>
      <w:r w:rsidRPr="00A83773">
        <w:rPr>
          <w:rFonts w:ascii="Arial" w:hAnsi="Arial" w:cs="Arial"/>
          <w:color w:val="000000" w:themeColor="text1"/>
        </w:rPr>
        <w:t xml:space="preserve">, our results indicate that at larger radii, the land cover surrounding our plots can be defined as a heterogeneous landscape, with no one site having &gt;70% of a single land cover type </w:t>
      </w:r>
      <w:r w:rsidRPr="00A83773">
        <w:rPr>
          <w:rFonts w:ascii="Arial" w:hAnsi="Arial" w:cs="Arial"/>
          <w:color w:val="000000" w:themeColor="text1"/>
        </w:rPr>
        <w:fldChar w:fldCharType="begin"/>
      </w:r>
      <w:r w:rsidRPr="00A83773">
        <w:rPr>
          <w:rFonts w:ascii="Arial" w:hAnsi="Arial" w:cs="Arial"/>
          <w:color w:val="000000" w:themeColor="text1"/>
        </w:rPr>
        <w:instrText xml:space="preserve"> ADDIN ZOTERO_ITEM CSL_CITATION {"citationID":"LJm1RjcW","properties":{"formattedCitation":"(Fahrig et al., 2011; Claire Kremen et al., 2007)","plainCitation":"(Fahrig et al., 2011; Claire Kremen et al., 2007)","dontUpdate":true,"noteIndex":0},"citationItems":[{"id":333,"uris":["http://zotero.org/users/6034784/items/7S94SSVG"],"uri":["http://zotero.org/users/6034784/items/7S94SSVG"],"itemData":{"id":333,"type":"article-journal","abstract":"Many ecosystem services are delivered by organisms that depend on habitats that are segregated spatially or temporally from the location where services are provided. Management of mobile organisms contributing to ecosystem services requires consideration not only of the local scale where services are delivered, but also the distribution of resources at the landscape scale, and the foraging ranges and dispersal movements of the mobile agents. We develop a conceptual model for exploring how one such mobile-agent-based ecosystem service (MABES), pollination, is affected by land-use change, and then generalize the model to other MABES. The model includes interactions and feedbacks among policies affecting land use, market forces and the biology of the organisms involved. Animal-mediated pollination contributes to the production of goods of value to humans such as crops; it also bolsters reproduction of wild plants on which other services or service-providing organisms depend. About one-third of crop production depends on animal pollinators, while 60–90% of plant species require an animal pollinator. The sensitivity of mobile organisms to ecological factors that operate across spatial scales makes the services provided by a given community of mobile agents highly contextual. Services vary, depending on the spatial and temporal distribution of resources surrounding the site, and on biotic interactions occurring locally, such as competition among pollinators for resources, and among plants for pollinators. The value of the resulting goods or services may feed back via market-based forces to influence land-use policies, which in turn influence land management practices that alter local habitat conditions and landscape structure. Developing conceptual models for MABES aids in identifying knowledge gaps, determining research priorities, and targeting interventions that can be applied in an adaptive management context.","container-title":"Ecology Letters","DOI":"https://doi.org/10.1111/j.1461-0248.2007.01018.x","ISSN":"1461-0248","issue":"4","language":"en","note":"_eprint: https://onlinelibrary.wiley.com/doi/pdf/10.1111/j.1461-0248.2007.01018.x","page":"299-314","source":"Wiley Online Library","title":"Pollination and other ecosystem services produced by mobile organisms: a conceptual framework for the effects of land-use change","title-short":"Pollination and other ecosystem services produced by mobile organisms","volume":"10","author":[{"family":"Kremen","given":"Claire"},{"family":"Williams","given":"Neal M."},{"family":"Aizen","given":"Marcelo A."},{"family":"Gemmill</w:instrText>
      </w:r>
      <w:r w:rsidRPr="00A83773">
        <w:rPr>
          <w:rFonts w:ascii="Cambria Math" w:hAnsi="Cambria Math" w:cs="Cambria Math"/>
          <w:color w:val="000000" w:themeColor="text1"/>
        </w:rPr>
        <w:instrText>‐</w:instrText>
      </w:r>
      <w:r w:rsidRPr="00A83773">
        <w:rPr>
          <w:rFonts w:ascii="Arial" w:hAnsi="Arial" w:cs="Arial"/>
          <w:color w:val="000000" w:themeColor="text1"/>
        </w:rPr>
        <w:instrText>Herren","given":"Barbara"},{"family":"LeBuhn","given":"Gretchen"},{"family":"Minckley","given":"Robert"},{"family":"Packer","given":"Laurence"},{"family":"Potts","given":"Simon G."},{"family":"Roulston","given":"T'ai"},{"family":"Steffan</w:instrText>
      </w:r>
      <w:r w:rsidRPr="00A83773">
        <w:rPr>
          <w:rFonts w:ascii="Cambria Math" w:hAnsi="Cambria Math" w:cs="Cambria Math"/>
          <w:color w:val="000000" w:themeColor="text1"/>
        </w:rPr>
        <w:instrText>‐</w:instrText>
      </w:r>
      <w:r w:rsidRPr="00A83773">
        <w:rPr>
          <w:rFonts w:ascii="Arial" w:hAnsi="Arial" w:cs="Arial"/>
          <w:color w:val="000000" w:themeColor="text1"/>
        </w:rPr>
        <w:instrText xml:space="preserve">Dewenter","given":"Ingolf"},{"family":"Vázquez","given":"Diego P."},{"family":"Winfree","given":"Rachael"},{"family":"Adams","given":"Laurie"},{"family":"Crone","given":"Elizabeth E."},{"family":"Greenleaf","given":"Sarah S."},{"family":"Keitt","given":"Timothy H."},{"family":"Klein","given":"Alexandra-Maria"},{"family":"Regetz","given":"James"},{"family":"Ricketts","given":"Taylor H."}],"issued":{"date-parts":[["2007"]]}}},{"id":1033,"uris":["http://zotero.org/users/6034784/items/ZEAC54R8"],"uri":["http://zotero.org/users/6034784/items/ZEAC54R8"],"itemData":{"id":1033,"type":"article-journal","abstract":"Biodiversity in agricultural landscapes can be increased with conversion of some production lands into ÔmorenaturalÕ – unmanaged or extensively managed – lands. However, it remains unknown to what extent biodiversity can be enhanced by altering landscape pattern without reducing agricultural production. We propose a framework for this problem, considering separately compositional heterogeneity (the number and proportions of different cover types) and conﬁgurational heterogeneity (the spatial arrangement of cover types). Cover type classiﬁcation and mapping is based on species requirements, such as feeding and nesting, resulting in measures of Ôfunctional landscape heterogeneityÕ. We then identify three important questions: does biodiversity increase with (1) increasing heterogeneity of the more-natural areas, (2) increasing compositional heterogeneity of production cover types and (3) increasing conﬁgurational heterogeneity of production cover types? We discuss approaches for addressing these questions. Such studies should have high priority because biodiversity protection globally depends increasingly on maintaining biodiversity in human-dominated landscapes.","container-title":"Ecology Letters","DOI":"10.1111/j.1461-0248.2010.01559.x","ISSN":"1461023X","issue":"2","language":"en","page":"101-112","source":"DOI.org (Crossref)","title":"Functional landscape heterogeneity and animal biodiversity in agricultural landscapes: Heterogeneity and biodiversity","title-short":"Functional landscape heterogeneity and animal biodiversity in agricultural landscapes","volume":"14","author":[{"family":"Fahrig","given":"Lenore"},{"family":"Baudry","given":"Jacques"},{"family":"Brotons","given":"Lluís"},{"family":"Burel","given":"Françoise G."},{"family":"Crist","given":"Thomas O."},{"family":"Fuller","given":"Robert J."},{"family":"Sirami","given":"Clelia"},{"family":"Siriwardena","given":"Gavin M."},{"family":"Martin","given":"Jean-Louis"}],"issued":{"date-parts":[["2011",2]]}}}],"schema":"https://github.com/citation-style-language/schema/raw/master/csl-citation.json"} </w:instrText>
      </w:r>
      <w:r w:rsidRPr="00A83773">
        <w:rPr>
          <w:rFonts w:ascii="Arial" w:hAnsi="Arial" w:cs="Arial"/>
          <w:color w:val="000000" w:themeColor="text1"/>
        </w:rPr>
        <w:fldChar w:fldCharType="separate"/>
      </w:r>
      <w:r w:rsidRPr="00A83773">
        <w:rPr>
          <w:rFonts w:ascii="Arial" w:hAnsi="Arial" w:cs="Arial"/>
          <w:noProof/>
          <w:color w:val="000000" w:themeColor="text1"/>
        </w:rPr>
        <w:t>(Fahrig et al., 2011; Kremen et al., 2007)</w:t>
      </w:r>
      <w:r w:rsidRPr="00A83773">
        <w:rPr>
          <w:rFonts w:ascii="Arial" w:hAnsi="Arial" w:cs="Arial"/>
          <w:color w:val="000000" w:themeColor="text1"/>
        </w:rPr>
        <w:fldChar w:fldCharType="end"/>
      </w:r>
      <w:r w:rsidRPr="00A83773">
        <w:rPr>
          <w:rFonts w:ascii="Arial" w:hAnsi="Arial" w:cs="Arial"/>
          <w:bCs/>
          <w:color w:val="000000" w:themeColor="text1"/>
        </w:rPr>
        <w:t xml:space="preserve">. Bees are not dependent upon a single patch, therefore, landscape heterogeneity can provide matrix complexity with different patch types, to meet resource demands </w:t>
      </w:r>
      <w:r w:rsidRPr="00A83773">
        <w:rPr>
          <w:rFonts w:ascii="Arial" w:hAnsi="Arial" w:cs="Arial"/>
          <w:bCs/>
          <w:color w:val="000000" w:themeColor="text1"/>
        </w:rPr>
        <w:fldChar w:fldCharType="begin"/>
      </w:r>
      <w:r w:rsidRPr="00A83773">
        <w:rPr>
          <w:rFonts w:ascii="Arial" w:hAnsi="Arial" w:cs="Arial"/>
          <w:bCs/>
          <w:color w:val="000000" w:themeColor="text1"/>
        </w:rPr>
        <w:instrText xml:space="preserve"> ADDIN ZOTERO_ITEM CSL_CITATION {"citationID":"Y5Cjsm2g","properties":{"formattedCitation":"(de Lima et al., 2020; Claire Kremen et al., 2007; Tscharntke et al., 2005)","plainCitation":"(de Lima et al., 2020; Claire Kremen et al., 2007; Tscharntke et al., 2005)","dontUpdate":true,"noteIndex":0},"citationItems":[{"id":817,"uris":["http://zotero.org/users/6034784/items/M34F5GSG"],"uri":["http://zotero.org/users/6034784/items/M34F5GSG"],"itemData":{"id":817,"type":"article-journal","abstract":"How landscape modifications affect functional diversity of floral characteristics pertinent to pollinators is poorly known. Flowers possess functional traits that sometimes coevolved with pollinators, crucial for the maintenance of both pollinator and plant communities. We evaluated how richness and functional diversity of available understory flowers respond to forest cover and landscape heterogeneity in a multiscale analysis. Plants in bloom were sampled from 25 landscapes in the understory of Atlantic Forest fragments in Brazil. Species were classified into functional groups regarding flower characteristics relevant to pollination. Landscape heterogeneity and forest cover were measured in buffers ranging from 200 to 2000 m from sampling units and their correlation with plant richness and functional diversity was assessed using generalized linear models and further model selection through Akaike’s second-order information criterion.","container-title":"Ecological Processes","DOI":"10.1186/s13717-020-00261-6","ISSN":"2192-1709","issue":"1","journalAbbreviation":"Ecological Processes","page":"62","source":"BioMed Central","title":"Does landscape context affect pollination-related functional diversity and richness of understory flowers in forest fragments of Atlantic Rainforest in southeastern Brazil?","volume":"9","author":[{"family":"Lima","given":"Karoline Baptista","non-dropping-particle":"de"},{"family":"Ferreira","given":"Patrícia Alves"},{"family":"Groppo","given":"Milton"},{"family":"Goldenberg","given":"Renato"},{"family":"Pansarin","given":"Emerson Ricardo"},{"family":"Barreto","given":"Roxana Cardoso"},{"family":"Coelho","given":"Guilherme Peres"},{"family":"Barros-Souza","given":"Yago"},{"family":"Boscolo","given":"Danilo"}],"issued":{"date-parts":[["2020",11,9]]}}},{"id":333,"uris":["http://zotero.org/users/6034784/items/7S94SSVG"],"uri":["http://zotero.org/users/6034784/items/7S94SSVG"],"itemData":{"id":333,"type":"article-journal","abstract":"Many ecosystem services are delivered by organisms that depend on habitats that are segregated spatially or temporally from the location where services are provided. Management of mobile organisms contributing to ecosystem services requires consideration not only of the local scale where services are delivered, but also the distribution of resources at the landscape scale, and the foraging ranges and dispersal movements of the mobile agents. We develop a conceptual model for exploring how one such mobile-agent-based ecosystem service (MABES), pollination, is affected by land-use change, and then generalize the model to other MABES. The model includes interactions and feedbacks among policies affecting land use, market forces and the biology of the organisms involved. Animal-mediated pollination contributes to the production of goods of value to humans such as crops; it also bolsters reproduction of wild plants on which other services or service-providing organisms depend. About one-third of crop production depends on animal pollinators, while 60–90% of plant species require an animal pollinator. The sensitivity of mobile organisms to ecological factors that operate across spatial scales makes the services provided by a given community of mobile agents highly contextual. Services vary, depending on the spatial and temporal distribution of resources surrounding the site, and on biotic interactions occurring locally, such as competition among pollinators for resources, and among plants for pollinators. The value of the resulting goods or services may feed back via market-based forces to influence land-use policies, which in turn influence land management practices that alter local habitat conditions and landscape structure. Developing conceptual models for MABES aids in identifying knowledge gaps, determining research priorities, and targeting interventions that can be applied in an adaptive management context.","container-title":"Ecology Letters","DOI":"https://doi.org/10.1111/j.1461-0248.2007.01018.x","ISSN":"1461-0248","issue":"4","language":"en","note":"_eprint: https://onlinelibrary.wiley.com/doi/pdf/10.1111/j.1461-0248.2007.01018.x","page":"299-314","source":"Wiley Online Library","title":"Pollination and other ecosystem services produced by mobile organisms: a conceptual framework for the effects of land-use change","title-short":"Pollination and other ecosystem services produced by mobile organisms","volume":"10","author":[{"family":"Kremen","given":"Claire"},{"family":"Williams","given":"Neal M."},{"family":"Aizen","given":"Marcelo A."},{"family":"Gemmill</w:instrText>
      </w:r>
      <w:r w:rsidRPr="00A83773">
        <w:rPr>
          <w:rFonts w:ascii="Cambria Math" w:hAnsi="Cambria Math" w:cs="Cambria Math"/>
          <w:bCs/>
          <w:color w:val="000000" w:themeColor="text1"/>
        </w:rPr>
        <w:instrText>‐</w:instrText>
      </w:r>
      <w:r w:rsidRPr="00A83773">
        <w:rPr>
          <w:rFonts w:ascii="Arial" w:hAnsi="Arial" w:cs="Arial"/>
          <w:bCs/>
          <w:color w:val="000000" w:themeColor="text1"/>
        </w:rPr>
        <w:instrText>Herren","given":"Barbara"},{"family":"LeBuhn","given":"Gretchen"},{"family":"Minckley","given":"Robert"},{"family":"Packer","given":"Laurence"},{"family":"Potts","given":"Simon G."},{"family":"Roulston","given":"T'ai"},{"family":"Steffan</w:instrText>
      </w:r>
      <w:r w:rsidRPr="00A83773">
        <w:rPr>
          <w:rFonts w:ascii="Cambria Math" w:hAnsi="Cambria Math" w:cs="Cambria Math"/>
          <w:bCs/>
          <w:color w:val="000000" w:themeColor="text1"/>
        </w:rPr>
        <w:instrText>‐</w:instrText>
      </w:r>
      <w:r w:rsidRPr="00A83773">
        <w:rPr>
          <w:rFonts w:ascii="Arial" w:hAnsi="Arial" w:cs="Arial"/>
          <w:bCs/>
          <w:color w:val="000000" w:themeColor="text1"/>
        </w:rPr>
        <w:instrText>Dewenter","given":"Ingolf"},{"family":"Vázquez","given":"Diego P."},{"family":"Winfree","given":"Rachael"},{"family":"Adams","given":"Laurie"},{"family":"Crone","given":"Elizabeth E."},{"family":"Greenleaf","given":"Sarah S."},{"family":"Keitt","given":"Timothy H."},{"family":"Klein","given":"Alexandra-Maria"},{"family":"Regetz","given":"James"},{"family":"Ricketts","given":"Taylor H."}],"issued":{"date-parts":[["2007"]]}}},{"id":743,"uris":["http://zotero.org/users/6034784/items/DJ7ZFN4V"],"uri":["http://zotero.org/users/6034784/items/DJ7ZFN4V"],"itemData":{"id":743,"type":"article-journal","abstract":"Understanding the negative and positive effects of agricultural land use for the conservation of biodiversity, and its relation to ecosystem services, needs a landscape perspective. Agriculture can contribute to the conservation of high-diversity systems, which may provide important ecosystem services such as pollination and biological control via complementarity and sampling effects. Land-use management is often focused on few species and local processes, but in dynamic, agricultural landscapes, only a diversity of insurance species may guarantee resilience (the capacity to reorganize after disturbance). Interacting species experience their surrounding landscape at different spatial scales, which influences trophic interactions. Structurally complex landscapes enhance local diversity in agroecosystems, which may compensate for local high-intensity management. Organisms with high-dispersal abilities appear to drive these biodiversity patterns and ecosystem services, because of their recolonization ability and larger resources experienced. Agri-environment schemes (incentives for farmers to benefit the environment) need to broaden their perspective and to take the different responses to schemes in simple (high impact) and complex (low impact) agricultural landscapes into account. In simple landscapes, local allocation of habitat is more important than in complex landscapes, which are in total at risk. However, little knowledge of the relative importance of local and landscape management for biodiversity and its relation to ecosystem services make reliable recommendations difficult.","container-title":"Ecology Letters","DOI":"https://doi.org/10.1111/j.1461-0248.2005.00782.x","ISSN":"1461-0248","issue":"8","language":"en","note":"_eprint: https://onlinelibrary.wiley.com/doi/pdf/10.1111/j.1461-0248.2005.00782.x","page":"857-874","source":"Wiley Online Library","title":"Landscape perspectives on agricultural intensification and biodiversity – ecosystem service management","volume":"8","author":[{"family":"Tscharntke","given":"Teja"},{"family":"Klein","given":"Alexandra M."},{"family":"Kruess","given":"Andreas"},{"family":"Steffan</w:instrText>
      </w:r>
      <w:r w:rsidRPr="00A83773">
        <w:rPr>
          <w:rFonts w:ascii="Cambria Math" w:hAnsi="Cambria Math" w:cs="Cambria Math"/>
          <w:bCs/>
          <w:color w:val="000000" w:themeColor="text1"/>
        </w:rPr>
        <w:instrText>‐</w:instrText>
      </w:r>
      <w:r w:rsidRPr="00A83773">
        <w:rPr>
          <w:rFonts w:ascii="Arial" w:hAnsi="Arial" w:cs="Arial"/>
          <w:bCs/>
          <w:color w:val="000000" w:themeColor="text1"/>
        </w:rPr>
        <w:instrText xml:space="preserve">Dewenter","given":"Ingolf"},{"family":"Thies","given":"Carsten"}],"issued":{"date-parts":[["2005"]]}}}],"schema":"https://github.com/citation-style-language/schema/raw/master/csl-citation.json"} </w:instrText>
      </w:r>
      <w:r w:rsidRPr="00A83773">
        <w:rPr>
          <w:rFonts w:ascii="Arial" w:hAnsi="Arial" w:cs="Arial"/>
          <w:bCs/>
          <w:color w:val="000000" w:themeColor="text1"/>
        </w:rPr>
        <w:fldChar w:fldCharType="separate"/>
      </w:r>
      <w:r w:rsidRPr="00A83773">
        <w:rPr>
          <w:rFonts w:ascii="Arial" w:hAnsi="Arial" w:cs="Arial"/>
          <w:bCs/>
          <w:noProof/>
          <w:color w:val="000000" w:themeColor="text1"/>
        </w:rPr>
        <w:t>(de Lima et al., 2020; Kremen et al., 2007; Tscharntke et al., 2005)</w:t>
      </w:r>
      <w:r w:rsidRPr="00A83773">
        <w:rPr>
          <w:rFonts w:ascii="Arial" w:hAnsi="Arial" w:cs="Arial"/>
          <w:bCs/>
          <w:color w:val="000000" w:themeColor="text1"/>
        </w:rPr>
        <w:fldChar w:fldCharType="end"/>
      </w:r>
      <w:r w:rsidRPr="00A83773">
        <w:rPr>
          <w:rFonts w:ascii="Arial" w:hAnsi="Arial" w:cs="Arial"/>
          <w:bCs/>
          <w:color w:val="000000" w:themeColor="text1"/>
        </w:rPr>
        <w:t xml:space="preserve">. </w:t>
      </w:r>
    </w:p>
    <w:p w14:paraId="23838473" w14:textId="77777777" w:rsidR="003E62F2" w:rsidRPr="000C7549" w:rsidRDefault="003E62F2" w:rsidP="003E62F2">
      <w:pPr>
        <w:spacing w:line="480" w:lineRule="auto"/>
        <w:ind w:firstLine="720"/>
        <w:rPr>
          <w:rFonts w:ascii="Arial" w:hAnsi="Arial" w:cs="Arial"/>
          <w:color w:val="000000" w:themeColor="text1"/>
        </w:rPr>
      </w:pPr>
      <w:r w:rsidRPr="00A83773">
        <w:rPr>
          <w:rFonts w:ascii="Arial" w:hAnsi="Arial" w:cs="Arial"/>
          <w:color w:val="000000" w:themeColor="text1"/>
        </w:rPr>
        <w:t xml:space="preserve">Our findings may provide an opportunity for </w:t>
      </w:r>
      <w:r w:rsidRPr="000C7549">
        <w:rPr>
          <w:rFonts w:ascii="Arial" w:hAnsi="Arial" w:cs="Arial"/>
          <w:color w:val="000000" w:themeColor="text1"/>
        </w:rPr>
        <w:t xml:space="preserve">more specific and robust landscape analysis. For example, the Urban Gardens site, at the smallest spatial scale has only 6% natural land cover. The NLCD layer overlooks multiple potential floral resources such as small-scale horticulture plots and gardens. A potential resolution is a bottom-up approach where researchers can use their own observations, with assistance from land managers when necessary, to classify landscapes and build high resolution data layers </w:t>
      </w:r>
      <w:r w:rsidRPr="000C7549">
        <w:rPr>
          <w:rFonts w:ascii="Arial" w:hAnsi="Arial" w:cs="Arial"/>
          <w:color w:val="000000" w:themeColor="text1"/>
        </w:rPr>
        <w:fldChar w:fldCharType="begin"/>
      </w:r>
      <w:r w:rsidRPr="000C7549">
        <w:rPr>
          <w:rFonts w:ascii="Arial" w:hAnsi="Arial" w:cs="Arial"/>
          <w:color w:val="000000" w:themeColor="text1"/>
        </w:rPr>
        <w:instrText xml:space="preserve"> ADDIN ZOTERO_ITEM CSL_CITATION {"citationID":"9lR4MEDk","properties":{"formattedCitation":"(Samuelson &amp; Leadbeater, 2018)","plainCitation":"(Samuelson &amp; Leadbeater, 2018)","noteIndex":0},"citationItems":[{"id":995,"uris":["http://zotero.org/users/6034784/items/SSG8BMNH"],"uri":["http://zotero.org/users/6034784/items/SSG8BMNH"],"itemData":{"id":995,"type":"article-journal","abstract":"Land-use change is one of the most important drivers of widespread declines in pollinator populations. Comprehensive quantitative methods for land classification are critical to understanding these effects, but co-option of existing human-focussed land classifications is often inappropriate for pollinator research. Here, we present a flexible GIS-based land classification protocol for pollinator research using a bottom-up approach driven by reference to pollinator ecology, with urbanization as a case study. Our multistep method involves manually generating land cover maps at multiple biologically relevant radii surrounding study sites using GIS, with a focus on identifying land cover types that have a specific relevance to pollinators. This is followed by a three-step refinement process using statistical tools: (i) definition of land-use categories, (ii) principal components analysis on the categories, and (iii) cluster analysis to generate a categorical land-use variable for use in subsequent analysis. Model selection is then used to determine the appropriate spatial scale for analysis. We demonstrate an application of our protocol using a case study of 38 sites across a gradient of urbanization in South-East England. In our case study, the land classification generated a categorical land-use variable at each of four radii based on the clustering of sites with different degrees of urbanization, open land, and flower-rich habitat. Studies of land-use effects on pollinators have historically employed a wide array of land classification techniques from descriptive and qualitative to complex and quantitative. We suggest that land-use studies in pollinator ecology should broadly adopt GIS-based multistep land classification techniques to enable robust analysis and aid comparative research. Our protocol offers a customizable approach that combines specific relevance to pollinator research with the potential for application to a wide range of ecological questions, including agroecological studies of pest control.","container-title":"Ecology and Evolution","DOI":"https://doi.org/10.1002/ece3.4087","ISSN":"2045-7758","issue":"11","language":"en","note":"_eprint: https://onlinelibrary.wiley.com/doi/pdf/10.1002/ece3.4087","page":"5598-5610","source":"Wiley Online Library","title":"A land classification protocol for pollinator ecology research: An urbanization case study","title-short":"A land classification protocol for pollinator ecology research","volume":"8","author":[{"family":"Samuelson","given":"Ash E."},{"family":"Leadbeater","given":"Ellouise"}],"issued":{"date-parts":[["2018"]]}}}],"schema":"https://github.com/citation-style-language/schema/raw/master/csl-citation.json"} </w:instrText>
      </w:r>
      <w:r w:rsidRPr="000C7549">
        <w:rPr>
          <w:rFonts w:ascii="Arial" w:hAnsi="Arial" w:cs="Arial"/>
          <w:color w:val="000000" w:themeColor="text1"/>
        </w:rPr>
        <w:fldChar w:fldCharType="separate"/>
      </w:r>
      <w:r w:rsidRPr="000C7549">
        <w:rPr>
          <w:rFonts w:ascii="Arial" w:hAnsi="Arial" w:cs="Arial"/>
          <w:noProof/>
          <w:color w:val="000000" w:themeColor="text1"/>
        </w:rPr>
        <w:t>(Samuelson &amp; Leadbeater, 2018)</w:t>
      </w:r>
      <w:r w:rsidRPr="000C7549">
        <w:rPr>
          <w:rFonts w:ascii="Arial" w:hAnsi="Arial" w:cs="Arial"/>
          <w:color w:val="000000" w:themeColor="text1"/>
        </w:rPr>
        <w:fldChar w:fldCharType="end"/>
      </w:r>
      <w:r w:rsidRPr="000C7549">
        <w:rPr>
          <w:rFonts w:ascii="Arial" w:hAnsi="Arial" w:cs="Arial"/>
          <w:color w:val="000000" w:themeColor="text1"/>
        </w:rPr>
        <w:t xml:space="preserve">. Although time consuming, this information can provide localized data in real-time, aligning within the data collection timeframe. </w:t>
      </w:r>
    </w:p>
    <w:p w14:paraId="077CE787" w14:textId="77777777" w:rsidR="003E62F2" w:rsidRPr="000C7549" w:rsidRDefault="003E62F2" w:rsidP="003E62F2">
      <w:pPr>
        <w:pStyle w:val="Heading2"/>
        <w:spacing w:line="480" w:lineRule="auto"/>
        <w:ind w:left="2880" w:firstLine="720"/>
        <w:jc w:val="left"/>
      </w:pPr>
      <w:bookmarkStart w:id="29" w:name="_Toc76799711"/>
      <w:r w:rsidRPr="000C7549">
        <w:t>Conclusion</w:t>
      </w:r>
      <w:bookmarkEnd w:id="29"/>
    </w:p>
    <w:p w14:paraId="4AD68BAD" w14:textId="0E0E9EB5" w:rsidR="003E62F2" w:rsidRPr="00A83773" w:rsidRDefault="003E62F2" w:rsidP="00FB1D3B">
      <w:pPr>
        <w:spacing w:line="480" w:lineRule="auto"/>
        <w:ind w:firstLine="720"/>
        <w:rPr>
          <w:rFonts w:ascii="Arial" w:hAnsi="Arial" w:cs="Arial"/>
          <w:color w:val="000000" w:themeColor="text1"/>
        </w:rPr>
      </w:pPr>
      <w:r w:rsidRPr="00A83773">
        <w:rPr>
          <w:rFonts w:ascii="Arial" w:hAnsi="Arial" w:cs="Arial"/>
          <w:color w:val="000000" w:themeColor="text1"/>
        </w:rPr>
        <w:t>Our study provides the first look at potential relationships between observed pollinator communities and land cover</w:t>
      </w:r>
      <w:r w:rsidR="007D5DD5" w:rsidRPr="00A83773">
        <w:rPr>
          <w:rFonts w:ascii="Arial" w:hAnsi="Arial" w:cs="Arial"/>
          <w:color w:val="000000" w:themeColor="text1"/>
        </w:rPr>
        <w:t xml:space="preserve"> in East Tennessee</w:t>
      </w:r>
      <w:r w:rsidRPr="00A83773">
        <w:rPr>
          <w:rFonts w:ascii="Arial" w:hAnsi="Arial" w:cs="Arial"/>
          <w:color w:val="000000" w:themeColor="text1"/>
        </w:rPr>
        <w:t xml:space="preserve">. Although our results did not support any clear patterns, our work offers an opportunity for future research to uncover the complexity of spatial configuration. The landscape heterogeneity observed at larger spatial scales may be beneficial to both </w:t>
      </w:r>
      <w:r w:rsidR="00FB1D3B" w:rsidRPr="00A83773">
        <w:rPr>
          <w:rFonts w:ascii="Arial" w:hAnsi="Arial" w:cs="Arial"/>
          <w:color w:val="000000" w:themeColor="text1"/>
        </w:rPr>
        <w:t xml:space="preserve">bee </w:t>
      </w:r>
      <w:r w:rsidRPr="00A83773">
        <w:rPr>
          <w:rFonts w:ascii="Arial" w:hAnsi="Arial" w:cs="Arial"/>
          <w:color w:val="000000" w:themeColor="text1"/>
        </w:rPr>
        <w:t xml:space="preserve">species’ </w:t>
      </w:r>
      <w:r w:rsidR="00FB1D3B" w:rsidRPr="00A83773">
        <w:rPr>
          <w:rFonts w:ascii="Arial" w:hAnsi="Arial" w:cs="Arial"/>
          <w:color w:val="000000" w:themeColor="text1"/>
        </w:rPr>
        <w:t>diversity</w:t>
      </w:r>
      <w:r w:rsidRPr="00A83773">
        <w:rPr>
          <w:rFonts w:ascii="Arial" w:hAnsi="Arial" w:cs="Arial"/>
          <w:color w:val="000000" w:themeColor="text1"/>
        </w:rPr>
        <w:t xml:space="preserve"> and abundance. The </w:t>
      </w:r>
      <w:r w:rsidRPr="00A83773">
        <w:rPr>
          <w:rFonts w:ascii="Arial" w:hAnsi="Arial" w:cs="Arial"/>
          <w:color w:val="000000" w:themeColor="text1"/>
        </w:rPr>
        <w:lastRenderedPageBreak/>
        <w:t>observed high species</w:t>
      </w:r>
      <w:r w:rsidR="00FB1D3B" w:rsidRPr="00A83773">
        <w:rPr>
          <w:rFonts w:ascii="Arial" w:hAnsi="Arial" w:cs="Arial"/>
          <w:color w:val="000000" w:themeColor="text1"/>
        </w:rPr>
        <w:t xml:space="preserve"> diversity</w:t>
      </w:r>
      <w:r w:rsidRPr="00A83773">
        <w:rPr>
          <w:rFonts w:ascii="Arial" w:hAnsi="Arial" w:cs="Arial"/>
          <w:color w:val="000000" w:themeColor="text1"/>
        </w:rPr>
        <w:t xml:space="preserve"> and abundance found in the agriculture </w:t>
      </w:r>
      <w:r w:rsidR="002D3461">
        <w:rPr>
          <w:rFonts w:ascii="Arial" w:hAnsi="Arial" w:cs="Arial"/>
          <w:color w:val="000000" w:themeColor="text1"/>
        </w:rPr>
        <w:t>sites</w:t>
      </w:r>
      <w:r w:rsidRPr="00A83773">
        <w:rPr>
          <w:rFonts w:ascii="Arial" w:hAnsi="Arial" w:cs="Arial"/>
          <w:color w:val="000000" w:themeColor="text1"/>
        </w:rPr>
        <w:t xml:space="preserve"> provides additional support for perennial plantings in agricultural landscapes.</w:t>
      </w:r>
    </w:p>
    <w:p w14:paraId="1728F1CD" w14:textId="77777777" w:rsidR="003E62F2" w:rsidRPr="000C7549" w:rsidRDefault="003E62F2" w:rsidP="003E62F2">
      <w:pPr>
        <w:spacing w:line="480" w:lineRule="auto"/>
        <w:rPr>
          <w:rFonts w:ascii="Arial" w:hAnsi="Arial" w:cs="Arial"/>
        </w:rPr>
      </w:pPr>
    </w:p>
    <w:p w14:paraId="18D0F9DA" w14:textId="77777777" w:rsidR="003E62F2" w:rsidRPr="000C7549" w:rsidRDefault="003E62F2" w:rsidP="003E62F2">
      <w:pPr>
        <w:spacing w:line="480" w:lineRule="auto"/>
        <w:rPr>
          <w:rFonts w:ascii="Arial" w:hAnsi="Arial" w:cs="Arial"/>
        </w:rPr>
      </w:pPr>
    </w:p>
    <w:p w14:paraId="240DD266" w14:textId="77777777" w:rsidR="003E62F2" w:rsidRPr="000C7549" w:rsidRDefault="003E62F2" w:rsidP="003E62F2">
      <w:pPr>
        <w:spacing w:line="480" w:lineRule="auto"/>
        <w:rPr>
          <w:rFonts w:ascii="Arial" w:hAnsi="Arial" w:cs="Arial"/>
        </w:rPr>
      </w:pPr>
    </w:p>
    <w:p w14:paraId="414D615B" w14:textId="77777777" w:rsidR="003E62F2" w:rsidRPr="000C7549" w:rsidRDefault="003E62F2" w:rsidP="003E62F2">
      <w:pPr>
        <w:spacing w:line="480" w:lineRule="auto"/>
        <w:rPr>
          <w:rFonts w:ascii="Arial" w:hAnsi="Arial" w:cs="Arial"/>
        </w:rPr>
      </w:pPr>
    </w:p>
    <w:p w14:paraId="509CB2C7" w14:textId="09B6426A" w:rsidR="003E62F2" w:rsidRDefault="003E62F2" w:rsidP="003E62F2">
      <w:pPr>
        <w:spacing w:line="480" w:lineRule="auto"/>
        <w:rPr>
          <w:rFonts w:ascii="Arial" w:hAnsi="Arial" w:cs="Arial"/>
        </w:rPr>
      </w:pPr>
    </w:p>
    <w:p w14:paraId="301E99A7" w14:textId="20F9578A" w:rsidR="0046196A" w:rsidRDefault="0046196A" w:rsidP="003E62F2">
      <w:pPr>
        <w:spacing w:line="480" w:lineRule="auto"/>
        <w:rPr>
          <w:rFonts w:ascii="Arial" w:hAnsi="Arial" w:cs="Arial"/>
        </w:rPr>
      </w:pPr>
    </w:p>
    <w:p w14:paraId="18A001A2" w14:textId="4D6B55AE" w:rsidR="0046196A" w:rsidRDefault="0046196A" w:rsidP="003E62F2">
      <w:pPr>
        <w:spacing w:line="480" w:lineRule="auto"/>
        <w:rPr>
          <w:rFonts w:ascii="Arial" w:hAnsi="Arial" w:cs="Arial"/>
        </w:rPr>
      </w:pPr>
    </w:p>
    <w:p w14:paraId="29C2C609" w14:textId="3034083C" w:rsidR="0046196A" w:rsidRDefault="0046196A" w:rsidP="003E62F2">
      <w:pPr>
        <w:spacing w:line="480" w:lineRule="auto"/>
        <w:rPr>
          <w:rFonts w:ascii="Arial" w:hAnsi="Arial" w:cs="Arial"/>
        </w:rPr>
      </w:pPr>
    </w:p>
    <w:p w14:paraId="756E77BA" w14:textId="29F40858" w:rsidR="00546490" w:rsidRDefault="00546490" w:rsidP="00207B01">
      <w:pPr>
        <w:spacing w:line="480" w:lineRule="auto"/>
        <w:rPr>
          <w:rFonts w:ascii="Arial" w:eastAsiaTheme="minorHAnsi" w:hAnsi="Arial" w:cs="Arial"/>
          <w:b/>
          <w:sz w:val="28"/>
          <w:lang w:val="en-CA"/>
        </w:rPr>
      </w:pPr>
    </w:p>
    <w:p w14:paraId="11F0CF7E" w14:textId="35EADB23" w:rsidR="00546490" w:rsidRDefault="00546490" w:rsidP="00207B01">
      <w:pPr>
        <w:spacing w:line="480" w:lineRule="auto"/>
        <w:rPr>
          <w:rFonts w:ascii="Arial" w:eastAsiaTheme="minorHAnsi" w:hAnsi="Arial" w:cs="Arial"/>
          <w:b/>
          <w:sz w:val="28"/>
          <w:lang w:val="en-CA"/>
        </w:rPr>
      </w:pPr>
    </w:p>
    <w:p w14:paraId="0DE59BA5" w14:textId="3C90B8D2" w:rsidR="00546490" w:rsidRDefault="00546490" w:rsidP="00207B01">
      <w:pPr>
        <w:spacing w:line="480" w:lineRule="auto"/>
        <w:rPr>
          <w:rFonts w:ascii="Arial" w:eastAsiaTheme="minorHAnsi" w:hAnsi="Arial" w:cs="Arial"/>
          <w:b/>
          <w:sz w:val="28"/>
          <w:lang w:val="en-CA"/>
        </w:rPr>
      </w:pPr>
    </w:p>
    <w:p w14:paraId="170F2CC1" w14:textId="1A627322" w:rsidR="00546490" w:rsidRDefault="00546490" w:rsidP="00207B01">
      <w:pPr>
        <w:spacing w:line="480" w:lineRule="auto"/>
        <w:rPr>
          <w:rFonts w:ascii="Arial" w:eastAsiaTheme="minorHAnsi" w:hAnsi="Arial" w:cs="Arial"/>
          <w:b/>
          <w:sz w:val="28"/>
          <w:lang w:val="en-CA"/>
        </w:rPr>
      </w:pPr>
    </w:p>
    <w:p w14:paraId="4DE78DE2" w14:textId="473AE939" w:rsidR="00546490" w:rsidRDefault="00546490" w:rsidP="00207B01">
      <w:pPr>
        <w:spacing w:line="480" w:lineRule="auto"/>
        <w:rPr>
          <w:rFonts w:ascii="Arial" w:eastAsiaTheme="minorHAnsi" w:hAnsi="Arial" w:cs="Arial"/>
          <w:b/>
          <w:sz w:val="28"/>
          <w:lang w:val="en-CA"/>
        </w:rPr>
      </w:pPr>
    </w:p>
    <w:p w14:paraId="3A120C8B" w14:textId="5F6885E6" w:rsidR="00546490" w:rsidRDefault="00546490" w:rsidP="00207B01">
      <w:pPr>
        <w:spacing w:line="480" w:lineRule="auto"/>
        <w:rPr>
          <w:rFonts w:ascii="Arial" w:eastAsiaTheme="minorHAnsi" w:hAnsi="Arial" w:cs="Arial"/>
          <w:b/>
          <w:sz w:val="28"/>
          <w:lang w:val="en-CA"/>
        </w:rPr>
      </w:pPr>
    </w:p>
    <w:p w14:paraId="47E5A085" w14:textId="61EB4D4F" w:rsidR="00546490" w:rsidRDefault="00546490" w:rsidP="00207B01">
      <w:pPr>
        <w:spacing w:line="480" w:lineRule="auto"/>
        <w:rPr>
          <w:rFonts w:ascii="Arial" w:eastAsiaTheme="minorHAnsi" w:hAnsi="Arial" w:cs="Arial"/>
          <w:b/>
          <w:sz w:val="28"/>
          <w:lang w:val="en-CA"/>
        </w:rPr>
      </w:pPr>
    </w:p>
    <w:p w14:paraId="1B01BB73" w14:textId="2C80E5E6" w:rsidR="002D3461" w:rsidRDefault="002D3461" w:rsidP="00207B01">
      <w:pPr>
        <w:spacing w:line="480" w:lineRule="auto"/>
        <w:rPr>
          <w:rFonts w:ascii="Arial" w:eastAsiaTheme="minorHAnsi" w:hAnsi="Arial" w:cs="Arial"/>
          <w:b/>
          <w:sz w:val="28"/>
          <w:lang w:val="en-CA"/>
        </w:rPr>
      </w:pPr>
    </w:p>
    <w:p w14:paraId="68006817" w14:textId="72A63BC1" w:rsidR="002D3461" w:rsidRDefault="002D3461" w:rsidP="00207B01">
      <w:pPr>
        <w:spacing w:line="480" w:lineRule="auto"/>
        <w:rPr>
          <w:rFonts w:ascii="Arial" w:eastAsiaTheme="minorHAnsi" w:hAnsi="Arial" w:cs="Arial"/>
          <w:b/>
          <w:sz w:val="28"/>
          <w:lang w:val="en-CA"/>
        </w:rPr>
      </w:pPr>
    </w:p>
    <w:p w14:paraId="6E4F4F8D" w14:textId="77777777" w:rsidR="002D3461" w:rsidRDefault="002D3461" w:rsidP="00207B01">
      <w:pPr>
        <w:spacing w:line="480" w:lineRule="auto"/>
        <w:rPr>
          <w:rFonts w:ascii="Arial" w:eastAsiaTheme="minorHAnsi" w:hAnsi="Arial" w:cs="Arial"/>
          <w:b/>
          <w:sz w:val="28"/>
          <w:lang w:val="en-CA"/>
        </w:rPr>
      </w:pPr>
    </w:p>
    <w:p w14:paraId="04536AE4" w14:textId="77777777" w:rsidR="00546490" w:rsidRPr="000C7549" w:rsidRDefault="00546490" w:rsidP="00207B01">
      <w:pPr>
        <w:spacing w:line="480" w:lineRule="auto"/>
        <w:rPr>
          <w:rFonts w:ascii="Arial" w:hAnsi="Arial" w:cs="Arial"/>
        </w:rPr>
      </w:pPr>
    </w:p>
    <w:p w14:paraId="42112D12" w14:textId="08CF79BD" w:rsidR="00207B01" w:rsidRPr="000C7549" w:rsidRDefault="00207B01" w:rsidP="00207B01">
      <w:pPr>
        <w:pStyle w:val="Title"/>
        <w:spacing w:line="480" w:lineRule="auto"/>
      </w:pPr>
      <w:r w:rsidRPr="000C7549">
        <w:lastRenderedPageBreak/>
        <w:t>CONCLUSION</w:t>
      </w:r>
    </w:p>
    <w:p w14:paraId="27FADA4A" w14:textId="79DD26C2" w:rsidR="00207B01" w:rsidRPr="000C7549" w:rsidRDefault="00207B01" w:rsidP="000A4EF9">
      <w:pPr>
        <w:spacing w:line="480" w:lineRule="auto"/>
        <w:ind w:firstLine="720"/>
        <w:rPr>
          <w:rFonts w:ascii="Arial" w:hAnsi="Arial" w:cs="Arial"/>
        </w:rPr>
      </w:pPr>
      <w:r w:rsidRPr="000C7549">
        <w:rPr>
          <w:rFonts w:ascii="Arial" w:hAnsi="Arial" w:cs="Arial"/>
        </w:rPr>
        <w:t xml:space="preserve">This study serves as the first in East Tennessee to document pollinator forage preferences for different perennial plantings across multiple land use types. We found native perennials can support a multitude of flower visiting insects, especially wild bees. We found the highest species abundances and richness in our agriculture study sites, which offers substantial support to the incorporation of native perennial plantings in agricultural systems. </w:t>
      </w:r>
      <w:r w:rsidR="004E18F0">
        <w:rPr>
          <w:rFonts w:ascii="Arial" w:hAnsi="Arial" w:cs="Arial"/>
        </w:rPr>
        <w:t>W</w:t>
      </w:r>
      <w:r w:rsidRPr="000C7549">
        <w:rPr>
          <w:rFonts w:ascii="Arial" w:hAnsi="Arial" w:cs="Arial"/>
        </w:rPr>
        <w:t>e found a single species to be the most attractive, but treatment that comprised of all three plant families</w:t>
      </w:r>
      <w:r w:rsidR="004E18F0">
        <w:rPr>
          <w:rFonts w:ascii="Arial" w:hAnsi="Arial" w:cs="Arial"/>
        </w:rPr>
        <w:t xml:space="preserve"> </w:t>
      </w:r>
      <w:r w:rsidRPr="000C7549">
        <w:rPr>
          <w:rFonts w:ascii="Arial" w:hAnsi="Arial" w:cs="Arial"/>
        </w:rPr>
        <w:t>had the highest average visitation rate. The plot with</w:t>
      </w:r>
      <w:r w:rsidR="00676EFD" w:rsidRPr="000C7549">
        <w:rPr>
          <w:rFonts w:ascii="Arial" w:hAnsi="Arial" w:cs="Arial"/>
        </w:rPr>
        <w:t xml:space="preserve"> greatest plant</w:t>
      </w:r>
      <w:r w:rsidRPr="000C7549">
        <w:rPr>
          <w:rFonts w:ascii="Arial" w:hAnsi="Arial" w:cs="Arial"/>
        </w:rPr>
        <w:t xml:space="preserve"> species diversity was the most attractive during any one </w:t>
      </w:r>
      <w:r w:rsidR="00F225F8" w:rsidRPr="000C7549">
        <w:rPr>
          <w:rFonts w:ascii="Arial" w:hAnsi="Arial" w:cs="Arial"/>
        </w:rPr>
        <w:t>pollinator collection</w:t>
      </w:r>
      <w:r w:rsidRPr="000C7549">
        <w:rPr>
          <w:rFonts w:ascii="Arial" w:hAnsi="Arial" w:cs="Arial"/>
        </w:rPr>
        <w:t>. We were also able to quantify the pollinator community in the region, thus providing species level data for bees found across three eastern Tennessee counties.</w:t>
      </w:r>
    </w:p>
    <w:p w14:paraId="5D951F0D" w14:textId="22E9F598" w:rsidR="00207B01" w:rsidRPr="000C7549" w:rsidRDefault="00207B01" w:rsidP="000A4EF9">
      <w:pPr>
        <w:spacing w:line="480" w:lineRule="auto"/>
        <w:ind w:firstLine="720"/>
        <w:rPr>
          <w:rFonts w:ascii="Arial" w:hAnsi="Arial" w:cs="Arial"/>
        </w:rPr>
      </w:pPr>
      <w:r w:rsidRPr="000C7549">
        <w:rPr>
          <w:rFonts w:ascii="Arial" w:hAnsi="Arial" w:cs="Arial"/>
        </w:rPr>
        <w:t>Although we did not find any relationships between species richness or abundance and land cover classification at any radii, these findings warrant further exploration. Additionally, future work could address patterns in the different species or functional groups of bees collected at each site that were not explored, both in terms of the landscape level effects, relative plant preferences, and treatment level effects. Our work illustrates the potential for native perennials to serve as a</w:t>
      </w:r>
      <w:r w:rsidR="00162B1F" w:rsidRPr="000C7549">
        <w:rPr>
          <w:rFonts w:ascii="Arial" w:hAnsi="Arial" w:cs="Arial"/>
        </w:rPr>
        <w:t xml:space="preserve"> promising </w:t>
      </w:r>
      <w:r w:rsidRPr="000C7549">
        <w:rPr>
          <w:rFonts w:ascii="Arial" w:hAnsi="Arial" w:cs="Arial"/>
        </w:rPr>
        <w:t xml:space="preserve">resource for pollinator conservation across multiple common land uses in East Tennessee. </w:t>
      </w:r>
    </w:p>
    <w:p w14:paraId="56171747" w14:textId="24E06902" w:rsidR="00207B01" w:rsidRPr="000C7549" w:rsidRDefault="00207B01" w:rsidP="00207B01">
      <w:pPr>
        <w:spacing w:line="480" w:lineRule="auto"/>
        <w:rPr>
          <w:rFonts w:ascii="Arial" w:hAnsi="Arial" w:cs="Arial"/>
        </w:rPr>
      </w:pPr>
    </w:p>
    <w:p w14:paraId="50293742" w14:textId="69126014" w:rsidR="00B673D5" w:rsidRDefault="00B673D5" w:rsidP="00207B01">
      <w:pPr>
        <w:spacing w:line="480" w:lineRule="auto"/>
        <w:rPr>
          <w:rFonts w:ascii="Arial" w:hAnsi="Arial" w:cs="Arial"/>
        </w:rPr>
      </w:pPr>
    </w:p>
    <w:p w14:paraId="00FCCF4A" w14:textId="77777777" w:rsidR="00367E37" w:rsidRPr="000C7549" w:rsidRDefault="00367E37" w:rsidP="00207B01">
      <w:pPr>
        <w:spacing w:line="480" w:lineRule="auto"/>
        <w:rPr>
          <w:rFonts w:ascii="Arial" w:hAnsi="Arial" w:cs="Arial"/>
        </w:rPr>
      </w:pPr>
    </w:p>
    <w:p w14:paraId="15CE11FF" w14:textId="221C4A19" w:rsidR="0046196A" w:rsidRDefault="0046196A" w:rsidP="0046196A"/>
    <w:p w14:paraId="6EB28BEE" w14:textId="77777777" w:rsidR="0046196A" w:rsidRPr="0046196A" w:rsidRDefault="0046196A" w:rsidP="0046196A"/>
    <w:p w14:paraId="4EE4DDA7" w14:textId="4B40795B" w:rsidR="00207B01" w:rsidRPr="000C7549" w:rsidRDefault="00207B01" w:rsidP="00207B01">
      <w:pPr>
        <w:pStyle w:val="Heading1"/>
        <w:spacing w:line="480" w:lineRule="auto"/>
      </w:pPr>
      <w:bookmarkStart w:id="30" w:name="_Toc76799712"/>
      <w:r w:rsidRPr="000C7549">
        <w:rPr>
          <w:caps w:val="0"/>
        </w:rPr>
        <w:lastRenderedPageBreak/>
        <w:t>LIST OF REFERENCES</w:t>
      </w:r>
      <w:bookmarkEnd w:id="30"/>
      <w:r w:rsidRPr="000C7549">
        <w:rPr>
          <w:caps w:val="0"/>
        </w:rPr>
        <w:t xml:space="preserve"> </w:t>
      </w:r>
    </w:p>
    <w:p w14:paraId="3D1827DC" w14:textId="77777777" w:rsidR="00207B01" w:rsidRPr="000C7549" w:rsidRDefault="00207B01" w:rsidP="00207B01">
      <w:pPr>
        <w:spacing w:line="480" w:lineRule="auto"/>
        <w:rPr>
          <w:rFonts w:ascii="Arial" w:hAnsi="Arial" w:cs="Arial"/>
        </w:rPr>
      </w:pPr>
    </w:p>
    <w:p w14:paraId="62BDF4BE" w14:textId="77777777" w:rsidR="00207B01" w:rsidRPr="000C7549" w:rsidRDefault="00207B01" w:rsidP="00207B01">
      <w:pPr>
        <w:spacing w:line="480" w:lineRule="auto"/>
        <w:rPr>
          <w:rFonts w:ascii="Arial" w:hAnsi="Arial" w:cs="Arial"/>
        </w:rPr>
      </w:pPr>
      <w:r w:rsidRPr="000C7549">
        <w:rPr>
          <w:rFonts w:ascii="Arial" w:hAnsi="Arial" w:cs="Arial"/>
        </w:rPr>
        <w:tab/>
      </w:r>
      <w:r w:rsidRPr="000C7549">
        <w:rPr>
          <w:rFonts w:ascii="Arial" w:hAnsi="Arial" w:cs="Arial"/>
        </w:rPr>
        <w:tab/>
      </w:r>
      <w:r w:rsidRPr="000C7549">
        <w:rPr>
          <w:rFonts w:ascii="Arial" w:hAnsi="Arial" w:cs="Arial"/>
        </w:rPr>
        <w:tab/>
      </w:r>
      <w:r w:rsidRPr="000C7549">
        <w:rPr>
          <w:rFonts w:ascii="Arial" w:hAnsi="Arial" w:cs="Arial"/>
        </w:rPr>
        <w:tab/>
      </w:r>
    </w:p>
    <w:p w14:paraId="2C63045A" w14:textId="77777777" w:rsidR="00207B01" w:rsidRPr="000C7549" w:rsidRDefault="00207B01" w:rsidP="00207B01">
      <w:pPr>
        <w:spacing w:line="480" w:lineRule="auto"/>
        <w:rPr>
          <w:rFonts w:ascii="Arial" w:hAnsi="Arial" w:cs="Arial"/>
        </w:rPr>
      </w:pPr>
    </w:p>
    <w:p w14:paraId="6DAAB6AD" w14:textId="77777777" w:rsidR="00207B01" w:rsidRPr="000C7549" w:rsidRDefault="00207B01" w:rsidP="00207B01">
      <w:pPr>
        <w:spacing w:line="480" w:lineRule="auto"/>
        <w:rPr>
          <w:rFonts w:ascii="Arial" w:hAnsi="Arial" w:cs="Arial"/>
        </w:rPr>
      </w:pPr>
    </w:p>
    <w:p w14:paraId="492EFDB6" w14:textId="77777777" w:rsidR="00207B01" w:rsidRPr="000C7549" w:rsidRDefault="00207B01" w:rsidP="00207B01">
      <w:pPr>
        <w:spacing w:line="480" w:lineRule="auto"/>
        <w:rPr>
          <w:rFonts w:ascii="Arial" w:hAnsi="Arial" w:cs="Arial"/>
        </w:rPr>
      </w:pPr>
    </w:p>
    <w:p w14:paraId="2AC81A7E" w14:textId="77777777" w:rsidR="00207B01" w:rsidRPr="000C7549" w:rsidRDefault="00207B01" w:rsidP="00207B01">
      <w:pPr>
        <w:spacing w:line="480" w:lineRule="auto"/>
        <w:rPr>
          <w:rFonts w:ascii="Arial" w:hAnsi="Arial" w:cs="Arial"/>
        </w:rPr>
      </w:pPr>
    </w:p>
    <w:p w14:paraId="59AD126A" w14:textId="77777777" w:rsidR="00207B01" w:rsidRPr="000C7549" w:rsidRDefault="00207B01" w:rsidP="00207B01">
      <w:pPr>
        <w:spacing w:line="480" w:lineRule="auto"/>
        <w:rPr>
          <w:rFonts w:ascii="Arial" w:hAnsi="Arial" w:cs="Arial"/>
        </w:rPr>
      </w:pPr>
    </w:p>
    <w:p w14:paraId="5FA840A7" w14:textId="77777777" w:rsidR="00207B01" w:rsidRPr="000C7549" w:rsidRDefault="00207B01" w:rsidP="00207B01">
      <w:pPr>
        <w:spacing w:line="480" w:lineRule="auto"/>
        <w:rPr>
          <w:rFonts w:ascii="Arial" w:hAnsi="Arial" w:cs="Arial"/>
        </w:rPr>
      </w:pPr>
    </w:p>
    <w:p w14:paraId="54C51FD5" w14:textId="77777777" w:rsidR="00207B01" w:rsidRPr="000C7549" w:rsidRDefault="00207B01" w:rsidP="00207B01">
      <w:pPr>
        <w:spacing w:line="480" w:lineRule="auto"/>
        <w:rPr>
          <w:rFonts w:ascii="Arial" w:hAnsi="Arial" w:cs="Arial"/>
        </w:rPr>
      </w:pPr>
    </w:p>
    <w:p w14:paraId="29630E10" w14:textId="77777777" w:rsidR="00207B01" w:rsidRPr="000C7549" w:rsidRDefault="00207B01" w:rsidP="00207B01">
      <w:pPr>
        <w:spacing w:line="480" w:lineRule="auto"/>
        <w:rPr>
          <w:rFonts w:ascii="Arial" w:hAnsi="Arial" w:cs="Arial"/>
        </w:rPr>
      </w:pPr>
    </w:p>
    <w:p w14:paraId="581F53ED" w14:textId="77777777" w:rsidR="00207B01" w:rsidRPr="000C7549" w:rsidRDefault="00207B01" w:rsidP="00207B01">
      <w:pPr>
        <w:spacing w:line="480" w:lineRule="auto"/>
        <w:rPr>
          <w:rFonts w:ascii="Arial" w:hAnsi="Arial" w:cs="Arial"/>
        </w:rPr>
      </w:pPr>
    </w:p>
    <w:p w14:paraId="44E39C50" w14:textId="77777777" w:rsidR="00207B01" w:rsidRPr="000C7549" w:rsidRDefault="00207B01" w:rsidP="00207B01">
      <w:pPr>
        <w:spacing w:line="480" w:lineRule="auto"/>
        <w:rPr>
          <w:rFonts w:ascii="Arial" w:hAnsi="Arial" w:cs="Arial"/>
        </w:rPr>
      </w:pPr>
    </w:p>
    <w:p w14:paraId="6AF09482" w14:textId="77777777" w:rsidR="00207B01" w:rsidRPr="000C7549" w:rsidRDefault="00207B01" w:rsidP="00207B01">
      <w:pPr>
        <w:spacing w:line="480" w:lineRule="auto"/>
        <w:rPr>
          <w:rFonts w:ascii="Arial" w:hAnsi="Arial" w:cs="Arial"/>
        </w:rPr>
      </w:pPr>
    </w:p>
    <w:p w14:paraId="2A7E2B33" w14:textId="77777777" w:rsidR="00207B01" w:rsidRPr="000C7549" w:rsidRDefault="00207B01" w:rsidP="00207B01">
      <w:pPr>
        <w:spacing w:line="480" w:lineRule="auto"/>
        <w:rPr>
          <w:rFonts w:ascii="Arial" w:hAnsi="Arial" w:cs="Arial"/>
        </w:rPr>
      </w:pPr>
    </w:p>
    <w:p w14:paraId="454C13A0" w14:textId="77777777" w:rsidR="00207B01" w:rsidRPr="000C7549" w:rsidRDefault="00207B01" w:rsidP="00207B01">
      <w:pPr>
        <w:spacing w:line="480" w:lineRule="auto"/>
        <w:rPr>
          <w:rFonts w:ascii="Arial" w:hAnsi="Arial" w:cs="Arial"/>
        </w:rPr>
      </w:pPr>
    </w:p>
    <w:p w14:paraId="1299C1A3" w14:textId="77777777" w:rsidR="00207B01" w:rsidRPr="000C7549" w:rsidRDefault="00207B01" w:rsidP="00207B01">
      <w:pPr>
        <w:spacing w:line="480" w:lineRule="auto"/>
        <w:rPr>
          <w:rFonts w:ascii="Arial" w:hAnsi="Arial" w:cs="Arial"/>
        </w:rPr>
      </w:pPr>
    </w:p>
    <w:p w14:paraId="2FA63BE5" w14:textId="77777777" w:rsidR="00207B01" w:rsidRPr="000C7549" w:rsidRDefault="00207B01" w:rsidP="00207B01">
      <w:pPr>
        <w:spacing w:line="480" w:lineRule="auto"/>
        <w:rPr>
          <w:rFonts w:ascii="Arial" w:hAnsi="Arial" w:cs="Arial"/>
        </w:rPr>
      </w:pPr>
    </w:p>
    <w:p w14:paraId="17548414" w14:textId="77777777" w:rsidR="00207B01" w:rsidRPr="000C7549" w:rsidRDefault="00207B01" w:rsidP="00207B01">
      <w:pPr>
        <w:spacing w:line="480" w:lineRule="auto"/>
        <w:rPr>
          <w:rFonts w:ascii="Arial" w:hAnsi="Arial" w:cs="Arial"/>
        </w:rPr>
      </w:pPr>
    </w:p>
    <w:p w14:paraId="205BBC79" w14:textId="77777777" w:rsidR="00207B01" w:rsidRPr="000C7549" w:rsidRDefault="00207B01" w:rsidP="00207B01">
      <w:pPr>
        <w:spacing w:line="480" w:lineRule="auto"/>
        <w:rPr>
          <w:rFonts w:ascii="Arial" w:hAnsi="Arial" w:cs="Arial"/>
        </w:rPr>
      </w:pPr>
    </w:p>
    <w:p w14:paraId="7A5A3330" w14:textId="77777777" w:rsidR="00207B01" w:rsidRPr="000C7549" w:rsidRDefault="00207B01" w:rsidP="00207B01">
      <w:pPr>
        <w:spacing w:line="480" w:lineRule="auto"/>
        <w:rPr>
          <w:rFonts w:ascii="Arial" w:hAnsi="Arial" w:cs="Arial"/>
        </w:rPr>
      </w:pPr>
    </w:p>
    <w:p w14:paraId="716AB258" w14:textId="77777777" w:rsidR="00207B01" w:rsidRPr="000C7549" w:rsidRDefault="00207B01" w:rsidP="00207B01">
      <w:pPr>
        <w:spacing w:line="480" w:lineRule="auto"/>
        <w:rPr>
          <w:rFonts w:ascii="Arial" w:hAnsi="Arial" w:cs="Arial"/>
        </w:rPr>
      </w:pPr>
    </w:p>
    <w:p w14:paraId="2548C831" w14:textId="77777777" w:rsidR="00207B01" w:rsidRPr="000C7549" w:rsidRDefault="00207B01" w:rsidP="00207B01">
      <w:pPr>
        <w:spacing w:line="480" w:lineRule="auto"/>
        <w:rPr>
          <w:rFonts w:ascii="Arial" w:hAnsi="Arial" w:cs="Arial"/>
        </w:rPr>
      </w:pPr>
    </w:p>
    <w:p w14:paraId="24DAC579" w14:textId="77777777" w:rsidR="00EE5B67" w:rsidRPr="00EE5B67" w:rsidRDefault="00207B01" w:rsidP="00EE5B67">
      <w:pPr>
        <w:pStyle w:val="Bibliography"/>
      </w:pPr>
      <w:r w:rsidRPr="000C7549">
        <w:fldChar w:fldCharType="begin"/>
      </w:r>
      <w:r w:rsidRPr="000C7549">
        <w:instrText xml:space="preserve"> ADDIN ZOTERO_BIBL {"uncited":[],"omitted":[],"custom":[]} CSL_BIBLIOGRAPHY </w:instrText>
      </w:r>
      <w:r w:rsidRPr="000C7549">
        <w:fldChar w:fldCharType="separate"/>
      </w:r>
      <w:r w:rsidR="00EE5B67" w:rsidRPr="00EE5B67">
        <w:t xml:space="preserve">Ahrné, K., Bengtsson, J., &amp; Elmqvist, T. (2009). Bumble Bees (Bombus spp) along a Gradient of Increasing Urbanization. </w:t>
      </w:r>
      <w:r w:rsidR="00EE5B67" w:rsidRPr="00EE5B67">
        <w:rPr>
          <w:i/>
          <w:iCs/>
        </w:rPr>
        <w:t>PLOS ONE</w:t>
      </w:r>
      <w:r w:rsidR="00EE5B67" w:rsidRPr="00EE5B67">
        <w:t xml:space="preserve">, </w:t>
      </w:r>
      <w:r w:rsidR="00EE5B67" w:rsidRPr="00EE5B67">
        <w:rPr>
          <w:i/>
          <w:iCs/>
        </w:rPr>
        <w:t>4</w:t>
      </w:r>
      <w:r w:rsidR="00EE5B67" w:rsidRPr="00EE5B67">
        <w:t>(5), e5574. https://doi.org/10.1371/journal.pone.0005574</w:t>
      </w:r>
    </w:p>
    <w:p w14:paraId="77D674AB" w14:textId="77777777" w:rsidR="00EE5B67" w:rsidRPr="00EE5B67" w:rsidRDefault="00EE5B67" w:rsidP="00EE5B67">
      <w:pPr>
        <w:pStyle w:val="Bibliography"/>
      </w:pPr>
      <w:r w:rsidRPr="00EE5B67">
        <w:t xml:space="preserve">Aizen, M. A., Garibaldi, L. A., Cunningham, S. A., &amp; Klein, A. M. (2008). Long-Term Global Trends in Crop Yield and Production Reveal No Current Pollination Shortage but Increasing Pollinator Dependency. </w:t>
      </w:r>
      <w:r w:rsidRPr="00EE5B67">
        <w:rPr>
          <w:i/>
          <w:iCs/>
        </w:rPr>
        <w:t>Current Biology</w:t>
      </w:r>
      <w:r w:rsidRPr="00EE5B67">
        <w:t xml:space="preserve">, </w:t>
      </w:r>
      <w:r w:rsidRPr="00EE5B67">
        <w:rPr>
          <w:i/>
          <w:iCs/>
        </w:rPr>
        <w:t>18</w:t>
      </w:r>
      <w:r w:rsidRPr="00EE5B67">
        <w:t>(20), 1572–1575. https://doi.org/10.1016/j.cub.2008.08.066</w:t>
      </w:r>
    </w:p>
    <w:p w14:paraId="7946A96C" w14:textId="77777777" w:rsidR="00EE5B67" w:rsidRPr="00EE5B67" w:rsidRDefault="00EE5B67" w:rsidP="00EE5B67">
      <w:pPr>
        <w:pStyle w:val="Bibliography"/>
      </w:pPr>
      <w:r w:rsidRPr="00EE5B67">
        <w:t xml:space="preserve">Alofs, K. M., González, A. V., &amp; Fowler, N. L. (2014). Local native plant diversity responds to habitat loss and fragmentation over different time spans and spatial scales. </w:t>
      </w:r>
      <w:r w:rsidRPr="00EE5B67">
        <w:rPr>
          <w:i/>
          <w:iCs/>
        </w:rPr>
        <w:t>Plant Ecology</w:t>
      </w:r>
      <w:r w:rsidRPr="00EE5B67">
        <w:t xml:space="preserve">, </w:t>
      </w:r>
      <w:r w:rsidRPr="00EE5B67">
        <w:rPr>
          <w:i/>
          <w:iCs/>
        </w:rPr>
        <w:t>215</w:t>
      </w:r>
      <w:r w:rsidRPr="00EE5B67">
        <w:t>(10), 1139–1151.</w:t>
      </w:r>
    </w:p>
    <w:p w14:paraId="26DE8441" w14:textId="77777777" w:rsidR="00EE5B67" w:rsidRPr="00EE5B67" w:rsidRDefault="00EE5B67" w:rsidP="00EE5B67">
      <w:pPr>
        <w:pStyle w:val="Bibliography"/>
      </w:pPr>
      <w:r w:rsidRPr="00EE5B67">
        <w:t xml:space="preserve">Baker, H. G., &amp; Baker, I. (1973). Amino-acids in Nectar and their Evolutionary Significance. </w:t>
      </w:r>
      <w:r w:rsidRPr="00EE5B67">
        <w:rPr>
          <w:i/>
          <w:iCs/>
        </w:rPr>
        <w:t>Nature</w:t>
      </w:r>
      <w:r w:rsidRPr="00EE5B67">
        <w:t xml:space="preserve">, </w:t>
      </w:r>
      <w:r w:rsidRPr="00EE5B67">
        <w:rPr>
          <w:i/>
          <w:iCs/>
        </w:rPr>
        <w:t>241</w:t>
      </w:r>
      <w:r w:rsidRPr="00EE5B67">
        <w:t>(5391), 543–545. https://doi.org/10.1038/241543b0</w:t>
      </w:r>
    </w:p>
    <w:p w14:paraId="41847A5E" w14:textId="77777777" w:rsidR="00EE5B67" w:rsidRPr="00EE5B67" w:rsidRDefault="00EE5B67" w:rsidP="00EE5B67">
      <w:pPr>
        <w:pStyle w:val="Bibliography"/>
      </w:pPr>
      <w:r w:rsidRPr="00EE5B67">
        <w:t xml:space="preserve">Baldock, K. C. R., Goddard, M. A., Hicks, D. M., Kunin, W. E., Mitschunas, N., Morse, H., Osgathorpe, L. M., Potts, S. G., Robertson, K. M., Scott, A. V., Staniczenko, P. P. A., Stone, G. N., Vaughan, I. P., &amp; Memmott, J. (2019). A systems approach reveals urban pollinator hotspots and conservation opportunities. </w:t>
      </w:r>
      <w:r w:rsidRPr="00EE5B67">
        <w:rPr>
          <w:i/>
          <w:iCs/>
        </w:rPr>
        <w:t>Nature Ecology &amp; Evolution</w:t>
      </w:r>
      <w:r w:rsidRPr="00EE5B67">
        <w:t xml:space="preserve">, </w:t>
      </w:r>
      <w:r w:rsidRPr="00EE5B67">
        <w:rPr>
          <w:i/>
          <w:iCs/>
        </w:rPr>
        <w:t>3</w:t>
      </w:r>
      <w:r w:rsidRPr="00EE5B67">
        <w:t>(3), 363–373. https://doi.org/10.1038/s41559-018-0769-y</w:t>
      </w:r>
    </w:p>
    <w:p w14:paraId="1257504D" w14:textId="77777777" w:rsidR="00EE5B67" w:rsidRPr="00EE5B67" w:rsidRDefault="00EE5B67" w:rsidP="00EE5B67">
      <w:pPr>
        <w:pStyle w:val="Bibliography"/>
      </w:pPr>
      <w:r w:rsidRPr="00EE5B67">
        <w:t xml:space="preserve">Barton, K. (2018). </w:t>
      </w:r>
      <w:r w:rsidRPr="00EE5B67">
        <w:rPr>
          <w:i/>
          <w:iCs/>
        </w:rPr>
        <w:t>MuMIn: Multi-model inference. In: R Packag.</w:t>
      </w:r>
      <w:r w:rsidRPr="00EE5B67">
        <w:t xml:space="preserve"> version 1.42.1.</w:t>
      </w:r>
    </w:p>
    <w:p w14:paraId="3AB05FE2" w14:textId="77777777" w:rsidR="00EE5B67" w:rsidRPr="00EE5B67" w:rsidRDefault="00EE5B67" w:rsidP="00EE5B67">
      <w:pPr>
        <w:pStyle w:val="Bibliography"/>
      </w:pPr>
      <w:r w:rsidRPr="00EE5B67">
        <w:t>Bates, A. J., Sadler, J. P., Fairbrass, A. J., Falk, S. J., Hale, J. D., &amp; Matthews, T. J. (2011). Changing Bee and Hoverfly Pollinator Assemblages along an Urban-</w:t>
      </w:r>
      <w:r w:rsidRPr="00EE5B67">
        <w:lastRenderedPageBreak/>
        <w:t xml:space="preserve">Rural Gradient. </w:t>
      </w:r>
      <w:r w:rsidRPr="00EE5B67">
        <w:rPr>
          <w:i/>
          <w:iCs/>
        </w:rPr>
        <w:t>PLOS ONE</w:t>
      </w:r>
      <w:r w:rsidRPr="00EE5B67">
        <w:t xml:space="preserve">, </w:t>
      </w:r>
      <w:r w:rsidRPr="00EE5B67">
        <w:rPr>
          <w:i/>
          <w:iCs/>
        </w:rPr>
        <w:t>6</w:t>
      </w:r>
      <w:r w:rsidRPr="00EE5B67">
        <w:t>(8), e23459. https://doi.org/10.1371/journal.pone.0023459</w:t>
      </w:r>
    </w:p>
    <w:p w14:paraId="1B5B26A3" w14:textId="77777777" w:rsidR="00EE5B67" w:rsidRPr="00EE5B67" w:rsidRDefault="00EE5B67" w:rsidP="00EE5B67">
      <w:pPr>
        <w:pStyle w:val="Bibliography"/>
      </w:pPr>
      <w:r w:rsidRPr="00EE5B67">
        <w:t xml:space="preserve">Benjamin, F. E., Reilly, J. R., &amp; Winfree, R. (2014). Pollinator body size mediates the scale at which land use drives crop pollination services. </w:t>
      </w:r>
      <w:r w:rsidRPr="00EE5B67">
        <w:rPr>
          <w:i/>
          <w:iCs/>
        </w:rPr>
        <w:t>Journal of Applied Ecology</w:t>
      </w:r>
      <w:r w:rsidRPr="00EE5B67">
        <w:t xml:space="preserve">, </w:t>
      </w:r>
      <w:r w:rsidRPr="00EE5B67">
        <w:rPr>
          <w:i/>
          <w:iCs/>
        </w:rPr>
        <w:t>51</w:t>
      </w:r>
      <w:r w:rsidRPr="00EE5B67">
        <w:t>(2), 440–449. https://doi.org/10.1111/1365-2664.12198</w:t>
      </w:r>
    </w:p>
    <w:p w14:paraId="12E60446" w14:textId="77777777" w:rsidR="00EE5B67" w:rsidRPr="00EE5B67" w:rsidRDefault="00EE5B67" w:rsidP="00EE5B67">
      <w:pPr>
        <w:pStyle w:val="Bibliography"/>
      </w:pPr>
      <w:r w:rsidRPr="00EE5B67">
        <w:t xml:space="preserve">Bennett, A. B., &amp; Isaacs, R. (2014). Landscape composition influences pollinators and pollination services in perennial biofuel plantings. </w:t>
      </w:r>
      <w:r w:rsidRPr="00EE5B67">
        <w:rPr>
          <w:i/>
          <w:iCs/>
        </w:rPr>
        <w:t>Agriculture, Ecosystems &amp; Environment</w:t>
      </w:r>
      <w:r w:rsidRPr="00EE5B67">
        <w:t xml:space="preserve">, </w:t>
      </w:r>
      <w:r w:rsidRPr="00EE5B67">
        <w:rPr>
          <w:i/>
          <w:iCs/>
        </w:rPr>
        <w:t>193</w:t>
      </w:r>
      <w:r w:rsidRPr="00EE5B67">
        <w:t>, 1–8. https://doi.org/10.1016/j.agee.2014.04.016</w:t>
      </w:r>
    </w:p>
    <w:p w14:paraId="1D3EA8BB" w14:textId="77777777" w:rsidR="00EE5B67" w:rsidRPr="00EE5B67" w:rsidRDefault="00EE5B67" w:rsidP="00EE5B67">
      <w:pPr>
        <w:pStyle w:val="Bibliography"/>
      </w:pPr>
      <w:r w:rsidRPr="00EE5B67">
        <w:t xml:space="preserve">Benton, T. G., Vickery, J. A., &amp; Wilson, J. D. (2003). Farmland biodiversity: Is habitat heterogeneity the key? </w:t>
      </w:r>
      <w:r w:rsidRPr="00EE5B67">
        <w:rPr>
          <w:i/>
          <w:iCs/>
        </w:rPr>
        <w:t>Trends in Ecology &amp; Evolution</w:t>
      </w:r>
      <w:r w:rsidRPr="00EE5B67">
        <w:t xml:space="preserve">, </w:t>
      </w:r>
      <w:r w:rsidRPr="00EE5B67">
        <w:rPr>
          <w:i/>
          <w:iCs/>
        </w:rPr>
        <w:t>18</w:t>
      </w:r>
      <w:r w:rsidRPr="00EE5B67">
        <w:t>(4), 182–188. https://doi.org/10.1016/S0169-5347(03)00011-9</w:t>
      </w:r>
    </w:p>
    <w:p w14:paraId="07DBC35C" w14:textId="77777777" w:rsidR="00EE5B67" w:rsidRPr="00EE5B67" w:rsidRDefault="00EE5B67" w:rsidP="00EE5B67">
      <w:pPr>
        <w:pStyle w:val="Bibliography"/>
      </w:pPr>
      <w:r w:rsidRPr="00EE5B67">
        <w:t xml:space="preserve">Bohart, G. E., &amp; Youssef, N. N. (1972). Notes on the biology of Megachile (Megachiloides) umatillensis Mitchell (Hymenoptera: Megachilidae) and its parasites. </w:t>
      </w:r>
      <w:r w:rsidRPr="00EE5B67">
        <w:rPr>
          <w:i/>
          <w:iCs/>
        </w:rPr>
        <w:t>Transactions of the Royal Entomological Society of London</w:t>
      </w:r>
      <w:r w:rsidRPr="00EE5B67">
        <w:t xml:space="preserve">, </w:t>
      </w:r>
      <w:r w:rsidRPr="00EE5B67">
        <w:rPr>
          <w:i/>
          <w:iCs/>
        </w:rPr>
        <w:t>124</w:t>
      </w:r>
      <w:r w:rsidRPr="00EE5B67">
        <w:t>(1), 1–19. https://doi.org/10.1111/j.1365-2311.1972.tb00356.x</w:t>
      </w:r>
    </w:p>
    <w:p w14:paraId="14E26775" w14:textId="77777777" w:rsidR="00EE5B67" w:rsidRPr="00EE5B67" w:rsidRDefault="00EE5B67" w:rsidP="00EE5B67">
      <w:pPr>
        <w:pStyle w:val="Bibliography"/>
      </w:pPr>
      <w:r w:rsidRPr="00EE5B67">
        <w:t xml:space="preserve">Bommarco, R., Biesmeijer, J. C., Meyer, B., Potts, S. G., Pöyry, J., Roberts, S. P. M., Steffan-Dewenter, I., &amp; Öckinger, E. (2010). Dispersal capacity and diet breadth modify the response of wild bees to habitat loss. </w:t>
      </w:r>
      <w:r w:rsidRPr="00EE5B67">
        <w:rPr>
          <w:i/>
          <w:iCs/>
        </w:rPr>
        <w:t>Proceedings of the Royal Society B: Biological Sciences</w:t>
      </w:r>
      <w:r w:rsidRPr="00EE5B67">
        <w:t xml:space="preserve">, </w:t>
      </w:r>
      <w:r w:rsidRPr="00EE5B67">
        <w:rPr>
          <w:i/>
          <w:iCs/>
        </w:rPr>
        <w:t>277</w:t>
      </w:r>
      <w:r w:rsidRPr="00EE5B67">
        <w:t>(1690), 2075–2082. https://doi.org/10.1098/rspb.2009.2221</w:t>
      </w:r>
    </w:p>
    <w:p w14:paraId="4CA7AE79" w14:textId="77777777" w:rsidR="00EE5B67" w:rsidRPr="00EE5B67" w:rsidRDefault="00EE5B67" w:rsidP="00EE5B67">
      <w:pPr>
        <w:pStyle w:val="Bibliography"/>
      </w:pPr>
      <w:r w:rsidRPr="00EE5B67">
        <w:t xml:space="preserve">Boscolo, D., &amp; Metzger, J. P. (2011). Isolation determines patterns of species presence in highly fragmented landscapes. </w:t>
      </w:r>
      <w:r w:rsidRPr="00EE5B67">
        <w:rPr>
          <w:i/>
          <w:iCs/>
        </w:rPr>
        <w:t>Ecography</w:t>
      </w:r>
      <w:r w:rsidRPr="00EE5B67">
        <w:t xml:space="preserve">, </w:t>
      </w:r>
      <w:r w:rsidRPr="00EE5B67">
        <w:rPr>
          <w:i/>
          <w:iCs/>
        </w:rPr>
        <w:t>34</w:t>
      </w:r>
      <w:r w:rsidRPr="00EE5B67">
        <w:t>(6), 1018–1029.</w:t>
      </w:r>
    </w:p>
    <w:p w14:paraId="57DD2FEC" w14:textId="77777777" w:rsidR="00EE5B67" w:rsidRPr="00EE5B67" w:rsidRDefault="00EE5B67" w:rsidP="00EE5B67">
      <w:pPr>
        <w:pStyle w:val="Bibliography"/>
      </w:pPr>
      <w:r w:rsidRPr="00EE5B67">
        <w:lastRenderedPageBreak/>
        <w:t xml:space="preserve">Buchmann, S. L. (1985). Bees Use Vibration to Aid Pollen Collection from Non-Poricidal Flowers. </w:t>
      </w:r>
      <w:r w:rsidRPr="00EE5B67">
        <w:rPr>
          <w:i/>
          <w:iCs/>
        </w:rPr>
        <w:t>Journal of the Kansas Entomological Society</w:t>
      </w:r>
      <w:r w:rsidRPr="00EE5B67">
        <w:t xml:space="preserve">, </w:t>
      </w:r>
      <w:r w:rsidRPr="00EE5B67">
        <w:rPr>
          <w:i/>
          <w:iCs/>
        </w:rPr>
        <w:t>58</w:t>
      </w:r>
      <w:r w:rsidRPr="00EE5B67">
        <w:t>(3), 517–525.</w:t>
      </w:r>
    </w:p>
    <w:p w14:paraId="5B845403" w14:textId="77777777" w:rsidR="00EE5B67" w:rsidRPr="00EE5B67" w:rsidRDefault="00EE5B67" w:rsidP="00EE5B67">
      <w:pPr>
        <w:pStyle w:val="Bibliography"/>
      </w:pPr>
      <w:r w:rsidRPr="00EE5B67">
        <w:t xml:space="preserve">Buchmann, S. L. (1986). </w:t>
      </w:r>
      <w:r w:rsidRPr="00EE5B67">
        <w:rPr>
          <w:i/>
          <w:iCs/>
        </w:rPr>
        <w:t>Vibratile pollination in Solanum and Lycopersicon: A look at pollen chemistry</w:t>
      </w:r>
      <w:r w:rsidRPr="00EE5B67">
        <w:t>.</w:t>
      </w:r>
    </w:p>
    <w:p w14:paraId="7E97EAC7" w14:textId="77777777" w:rsidR="00EE5B67" w:rsidRPr="00EE5B67" w:rsidRDefault="00EE5B67" w:rsidP="00EE5B67">
      <w:pPr>
        <w:pStyle w:val="Bibliography"/>
      </w:pPr>
      <w:r w:rsidRPr="00EE5B67">
        <w:t xml:space="preserve">Burger, W. C. (1981). Why Are There So Many Kinds of Flowering Plants? </w:t>
      </w:r>
      <w:r w:rsidRPr="00EE5B67">
        <w:rPr>
          <w:i/>
          <w:iCs/>
        </w:rPr>
        <w:t>BioScience</w:t>
      </w:r>
      <w:r w:rsidRPr="00EE5B67">
        <w:t xml:space="preserve">, </w:t>
      </w:r>
      <w:r w:rsidRPr="00EE5B67">
        <w:rPr>
          <w:i/>
          <w:iCs/>
        </w:rPr>
        <w:t>31</w:t>
      </w:r>
      <w:r w:rsidRPr="00EE5B67">
        <w:t>(8), 572–581. https://doi.org/10.2307/1308218</w:t>
      </w:r>
    </w:p>
    <w:p w14:paraId="2516BF84" w14:textId="77777777" w:rsidR="00EE5B67" w:rsidRPr="00EE5B67" w:rsidRDefault="00EE5B67" w:rsidP="00EE5B67">
      <w:pPr>
        <w:pStyle w:val="Bibliography"/>
      </w:pPr>
      <w:r w:rsidRPr="00EE5B67">
        <w:t xml:space="preserve">Cane, J. H. (2005). Bees, Pollination, and the Challenges of Sprawl. In </w:t>
      </w:r>
      <w:r w:rsidRPr="00EE5B67">
        <w:rPr>
          <w:i/>
          <w:iCs/>
        </w:rPr>
        <w:t>Nature in Fragments: The Legacy of Sprawl</w:t>
      </w:r>
      <w:r w:rsidRPr="00EE5B67">
        <w:t xml:space="preserve"> (pp. 109–124). Columbia University Press.</w:t>
      </w:r>
    </w:p>
    <w:p w14:paraId="74BE0218" w14:textId="77777777" w:rsidR="00EE5B67" w:rsidRPr="00EE5B67" w:rsidRDefault="00EE5B67" w:rsidP="00EE5B67">
      <w:pPr>
        <w:pStyle w:val="Bibliography"/>
      </w:pPr>
      <w:r w:rsidRPr="00EE5B67">
        <w:t xml:space="preserve">Cane, J. H., Minckley, R. L., Kervin, L. J., Roulston, T. H., &amp; Williams, N. M. (2006). Complex responses within a desert bee guild (Hymenoptera: Apiformes) to urban habitat fragmentation. </w:t>
      </w:r>
      <w:r w:rsidRPr="00EE5B67">
        <w:rPr>
          <w:i/>
          <w:iCs/>
        </w:rPr>
        <w:t>Ecological Applications</w:t>
      </w:r>
      <w:r w:rsidRPr="00EE5B67">
        <w:t xml:space="preserve">, </w:t>
      </w:r>
      <w:r w:rsidRPr="00EE5B67">
        <w:rPr>
          <w:i/>
          <w:iCs/>
        </w:rPr>
        <w:t>16</w:t>
      </w:r>
      <w:r w:rsidRPr="00EE5B67">
        <w:t>(2), 632–644.</w:t>
      </w:r>
    </w:p>
    <w:p w14:paraId="38633613" w14:textId="77777777" w:rsidR="00EE5B67" w:rsidRPr="00EE5B67" w:rsidRDefault="00EE5B67" w:rsidP="00EE5B67">
      <w:pPr>
        <w:pStyle w:val="Bibliography"/>
      </w:pPr>
      <w:r w:rsidRPr="00EE5B67">
        <w:t xml:space="preserve">Cardinal, S., Buchmann, S. L., &amp; Russell, A. L. (2018). The evolution of floral sonication, a pollen foraging behavior used by bees (Anthophila). </w:t>
      </w:r>
      <w:r w:rsidRPr="00EE5B67">
        <w:rPr>
          <w:i/>
          <w:iCs/>
        </w:rPr>
        <w:t>Evolution</w:t>
      </w:r>
      <w:r w:rsidRPr="00EE5B67">
        <w:t xml:space="preserve">, </w:t>
      </w:r>
      <w:r w:rsidRPr="00EE5B67">
        <w:rPr>
          <w:i/>
          <w:iCs/>
        </w:rPr>
        <w:t>72</w:t>
      </w:r>
      <w:r w:rsidRPr="00EE5B67">
        <w:t>(3), 590–600. https://doi.org/10.1111/evo.13446</w:t>
      </w:r>
    </w:p>
    <w:p w14:paraId="511E4B59" w14:textId="77777777" w:rsidR="00EE5B67" w:rsidRPr="00EE5B67" w:rsidRDefault="00EE5B67" w:rsidP="00EE5B67">
      <w:pPr>
        <w:pStyle w:val="Bibliography"/>
      </w:pPr>
      <w:r w:rsidRPr="00EE5B67">
        <w:t xml:space="preserve">Cardoso, M. C., &amp; Gonçalves, R. B. (2018). Reduction by half: The impact on bees of 34 years of urbanization. </w:t>
      </w:r>
      <w:r w:rsidRPr="00EE5B67">
        <w:rPr>
          <w:i/>
          <w:iCs/>
        </w:rPr>
        <w:t>Urban Ecosystems</w:t>
      </w:r>
      <w:r w:rsidRPr="00EE5B67">
        <w:t xml:space="preserve">, </w:t>
      </w:r>
      <w:r w:rsidRPr="00EE5B67">
        <w:rPr>
          <w:i/>
          <w:iCs/>
        </w:rPr>
        <w:t>21</w:t>
      </w:r>
      <w:r w:rsidRPr="00EE5B67">
        <w:t>(5), 943–949. https://doi.org/10.1007/s11252-018-0773-7</w:t>
      </w:r>
    </w:p>
    <w:p w14:paraId="123D6403" w14:textId="77777777" w:rsidR="00EE5B67" w:rsidRPr="00EE5B67" w:rsidRDefault="00EE5B67" w:rsidP="00EE5B67">
      <w:pPr>
        <w:pStyle w:val="Bibliography"/>
      </w:pPr>
      <w:r w:rsidRPr="00EE5B67">
        <w:t xml:space="preserve">Carvell, C., Roy, D. B., Smart, S. M., Pywell, R. F., Preston, C. D., &amp; Goulson, D. (2006). Declines in forage availability for bumblebees at a national scale. </w:t>
      </w:r>
      <w:r w:rsidRPr="00EE5B67">
        <w:rPr>
          <w:i/>
          <w:iCs/>
        </w:rPr>
        <w:t>Biological Conservation</w:t>
      </w:r>
      <w:r w:rsidRPr="00EE5B67">
        <w:t xml:space="preserve">, </w:t>
      </w:r>
      <w:r w:rsidRPr="00EE5B67">
        <w:rPr>
          <w:i/>
          <w:iCs/>
        </w:rPr>
        <w:t>132</w:t>
      </w:r>
      <w:r w:rsidRPr="00EE5B67">
        <w:t>(4), 481–489.</w:t>
      </w:r>
    </w:p>
    <w:p w14:paraId="58326FED" w14:textId="77777777" w:rsidR="00EE5B67" w:rsidRPr="00EE5B67" w:rsidRDefault="00EE5B67" w:rsidP="00EE5B67">
      <w:pPr>
        <w:pStyle w:val="Bibliography"/>
      </w:pPr>
      <w:r w:rsidRPr="00EE5B67">
        <w:lastRenderedPageBreak/>
        <w:t xml:space="preserve">Connelly, H., Poveda, K., &amp; Loeb, G. (2015). Landscape simplification decreases wild bee pollination services to strawberry. </w:t>
      </w:r>
      <w:r w:rsidRPr="00EE5B67">
        <w:rPr>
          <w:i/>
          <w:iCs/>
        </w:rPr>
        <w:t>Agriculture, Ecosystems &amp; Environment</w:t>
      </w:r>
      <w:r w:rsidRPr="00EE5B67">
        <w:t xml:space="preserve">, </w:t>
      </w:r>
      <w:r w:rsidRPr="00EE5B67">
        <w:rPr>
          <w:i/>
          <w:iCs/>
        </w:rPr>
        <w:t>211</w:t>
      </w:r>
      <w:r w:rsidRPr="00EE5B67">
        <w:t>, 51–56. https://doi.org/10.1016/j.agee.2015.05.004</w:t>
      </w:r>
    </w:p>
    <w:p w14:paraId="21FCB0B7" w14:textId="77777777" w:rsidR="00EE5B67" w:rsidRPr="00EE5B67" w:rsidRDefault="00EE5B67" w:rsidP="00EE5B67">
      <w:pPr>
        <w:pStyle w:val="Bibliography"/>
      </w:pPr>
      <w:r w:rsidRPr="00EE5B67">
        <w:t xml:space="preserve">Cruden, R. W., Hermann, S. M., &amp; Peterson, S. (1983). PATTERNS OF NECTAR PRODUCTION AND PLANT-POLLINATOR COEVOLUTION. </w:t>
      </w:r>
      <w:r w:rsidRPr="00EE5B67">
        <w:rPr>
          <w:i/>
          <w:iCs/>
        </w:rPr>
        <w:t>The Biology of Nectaries</w:t>
      </w:r>
      <w:r w:rsidRPr="00EE5B67">
        <w:t>, 80.</w:t>
      </w:r>
    </w:p>
    <w:p w14:paraId="7614193F" w14:textId="77777777" w:rsidR="00EE5B67" w:rsidRPr="00EE5B67" w:rsidRDefault="00EE5B67" w:rsidP="00EE5B67">
      <w:pPr>
        <w:pStyle w:val="Bibliography"/>
      </w:pPr>
      <w:r w:rsidRPr="00EE5B67">
        <w:t xml:space="preserve">Cunningham, S. A. (2000). Depressed pollination in habitat fragments causes low fruit set. </w:t>
      </w:r>
      <w:r w:rsidRPr="00EE5B67">
        <w:rPr>
          <w:i/>
          <w:iCs/>
        </w:rPr>
        <w:t>Proceedings of the Royal Society B: Biological Sciences</w:t>
      </w:r>
      <w:r w:rsidRPr="00EE5B67">
        <w:t xml:space="preserve">, </w:t>
      </w:r>
      <w:r w:rsidRPr="00EE5B67">
        <w:rPr>
          <w:i/>
          <w:iCs/>
        </w:rPr>
        <w:t>267</w:t>
      </w:r>
      <w:r w:rsidRPr="00EE5B67">
        <w:t>(1448), 1149–1152.</w:t>
      </w:r>
    </w:p>
    <w:p w14:paraId="7C196BA3" w14:textId="77777777" w:rsidR="00EE5B67" w:rsidRPr="00EE5B67" w:rsidRDefault="00EE5B67" w:rsidP="00EE5B67">
      <w:pPr>
        <w:pStyle w:val="Bibliography"/>
      </w:pPr>
      <w:r w:rsidRPr="00EE5B67">
        <w:t xml:space="preserve">Cusser, S., Neff, J. L., &amp; Jha, S. (2016). Natural land cover drives pollinator abundance and richness, leading to reductions in pollen limitation in cotton agroecosystems. </w:t>
      </w:r>
      <w:r w:rsidRPr="00EE5B67">
        <w:rPr>
          <w:i/>
          <w:iCs/>
        </w:rPr>
        <w:t>Agriculture, Ecosystems &amp; Environment</w:t>
      </w:r>
      <w:r w:rsidRPr="00EE5B67">
        <w:t xml:space="preserve">, </w:t>
      </w:r>
      <w:r w:rsidRPr="00EE5B67">
        <w:rPr>
          <w:i/>
          <w:iCs/>
        </w:rPr>
        <w:t>226</w:t>
      </w:r>
      <w:r w:rsidRPr="00EE5B67">
        <w:t>, 33–42. https://doi.org/10.1016/j.agee.2016.04.020</w:t>
      </w:r>
    </w:p>
    <w:p w14:paraId="76433FD4" w14:textId="77777777" w:rsidR="00EE5B67" w:rsidRPr="00EE5B67" w:rsidRDefault="00EE5B67" w:rsidP="00EE5B67">
      <w:pPr>
        <w:pStyle w:val="Bibliography"/>
      </w:pPr>
      <w:r w:rsidRPr="00EE5B67">
        <w:t xml:space="preserve">Danforth, B. N., Minckley, R. L., Neff, J. L., &amp; Fawcett, F. (2019). </w:t>
      </w:r>
      <w:r w:rsidRPr="00EE5B67">
        <w:rPr>
          <w:i/>
          <w:iCs/>
        </w:rPr>
        <w:t>The Solitary Bees: Biology, Evolution, Conservation</w:t>
      </w:r>
      <w:r w:rsidRPr="00EE5B67">
        <w:t>. Princeton University Press.</w:t>
      </w:r>
    </w:p>
    <w:p w14:paraId="0CF48C59" w14:textId="77777777" w:rsidR="00EE5B67" w:rsidRPr="00EE5B67" w:rsidRDefault="00EE5B67" w:rsidP="00EE5B67">
      <w:pPr>
        <w:pStyle w:val="Bibliography"/>
      </w:pPr>
      <w:r w:rsidRPr="00EE5B67">
        <w:t xml:space="preserve">de Lima, K. B., Ferreira, P. A., Groppo, M., Goldenberg, R., Pansarin, E. R., Barreto, R. C., Coelho, G. P., Barros-Souza, Y., &amp; Boscolo, D. (2020). Does landscape context affect pollination-related functional diversity and richness of understory flowers in forest fragments of Atlantic Rainforest in southeastern Brazil? </w:t>
      </w:r>
      <w:r w:rsidRPr="00EE5B67">
        <w:rPr>
          <w:i/>
          <w:iCs/>
        </w:rPr>
        <w:t>Ecological Processes</w:t>
      </w:r>
      <w:r w:rsidRPr="00EE5B67">
        <w:t xml:space="preserve">, </w:t>
      </w:r>
      <w:r w:rsidRPr="00EE5B67">
        <w:rPr>
          <w:i/>
          <w:iCs/>
        </w:rPr>
        <w:t>9</w:t>
      </w:r>
      <w:r w:rsidRPr="00EE5B67">
        <w:t>(1), 62. https://doi.org/10.1186/s13717-020-00261-6</w:t>
      </w:r>
    </w:p>
    <w:p w14:paraId="1CB8EE34" w14:textId="77777777" w:rsidR="00EE5B67" w:rsidRPr="00EE5B67" w:rsidRDefault="00EE5B67" w:rsidP="00EE5B67">
      <w:pPr>
        <w:pStyle w:val="Bibliography"/>
      </w:pPr>
      <w:r w:rsidRPr="00EE5B67">
        <w:lastRenderedPageBreak/>
        <w:t xml:space="preserve">Deguines, N., Jono, C., Baude, M., Henry, M., Julliard, R., &amp; Fontaine, C. (2014). Large-scale trade-off between agricultural intensification and crop pollination services. </w:t>
      </w:r>
      <w:r w:rsidRPr="00EE5B67">
        <w:rPr>
          <w:i/>
          <w:iCs/>
        </w:rPr>
        <w:t>Frontiers in Ecology and the Environment</w:t>
      </w:r>
      <w:r w:rsidRPr="00EE5B67">
        <w:t xml:space="preserve">, </w:t>
      </w:r>
      <w:r w:rsidRPr="00EE5B67">
        <w:rPr>
          <w:i/>
          <w:iCs/>
        </w:rPr>
        <w:t>12</w:t>
      </w:r>
      <w:r w:rsidRPr="00EE5B67">
        <w:t>(4), 212–217.</w:t>
      </w:r>
    </w:p>
    <w:p w14:paraId="7D96F962" w14:textId="77777777" w:rsidR="00EE5B67" w:rsidRPr="00EE5B67" w:rsidRDefault="00EE5B67" w:rsidP="00EE5B67">
      <w:pPr>
        <w:pStyle w:val="Bibliography"/>
      </w:pPr>
      <w:r w:rsidRPr="00EE5B67">
        <w:t xml:space="preserve">Dewitz, J. (2019). </w:t>
      </w:r>
      <w:r w:rsidRPr="00EE5B67">
        <w:rPr>
          <w:i/>
          <w:iCs/>
        </w:rPr>
        <w:t>National Land Cover Dataset (NLCD) 2016 Products</w:t>
      </w:r>
      <w:r w:rsidRPr="00EE5B67">
        <w:t xml:space="preserve"> [Data set]. U.S. Geological Survey. https://doi.org/10.5066/P96HHBIE</w:t>
      </w:r>
    </w:p>
    <w:p w14:paraId="23EA2328" w14:textId="77777777" w:rsidR="00EE5B67" w:rsidRPr="00EE5B67" w:rsidRDefault="00EE5B67" w:rsidP="00EE5B67">
      <w:pPr>
        <w:pStyle w:val="Bibliography"/>
      </w:pPr>
      <w:r w:rsidRPr="00EE5B67">
        <w:t xml:space="preserve">Downes, J. A. (1955). The Food Habits and Description of Atrichopogon Pollinivorus Sp.n. (diptera: Certopogonidae)1. </w:t>
      </w:r>
      <w:r w:rsidRPr="00EE5B67">
        <w:rPr>
          <w:i/>
          <w:iCs/>
        </w:rPr>
        <w:t>Transactions of the Royal Entomological Society of London</w:t>
      </w:r>
      <w:r w:rsidRPr="00EE5B67">
        <w:t xml:space="preserve">, </w:t>
      </w:r>
      <w:r w:rsidRPr="00EE5B67">
        <w:rPr>
          <w:i/>
          <w:iCs/>
        </w:rPr>
        <w:t>106</w:t>
      </w:r>
      <w:r w:rsidRPr="00EE5B67">
        <w:t>(12), 439–453. https://doi.org/10.1111/j.1365-2311.1955.tb01264.x</w:t>
      </w:r>
    </w:p>
    <w:p w14:paraId="6853876D" w14:textId="77777777" w:rsidR="00EE5B67" w:rsidRPr="00EE5B67" w:rsidRDefault="00EE5B67" w:rsidP="00EE5B67">
      <w:pPr>
        <w:pStyle w:val="Bibliography"/>
      </w:pPr>
      <w:r w:rsidRPr="00EE5B67">
        <w:t xml:space="preserve">Ehrlén, J., &amp; Lehtilä, K. (2002). How perennial are perennial plants? </w:t>
      </w:r>
      <w:r w:rsidRPr="00EE5B67">
        <w:rPr>
          <w:i/>
          <w:iCs/>
        </w:rPr>
        <w:t>Oikos</w:t>
      </w:r>
      <w:r w:rsidRPr="00EE5B67">
        <w:t xml:space="preserve">, </w:t>
      </w:r>
      <w:r w:rsidRPr="00EE5B67">
        <w:rPr>
          <w:i/>
          <w:iCs/>
        </w:rPr>
        <w:t>98</w:t>
      </w:r>
      <w:r w:rsidRPr="00EE5B67">
        <w:t>(2), 308–322. https://doi.org/10.1034/j.1600-0706.2002.980212.x</w:t>
      </w:r>
    </w:p>
    <w:p w14:paraId="677F4EE4" w14:textId="77777777" w:rsidR="00EE5B67" w:rsidRPr="00EE5B67" w:rsidRDefault="00EE5B67" w:rsidP="00EE5B67">
      <w:pPr>
        <w:pStyle w:val="Bibliography"/>
      </w:pPr>
      <w:r w:rsidRPr="00EE5B67">
        <w:t xml:space="preserve">Ehrlich, P. R., &amp; Raven, P. H. (1964). Butterflies and Plants: A Study in Coevolution. </w:t>
      </w:r>
      <w:r w:rsidRPr="00EE5B67">
        <w:rPr>
          <w:i/>
          <w:iCs/>
        </w:rPr>
        <w:t>Evolution</w:t>
      </w:r>
      <w:r w:rsidRPr="00EE5B67">
        <w:t xml:space="preserve">, </w:t>
      </w:r>
      <w:r w:rsidRPr="00EE5B67">
        <w:rPr>
          <w:i/>
          <w:iCs/>
        </w:rPr>
        <w:t>18</w:t>
      </w:r>
      <w:r w:rsidRPr="00EE5B67">
        <w:t>(4), 586–608. https://doi.org/10.2307/2406212</w:t>
      </w:r>
    </w:p>
    <w:p w14:paraId="1A02690E" w14:textId="77777777" w:rsidR="00EE5B67" w:rsidRPr="00EE5B67" w:rsidRDefault="00EE5B67" w:rsidP="00EE5B67">
      <w:pPr>
        <w:pStyle w:val="Bibliography"/>
      </w:pPr>
      <w:r w:rsidRPr="00EE5B67">
        <w:t xml:space="preserve">Fahrig, L., Baudry, J., Brotons, L., Burel, F. G., Crist, T. O., Fuller, R. J., Sirami, C., Siriwardena, G. M., &amp; Martin, J.-L. (2011). Functional landscape heterogeneity and animal biodiversity in agricultural landscapes: Heterogeneity and biodiversity. </w:t>
      </w:r>
      <w:r w:rsidRPr="00EE5B67">
        <w:rPr>
          <w:i/>
          <w:iCs/>
        </w:rPr>
        <w:t>Ecology Letters</w:t>
      </w:r>
      <w:r w:rsidRPr="00EE5B67">
        <w:t xml:space="preserve">, </w:t>
      </w:r>
      <w:r w:rsidRPr="00EE5B67">
        <w:rPr>
          <w:i/>
          <w:iCs/>
        </w:rPr>
        <w:t>14</w:t>
      </w:r>
      <w:r w:rsidRPr="00EE5B67">
        <w:t>(2), 101–112. https://doi.org/10.1111/j.1461-0248.2010.01559.x</w:t>
      </w:r>
    </w:p>
    <w:p w14:paraId="69850AF6" w14:textId="77777777" w:rsidR="00EE5B67" w:rsidRPr="00EE5B67" w:rsidRDefault="00EE5B67" w:rsidP="00EE5B67">
      <w:pPr>
        <w:pStyle w:val="Bibliography"/>
      </w:pPr>
      <w:r w:rsidRPr="00EE5B67">
        <w:t xml:space="preserve">Ferreira, P. A., Boscolo, D., Carvalheiro, L. G., Biesmeijer, J. C., Rocha, P. L. B., &amp; Viana, B. F. (2015). Responses of bees to habitat loss in fragmented landscapes of Brazilian Atlantic Rainforest. </w:t>
      </w:r>
      <w:r w:rsidRPr="00EE5B67">
        <w:rPr>
          <w:i/>
          <w:iCs/>
        </w:rPr>
        <w:t>Landscape Ecology</w:t>
      </w:r>
      <w:r w:rsidRPr="00EE5B67">
        <w:t xml:space="preserve">, </w:t>
      </w:r>
      <w:r w:rsidRPr="00EE5B67">
        <w:rPr>
          <w:i/>
          <w:iCs/>
        </w:rPr>
        <w:t>30</w:t>
      </w:r>
      <w:r w:rsidRPr="00EE5B67">
        <w:t>(10), 2067–2078. https://doi.org/10.1007/s10980-015-0231-3</w:t>
      </w:r>
    </w:p>
    <w:p w14:paraId="30026725" w14:textId="77777777" w:rsidR="00EE5B67" w:rsidRPr="00EE5B67" w:rsidRDefault="00EE5B67" w:rsidP="00EE5B67">
      <w:pPr>
        <w:pStyle w:val="Bibliography"/>
      </w:pPr>
      <w:r w:rsidRPr="00EE5B67">
        <w:lastRenderedPageBreak/>
        <w:t xml:space="preserve">Frankie, G. W., Thorp, R. W., Hernandez, J., Rizzardi, M., Ertter, B., Pawelek, J. C., Witt, S. L., Schindler, M., Coville, R., &amp; Wojcik, V. A. (2009). Native bees are a rich natural resource in urban California gardens. </w:t>
      </w:r>
      <w:r w:rsidRPr="00EE5B67">
        <w:rPr>
          <w:i/>
          <w:iCs/>
        </w:rPr>
        <w:t>California Agriculture</w:t>
      </w:r>
      <w:r w:rsidRPr="00EE5B67">
        <w:t xml:space="preserve">, </w:t>
      </w:r>
      <w:r w:rsidRPr="00EE5B67">
        <w:rPr>
          <w:i/>
          <w:iCs/>
        </w:rPr>
        <w:t>63</w:t>
      </w:r>
      <w:r w:rsidRPr="00EE5B67">
        <w:t>(3), 113–120. https://doi.org/10.3733/ca.v063n03p113</w:t>
      </w:r>
    </w:p>
    <w:p w14:paraId="673BBFDE" w14:textId="77777777" w:rsidR="00EE5B67" w:rsidRPr="00EE5B67" w:rsidRDefault="00EE5B67" w:rsidP="00EE5B67">
      <w:pPr>
        <w:pStyle w:val="Bibliography"/>
      </w:pPr>
      <w:r w:rsidRPr="00EE5B67">
        <w:t xml:space="preserve">Freitas, B. M., Imperatriz-Fonseca, V. L., Medina, L. M., Kleinert, A. de M. P., Galetto, L., Nates-Parra, G., &amp; Quezada-Euán, J. J. G. (2009). Diversity, threats and conservation of native bees in the Neotropics. </w:t>
      </w:r>
      <w:r w:rsidRPr="00EE5B67">
        <w:rPr>
          <w:i/>
          <w:iCs/>
        </w:rPr>
        <w:t>Apidologie</w:t>
      </w:r>
      <w:r w:rsidRPr="00EE5B67">
        <w:t xml:space="preserve">, </w:t>
      </w:r>
      <w:r w:rsidRPr="00EE5B67">
        <w:rPr>
          <w:i/>
          <w:iCs/>
        </w:rPr>
        <w:t>40</w:t>
      </w:r>
      <w:r w:rsidRPr="00EE5B67">
        <w:t>(3), 332–346. https://doi.org/10.1051/apido/2009012</w:t>
      </w:r>
    </w:p>
    <w:p w14:paraId="7A3CA826" w14:textId="77777777" w:rsidR="00EE5B67" w:rsidRPr="00EE5B67" w:rsidRDefault="00EE5B67" w:rsidP="00EE5B67">
      <w:pPr>
        <w:pStyle w:val="Bibliography"/>
      </w:pPr>
      <w:r w:rsidRPr="00EE5B67">
        <w:t xml:space="preserve">Galetto, L., &amp; Bernardello, G. (2004). Floral nectaries, nectar production dynamics and chemical composition in six Ipomoea species (Convolvulaceae) in relation to pollinators. </w:t>
      </w:r>
      <w:r w:rsidRPr="00EE5B67">
        <w:rPr>
          <w:i/>
          <w:iCs/>
        </w:rPr>
        <w:t>Annals of Botany</w:t>
      </w:r>
      <w:r w:rsidRPr="00EE5B67">
        <w:t xml:space="preserve">, </w:t>
      </w:r>
      <w:r w:rsidRPr="00EE5B67">
        <w:rPr>
          <w:i/>
          <w:iCs/>
        </w:rPr>
        <w:t>94</w:t>
      </w:r>
      <w:r w:rsidRPr="00EE5B67">
        <w:t>(2), 269–280.</w:t>
      </w:r>
    </w:p>
    <w:p w14:paraId="040BA75B" w14:textId="77777777" w:rsidR="00EE5B67" w:rsidRPr="00EE5B67" w:rsidRDefault="00EE5B67" w:rsidP="00EE5B67">
      <w:pPr>
        <w:pStyle w:val="Bibliography"/>
      </w:pPr>
      <w:r w:rsidRPr="00EE5B67">
        <w:t xml:space="preserve">Gardener, M. C., &amp; Gillman, M. P. (2002). The taste of nectar–a neglected area of pollination ecology. </w:t>
      </w:r>
      <w:r w:rsidRPr="00EE5B67">
        <w:rPr>
          <w:i/>
          <w:iCs/>
        </w:rPr>
        <w:t>Oikos</w:t>
      </w:r>
      <w:r w:rsidRPr="00EE5B67">
        <w:t xml:space="preserve">, </w:t>
      </w:r>
      <w:r w:rsidRPr="00EE5B67">
        <w:rPr>
          <w:i/>
          <w:iCs/>
        </w:rPr>
        <w:t>98</w:t>
      </w:r>
      <w:r w:rsidRPr="00EE5B67">
        <w:t>(3), 552–557.</w:t>
      </w:r>
    </w:p>
    <w:p w14:paraId="4E1FF0C0" w14:textId="77777777" w:rsidR="00EE5B67" w:rsidRPr="00EE5B67" w:rsidRDefault="00EE5B67" w:rsidP="00EE5B67">
      <w:pPr>
        <w:pStyle w:val="Bibliography"/>
      </w:pPr>
      <w:r w:rsidRPr="00EE5B67">
        <w:t xml:space="preserve">Garibaldi, L. A., Carvalheiro, L. G., Leonhardt, S. D., Aizen, M. A., Blaauw, B. R., Isaacs, R., Kuhlmann, M., Kleijn, D., Klein, A. M., Kremen, C., Morandin, L., Scheper, J., &amp; Winfree, R. (2014). From research to action: Enhancing crop yield through wild pollinators. </w:t>
      </w:r>
      <w:r w:rsidRPr="00EE5B67">
        <w:rPr>
          <w:i/>
          <w:iCs/>
        </w:rPr>
        <w:t>Frontiers in Ecology and the Environment</w:t>
      </w:r>
      <w:r w:rsidRPr="00EE5B67">
        <w:t xml:space="preserve">, </w:t>
      </w:r>
      <w:r w:rsidRPr="00EE5B67">
        <w:rPr>
          <w:i/>
          <w:iCs/>
        </w:rPr>
        <w:t>12</w:t>
      </w:r>
      <w:r w:rsidRPr="00EE5B67">
        <w:t>(8), 439–447. https://doi.org/10.1890/130330</w:t>
      </w:r>
    </w:p>
    <w:p w14:paraId="3A63D369" w14:textId="77777777" w:rsidR="00EE5B67" w:rsidRPr="00EE5B67" w:rsidRDefault="00EE5B67" w:rsidP="00EE5B67">
      <w:pPr>
        <w:pStyle w:val="Bibliography"/>
      </w:pPr>
      <w:r w:rsidRPr="00EE5B67">
        <w:t xml:space="preserve">Garibaldi, L. A., Steffan-Dewenter, I., Kremen, C., Morales, J. M., Bommarco, R., Cunningham, S. A., Carvalheiro, L. G., Chacoff, N. P., Dudenhöffer, J. H., Greenleaf, S. S., Holzschuh, A., Isaacs, R., Krewenka, K., Mandelik, Y., Mayfield, M. M., Morandin, L. A., Potts, S. G., Ricketts, T. H., Szentgyörgyi, H., … Klein, A. </w:t>
      </w:r>
      <w:r w:rsidRPr="00EE5B67">
        <w:lastRenderedPageBreak/>
        <w:t xml:space="preserve">M. (2011). Stability of pollination services decreases with isolation from natural areas despite honey bee visits. </w:t>
      </w:r>
      <w:r w:rsidRPr="00EE5B67">
        <w:rPr>
          <w:i/>
          <w:iCs/>
        </w:rPr>
        <w:t>Ecology Letters</w:t>
      </w:r>
      <w:r w:rsidRPr="00EE5B67">
        <w:t xml:space="preserve">, </w:t>
      </w:r>
      <w:r w:rsidRPr="00EE5B67">
        <w:rPr>
          <w:i/>
          <w:iCs/>
        </w:rPr>
        <w:t>14</w:t>
      </w:r>
      <w:r w:rsidRPr="00EE5B67">
        <w:t>(10), 1062–1072. https://doi.org/10.1111/j.1461-0248.2011.01669.x</w:t>
      </w:r>
    </w:p>
    <w:p w14:paraId="22B23EEF" w14:textId="77777777" w:rsidR="00EE5B67" w:rsidRPr="00EE5B67" w:rsidRDefault="00EE5B67" w:rsidP="00EE5B67">
      <w:pPr>
        <w:pStyle w:val="Bibliography"/>
      </w:pPr>
      <w:r w:rsidRPr="00EE5B67">
        <w:t xml:space="preserve">Garibaldi, L. A., Steffan-Dewenter, I., Winfree, R., Aizen, M. A., Bommarco, R., Cunningham, S. A., Kremen, C., Carvalheiro, L. G., Harder, L. D., Afik, O., Bartomeus, I., Benjamin, F., Boreux, V., Cariveau, D., Chacoff, N. P., Dudenhoffer, J. H., Freitas, B. M., Ghazoul, J., Greenleaf, S., … Klein, A. M. (2013). Wild Pollinators Enhance Fruit Set of Crops Regardless of Honey Bee Abundance. </w:t>
      </w:r>
      <w:r w:rsidRPr="00EE5B67">
        <w:rPr>
          <w:i/>
          <w:iCs/>
        </w:rPr>
        <w:t>Science</w:t>
      </w:r>
      <w:r w:rsidRPr="00EE5B67">
        <w:t xml:space="preserve">, </w:t>
      </w:r>
      <w:r w:rsidRPr="00EE5B67">
        <w:rPr>
          <w:i/>
          <w:iCs/>
        </w:rPr>
        <w:t>339</w:t>
      </w:r>
      <w:r w:rsidRPr="00EE5B67">
        <w:t>(6127), 1608–1611. https://doi.org/10.1126/science.1230200</w:t>
      </w:r>
    </w:p>
    <w:p w14:paraId="2B251DDC" w14:textId="77777777" w:rsidR="00EE5B67" w:rsidRPr="00EE5B67" w:rsidRDefault="00EE5B67" w:rsidP="00EE5B67">
      <w:pPr>
        <w:pStyle w:val="Bibliography"/>
      </w:pPr>
      <w:r w:rsidRPr="00EE5B67">
        <w:t xml:space="preserve">Gathmann, A., &amp; Tscharntke, T. (2002). Foraging ranges of solitary bees. </w:t>
      </w:r>
      <w:r w:rsidRPr="00EE5B67">
        <w:rPr>
          <w:i/>
          <w:iCs/>
        </w:rPr>
        <w:t>Journal of Animal Ecology</w:t>
      </w:r>
      <w:r w:rsidRPr="00EE5B67">
        <w:t xml:space="preserve">, </w:t>
      </w:r>
      <w:r w:rsidRPr="00EE5B67">
        <w:rPr>
          <w:i/>
          <w:iCs/>
        </w:rPr>
        <w:t>71</w:t>
      </w:r>
      <w:r w:rsidRPr="00EE5B67">
        <w:t>(5), 757–764. https://doi.org/10.1046/j.1365-2656.2002.00641.x</w:t>
      </w:r>
    </w:p>
    <w:p w14:paraId="49F73BE4" w14:textId="77777777" w:rsidR="00EE5B67" w:rsidRPr="00EE5B67" w:rsidRDefault="00EE5B67" w:rsidP="00EE5B67">
      <w:pPr>
        <w:pStyle w:val="Bibliography"/>
      </w:pPr>
      <w:r w:rsidRPr="00EE5B67">
        <w:t xml:space="preserve">Greenleaf, S. S., &amp; Kremen, C. (2006). Wild bees enhance honey bees’ pollination of hybrid sunflower. </w:t>
      </w:r>
      <w:r w:rsidRPr="00EE5B67">
        <w:rPr>
          <w:i/>
          <w:iCs/>
        </w:rPr>
        <w:t>Proceedings of the National Academy of Sciences</w:t>
      </w:r>
      <w:r w:rsidRPr="00EE5B67">
        <w:t xml:space="preserve">, </w:t>
      </w:r>
      <w:r w:rsidRPr="00EE5B67">
        <w:rPr>
          <w:i/>
          <w:iCs/>
        </w:rPr>
        <w:t>103</w:t>
      </w:r>
      <w:r w:rsidRPr="00EE5B67">
        <w:t>(37), 13890–13895. https://doi.org/10.1073/pnas.0600929103</w:t>
      </w:r>
    </w:p>
    <w:p w14:paraId="2CC171CC" w14:textId="77777777" w:rsidR="00EE5B67" w:rsidRPr="00EE5B67" w:rsidRDefault="00EE5B67" w:rsidP="00EE5B67">
      <w:pPr>
        <w:pStyle w:val="Bibliography"/>
      </w:pPr>
      <w:r w:rsidRPr="00EE5B67">
        <w:t xml:space="preserve">Greenleaf, S., Williams, N., Winfree, R., &amp; Kremen, C. (2007). Bee foraging ranges and their relationship to body size. </w:t>
      </w:r>
      <w:r w:rsidRPr="00EE5B67">
        <w:rPr>
          <w:i/>
          <w:iCs/>
        </w:rPr>
        <w:t>Oecologia</w:t>
      </w:r>
      <w:r w:rsidRPr="00EE5B67">
        <w:t xml:space="preserve">, </w:t>
      </w:r>
      <w:r w:rsidRPr="00EE5B67">
        <w:rPr>
          <w:i/>
          <w:iCs/>
        </w:rPr>
        <w:t>153</w:t>
      </w:r>
      <w:r w:rsidRPr="00EE5B67">
        <w:t>, 589–596. https://doi.org/10.1007/s00442-007-0752-9</w:t>
      </w:r>
    </w:p>
    <w:p w14:paraId="14375C07" w14:textId="77777777" w:rsidR="00EE5B67" w:rsidRPr="00EE5B67" w:rsidRDefault="00EE5B67" w:rsidP="00EE5B67">
      <w:pPr>
        <w:pStyle w:val="Bibliography"/>
      </w:pPr>
      <w:r w:rsidRPr="00EE5B67">
        <w:t xml:space="preserve">Hahn, M., &amp; Brühl, C. A. (2016). The secret pollinators: An overview of moth pollination with a focus on Europe and North America. </w:t>
      </w:r>
      <w:r w:rsidRPr="00EE5B67">
        <w:rPr>
          <w:i/>
          <w:iCs/>
        </w:rPr>
        <w:t>Arthropod-Plant Interactions</w:t>
      </w:r>
      <w:r w:rsidRPr="00EE5B67">
        <w:t xml:space="preserve">, </w:t>
      </w:r>
      <w:r w:rsidRPr="00EE5B67">
        <w:rPr>
          <w:i/>
          <w:iCs/>
        </w:rPr>
        <w:t>10</w:t>
      </w:r>
      <w:r w:rsidRPr="00EE5B67">
        <w:t>(1), 21–28. https://doi.org/10.1007/s11829-016-9414-3</w:t>
      </w:r>
    </w:p>
    <w:p w14:paraId="2AD245DF" w14:textId="77777777" w:rsidR="00EE5B67" w:rsidRPr="00EE5B67" w:rsidRDefault="00EE5B67" w:rsidP="00EE5B67">
      <w:pPr>
        <w:pStyle w:val="Bibliography"/>
      </w:pPr>
      <w:r w:rsidRPr="00EE5B67">
        <w:lastRenderedPageBreak/>
        <w:t xml:space="preserve">Hall, D. M., Camilo, G. R., Tonietto, R. K., Ollerton, J., Ahrné, K., Arduser, M., Ascher, J. S., Baldock, K. C. R., Fowler, R., Frankie, G., Goulson, D., Gunnarsson, B., Hanley, M. E., Jackson, J. I., Langellotto, G., Lowenstein, D., Minor, E. S., Philpott, S. M., Potts, S. G., … Threlfall, C. G. (2017). The city as a refuge for insect pollinators. </w:t>
      </w:r>
      <w:r w:rsidRPr="00EE5B67">
        <w:rPr>
          <w:i/>
          <w:iCs/>
        </w:rPr>
        <w:t>Conservation Biology</w:t>
      </w:r>
      <w:r w:rsidRPr="00EE5B67">
        <w:t xml:space="preserve">, </w:t>
      </w:r>
      <w:r w:rsidRPr="00EE5B67">
        <w:rPr>
          <w:i/>
          <w:iCs/>
        </w:rPr>
        <w:t>31</w:t>
      </w:r>
      <w:r w:rsidRPr="00EE5B67">
        <w:t>(1), 24–29. https://doi.org/10.1111/cobi.12840</w:t>
      </w:r>
    </w:p>
    <w:p w14:paraId="5FCF40DF" w14:textId="77777777" w:rsidR="00EE5B67" w:rsidRPr="00EE5B67" w:rsidRDefault="00EE5B67" w:rsidP="00EE5B67">
      <w:pPr>
        <w:pStyle w:val="Bibliography"/>
      </w:pPr>
      <w:r w:rsidRPr="00EE5B67">
        <w:t xml:space="preserve">Hanley, M. E., Awbi, A. J., &amp; Franco, M. (2014). Going native? Flower use by bumblebees in English urban gardens. </w:t>
      </w:r>
      <w:r w:rsidRPr="00EE5B67">
        <w:rPr>
          <w:i/>
          <w:iCs/>
        </w:rPr>
        <w:t>Annals of Botany</w:t>
      </w:r>
      <w:r w:rsidRPr="00EE5B67">
        <w:t xml:space="preserve">, </w:t>
      </w:r>
      <w:r w:rsidRPr="00EE5B67">
        <w:rPr>
          <w:i/>
          <w:iCs/>
        </w:rPr>
        <w:t>113</w:t>
      </w:r>
      <w:r w:rsidRPr="00EE5B67">
        <w:t>(5), 799–806. https://doi.org/10.1093/aob/mcu006</w:t>
      </w:r>
    </w:p>
    <w:p w14:paraId="2CF88214" w14:textId="77777777" w:rsidR="00EE5B67" w:rsidRPr="00EE5B67" w:rsidRDefault="00EE5B67" w:rsidP="00EE5B67">
      <w:pPr>
        <w:pStyle w:val="Bibliography"/>
      </w:pPr>
      <w:r w:rsidRPr="00EE5B67">
        <w:t xml:space="preserve">Hanula, J. L., Horn, S., &amp; O’Brien, J. J. (2015). Have changing forests conditions contributed to pollinator decline in the southeastern United States? </w:t>
      </w:r>
      <w:r w:rsidRPr="00EE5B67">
        <w:rPr>
          <w:i/>
          <w:iCs/>
        </w:rPr>
        <w:t>Forest Ecology and Management</w:t>
      </w:r>
      <w:r w:rsidRPr="00EE5B67">
        <w:t xml:space="preserve">, </w:t>
      </w:r>
      <w:r w:rsidRPr="00EE5B67">
        <w:rPr>
          <w:i/>
          <w:iCs/>
        </w:rPr>
        <w:t>348</w:t>
      </w:r>
      <w:r w:rsidRPr="00EE5B67">
        <w:t>, 142–152. https://doi.org/10.1016/j.foreco.2015.03.044</w:t>
      </w:r>
    </w:p>
    <w:p w14:paraId="54A315A7" w14:textId="77777777" w:rsidR="00EE5B67" w:rsidRPr="00EE5B67" w:rsidRDefault="00EE5B67" w:rsidP="00EE5B67">
      <w:pPr>
        <w:pStyle w:val="Bibliography"/>
      </w:pPr>
      <w:r w:rsidRPr="00EE5B67">
        <w:t xml:space="preserve">Harrison, T., Gibbs, J., &amp; Winfree, R. (2018). Forest bees are replaced in agricultural and urban landscapes by native species with different phenologies and life-history traits. </w:t>
      </w:r>
      <w:r w:rsidRPr="00EE5B67">
        <w:rPr>
          <w:i/>
          <w:iCs/>
        </w:rPr>
        <w:t>Global Change Biology</w:t>
      </w:r>
      <w:r w:rsidRPr="00EE5B67">
        <w:t xml:space="preserve">, </w:t>
      </w:r>
      <w:r w:rsidRPr="00EE5B67">
        <w:rPr>
          <w:i/>
          <w:iCs/>
        </w:rPr>
        <w:t>24</w:t>
      </w:r>
      <w:r w:rsidRPr="00EE5B67">
        <w:t>(1), 287–296. https://doi.org/10.1111/gcb.13921</w:t>
      </w:r>
    </w:p>
    <w:p w14:paraId="0F828016" w14:textId="77777777" w:rsidR="00EE5B67" w:rsidRPr="00EE5B67" w:rsidRDefault="00EE5B67" w:rsidP="00EE5B67">
      <w:pPr>
        <w:pStyle w:val="Bibliography"/>
      </w:pPr>
      <w:r w:rsidRPr="00EE5B67">
        <w:t xml:space="preserve">Harrison, T., Gibbs, J., &amp; Winfree, R. (2019). Anthropogenic landscapes support fewer rare bee species. </w:t>
      </w:r>
      <w:r w:rsidRPr="00EE5B67">
        <w:rPr>
          <w:i/>
          <w:iCs/>
        </w:rPr>
        <w:t>Landscape Ecology</w:t>
      </w:r>
      <w:r w:rsidRPr="00EE5B67">
        <w:t xml:space="preserve">, </w:t>
      </w:r>
      <w:r w:rsidRPr="00EE5B67">
        <w:rPr>
          <w:i/>
          <w:iCs/>
        </w:rPr>
        <w:t>34</w:t>
      </w:r>
      <w:r w:rsidRPr="00EE5B67">
        <w:t>(5), 967–978. https://doi.org/10.1007/s10980-017-0592-x</w:t>
      </w:r>
    </w:p>
    <w:p w14:paraId="1C788C5C" w14:textId="77777777" w:rsidR="00EE5B67" w:rsidRPr="00EE5B67" w:rsidRDefault="00EE5B67" w:rsidP="00EE5B67">
      <w:pPr>
        <w:pStyle w:val="Bibliography"/>
      </w:pPr>
      <w:r w:rsidRPr="00EE5B67">
        <w:t xml:space="preserve">Haslett, J. R. (1983). A photographic account of pollen digestion by adult hoverflies. </w:t>
      </w:r>
      <w:r w:rsidRPr="00EE5B67">
        <w:rPr>
          <w:i/>
          <w:iCs/>
        </w:rPr>
        <w:t>Physiological Entomology</w:t>
      </w:r>
      <w:r w:rsidRPr="00EE5B67">
        <w:t xml:space="preserve">, </w:t>
      </w:r>
      <w:r w:rsidRPr="00EE5B67">
        <w:rPr>
          <w:i/>
          <w:iCs/>
        </w:rPr>
        <w:t>8</w:t>
      </w:r>
      <w:r w:rsidRPr="00EE5B67">
        <w:t>(2), 167–171.</w:t>
      </w:r>
    </w:p>
    <w:p w14:paraId="57AD5A05" w14:textId="77777777" w:rsidR="00EE5B67" w:rsidRPr="00EE5B67" w:rsidRDefault="00EE5B67" w:rsidP="00EE5B67">
      <w:pPr>
        <w:pStyle w:val="Bibliography"/>
      </w:pPr>
      <w:r w:rsidRPr="00EE5B67">
        <w:lastRenderedPageBreak/>
        <w:t xml:space="preserve">Heil, M. (2011). Nectar: Generation, regulation and ecological functions. </w:t>
      </w:r>
      <w:r w:rsidRPr="00EE5B67">
        <w:rPr>
          <w:i/>
          <w:iCs/>
        </w:rPr>
        <w:t>Trends in Plant Science</w:t>
      </w:r>
      <w:r w:rsidRPr="00EE5B67">
        <w:t xml:space="preserve">, </w:t>
      </w:r>
      <w:r w:rsidRPr="00EE5B67">
        <w:rPr>
          <w:i/>
          <w:iCs/>
        </w:rPr>
        <w:t>16</w:t>
      </w:r>
      <w:r w:rsidRPr="00EE5B67">
        <w:t>(4), 191–200.</w:t>
      </w:r>
    </w:p>
    <w:p w14:paraId="30635F4A" w14:textId="77777777" w:rsidR="00EE5B67" w:rsidRPr="00EE5B67" w:rsidRDefault="00EE5B67" w:rsidP="00EE5B67">
      <w:pPr>
        <w:pStyle w:val="Bibliography"/>
      </w:pPr>
      <w:r w:rsidRPr="00EE5B67">
        <w:t xml:space="preserve">Hernandez, J. L., Frankie, G. W., &amp; Thorp, R. W. (2009). Ecology of Urban Bees: A Review of Current Knowledge and Directions for Future Study. </w:t>
      </w:r>
      <w:r w:rsidRPr="00EE5B67">
        <w:rPr>
          <w:i/>
          <w:iCs/>
        </w:rPr>
        <w:t>Cities and the Environment</w:t>
      </w:r>
      <w:r w:rsidRPr="00EE5B67">
        <w:t xml:space="preserve">, </w:t>
      </w:r>
      <w:r w:rsidRPr="00EE5B67">
        <w:rPr>
          <w:i/>
          <w:iCs/>
        </w:rPr>
        <w:t>2</w:t>
      </w:r>
      <w:r w:rsidRPr="00EE5B67">
        <w:t>(1), 1–15. https://doi.org/10.15365/cate.2132009</w:t>
      </w:r>
    </w:p>
    <w:p w14:paraId="6F4B5BD1" w14:textId="77777777" w:rsidR="00EE5B67" w:rsidRPr="00EE5B67" w:rsidRDefault="00EE5B67" w:rsidP="00EE5B67">
      <w:pPr>
        <w:pStyle w:val="Bibliography"/>
      </w:pPr>
      <w:r w:rsidRPr="00EE5B67">
        <w:t xml:space="preserve">Hillebrand, H., Blasius, B., Borer, E. T., Chase, J. M., Downing, J. A., Eriksson, B. K., Filstrup, C. T., Harpole, W. S., Hodapp, D., Larsen, S., Lewandowska, A. M., Seabloom, E. W., Waal, D. B. V. de, &amp; Ryabov, A. B. (2018). Biodiversity change is uncoupled from species richness trends: Consequences for conservation and monitoring. </w:t>
      </w:r>
      <w:r w:rsidRPr="00EE5B67">
        <w:rPr>
          <w:i/>
          <w:iCs/>
        </w:rPr>
        <w:t>Journal of Applied Ecology</w:t>
      </w:r>
      <w:r w:rsidRPr="00EE5B67">
        <w:t xml:space="preserve">, </w:t>
      </w:r>
      <w:r w:rsidRPr="00EE5B67">
        <w:rPr>
          <w:i/>
          <w:iCs/>
        </w:rPr>
        <w:t>55</w:t>
      </w:r>
      <w:r w:rsidRPr="00EE5B67">
        <w:t>(1), 169–184. https://doi.org/10.1111/1365-2664.12959</w:t>
      </w:r>
    </w:p>
    <w:p w14:paraId="390E5B22" w14:textId="77777777" w:rsidR="00EE5B67" w:rsidRPr="00EE5B67" w:rsidRDefault="00EE5B67" w:rsidP="00EE5B67">
      <w:pPr>
        <w:pStyle w:val="Bibliography"/>
      </w:pPr>
      <w:r w:rsidRPr="00EE5B67">
        <w:t xml:space="preserve">Isaacs, R., Tuell, J., Fiedler, A., Gardiner, M., &amp; Landis, D. (2009). Maximizing arthropod-mediated ecosystem services in agricultural landscapes: The role of native plants. </w:t>
      </w:r>
      <w:r w:rsidRPr="00EE5B67">
        <w:rPr>
          <w:i/>
          <w:iCs/>
        </w:rPr>
        <w:t>Frontiers in Ecology and the Environment</w:t>
      </w:r>
      <w:r w:rsidRPr="00EE5B67">
        <w:t xml:space="preserve">, </w:t>
      </w:r>
      <w:r w:rsidRPr="00EE5B67">
        <w:rPr>
          <w:i/>
          <w:iCs/>
        </w:rPr>
        <w:t>7</w:t>
      </w:r>
      <w:r w:rsidRPr="00EE5B67">
        <w:t>(4), 196–203. https://doi.org/10.1890/080035</w:t>
      </w:r>
    </w:p>
    <w:p w14:paraId="76CB0B14" w14:textId="77777777" w:rsidR="00EE5B67" w:rsidRPr="00EE5B67" w:rsidRDefault="00EE5B67" w:rsidP="00EE5B67">
      <w:pPr>
        <w:pStyle w:val="Bibliography"/>
      </w:pPr>
      <w:r w:rsidRPr="00EE5B67">
        <w:t xml:space="preserve">Jauker, B., Krauss, J., Jauker, F., &amp; Steffan-Dewenter, I. (2013). Linking life history traits to pollinator loss in fragmented calcareous grasslands. </w:t>
      </w:r>
      <w:r w:rsidRPr="00EE5B67">
        <w:rPr>
          <w:i/>
          <w:iCs/>
        </w:rPr>
        <w:t>Landscape Ecology</w:t>
      </w:r>
      <w:r w:rsidRPr="00EE5B67">
        <w:t xml:space="preserve">, </w:t>
      </w:r>
      <w:r w:rsidRPr="00EE5B67">
        <w:rPr>
          <w:i/>
          <w:iCs/>
        </w:rPr>
        <w:t>28</w:t>
      </w:r>
      <w:r w:rsidRPr="00EE5B67">
        <w:t>(1), 107–120. https://doi.org/10.1007/s10980-012-9820-6</w:t>
      </w:r>
    </w:p>
    <w:p w14:paraId="6674F566" w14:textId="77777777" w:rsidR="00EE5B67" w:rsidRPr="00EE5B67" w:rsidRDefault="00EE5B67" w:rsidP="00EE5B67">
      <w:pPr>
        <w:pStyle w:val="Bibliography"/>
      </w:pPr>
      <w:r w:rsidRPr="00EE5B67">
        <w:t xml:space="preserve">Jauker, F., Speckmann, M., &amp; Wolters, V. (2016). Intra-specific body size determines pollination effectiveness. </w:t>
      </w:r>
      <w:r w:rsidRPr="00EE5B67">
        <w:rPr>
          <w:i/>
          <w:iCs/>
        </w:rPr>
        <w:t>Basic and Applied Ecology</w:t>
      </w:r>
      <w:r w:rsidRPr="00EE5B67">
        <w:t xml:space="preserve">, </w:t>
      </w:r>
      <w:r w:rsidRPr="00EE5B67">
        <w:rPr>
          <w:i/>
          <w:iCs/>
        </w:rPr>
        <w:t>17</w:t>
      </w:r>
      <w:r w:rsidRPr="00EE5B67">
        <w:t>(8), 714–719. https://doi.org/10.1016/j.baae.2016.07.004</w:t>
      </w:r>
    </w:p>
    <w:p w14:paraId="2FF74311" w14:textId="77777777" w:rsidR="00EE5B67" w:rsidRPr="00EE5B67" w:rsidRDefault="00EE5B67" w:rsidP="00EE5B67">
      <w:pPr>
        <w:pStyle w:val="Bibliography"/>
      </w:pPr>
      <w:r w:rsidRPr="00EE5B67">
        <w:lastRenderedPageBreak/>
        <w:t xml:space="preserve">Jenkins, C. N., Van Houtan, K. S., Pimm, S. L., &amp; Sexton, J. O. (2015). US protected lands mismatch biodiversity priorities. </w:t>
      </w:r>
      <w:r w:rsidRPr="00EE5B67">
        <w:rPr>
          <w:i/>
          <w:iCs/>
        </w:rPr>
        <w:t>Proceedings of the National Academy of Sciences</w:t>
      </w:r>
      <w:r w:rsidRPr="00EE5B67">
        <w:t xml:space="preserve">, </w:t>
      </w:r>
      <w:r w:rsidRPr="00EE5B67">
        <w:rPr>
          <w:i/>
          <w:iCs/>
        </w:rPr>
        <w:t>112</w:t>
      </w:r>
      <w:r w:rsidRPr="00EE5B67">
        <w:t>(16), 5081–5086. https://doi.org/10.1073/pnas.1418034112</w:t>
      </w:r>
    </w:p>
    <w:p w14:paraId="3BD4A410" w14:textId="77777777" w:rsidR="00EE5B67" w:rsidRPr="00EE5B67" w:rsidRDefault="00EE5B67" w:rsidP="00EE5B67">
      <w:pPr>
        <w:pStyle w:val="Bibliography"/>
      </w:pPr>
      <w:r w:rsidRPr="00EE5B67">
        <w:t xml:space="preserve">Kearns, C. A., &amp; Oliveras, D. M. (2009). Environmental factors affecting bee diversity in urban and remote grassland plots in Boulder, Colorado. </w:t>
      </w:r>
      <w:r w:rsidRPr="00EE5B67">
        <w:rPr>
          <w:i/>
          <w:iCs/>
        </w:rPr>
        <w:t>Journal of Insect Conservation</w:t>
      </w:r>
      <w:r w:rsidRPr="00EE5B67">
        <w:t xml:space="preserve">, </w:t>
      </w:r>
      <w:r w:rsidRPr="00EE5B67">
        <w:rPr>
          <w:i/>
          <w:iCs/>
        </w:rPr>
        <w:t>13</w:t>
      </w:r>
      <w:r w:rsidRPr="00EE5B67">
        <w:t>(6), 655–665. https://doi.org/10.1007/s10841-009-9215-4</w:t>
      </w:r>
    </w:p>
    <w:p w14:paraId="67A6DF30" w14:textId="77777777" w:rsidR="00EE5B67" w:rsidRPr="00EE5B67" w:rsidRDefault="00EE5B67" w:rsidP="00EE5B67">
      <w:pPr>
        <w:pStyle w:val="Bibliography"/>
      </w:pPr>
      <w:r w:rsidRPr="00EE5B67">
        <w:t xml:space="preserve">Kennedy, C. M., Lonsdorf, E., Neel, M. C., Williams, N. M., Ricketts, T. H., Winfree, R., Bommarco, R., Brittain, C., Burley, A. L., Cariveau, D., Carvalheiro, L. G., Chacoff, N. P., Cunningham, S. A., Danforth, B. N., Dudenhöffer, J.-H., Elle, E., Gaines, H. R., Garibaldi, L. A., Gratton, C., … Kremen, C. (2013). A global quantitative synthesis of local and landscape effects on wild bee pollinators in agroecosystems. </w:t>
      </w:r>
      <w:r w:rsidRPr="00EE5B67">
        <w:rPr>
          <w:i/>
          <w:iCs/>
        </w:rPr>
        <w:t>Ecology Letters</w:t>
      </w:r>
      <w:r w:rsidRPr="00EE5B67">
        <w:t xml:space="preserve">, </w:t>
      </w:r>
      <w:r w:rsidRPr="00EE5B67">
        <w:rPr>
          <w:i/>
          <w:iCs/>
        </w:rPr>
        <w:t>16</w:t>
      </w:r>
      <w:r w:rsidRPr="00EE5B67">
        <w:t>(5), 584–599. https://doi.org/10.1111/ele.12082</w:t>
      </w:r>
    </w:p>
    <w:p w14:paraId="07CD2B6D" w14:textId="77777777" w:rsidR="00EE5B67" w:rsidRPr="00EE5B67" w:rsidRDefault="00EE5B67" w:rsidP="00EE5B67">
      <w:pPr>
        <w:pStyle w:val="Bibliography"/>
      </w:pPr>
      <w:r w:rsidRPr="00EE5B67">
        <w:t xml:space="preserve">Kirk, W. D. J. (1984). Pollen-feeding in thrips (Insecta: Thysanoptera). </w:t>
      </w:r>
      <w:r w:rsidRPr="00EE5B67">
        <w:rPr>
          <w:i/>
          <w:iCs/>
        </w:rPr>
        <w:t>Journal of Zoology</w:t>
      </w:r>
      <w:r w:rsidRPr="00EE5B67">
        <w:t xml:space="preserve">, </w:t>
      </w:r>
      <w:r w:rsidRPr="00EE5B67">
        <w:rPr>
          <w:i/>
          <w:iCs/>
        </w:rPr>
        <w:t>204</w:t>
      </w:r>
      <w:r w:rsidRPr="00EE5B67">
        <w:t>(1), 107–117.</w:t>
      </w:r>
    </w:p>
    <w:p w14:paraId="6507B928" w14:textId="77777777" w:rsidR="00EE5B67" w:rsidRPr="00EE5B67" w:rsidRDefault="00EE5B67" w:rsidP="00EE5B67">
      <w:pPr>
        <w:pStyle w:val="Bibliography"/>
      </w:pPr>
      <w:r w:rsidRPr="00EE5B67">
        <w:t xml:space="preserve">Klein, A.-M., Brittain, C., Hendrix, S. D., Thorp, R., Williams, N., &amp; Kremen, C. (2012). Wild pollination services to California almond rely on semi-natural habitat. </w:t>
      </w:r>
      <w:r w:rsidRPr="00EE5B67">
        <w:rPr>
          <w:i/>
          <w:iCs/>
        </w:rPr>
        <w:t>Journal of Applied Ecology</w:t>
      </w:r>
      <w:r w:rsidRPr="00EE5B67">
        <w:t xml:space="preserve">, </w:t>
      </w:r>
      <w:r w:rsidRPr="00EE5B67">
        <w:rPr>
          <w:i/>
          <w:iCs/>
        </w:rPr>
        <w:t>49</w:t>
      </w:r>
      <w:r w:rsidRPr="00EE5B67">
        <w:t>(3), 723–732. https://doi.org/10.1111/j.1365-2664.2012.02144.x</w:t>
      </w:r>
    </w:p>
    <w:p w14:paraId="74571516" w14:textId="77777777" w:rsidR="00EE5B67" w:rsidRPr="00EE5B67" w:rsidRDefault="00EE5B67" w:rsidP="00EE5B67">
      <w:pPr>
        <w:pStyle w:val="Bibliography"/>
      </w:pPr>
      <w:r w:rsidRPr="00EE5B67">
        <w:t xml:space="preserve">Klein, A.-M., Vaissière, B. E., Cane, J. H., Steffan-Dewenter, I., Cunningham, S. A., Kremen, C., &amp; Tscharntke, T. (2007). Importance of pollinators in changing </w:t>
      </w:r>
      <w:r w:rsidRPr="00EE5B67">
        <w:lastRenderedPageBreak/>
        <w:t xml:space="preserve">landscapes for world crops. </w:t>
      </w:r>
      <w:r w:rsidRPr="00EE5B67">
        <w:rPr>
          <w:i/>
          <w:iCs/>
        </w:rPr>
        <w:t>Proceedings of the Royal Society B: Biological Sciences</w:t>
      </w:r>
      <w:r w:rsidRPr="00EE5B67">
        <w:t xml:space="preserve">, </w:t>
      </w:r>
      <w:r w:rsidRPr="00EE5B67">
        <w:rPr>
          <w:i/>
          <w:iCs/>
        </w:rPr>
        <w:t>274</w:t>
      </w:r>
      <w:r w:rsidRPr="00EE5B67">
        <w:t>(1608), 303–313. https://doi.org/10.1098/rspb.2006.3721</w:t>
      </w:r>
    </w:p>
    <w:p w14:paraId="4BD0D9DD" w14:textId="77777777" w:rsidR="00EE5B67" w:rsidRPr="00EE5B67" w:rsidRDefault="00EE5B67" w:rsidP="00EE5B67">
      <w:pPr>
        <w:pStyle w:val="Bibliography"/>
      </w:pPr>
      <w:r w:rsidRPr="00EE5B67">
        <w:t xml:space="preserve">Klein, S., Cabirol, A., Devaud, J.-M., Barron, A., &amp; Lihoreau, M. (2017). Why Bees Are So Vulnerable to Environmental Stressors. </w:t>
      </w:r>
      <w:r w:rsidRPr="00EE5B67">
        <w:rPr>
          <w:i/>
          <w:iCs/>
        </w:rPr>
        <w:t>Trends in Ecology &amp; Evolution</w:t>
      </w:r>
      <w:r w:rsidRPr="00EE5B67">
        <w:t xml:space="preserve">, </w:t>
      </w:r>
      <w:r w:rsidRPr="00EE5B67">
        <w:rPr>
          <w:i/>
          <w:iCs/>
        </w:rPr>
        <w:t>32</w:t>
      </w:r>
      <w:r w:rsidRPr="00EE5B67">
        <w:t>. https://doi.org/10.1016/j.tree.2016.12.009</w:t>
      </w:r>
    </w:p>
    <w:p w14:paraId="2642CA47" w14:textId="77777777" w:rsidR="00EE5B67" w:rsidRPr="00EE5B67" w:rsidRDefault="00EE5B67" w:rsidP="00EE5B67">
      <w:pPr>
        <w:pStyle w:val="Bibliography"/>
      </w:pPr>
      <w:r w:rsidRPr="00EE5B67">
        <w:t xml:space="preserve">Kremen, C., &amp; Miles, A. (2012). Ecosystem services in biologically diversified versus conventional farming systems: Benefits, externalities, and trade-offs. </w:t>
      </w:r>
      <w:r w:rsidRPr="00EE5B67">
        <w:rPr>
          <w:i/>
          <w:iCs/>
        </w:rPr>
        <w:t>Ecology and Society</w:t>
      </w:r>
      <w:r w:rsidRPr="00EE5B67">
        <w:t xml:space="preserve">, </w:t>
      </w:r>
      <w:r w:rsidRPr="00EE5B67">
        <w:rPr>
          <w:i/>
          <w:iCs/>
        </w:rPr>
        <w:t>17</w:t>
      </w:r>
      <w:r w:rsidRPr="00EE5B67">
        <w:t>(4).</w:t>
      </w:r>
    </w:p>
    <w:p w14:paraId="6B56DB35" w14:textId="77777777" w:rsidR="00EE5B67" w:rsidRPr="00EE5B67" w:rsidRDefault="00EE5B67" w:rsidP="00EE5B67">
      <w:pPr>
        <w:pStyle w:val="Bibliography"/>
      </w:pPr>
      <w:r w:rsidRPr="00EE5B67">
        <w:t>Kremen, C., Williams, N. M., Aizen, M. A., Gemmill</w:t>
      </w:r>
      <w:r w:rsidRPr="00EE5B67">
        <w:rPr>
          <w:rFonts w:ascii="Cambria Math" w:hAnsi="Cambria Math" w:cs="Cambria Math"/>
        </w:rPr>
        <w:t>‐</w:t>
      </w:r>
      <w:r w:rsidRPr="00EE5B67">
        <w:t>Herren, B., LeBuhn, G., Minckley, R., Packer, L., Potts, S. G., Roulston, T., Steffan</w:t>
      </w:r>
      <w:r w:rsidRPr="00EE5B67">
        <w:rPr>
          <w:rFonts w:ascii="Cambria Math" w:hAnsi="Cambria Math" w:cs="Cambria Math"/>
        </w:rPr>
        <w:t>‐</w:t>
      </w:r>
      <w:r w:rsidRPr="00EE5B67">
        <w:t xml:space="preserve">Dewenter, I., Vázquez, D. P., Winfree, R., Adams, L., Crone, E. E., Greenleaf, S. S., Keitt, T. H., Klein, A.-M., Regetz, J., &amp; Ricketts, T. H. (2007). Pollination and other ecosystem services produced by mobile organisms: A conceptual framework for the effects of land-use change. </w:t>
      </w:r>
      <w:r w:rsidRPr="00EE5B67">
        <w:rPr>
          <w:i/>
          <w:iCs/>
        </w:rPr>
        <w:t>Ecology Letters</w:t>
      </w:r>
      <w:r w:rsidRPr="00EE5B67">
        <w:t xml:space="preserve">, </w:t>
      </w:r>
      <w:r w:rsidRPr="00EE5B67">
        <w:rPr>
          <w:i/>
          <w:iCs/>
        </w:rPr>
        <w:t>10</w:t>
      </w:r>
      <w:r w:rsidRPr="00EE5B67">
        <w:t>(4), 299–314. https://doi.org/10.1111/j.1461-0248.2007.01018.x</w:t>
      </w:r>
    </w:p>
    <w:p w14:paraId="7E248326" w14:textId="77777777" w:rsidR="00EE5B67" w:rsidRPr="00EE5B67" w:rsidRDefault="00EE5B67" w:rsidP="00EE5B67">
      <w:pPr>
        <w:pStyle w:val="Bibliography"/>
      </w:pPr>
      <w:r w:rsidRPr="00EE5B67">
        <w:t xml:space="preserve">Kremen, C., Williams, N. M., &amp; Thorp, R. W. (2002). Crop pollination from native bees at risk from agricultural intensification. </w:t>
      </w:r>
      <w:r w:rsidRPr="00EE5B67">
        <w:rPr>
          <w:i/>
          <w:iCs/>
        </w:rPr>
        <w:t>Proceedings of the National Academy of Sciences</w:t>
      </w:r>
      <w:r w:rsidRPr="00EE5B67">
        <w:t xml:space="preserve">, </w:t>
      </w:r>
      <w:r w:rsidRPr="00EE5B67">
        <w:rPr>
          <w:i/>
          <w:iCs/>
        </w:rPr>
        <w:t>99</w:t>
      </w:r>
      <w:r w:rsidRPr="00EE5B67">
        <w:t>(26), 16812–16816. https://doi.org/10.1073/pnas.262413599</w:t>
      </w:r>
    </w:p>
    <w:p w14:paraId="59C85598" w14:textId="77777777" w:rsidR="00EE5B67" w:rsidRPr="00EE5B67" w:rsidRDefault="00EE5B67" w:rsidP="00EE5B67">
      <w:pPr>
        <w:pStyle w:val="Bibliography"/>
      </w:pPr>
      <w:r w:rsidRPr="00EE5B67">
        <w:t xml:space="preserve">Larsson, M., &amp; Franzén, M. (2007). Critical resource levels of pollen for the declining bee Andrena hattorfiana (Hymenoptera, Andrenidae). </w:t>
      </w:r>
      <w:r w:rsidRPr="00EE5B67">
        <w:rPr>
          <w:i/>
          <w:iCs/>
        </w:rPr>
        <w:t>Biological Conservation</w:t>
      </w:r>
      <w:r w:rsidRPr="00EE5B67">
        <w:t xml:space="preserve">, </w:t>
      </w:r>
      <w:r w:rsidRPr="00EE5B67">
        <w:rPr>
          <w:i/>
          <w:iCs/>
        </w:rPr>
        <w:t>134</w:t>
      </w:r>
      <w:r w:rsidRPr="00EE5B67">
        <w:t>(3), 405–414. https://doi.org/10.1016/j.biocon.2006.08.030</w:t>
      </w:r>
    </w:p>
    <w:p w14:paraId="75888DBE" w14:textId="77777777" w:rsidR="00EE5B67" w:rsidRPr="00EE5B67" w:rsidRDefault="00EE5B67" w:rsidP="00EE5B67">
      <w:pPr>
        <w:pStyle w:val="Bibliography"/>
      </w:pPr>
      <w:r w:rsidRPr="00EE5B67">
        <w:lastRenderedPageBreak/>
        <w:t xml:space="preserve">Lüdecke, D. (2021). </w:t>
      </w:r>
      <w:r w:rsidRPr="00EE5B67">
        <w:rPr>
          <w:i/>
          <w:iCs/>
        </w:rPr>
        <w:t>SjPlot: Data Visualization for Statistics in Social Science. R package</w:t>
      </w:r>
      <w:r w:rsidRPr="00EE5B67">
        <w:t>. version 2.8.8.</w:t>
      </w:r>
    </w:p>
    <w:p w14:paraId="12B2B6F3" w14:textId="77777777" w:rsidR="00EE5B67" w:rsidRPr="00EE5B67" w:rsidRDefault="00EE5B67" w:rsidP="00EE5B67">
      <w:pPr>
        <w:pStyle w:val="Bibliography"/>
      </w:pPr>
      <w:r w:rsidRPr="00EE5B67">
        <w:t xml:space="preserve">MacInnis, G., &amp; Forrest, J. R. (2019). Pollination by wild bees yields larger strawberries than pollination by honey bees. </w:t>
      </w:r>
      <w:r w:rsidRPr="00EE5B67">
        <w:rPr>
          <w:i/>
          <w:iCs/>
        </w:rPr>
        <w:t>Journal of Applied Ecology</w:t>
      </w:r>
      <w:r w:rsidRPr="00EE5B67">
        <w:t xml:space="preserve">, </w:t>
      </w:r>
      <w:r w:rsidRPr="00EE5B67">
        <w:rPr>
          <w:i/>
          <w:iCs/>
        </w:rPr>
        <w:t>56</w:t>
      </w:r>
      <w:r w:rsidRPr="00EE5B67">
        <w:t>(4), 824–832.</w:t>
      </w:r>
    </w:p>
    <w:p w14:paraId="6D2144BE" w14:textId="77777777" w:rsidR="00EE5B67" w:rsidRPr="00EE5B67" w:rsidRDefault="00EE5B67" w:rsidP="00EE5B67">
      <w:pPr>
        <w:pStyle w:val="Bibliography"/>
      </w:pPr>
      <w:r w:rsidRPr="00EE5B67">
        <w:t xml:space="preserve">MacIvor, J. S., &amp; Moore, A. E. (2013). Bees collect polyurethane and polyethylene plastics as novel nest materials. </w:t>
      </w:r>
      <w:r w:rsidRPr="00EE5B67">
        <w:rPr>
          <w:i/>
          <w:iCs/>
        </w:rPr>
        <w:t>Ecosphere</w:t>
      </w:r>
      <w:r w:rsidRPr="00EE5B67">
        <w:t xml:space="preserve">, </w:t>
      </w:r>
      <w:r w:rsidRPr="00EE5B67">
        <w:rPr>
          <w:i/>
          <w:iCs/>
        </w:rPr>
        <w:t>4</w:t>
      </w:r>
      <w:r w:rsidRPr="00EE5B67">
        <w:t>(12), 1–6.</w:t>
      </w:r>
    </w:p>
    <w:p w14:paraId="30571D44" w14:textId="77777777" w:rsidR="00EE5B67" w:rsidRPr="00EE5B67" w:rsidRDefault="00EE5B67" w:rsidP="00EE5B67">
      <w:pPr>
        <w:pStyle w:val="Bibliography"/>
      </w:pPr>
      <w:r w:rsidRPr="00EE5B67">
        <w:t xml:space="preserve">Mann, J. S., &amp; Crowson, R. A. (1981). The systematic positions of </w:t>
      </w:r>
      <w:r w:rsidRPr="00EE5B67">
        <w:rPr>
          <w:i/>
          <w:iCs/>
        </w:rPr>
        <w:t>Orsodacne</w:t>
      </w:r>
      <w:r w:rsidRPr="00EE5B67">
        <w:t xml:space="preserve"> Latr. And </w:t>
      </w:r>
      <w:r w:rsidRPr="00EE5B67">
        <w:rPr>
          <w:i/>
          <w:iCs/>
        </w:rPr>
        <w:t>Syneta</w:t>
      </w:r>
      <w:r w:rsidRPr="00EE5B67">
        <w:t xml:space="preserve"> Lac. (Coleoptera Chrysomelidae), in relation to characters of larvae, internal anatomy and tarsal vestiture. </w:t>
      </w:r>
      <w:r w:rsidRPr="00EE5B67">
        <w:rPr>
          <w:i/>
          <w:iCs/>
        </w:rPr>
        <w:t>Journal of Natural History</w:t>
      </w:r>
      <w:r w:rsidRPr="00EE5B67">
        <w:t xml:space="preserve">, </w:t>
      </w:r>
      <w:r w:rsidRPr="00EE5B67">
        <w:rPr>
          <w:i/>
          <w:iCs/>
        </w:rPr>
        <w:t>15</w:t>
      </w:r>
      <w:r w:rsidRPr="00EE5B67">
        <w:t>(5), 727–749. https://doi.org/10.1080/00222938100770531</w:t>
      </w:r>
    </w:p>
    <w:p w14:paraId="190A9771" w14:textId="77777777" w:rsidR="00EE5B67" w:rsidRPr="00EE5B67" w:rsidRDefault="00EE5B67" w:rsidP="00EE5B67">
      <w:pPr>
        <w:pStyle w:val="Bibliography"/>
      </w:pPr>
      <w:r w:rsidRPr="00EE5B67">
        <w:t xml:space="preserve">Matteson, K. C., &amp; Langellotto, G. A. (2011). Small scale additions of native plants fail to increase beneficial insect richness in urban gardens. </w:t>
      </w:r>
      <w:r w:rsidRPr="00EE5B67">
        <w:rPr>
          <w:i/>
          <w:iCs/>
        </w:rPr>
        <w:t>Insect Conservation and Diversity</w:t>
      </w:r>
      <w:r w:rsidRPr="00EE5B67">
        <w:t xml:space="preserve">, </w:t>
      </w:r>
      <w:r w:rsidRPr="00EE5B67">
        <w:rPr>
          <w:i/>
          <w:iCs/>
        </w:rPr>
        <w:t>4</w:t>
      </w:r>
      <w:r w:rsidRPr="00EE5B67">
        <w:t>(2), 89–98. https://doi.org/10.1111/j.1752-4598.2010.00103.x</w:t>
      </w:r>
    </w:p>
    <w:p w14:paraId="46608671" w14:textId="77777777" w:rsidR="00EE5B67" w:rsidRPr="00EE5B67" w:rsidRDefault="00EE5B67" w:rsidP="00EE5B67">
      <w:pPr>
        <w:pStyle w:val="Bibliography"/>
      </w:pPr>
      <w:r w:rsidRPr="00EE5B67">
        <w:t xml:space="preserve">McFrederick, Q. S., &amp; LeBuhn, G. (2006). Are urban parks refuges for bumble bees Bombus spp. (Hymenoptera: Apidae)? </w:t>
      </w:r>
      <w:r w:rsidRPr="00EE5B67">
        <w:rPr>
          <w:i/>
          <w:iCs/>
        </w:rPr>
        <w:t>Biological Conservation</w:t>
      </w:r>
      <w:r w:rsidRPr="00EE5B67">
        <w:t xml:space="preserve">, </w:t>
      </w:r>
      <w:r w:rsidRPr="00EE5B67">
        <w:rPr>
          <w:i/>
          <w:iCs/>
        </w:rPr>
        <w:t>129</w:t>
      </w:r>
      <w:r w:rsidRPr="00EE5B67">
        <w:t>(3), 372–382. https://doi.org/10.1016/j.biocon.2005.11.004</w:t>
      </w:r>
    </w:p>
    <w:p w14:paraId="00128654" w14:textId="77777777" w:rsidR="00EE5B67" w:rsidRPr="00EE5B67" w:rsidRDefault="00EE5B67" w:rsidP="00EE5B67">
      <w:pPr>
        <w:pStyle w:val="Bibliography"/>
      </w:pPr>
      <w:r w:rsidRPr="00EE5B67">
        <w:t xml:space="preserve">McKechnie, I. M., Thomsen, C. J. M., &amp; Sargent, R. D. (2017). Forested field edges support a greater diversity of wild pollinators in lowbush blueberry (Vaccinium angustifolium). </w:t>
      </w:r>
      <w:r w:rsidRPr="00EE5B67">
        <w:rPr>
          <w:i/>
          <w:iCs/>
        </w:rPr>
        <w:t>Agriculture, Ecosystems &amp; Environment</w:t>
      </w:r>
      <w:r w:rsidRPr="00EE5B67">
        <w:t xml:space="preserve">, </w:t>
      </w:r>
      <w:r w:rsidRPr="00EE5B67">
        <w:rPr>
          <w:i/>
          <w:iCs/>
        </w:rPr>
        <w:t>237</w:t>
      </w:r>
      <w:r w:rsidRPr="00EE5B67">
        <w:t>, 154–161. https://doi.org/10.1016/j.agee.2016.12.005</w:t>
      </w:r>
    </w:p>
    <w:p w14:paraId="61B7FFDB" w14:textId="77777777" w:rsidR="00EE5B67" w:rsidRPr="00EE5B67" w:rsidRDefault="00EE5B67" w:rsidP="00EE5B67">
      <w:pPr>
        <w:pStyle w:val="Bibliography"/>
      </w:pPr>
      <w:r w:rsidRPr="00EE5B67">
        <w:t xml:space="preserve">McKinney, M. L. (2002). Urbanization, Biodiversity, and Conservation: The impacts of urbanization on native species are poorly studied, but educating a highly </w:t>
      </w:r>
      <w:r w:rsidRPr="00EE5B67">
        <w:lastRenderedPageBreak/>
        <w:t xml:space="preserve">urbanized human population about these impacts can greatly improve species conservation in all ecosystems. </w:t>
      </w:r>
      <w:r w:rsidRPr="00EE5B67">
        <w:rPr>
          <w:i/>
          <w:iCs/>
        </w:rPr>
        <w:t>BioScience</w:t>
      </w:r>
      <w:r w:rsidRPr="00EE5B67">
        <w:t xml:space="preserve">, </w:t>
      </w:r>
      <w:r w:rsidRPr="00EE5B67">
        <w:rPr>
          <w:i/>
          <w:iCs/>
        </w:rPr>
        <w:t>52</w:t>
      </w:r>
      <w:r w:rsidRPr="00EE5B67">
        <w:t>(10), 883–890. https://doi.org/10.1641/0006-3568(2002)052[0883:UBAC]2.0.CO;2</w:t>
      </w:r>
    </w:p>
    <w:p w14:paraId="6ADF6F5D" w14:textId="77777777" w:rsidR="00EE5B67" w:rsidRPr="00EE5B67" w:rsidRDefault="00EE5B67" w:rsidP="00EE5B67">
      <w:pPr>
        <w:pStyle w:val="Bibliography"/>
      </w:pPr>
      <w:r w:rsidRPr="00EE5B67">
        <w:t xml:space="preserve">Michener, C. D. (1953). </w:t>
      </w:r>
      <w:r w:rsidRPr="00EE5B67">
        <w:rPr>
          <w:i/>
          <w:iCs/>
        </w:rPr>
        <w:t>The Biology of a Leafcutter Bee (Megachile brevis) and Its Associates</w:t>
      </w:r>
      <w:r w:rsidRPr="00EE5B67">
        <w:t>.</w:t>
      </w:r>
    </w:p>
    <w:p w14:paraId="18C04576" w14:textId="77777777" w:rsidR="00EE5B67" w:rsidRPr="00EE5B67" w:rsidRDefault="00EE5B67" w:rsidP="00EE5B67">
      <w:pPr>
        <w:pStyle w:val="Bibliography"/>
      </w:pPr>
      <w:r w:rsidRPr="00EE5B67">
        <w:t xml:space="preserve">Michener, C. D. (2007a). </w:t>
      </w:r>
      <w:r w:rsidRPr="00EE5B67">
        <w:rPr>
          <w:i/>
          <w:iCs/>
        </w:rPr>
        <w:t>The bees of the world</w:t>
      </w:r>
      <w:r w:rsidRPr="00EE5B67">
        <w:t xml:space="preserve"> (2nd ed). Johns Hopkins University Press.</w:t>
      </w:r>
    </w:p>
    <w:p w14:paraId="23359151" w14:textId="77777777" w:rsidR="00EE5B67" w:rsidRPr="00EE5B67" w:rsidRDefault="00EE5B67" w:rsidP="00EE5B67">
      <w:pPr>
        <w:pStyle w:val="Bibliography"/>
      </w:pPr>
      <w:r w:rsidRPr="00EE5B67">
        <w:t xml:space="preserve">Michener, C. D. (2007b). </w:t>
      </w:r>
      <w:r w:rsidRPr="00EE5B67">
        <w:rPr>
          <w:i/>
          <w:iCs/>
        </w:rPr>
        <w:t>The bees of the world</w:t>
      </w:r>
      <w:r w:rsidRPr="00EE5B67">
        <w:t xml:space="preserve"> (2nd ed). Johns Hopkins University Press.</w:t>
      </w:r>
    </w:p>
    <w:p w14:paraId="591494E9" w14:textId="77777777" w:rsidR="00EE5B67" w:rsidRPr="00EE5B67" w:rsidRDefault="00EE5B67" w:rsidP="00EE5B67">
      <w:pPr>
        <w:pStyle w:val="Bibliography"/>
      </w:pPr>
      <w:r w:rsidRPr="00EE5B67">
        <w:t xml:space="preserve">Minckley, R. L. (1994). Comparative morphology of the mesosomal ‘gland’ in male large carpenter bees (Apidae: Xylocopini). </w:t>
      </w:r>
      <w:r w:rsidRPr="00EE5B67">
        <w:rPr>
          <w:i/>
          <w:iCs/>
        </w:rPr>
        <w:t>Biological Journal of the Linnean Society</w:t>
      </w:r>
      <w:r w:rsidRPr="00EE5B67">
        <w:t xml:space="preserve">, </w:t>
      </w:r>
      <w:r w:rsidRPr="00EE5B67">
        <w:rPr>
          <w:i/>
          <w:iCs/>
        </w:rPr>
        <w:t>53</w:t>
      </w:r>
      <w:r w:rsidRPr="00EE5B67">
        <w:t>(3), 291–308. https://doi.org/10.1111/j.1095-8312.1994.tb01014.x</w:t>
      </w:r>
    </w:p>
    <w:p w14:paraId="05A1893D" w14:textId="77777777" w:rsidR="00EE5B67" w:rsidRPr="00EE5B67" w:rsidRDefault="00EE5B67" w:rsidP="00EE5B67">
      <w:pPr>
        <w:pStyle w:val="Bibliography"/>
      </w:pPr>
      <w:r w:rsidRPr="00EE5B67">
        <w:t xml:space="preserve">Minckley, R. L., &amp; Roulston, T. H. (2006). Incidental mutualisms and pollen specialization among bees. </w:t>
      </w:r>
      <w:r w:rsidRPr="00EE5B67">
        <w:rPr>
          <w:i/>
          <w:iCs/>
        </w:rPr>
        <w:t>Plant-Pollinator Interactions: From Specialization to Generalization</w:t>
      </w:r>
      <w:r w:rsidRPr="00EE5B67">
        <w:t>, 69–98.</w:t>
      </w:r>
    </w:p>
    <w:p w14:paraId="211A8D6D" w14:textId="77777777" w:rsidR="00EE5B67" w:rsidRPr="00EE5B67" w:rsidRDefault="00EE5B67" w:rsidP="00EE5B67">
      <w:pPr>
        <w:pStyle w:val="Bibliography"/>
      </w:pPr>
      <w:r w:rsidRPr="00EE5B67">
        <w:t xml:space="preserve">Morandin, L. A., &amp; Kremen, C. (2013a). Bee Preference for Native versus Exotic Plants in Restored Agricultural Hedgerows. </w:t>
      </w:r>
      <w:r w:rsidRPr="00EE5B67">
        <w:rPr>
          <w:i/>
          <w:iCs/>
        </w:rPr>
        <w:t>Restoration Ecology</w:t>
      </w:r>
      <w:r w:rsidRPr="00EE5B67">
        <w:t xml:space="preserve">, </w:t>
      </w:r>
      <w:r w:rsidRPr="00EE5B67">
        <w:rPr>
          <w:i/>
          <w:iCs/>
        </w:rPr>
        <w:t>21</w:t>
      </w:r>
      <w:r w:rsidRPr="00EE5B67">
        <w:t>(1), 26–32. https://doi.org/10.1111/j.1526-100X.2012.00876.x</w:t>
      </w:r>
    </w:p>
    <w:p w14:paraId="12B06525" w14:textId="77777777" w:rsidR="00EE5B67" w:rsidRPr="00EE5B67" w:rsidRDefault="00EE5B67" w:rsidP="00EE5B67">
      <w:pPr>
        <w:pStyle w:val="Bibliography"/>
      </w:pPr>
      <w:r w:rsidRPr="00EE5B67">
        <w:t xml:space="preserve">Morandin, L. A., &amp; Kremen, C. (2013b). Hedgerow restoration promotes pollinator populations and exports native bees to adjacent fields. </w:t>
      </w:r>
      <w:r w:rsidRPr="00EE5B67">
        <w:rPr>
          <w:i/>
          <w:iCs/>
        </w:rPr>
        <w:t>Ecological Applications</w:t>
      </w:r>
      <w:r w:rsidRPr="00EE5B67">
        <w:t xml:space="preserve">, </w:t>
      </w:r>
      <w:r w:rsidRPr="00EE5B67">
        <w:rPr>
          <w:i/>
          <w:iCs/>
        </w:rPr>
        <w:t>23</w:t>
      </w:r>
      <w:r w:rsidRPr="00EE5B67">
        <w:t>(4), 829–839.</w:t>
      </w:r>
    </w:p>
    <w:p w14:paraId="1424E80D" w14:textId="77777777" w:rsidR="00EE5B67" w:rsidRPr="00EE5B67" w:rsidRDefault="00EE5B67" w:rsidP="00EE5B67">
      <w:pPr>
        <w:pStyle w:val="Bibliography"/>
      </w:pPr>
      <w:r w:rsidRPr="00EE5B67">
        <w:lastRenderedPageBreak/>
        <w:t xml:space="preserve">Morandin, L. A., &amp; Kremen, C. (2013c). Bee Preference for Native versus Exotic Plants in Restored Agricultural Hedgerows. </w:t>
      </w:r>
      <w:r w:rsidRPr="00EE5B67">
        <w:rPr>
          <w:i/>
          <w:iCs/>
        </w:rPr>
        <w:t>Restoration Ecology</w:t>
      </w:r>
      <w:r w:rsidRPr="00EE5B67">
        <w:t xml:space="preserve">, </w:t>
      </w:r>
      <w:r w:rsidRPr="00EE5B67">
        <w:rPr>
          <w:i/>
          <w:iCs/>
        </w:rPr>
        <w:t>21</w:t>
      </w:r>
      <w:r w:rsidRPr="00EE5B67">
        <w:t>(1), 26–32. https://doi.org/10.1111/j.1526-100X.2012.00876.x</w:t>
      </w:r>
    </w:p>
    <w:p w14:paraId="66E7099F" w14:textId="77777777" w:rsidR="00EE5B67" w:rsidRPr="00EE5B67" w:rsidRDefault="00EE5B67" w:rsidP="00EE5B67">
      <w:pPr>
        <w:pStyle w:val="Bibliography"/>
      </w:pPr>
      <w:r w:rsidRPr="00EE5B67">
        <w:t xml:space="preserve">Morandin, L. A., Long, R. F., &amp; Kremen, C. (2014). Hedgerows enhance beneficial insects on adjacent tomato fields in an intensive agricultural landscape. </w:t>
      </w:r>
      <w:r w:rsidRPr="00EE5B67">
        <w:rPr>
          <w:i/>
          <w:iCs/>
        </w:rPr>
        <w:t>Agriculture, Ecosystems &amp; Environment</w:t>
      </w:r>
      <w:r w:rsidRPr="00EE5B67">
        <w:t xml:space="preserve">, </w:t>
      </w:r>
      <w:r w:rsidRPr="00EE5B67">
        <w:rPr>
          <w:i/>
          <w:iCs/>
        </w:rPr>
        <w:t>189</w:t>
      </w:r>
      <w:r w:rsidRPr="00EE5B67">
        <w:t>, 164–170.</w:t>
      </w:r>
    </w:p>
    <w:p w14:paraId="4868FCDE" w14:textId="77777777" w:rsidR="00EE5B67" w:rsidRPr="00EE5B67" w:rsidRDefault="00EE5B67" w:rsidP="00EE5B67">
      <w:pPr>
        <w:pStyle w:val="Bibliography"/>
      </w:pPr>
      <w:r w:rsidRPr="00EE5B67">
        <w:t xml:space="preserve">Mueller, A., &amp; Kuhlmann, M. (2008). Pollen hosts of western palaearctic bees of the genus Colletes (Hymenoptera: Colletidae): the Asteraceae paradox. </w:t>
      </w:r>
      <w:r w:rsidRPr="00EE5B67">
        <w:rPr>
          <w:i/>
          <w:iCs/>
        </w:rPr>
        <w:t>Biological Journal of the Linnean Society</w:t>
      </w:r>
      <w:r w:rsidRPr="00EE5B67">
        <w:t xml:space="preserve">, </w:t>
      </w:r>
      <w:r w:rsidRPr="00EE5B67">
        <w:rPr>
          <w:i/>
          <w:iCs/>
        </w:rPr>
        <w:t>95</w:t>
      </w:r>
      <w:r w:rsidRPr="00EE5B67">
        <w:t>(4), 719–733.</w:t>
      </w:r>
    </w:p>
    <w:p w14:paraId="7EB99DE5" w14:textId="77777777" w:rsidR="00EE5B67" w:rsidRPr="00EE5B67" w:rsidRDefault="00EE5B67" w:rsidP="00EE5B67">
      <w:pPr>
        <w:pStyle w:val="Bibliography"/>
      </w:pPr>
      <w:r w:rsidRPr="00EE5B67">
        <w:t xml:space="preserve">Neff, J. L., &amp; Simpson, B. B. (1990). The roles of phenology and reward structure in the pollination biology of wild sunflower (Helianthus annuus L., Asteraceae). </w:t>
      </w:r>
      <w:r w:rsidRPr="00EE5B67">
        <w:rPr>
          <w:i/>
          <w:iCs/>
        </w:rPr>
        <w:t>Israel Journal of Plant Sciences</w:t>
      </w:r>
      <w:r w:rsidRPr="00EE5B67">
        <w:t xml:space="preserve">, </w:t>
      </w:r>
      <w:r w:rsidRPr="00EE5B67">
        <w:rPr>
          <w:i/>
          <w:iCs/>
        </w:rPr>
        <w:t>39</w:t>
      </w:r>
      <w:r w:rsidRPr="00EE5B67">
        <w:t>(1–2), 197–216.</w:t>
      </w:r>
    </w:p>
    <w:p w14:paraId="31EB64CF" w14:textId="77777777" w:rsidR="00EE5B67" w:rsidRPr="00EE5B67" w:rsidRDefault="00EE5B67" w:rsidP="00EE5B67">
      <w:pPr>
        <w:pStyle w:val="Bibliography"/>
      </w:pPr>
      <w:r w:rsidRPr="00EE5B67">
        <w:t xml:space="preserve">Neiland, M. R. M., &amp; Wilcock, C. C. (1998). Fruit set, nectar reward, and rarity in the Orchidaceae. </w:t>
      </w:r>
      <w:r w:rsidRPr="00EE5B67">
        <w:rPr>
          <w:i/>
          <w:iCs/>
        </w:rPr>
        <w:t>American Journal of Botany</w:t>
      </w:r>
      <w:r w:rsidRPr="00EE5B67">
        <w:t xml:space="preserve">, </w:t>
      </w:r>
      <w:r w:rsidRPr="00EE5B67">
        <w:rPr>
          <w:i/>
          <w:iCs/>
        </w:rPr>
        <w:t>85</w:t>
      </w:r>
      <w:r w:rsidRPr="00EE5B67">
        <w:t>(12), 1657–1671.</w:t>
      </w:r>
    </w:p>
    <w:p w14:paraId="2E87348A" w14:textId="77777777" w:rsidR="00EE5B67" w:rsidRPr="00EE5B67" w:rsidRDefault="00EE5B67" w:rsidP="00EE5B67">
      <w:pPr>
        <w:pStyle w:val="Bibliography"/>
      </w:pPr>
      <w:r w:rsidRPr="00EE5B67">
        <w:t xml:space="preserve">Nepi, M., &amp; Pacini, E. (2007). </w:t>
      </w:r>
      <w:r w:rsidRPr="00EE5B67">
        <w:rPr>
          <w:i/>
          <w:iCs/>
        </w:rPr>
        <w:t>Nectaries and nectar</w:t>
      </w:r>
      <w:r w:rsidRPr="00EE5B67">
        <w:t>. Springer.</w:t>
      </w:r>
    </w:p>
    <w:p w14:paraId="13F755B9" w14:textId="77777777" w:rsidR="00EE5B67" w:rsidRPr="00EE5B67" w:rsidRDefault="00EE5B67" w:rsidP="00EE5B67">
      <w:pPr>
        <w:pStyle w:val="Bibliography"/>
      </w:pPr>
      <w:r w:rsidRPr="00EE5B67">
        <w:t xml:space="preserve">Nicholson, C. C., Koh, I., Richardson, L. L., Beauchemin, A., &amp; Ricketts, T. H. (2017). Farm and landscape factors interact to affect the supply of pollination services. </w:t>
      </w:r>
      <w:r w:rsidRPr="00EE5B67">
        <w:rPr>
          <w:i/>
          <w:iCs/>
        </w:rPr>
        <w:t>Agriculture, Ecosystems &amp; Environment</w:t>
      </w:r>
      <w:r w:rsidRPr="00EE5B67">
        <w:t xml:space="preserve">, </w:t>
      </w:r>
      <w:r w:rsidRPr="00EE5B67">
        <w:rPr>
          <w:i/>
          <w:iCs/>
        </w:rPr>
        <w:t>250</w:t>
      </w:r>
      <w:r w:rsidRPr="00EE5B67">
        <w:t>, 113–122. https://doi.org/10.1016/j.agee.2017.08.030</w:t>
      </w:r>
    </w:p>
    <w:p w14:paraId="12A0478B" w14:textId="77777777" w:rsidR="00EE5B67" w:rsidRPr="00EE5B67" w:rsidRDefault="00EE5B67" w:rsidP="00EE5B67">
      <w:pPr>
        <w:pStyle w:val="Bibliography"/>
      </w:pPr>
      <w:r w:rsidRPr="00EE5B67">
        <w:t xml:space="preserve">Nicolson, S. W., Nepi, M., &amp; Pacini, E. (Eds.). (2007). </w:t>
      </w:r>
      <w:r w:rsidRPr="00EE5B67">
        <w:rPr>
          <w:i/>
          <w:iCs/>
        </w:rPr>
        <w:t>Nectaries and nectar</w:t>
      </w:r>
      <w:r w:rsidRPr="00EE5B67">
        <w:t>. Springer.</w:t>
      </w:r>
    </w:p>
    <w:p w14:paraId="29E54EDA" w14:textId="77777777" w:rsidR="00EE5B67" w:rsidRPr="00EE5B67" w:rsidRDefault="00EE5B67" w:rsidP="00EE5B67">
      <w:pPr>
        <w:pStyle w:val="Bibliography"/>
      </w:pPr>
      <w:r w:rsidRPr="00EE5B67">
        <w:t xml:space="preserve">Opler, P. A., Bentley, B., &amp; Elias, T. (1983). </w:t>
      </w:r>
      <w:r w:rsidRPr="00EE5B67">
        <w:rPr>
          <w:i/>
          <w:iCs/>
        </w:rPr>
        <w:t>The biology of nectaries</w:t>
      </w:r>
      <w:r w:rsidRPr="00EE5B67">
        <w:t>. Columbia University Press, New York.</w:t>
      </w:r>
    </w:p>
    <w:p w14:paraId="5D0ED33E" w14:textId="77777777" w:rsidR="00EE5B67" w:rsidRPr="00EE5B67" w:rsidRDefault="00EE5B67" w:rsidP="00EE5B67">
      <w:pPr>
        <w:pStyle w:val="Bibliography"/>
      </w:pPr>
      <w:r w:rsidRPr="00EE5B67">
        <w:lastRenderedPageBreak/>
        <w:t xml:space="preserve">Pacini, E., &amp; Nepi, M. (1970). Nectar production and presentation. In </w:t>
      </w:r>
      <w:r w:rsidRPr="00EE5B67">
        <w:rPr>
          <w:i/>
          <w:iCs/>
        </w:rPr>
        <w:t>Nectaries and Nectar</w:t>
      </w:r>
      <w:r w:rsidRPr="00EE5B67">
        <w:t xml:space="preserve"> (pp. 167–214). https://doi.org/10.1007/978-1-4020-5937-7_4</w:t>
      </w:r>
    </w:p>
    <w:p w14:paraId="1CCAC765" w14:textId="77777777" w:rsidR="00EE5B67" w:rsidRPr="00EE5B67" w:rsidRDefault="00EE5B67" w:rsidP="00EE5B67">
      <w:pPr>
        <w:pStyle w:val="Bibliography"/>
      </w:pPr>
      <w:r w:rsidRPr="00EE5B67">
        <w:t xml:space="preserve">Pywell, R. F., Warman, E. A., Carvell, C., Sparks, T. H., Dicks, L. V., Bennett, D., Wright, A., Critchley, C. N. R., &amp; Sherwood, A. (2005). Providing foraging resources for bumblebees in intensively farmed landscapes. </w:t>
      </w:r>
      <w:r w:rsidRPr="00EE5B67">
        <w:rPr>
          <w:i/>
          <w:iCs/>
        </w:rPr>
        <w:t>Biological Conservation</w:t>
      </w:r>
      <w:r w:rsidRPr="00EE5B67">
        <w:t xml:space="preserve">, </w:t>
      </w:r>
      <w:r w:rsidRPr="00EE5B67">
        <w:rPr>
          <w:i/>
          <w:iCs/>
        </w:rPr>
        <w:t>121</w:t>
      </w:r>
      <w:r w:rsidRPr="00EE5B67">
        <w:t>(4), 479–494. https://doi.org/10.1016/j.biocon.2004.05.020</w:t>
      </w:r>
    </w:p>
    <w:p w14:paraId="2A502750" w14:textId="77777777" w:rsidR="00EE5B67" w:rsidRPr="00EE5B67" w:rsidRDefault="00EE5B67" w:rsidP="00EE5B67">
      <w:pPr>
        <w:pStyle w:val="Bibliography"/>
      </w:pPr>
      <w:r w:rsidRPr="00EE5B67">
        <w:t xml:space="preserve">Rao, S., &amp; Strange, J. P. (2012). Bumble Bee (Hymenoptera: Apidae) Foraging Distance and Colony Density Associated With a Late-Season Mass Flowering Crop. </w:t>
      </w:r>
      <w:r w:rsidRPr="00EE5B67">
        <w:rPr>
          <w:i/>
          <w:iCs/>
        </w:rPr>
        <w:t>Environmental Entomology</w:t>
      </w:r>
      <w:r w:rsidRPr="00EE5B67">
        <w:t xml:space="preserve">, </w:t>
      </w:r>
      <w:r w:rsidRPr="00EE5B67">
        <w:rPr>
          <w:i/>
          <w:iCs/>
        </w:rPr>
        <w:t>41</w:t>
      </w:r>
      <w:r w:rsidRPr="00EE5B67">
        <w:t>(4), 905–915. https://doi.org/10.1603/EN11316</w:t>
      </w:r>
    </w:p>
    <w:p w14:paraId="6000F5B0" w14:textId="77777777" w:rsidR="00EE5B67" w:rsidRPr="00EE5B67" w:rsidRDefault="00EE5B67" w:rsidP="00EE5B67">
      <w:pPr>
        <w:pStyle w:val="Bibliography"/>
      </w:pPr>
      <w:r w:rsidRPr="00EE5B67">
        <w:t xml:space="preserve">Rathcke, B. J. (1992). Nectar distributions, pollinator behavior, and plant reproductive success. </w:t>
      </w:r>
      <w:r w:rsidRPr="00EE5B67">
        <w:rPr>
          <w:i/>
          <w:iCs/>
        </w:rPr>
        <w:t>Effects of Resource Distribution on Animal-Plant Interactions</w:t>
      </w:r>
      <w:r w:rsidRPr="00EE5B67">
        <w:t>, 113–138.</w:t>
      </w:r>
    </w:p>
    <w:p w14:paraId="1FDE41AC" w14:textId="77777777" w:rsidR="00EE5B67" w:rsidRPr="00EE5B67" w:rsidRDefault="00EE5B67" w:rsidP="00EE5B67">
      <w:pPr>
        <w:pStyle w:val="Bibliography"/>
      </w:pPr>
      <w:r w:rsidRPr="00EE5B67">
        <w:t xml:space="preserve">Redhead, J. W., Dreier, S., Bourke, A. F. G., Heard, M. S., Jordan, W. C., Sumner, S., Wang, J., &amp; Carvell, C. (2016). Effects of habitat composition and landscape structure on worker foraging distances of five bumble bee species. </w:t>
      </w:r>
      <w:r w:rsidRPr="00EE5B67">
        <w:rPr>
          <w:i/>
          <w:iCs/>
        </w:rPr>
        <w:t>Ecological Applications</w:t>
      </w:r>
      <w:r w:rsidRPr="00EE5B67">
        <w:t xml:space="preserve">, </w:t>
      </w:r>
      <w:r w:rsidRPr="00EE5B67">
        <w:rPr>
          <w:i/>
          <w:iCs/>
        </w:rPr>
        <w:t>26</w:t>
      </w:r>
      <w:r w:rsidRPr="00EE5B67">
        <w:t>(3), 726–739. https://doi.org/10.1890/15-0546</w:t>
      </w:r>
    </w:p>
    <w:p w14:paraId="2C8A2A11" w14:textId="77777777" w:rsidR="00EE5B67" w:rsidRPr="00EE5B67" w:rsidRDefault="00EE5B67" w:rsidP="00EE5B67">
      <w:pPr>
        <w:pStyle w:val="Bibliography"/>
      </w:pPr>
      <w:r w:rsidRPr="00EE5B67">
        <w:t xml:space="preserve">Requier, F., &amp; Leonhardt, S. (2020). Beyond flowers: Including non-floral resources in bee conservation schemes. </w:t>
      </w:r>
      <w:r w:rsidRPr="00EE5B67">
        <w:rPr>
          <w:i/>
          <w:iCs/>
        </w:rPr>
        <w:t>Journal of Insect Conservation</w:t>
      </w:r>
      <w:r w:rsidRPr="00EE5B67">
        <w:t xml:space="preserve">, </w:t>
      </w:r>
      <w:r w:rsidRPr="00EE5B67">
        <w:rPr>
          <w:i/>
          <w:iCs/>
        </w:rPr>
        <w:t>24</w:t>
      </w:r>
      <w:r w:rsidRPr="00EE5B67">
        <w:t>. https://doi.org/10.1007/s10841-019-00206-1</w:t>
      </w:r>
    </w:p>
    <w:p w14:paraId="4B7CAC10" w14:textId="77777777" w:rsidR="00EE5B67" w:rsidRPr="00EE5B67" w:rsidRDefault="00EE5B67" w:rsidP="00EE5B67">
      <w:pPr>
        <w:pStyle w:val="Bibliography"/>
      </w:pPr>
      <w:r w:rsidRPr="00EE5B67">
        <w:t xml:space="preserve">Robinson, R. A., &amp; Sutherland, W. J. (2002). Post-war changes in arable farming and biodiversity in Great Britain. </w:t>
      </w:r>
      <w:r w:rsidRPr="00EE5B67">
        <w:rPr>
          <w:i/>
          <w:iCs/>
        </w:rPr>
        <w:t>Journal of Applied Ecology</w:t>
      </w:r>
      <w:r w:rsidRPr="00EE5B67">
        <w:t xml:space="preserve">, </w:t>
      </w:r>
      <w:r w:rsidRPr="00EE5B67">
        <w:rPr>
          <w:i/>
          <w:iCs/>
        </w:rPr>
        <w:t>39</w:t>
      </w:r>
      <w:r w:rsidRPr="00EE5B67">
        <w:t>(1), 157–176. https://doi.org/10.1046/j.1365-2664.2002.00695.x</w:t>
      </w:r>
    </w:p>
    <w:p w14:paraId="08E1AC25" w14:textId="77777777" w:rsidR="00EE5B67" w:rsidRPr="00EE5B67" w:rsidRDefault="00EE5B67" w:rsidP="00EE5B67">
      <w:pPr>
        <w:pStyle w:val="Bibliography"/>
      </w:pPr>
      <w:r w:rsidRPr="00EE5B67">
        <w:lastRenderedPageBreak/>
        <w:t xml:space="preserve">Romey, W. L., Ascher, J. S., Powell, D. A., &amp; Yanek, M. (2007). Impacts of Logging on Midsummer Diversity of Native Bees (Apoidea) in a Northern Hardwood Forest. </w:t>
      </w:r>
      <w:r w:rsidRPr="00EE5B67">
        <w:rPr>
          <w:i/>
          <w:iCs/>
        </w:rPr>
        <w:t>Journal of the Kansas Entomological Society</w:t>
      </w:r>
      <w:r w:rsidRPr="00EE5B67">
        <w:t xml:space="preserve">, </w:t>
      </w:r>
      <w:r w:rsidRPr="00EE5B67">
        <w:rPr>
          <w:i/>
          <w:iCs/>
        </w:rPr>
        <w:t>80</w:t>
      </w:r>
      <w:r w:rsidRPr="00EE5B67">
        <w:t>(4), 327–338. https://doi.org/10.2317/0022-8567(2007)80[327:IOLOMD]2.0.CO;2</w:t>
      </w:r>
    </w:p>
    <w:p w14:paraId="5495C21C" w14:textId="77777777" w:rsidR="00EE5B67" w:rsidRPr="00EE5B67" w:rsidRDefault="00EE5B67" w:rsidP="00EE5B67">
      <w:pPr>
        <w:pStyle w:val="Bibliography"/>
      </w:pPr>
      <w:r w:rsidRPr="00EE5B67">
        <w:t xml:space="preserve">Roulston, T., &amp; Cane, J. (2002). The effect of pollen protein concentration on body size in the sweat bee Lasioglossum zephyrum (Hymenoptera: Apiformes). </w:t>
      </w:r>
      <w:r w:rsidRPr="00EE5B67">
        <w:rPr>
          <w:i/>
          <w:iCs/>
        </w:rPr>
        <w:t>Evolutionary Ecology</w:t>
      </w:r>
      <w:r w:rsidRPr="00EE5B67">
        <w:t xml:space="preserve">, </w:t>
      </w:r>
      <w:r w:rsidRPr="00EE5B67">
        <w:rPr>
          <w:i/>
          <w:iCs/>
        </w:rPr>
        <w:t>16</w:t>
      </w:r>
      <w:r w:rsidRPr="00EE5B67">
        <w:t>, 49–65. https://doi.org/10.1023/A:1016048526475</w:t>
      </w:r>
    </w:p>
    <w:p w14:paraId="10448EA2" w14:textId="77777777" w:rsidR="00EE5B67" w:rsidRPr="00EE5B67" w:rsidRDefault="00EE5B67" w:rsidP="00EE5B67">
      <w:pPr>
        <w:pStyle w:val="Bibliography"/>
      </w:pPr>
      <w:r w:rsidRPr="00EE5B67">
        <w:t xml:space="preserve">Roulston, T. H., Cane, J. H., &amp; Buchmann, S. L. (2000a). What Governs Protein Content of Pollen: Pollinator Preferences, Pollen–Pistil Interactions, or Phylogeny? </w:t>
      </w:r>
      <w:r w:rsidRPr="00EE5B67">
        <w:rPr>
          <w:i/>
          <w:iCs/>
        </w:rPr>
        <w:t>Ecological Monographs</w:t>
      </w:r>
      <w:r w:rsidRPr="00EE5B67">
        <w:t xml:space="preserve">, </w:t>
      </w:r>
      <w:r w:rsidRPr="00EE5B67">
        <w:rPr>
          <w:i/>
          <w:iCs/>
        </w:rPr>
        <w:t>70</w:t>
      </w:r>
      <w:r w:rsidRPr="00EE5B67">
        <w:t>(4), 617–643. https://doi.org/10.1890/0012-9615(2000)070[0617:WGPCOP]2.0.CO;2</w:t>
      </w:r>
    </w:p>
    <w:p w14:paraId="312083E4" w14:textId="77777777" w:rsidR="00EE5B67" w:rsidRPr="00EE5B67" w:rsidRDefault="00EE5B67" w:rsidP="00EE5B67">
      <w:pPr>
        <w:pStyle w:val="Bibliography"/>
      </w:pPr>
      <w:r w:rsidRPr="00EE5B67">
        <w:t xml:space="preserve">Roulston, T. H., Cane, J. H., &amp; Buchmann, S. L. (2000b). What Governs Protein Content of Pollen: Pollinator Preferences, Pollen–Pistil Interactions, or Phylogeny? </w:t>
      </w:r>
      <w:r w:rsidRPr="00EE5B67">
        <w:rPr>
          <w:i/>
          <w:iCs/>
        </w:rPr>
        <w:t>Ecological Monographs</w:t>
      </w:r>
      <w:r w:rsidRPr="00EE5B67">
        <w:t xml:space="preserve">, </w:t>
      </w:r>
      <w:r w:rsidRPr="00EE5B67">
        <w:rPr>
          <w:i/>
          <w:iCs/>
        </w:rPr>
        <w:t>70</w:t>
      </w:r>
      <w:r w:rsidRPr="00EE5B67">
        <w:t>(4), 617–643. https://doi.org/10.1890/0012-9615(2000)070[0617:WGPCOP]2.0.CO;2</w:t>
      </w:r>
    </w:p>
    <w:p w14:paraId="47708DA8" w14:textId="77777777" w:rsidR="00EE5B67" w:rsidRPr="00EE5B67" w:rsidRDefault="00EE5B67" w:rsidP="00EE5B67">
      <w:pPr>
        <w:pStyle w:val="Bibliography"/>
      </w:pPr>
      <w:r w:rsidRPr="00EE5B67">
        <w:t xml:space="preserve">Rowe, L., Gibson, D., Bahlai, C. A., Gibbs, J., Landis, D. A., &amp; Isaacs, R. (2020). Flower traits associated with the visitation patterns of bees. </w:t>
      </w:r>
      <w:r w:rsidRPr="00EE5B67">
        <w:rPr>
          <w:i/>
          <w:iCs/>
        </w:rPr>
        <w:t>Oecologia</w:t>
      </w:r>
      <w:r w:rsidRPr="00EE5B67">
        <w:t xml:space="preserve">, </w:t>
      </w:r>
      <w:r w:rsidRPr="00EE5B67">
        <w:rPr>
          <w:i/>
          <w:iCs/>
        </w:rPr>
        <w:t>193</w:t>
      </w:r>
      <w:r w:rsidRPr="00EE5B67">
        <w:t>(2), 511–522. https://doi.org/10.1007/s00442-020-04674-0</w:t>
      </w:r>
    </w:p>
    <w:p w14:paraId="43F738FA" w14:textId="77777777" w:rsidR="00EE5B67" w:rsidRPr="00EE5B67" w:rsidRDefault="00EE5B67" w:rsidP="00EE5B67">
      <w:pPr>
        <w:pStyle w:val="Bibliography"/>
      </w:pPr>
      <w:r w:rsidRPr="00EE5B67">
        <w:t xml:space="preserve">Russo, L., Buckley, Y. M., Hamilton, H., Kavanagh, M., &amp; Stout, J. C. (2020). Low concentrations of fertilizer and herbicide alter plant growth and interactions with flower-visiting insects. </w:t>
      </w:r>
      <w:r w:rsidRPr="00EE5B67">
        <w:rPr>
          <w:i/>
          <w:iCs/>
        </w:rPr>
        <w:t>Agriculture, Ecosystems &amp; Environment</w:t>
      </w:r>
      <w:r w:rsidRPr="00EE5B67">
        <w:t xml:space="preserve">, </w:t>
      </w:r>
      <w:r w:rsidRPr="00EE5B67">
        <w:rPr>
          <w:i/>
          <w:iCs/>
        </w:rPr>
        <w:t>304</w:t>
      </w:r>
      <w:r w:rsidRPr="00EE5B67">
        <w:t>, 107141. https://doi.org/10.1016/j.agee.2020.107141</w:t>
      </w:r>
    </w:p>
    <w:p w14:paraId="7E51AB94" w14:textId="77777777" w:rsidR="00EE5B67" w:rsidRPr="00EE5B67" w:rsidRDefault="00EE5B67" w:rsidP="00EE5B67">
      <w:pPr>
        <w:pStyle w:val="Bibliography"/>
      </w:pPr>
      <w:r w:rsidRPr="00EE5B67">
        <w:lastRenderedPageBreak/>
        <w:t xml:space="preserve">Russo, L., Park, M. G., Blitzer, E. J., &amp; Danforth, B. N. (2017). Flower handling behavior and abundance determine the relative contribution of pollinators to seed set in apple orchards. </w:t>
      </w:r>
      <w:r w:rsidRPr="00EE5B67">
        <w:rPr>
          <w:i/>
          <w:iCs/>
        </w:rPr>
        <w:t>Agriculture, Ecosystems &amp; Environment</w:t>
      </w:r>
      <w:r w:rsidRPr="00EE5B67">
        <w:t xml:space="preserve">, </w:t>
      </w:r>
      <w:r w:rsidRPr="00EE5B67">
        <w:rPr>
          <w:i/>
          <w:iCs/>
        </w:rPr>
        <w:t>246</w:t>
      </w:r>
      <w:r w:rsidRPr="00EE5B67">
        <w:t>, 102–108. https://doi.org/10.1016/j.agee.2017.05.033</w:t>
      </w:r>
    </w:p>
    <w:p w14:paraId="1E304806" w14:textId="77777777" w:rsidR="00EE5B67" w:rsidRPr="00EE5B67" w:rsidRDefault="00EE5B67" w:rsidP="00EE5B67">
      <w:pPr>
        <w:pStyle w:val="Bibliography"/>
      </w:pPr>
      <w:r w:rsidRPr="00EE5B67">
        <w:t xml:space="preserve">Russo, L., Park, M., Gibbs, J., &amp; Danforth, B. (2015). The challenge of accurately documenting bee species richness in agroecosystems: Bee diversity in eastern apple orchards. </w:t>
      </w:r>
      <w:r w:rsidRPr="00EE5B67">
        <w:rPr>
          <w:i/>
          <w:iCs/>
        </w:rPr>
        <w:t>Ecology and Evolution</w:t>
      </w:r>
      <w:r w:rsidRPr="00EE5B67">
        <w:t xml:space="preserve">, </w:t>
      </w:r>
      <w:r w:rsidRPr="00EE5B67">
        <w:rPr>
          <w:i/>
          <w:iCs/>
        </w:rPr>
        <w:t>5</w:t>
      </w:r>
      <w:r w:rsidRPr="00EE5B67">
        <w:t>(17), 3531–3540. https://doi.org/10.1002/ece3.1582</w:t>
      </w:r>
    </w:p>
    <w:p w14:paraId="3D47E060" w14:textId="77777777" w:rsidR="00EE5B67" w:rsidRPr="00EE5B67" w:rsidRDefault="00EE5B67" w:rsidP="00EE5B67">
      <w:pPr>
        <w:pStyle w:val="Bibliography"/>
      </w:pPr>
      <w:r w:rsidRPr="00EE5B67">
        <w:t xml:space="preserve">Russo, L., Vaudo, A. D., Fisher, C. J., Grozinger, C. M., &amp; Shea, K. (2019). Bee community preference for an invasive thistle associated with higher pollen protein content. </w:t>
      </w:r>
      <w:r w:rsidRPr="00EE5B67">
        <w:rPr>
          <w:i/>
          <w:iCs/>
        </w:rPr>
        <w:t>Oecologia</w:t>
      </w:r>
      <w:r w:rsidRPr="00EE5B67">
        <w:t xml:space="preserve">, </w:t>
      </w:r>
      <w:r w:rsidRPr="00EE5B67">
        <w:rPr>
          <w:i/>
          <w:iCs/>
        </w:rPr>
        <w:t>190</w:t>
      </w:r>
      <w:r w:rsidRPr="00EE5B67">
        <w:t>(4), 901–912. https://doi.org/10.1007/s00442-019-04462-5</w:t>
      </w:r>
    </w:p>
    <w:p w14:paraId="0977A6AF" w14:textId="77777777" w:rsidR="00EE5B67" w:rsidRPr="00EE5B67" w:rsidRDefault="00EE5B67" w:rsidP="00EE5B67">
      <w:pPr>
        <w:pStyle w:val="Bibliography"/>
      </w:pPr>
      <w:r w:rsidRPr="00EE5B67">
        <w:t xml:space="preserve">Samuelson, A. E., &amp; Leadbeater, E. (2018). A land classification protocol for pollinator ecology research: An urbanization case study. </w:t>
      </w:r>
      <w:r w:rsidRPr="00EE5B67">
        <w:rPr>
          <w:i/>
          <w:iCs/>
        </w:rPr>
        <w:t>Ecology and Evolution</w:t>
      </w:r>
      <w:r w:rsidRPr="00EE5B67">
        <w:t xml:space="preserve">, </w:t>
      </w:r>
      <w:r w:rsidRPr="00EE5B67">
        <w:rPr>
          <w:i/>
          <w:iCs/>
        </w:rPr>
        <w:t>8</w:t>
      </w:r>
      <w:r w:rsidRPr="00EE5B67">
        <w:t>(11), 5598–5610. https://doi.org/10.1002/ece3.4087</w:t>
      </w:r>
    </w:p>
    <w:p w14:paraId="4E4238F4" w14:textId="77777777" w:rsidR="00EE5B67" w:rsidRPr="00EE5B67" w:rsidRDefault="00EE5B67" w:rsidP="00EE5B67">
      <w:pPr>
        <w:pStyle w:val="Bibliography"/>
      </w:pPr>
      <w:r w:rsidRPr="00EE5B67">
        <w:t xml:space="preserve">Schulte, L. A., Niemi, J., Helmers, M. J., Liebman, M., Arbuckle, J. G., James, D. E., Kolka, R. K., O’Neal, M. E., Tomer, M. D., &amp; Tyndall, J. C. (2017). Prairie strips improve biodiversity and the delivery of multiple ecosystem services from corn–soybean croplands. </w:t>
      </w:r>
      <w:r w:rsidRPr="00EE5B67">
        <w:rPr>
          <w:i/>
          <w:iCs/>
        </w:rPr>
        <w:t>Proceedings of the National Academy of Sciences</w:t>
      </w:r>
      <w:r w:rsidRPr="00EE5B67">
        <w:t xml:space="preserve">, </w:t>
      </w:r>
      <w:r w:rsidRPr="00EE5B67">
        <w:rPr>
          <w:i/>
          <w:iCs/>
        </w:rPr>
        <w:t>114</w:t>
      </w:r>
      <w:r w:rsidRPr="00EE5B67">
        <w:t>(42), 11247–11252.</w:t>
      </w:r>
    </w:p>
    <w:p w14:paraId="5D8FB704" w14:textId="77777777" w:rsidR="00EE5B67" w:rsidRPr="00EE5B67" w:rsidRDefault="00EE5B67" w:rsidP="00EE5B67">
      <w:pPr>
        <w:pStyle w:val="Bibliography"/>
      </w:pPr>
      <w:r w:rsidRPr="00EE5B67">
        <w:t xml:space="preserve">Scott, H. G., &amp; Stojanovich, C. J. (1963). Digestion of juniper pollen by Collembola. </w:t>
      </w:r>
      <w:r w:rsidRPr="00EE5B67">
        <w:rPr>
          <w:i/>
          <w:iCs/>
        </w:rPr>
        <w:t>The Florida Entomologist</w:t>
      </w:r>
      <w:r w:rsidRPr="00EE5B67">
        <w:t xml:space="preserve">, </w:t>
      </w:r>
      <w:r w:rsidRPr="00EE5B67">
        <w:rPr>
          <w:i/>
          <w:iCs/>
        </w:rPr>
        <w:t>46</w:t>
      </w:r>
      <w:r w:rsidRPr="00EE5B67">
        <w:t>(2), 189–191.</w:t>
      </w:r>
    </w:p>
    <w:p w14:paraId="6D6CEE24" w14:textId="77777777" w:rsidR="00EE5B67" w:rsidRPr="00EE5B67" w:rsidRDefault="00EE5B67" w:rsidP="00EE5B67">
      <w:pPr>
        <w:pStyle w:val="Bibliography"/>
      </w:pPr>
      <w:r w:rsidRPr="00EE5B67">
        <w:lastRenderedPageBreak/>
        <w:t xml:space="preserve">Seidelmann, K., Ulbrich, K., &amp; Mielenz, N. (2010). Conditional sex allocation in the Red Mason bee, Osmia rufa. </w:t>
      </w:r>
      <w:r w:rsidRPr="00EE5B67">
        <w:rPr>
          <w:i/>
          <w:iCs/>
        </w:rPr>
        <w:t>Behavioral Ecology and Sociobiology</w:t>
      </w:r>
      <w:r w:rsidRPr="00EE5B67">
        <w:t xml:space="preserve">, </w:t>
      </w:r>
      <w:r w:rsidRPr="00EE5B67">
        <w:rPr>
          <w:i/>
          <w:iCs/>
        </w:rPr>
        <w:t>64</w:t>
      </w:r>
      <w:r w:rsidRPr="00EE5B67">
        <w:t>, 337–347. https://doi.org/10.1007/s00265-009-0850-2</w:t>
      </w:r>
    </w:p>
    <w:p w14:paraId="06F8C52E" w14:textId="77777777" w:rsidR="00EE5B67" w:rsidRPr="00EE5B67" w:rsidRDefault="00EE5B67" w:rsidP="00EE5B67">
      <w:pPr>
        <w:pStyle w:val="Bibliography"/>
      </w:pPr>
      <w:r w:rsidRPr="00EE5B67">
        <w:t xml:space="preserve">Smith, A. A., Bentley, M., &amp; Reynolds, H. L. (2013). Wild Bees Visiting Cucumber on Midwestern U.S. Organic Farms Benefit From Near-Farm Semi-Natural Areas. </w:t>
      </w:r>
      <w:r w:rsidRPr="00EE5B67">
        <w:rPr>
          <w:i/>
          <w:iCs/>
        </w:rPr>
        <w:t>Journal of Economic Entomology</w:t>
      </w:r>
      <w:r w:rsidRPr="00EE5B67">
        <w:t xml:space="preserve">, </w:t>
      </w:r>
      <w:r w:rsidRPr="00EE5B67">
        <w:rPr>
          <w:i/>
          <w:iCs/>
        </w:rPr>
        <w:t>106</w:t>
      </w:r>
      <w:r w:rsidRPr="00EE5B67">
        <w:t>(1), 97–106. https://doi.org/10.1603/EC12007</w:t>
      </w:r>
    </w:p>
    <w:p w14:paraId="10B130FC" w14:textId="77777777" w:rsidR="00EE5B67" w:rsidRPr="00EE5B67" w:rsidRDefault="00EE5B67" w:rsidP="00EE5B67">
      <w:pPr>
        <w:pStyle w:val="Bibliography"/>
      </w:pPr>
      <w:r w:rsidRPr="00EE5B67">
        <w:t xml:space="preserve">Szabo, T. I. (1984). Nectar secretion in dandelion. </w:t>
      </w:r>
      <w:r w:rsidRPr="00EE5B67">
        <w:rPr>
          <w:i/>
          <w:iCs/>
        </w:rPr>
        <w:t>Journal of Apicultural Research</w:t>
      </w:r>
      <w:r w:rsidRPr="00EE5B67">
        <w:t xml:space="preserve">, </w:t>
      </w:r>
      <w:r w:rsidRPr="00EE5B67">
        <w:rPr>
          <w:i/>
          <w:iCs/>
        </w:rPr>
        <w:t>23</w:t>
      </w:r>
      <w:r w:rsidRPr="00EE5B67">
        <w:t>(4), 204–208.</w:t>
      </w:r>
    </w:p>
    <w:p w14:paraId="78B0DAA8" w14:textId="77777777" w:rsidR="00EE5B67" w:rsidRPr="00EE5B67" w:rsidRDefault="00EE5B67" w:rsidP="00EE5B67">
      <w:pPr>
        <w:pStyle w:val="Bibliography"/>
      </w:pPr>
      <w:r w:rsidRPr="00EE5B67">
        <w:t>Tscharntke, T., Klein, A. M., Kruess, A., Steffan</w:t>
      </w:r>
      <w:r w:rsidRPr="00EE5B67">
        <w:rPr>
          <w:rFonts w:ascii="Cambria Math" w:hAnsi="Cambria Math" w:cs="Cambria Math"/>
        </w:rPr>
        <w:t>‐</w:t>
      </w:r>
      <w:r w:rsidRPr="00EE5B67">
        <w:t xml:space="preserve">Dewenter, I., &amp; Thies, C. (2005). Landscape perspectives on agricultural intensification and biodiversity – ecosystem service management. </w:t>
      </w:r>
      <w:r w:rsidRPr="00EE5B67">
        <w:rPr>
          <w:i/>
          <w:iCs/>
        </w:rPr>
        <w:t>Ecology Letters</w:t>
      </w:r>
      <w:r w:rsidRPr="00EE5B67">
        <w:t xml:space="preserve">, </w:t>
      </w:r>
      <w:r w:rsidRPr="00EE5B67">
        <w:rPr>
          <w:i/>
          <w:iCs/>
        </w:rPr>
        <w:t>8</w:t>
      </w:r>
      <w:r w:rsidRPr="00EE5B67">
        <w:t>(8), 857–874. https://doi.org/10.1111/j.1461-0248.2005.00782.x</w:t>
      </w:r>
    </w:p>
    <w:p w14:paraId="33C15831" w14:textId="77777777" w:rsidR="00EE5B67" w:rsidRPr="00EE5B67" w:rsidRDefault="00EE5B67" w:rsidP="00EE5B67">
      <w:pPr>
        <w:pStyle w:val="Bibliography"/>
      </w:pPr>
      <w:r w:rsidRPr="00EE5B67">
        <w:t xml:space="preserve">Tuell, J. K., Fiedler, A. K., Landis, D., &amp; Isaacs, R. (2008). Visitation by Wild and Managed Bees (Hymenoptera: Apoidea) to Eastern U.S. Native Plants for Use in Conservation Programs. </w:t>
      </w:r>
      <w:r w:rsidRPr="00EE5B67">
        <w:rPr>
          <w:i/>
          <w:iCs/>
        </w:rPr>
        <w:t>Environmental Entomology</w:t>
      </w:r>
      <w:r w:rsidRPr="00EE5B67">
        <w:t xml:space="preserve">, </w:t>
      </w:r>
      <w:r w:rsidRPr="00EE5B67">
        <w:rPr>
          <w:i/>
          <w:iCs/>
        </w:rPr>
        <w:t>37</w:t>
      </w:r>
      <w:r w:rsidRPr="00EE5B67">
        <w:t>(3), 707–718. https://doi.org/10.1603/0046-225X(2008)37[707:VBWAMB]2.0.CO;2</w:t>
      </w:r>
    </w:p>
    <w:p w14:paraId="1B611EB4" w14:textId="77777777" w:rsidR="00EE5B67" w:rsidRPr="00EE5B67" w:rsidRDefault="00EE5B67" w:rsidP="00EE5B67">
      <w:pPr>
        <w:pStyle w:val="Bibliography"/>
      </w:pPr>
      <w:r w:rsidRPr="00EE5B67">
        <w:t xml:space="preserve">Vaudo, A. D., Tooker, J. F., Grozinger, C. M., &amp; Patch, H. M. (2015). Bee nutrition and floral resource restoration. </w:t>
      </w:r>
      <w:r w:rsidRPr="00EE5B67">
        <w:rPr>
          <w:i/>
          <w:iCs/>
        </w:rPr>
        <w:t>Current Opinion in Insect Science</w:t>
      </w:r>
      <w:r w:rsidRPr="00EE5B67">
        <w:t xml:space="preserve">, </w:t>
      </w:r>
      <w:r w:rsidRPr="00EE5B67">
        <w:rPr>
          <w:i/>
          <w:iCs/>
        </w:rPr>
        <w:t>10</w:t>
      </w:r>
      <w:r w:rsidRPr="00EE5B67">
        <w:t>, 133–141. https://doi.org/10.1016/j.cois.2015.05.008</w:t>
      </w:r>
    </w:p>
    <w:p w14:paraId="77E39D21" w14:textId="77777777" w:rsidR="00EE5B67" w:rsidRPr="00EE5B67" w:rsidRDefault="00EE5B67" w:rsidP="00EE5B67">
      <w:pPr>
        <w:pStyle w:val="Bibliography"/>
      </w:pPr>
      <w:r w:rsidRPr="00EE5B67">
        <w:t xml:space="preserve">Vaudo, A. D., Tooker, J. F., Patch, H. M., Biddinger, D. J., Coccia, M., Crone, M. K., Fiely, M., Francis, J. S., Hines, H. M., Hodges, M., Jackson, S. W., Michez, D., </w:t>
      </w:r>
      <w:r w:rsidRPr="00EE5B67">
        <w:lastRenderedPageBreak/>
        <w:t xml:space="preserve">Mu, J., Russo, L., Safari, M., Treanore, E. D., Vanderplanck, M., Yip, E., Leonard, A. S., &amp; Grozinger, C. M. (2020). Pollen Protein: Lipid Macronutrient Ratios May Guide Broad Patterns of Bee Species Floral Preferences. </w:t>
      </w:r>
      <w:r w:rsidRPr="00EE5B67">
        <w:rPr>
          <w:i/>
          <w:iCs/>
        </w:rPr>
        <w:t>Insects</w:t>
      </w:r>
      <w:r w:rsidRPr="00EE5B67">
        <w:t xml:space="preserve">, </w:t>
      </w:r>
      <w:r w:rsidRPr="00EE5B67">
        <w:rPr>
          <w:i/>
          <w:iCs/>
        </w:rPr>
        <w:t>11</w:t>
      </w:r>
      <w:r w:rsidRPr="00EE5B67">
        <w:t>(2), 132. https://doi.org/10.3390/insects11020132</w:t>
      </w:r>
    </w:p>
    <w:p w14:paraId="720FEE9A" w14:textId="77777777" w:rsidR="00EE5B67" w:rsidRPr="00EE5B67" w:rsidRDefault="00EE5B67" w:rsidP="00EE5B67">
      <w:pPr>
        <w:pStyle w:val="Bibliography"/>
      </w:pPr>
      <w:r w:rsidRPr="00EE5B67">
        <w:t xml:space="preserve">Watson, J. C., Wolf, A. T., &amp; Ascher, J. S. (2011). Forested Landscapes Promote Richness and Abundance of Native Bees (Hymenoptera: Apoidea: Anthophila) in Wisconsin Apple Orchards. </w:t>
      </w:r>
      <w:r w:rsidRPr="00EE5B67">
        <w:rPr>
          <w:i/>
          <w:iCs/>
        </w:rPr>
        <w:t>Environmental Entomology</w:t>
      </w:r>
      <w:r w:rsidRPr="00EE5B67">
        <w:t xml:space="preserve">, </w:t>
      </w:r>
      <w:r w:rsidRPr="00EE5B67">
        <w:rPr>
          <w:i/>
          <w:iCs/>
        </w:rPr>
        <w:t>40</w:t>
      </w:r>
      <w:r w:rsidRPr="00EE5B67">
        <w:t>(3), 621–632. https://doi.org/10.1603/EN10231</w:t>
      </w:r>
    </w:p>
    <w:p w14:paraId="68416E46" w14:textId="77777777" w:rsidR="00EE5B67" w:rsidRPr="00EE5B67" w:rsidRDefault="00EE5B67" w:rsidP="00EE5B67">
      <w:pPr>
        <w:pStyle w:val="Bibliography"/>
      </w:pPr>
      <w:r w:rsidRPr="00EE5B67">
        <w:t xml:space="preserve">Williams, N. M., Ward, K. L., Pope, N., Isaacs, R., Wilson, J., May, E. A., Ellis, J., Daniels, J., Pence, A., Ullmann, K., &amp; Peters, J. (2015). Native wildflower plantings support wild bee abundance and diversity in agricultural landscapes across the United States. </w:t>
      </w:r>
      <w:r w:rsidRPr="00EE5B67">
        <w:rPr>
          <w:i/>
          <w:iCs/>
        </w:rPr>
        <w:t>Ecological Applications</w:t>
      </w:r>
      <w:r w:rsidRPr="00EE5B67">
        <w:t xml:space="preserve">, </w:t>
      </w:r>
      <w:r w:rsidRPr="00EE5B67">
        <w:rPr>
          <w:i/>
          <w:iCs/>
        </w:rPr>
        <w:t>25</w:t>
      </w:r>
      <w:r w:rsidRPr="00EE5B67">
        <w:t>(8), 2119–2131. https://doi.org/10.1890/14-1748.1</w:t>
      </w:r>
    </w:p>
    <w:p w14:paraId="313055A9" w14:textId="77777777" w:rsidR="00EE5B67" w:rsidRPr="00EE5B67" w:rsidRDefault="00EE5B67" w:rsidP="00EE5B67">
      <w:pPr>
        <w:pStyle w:val="Bibliography"/>
      </w:pPr>
      <w:r w:rsidRPr="00EE5B67">
        <w:t xml:space="preserve">Wilson, M. E., Skinner, J. A., Wszelaki, A. L., &amp; Drummond, F. (2016). Using Nonmetric Multidimensional Scaling to Analyze Bee Visitation in East Tennessee Crops as an Indicator of Pollination Services Provided by Honey Bees ( Apis mellifera L. ) and Native Bees. </w:t>
      </w:r>
      <w:r w:rsidRPr="00EE5B67">
        <w:rPr>
          <w:i/>
          <w:iCs/>
        </w:rPr>
        <w:t>Environmental Entomology</w:t>
      </w:r>
      <w:r w:rsidRPr="00EE5B67">
        <w:t xml:space="preserve">, </w:t>
      </w:r>
      <w:r w:rsidRPr="00EE5B67">
        <w:rPr>
          <w:i/>
          <w:iCs/>
        </w:rPr>
        <w:t>45</w:t>
      </w:r>
      <w:r w:rsidRPr="00EE5B67">
        <w:t>(2), 390–396. https://doi.org/10.1093/ee/nvv216</w:t>
      </w:r>
    </w:p>
    <w:p w14:paraId="26531341" w14:textId="77777777" w:rsidR="00EE5B67" w:rsidRPr="00EE5B67" w:rsidRDefault="00EE5B67" w:rsidP="00EE5B67">
      <w:pPr>
        <w:pStyle w:val="Bibliography"/>
      </w:pPr>
      <w:r w:rsidRPr="00EE5B67">
        <w:t xml:space="preserve">Winfree, R., Bartomeus, I., &amp; Cariveau, D. P. (2011). Native Pollinators in Anthropogenic Habitats. </w:t>
      </w:r>
      <w:r w:rsidRPr="00EE5B67">
        <w:rPr>
          <w:i/>
          <w:iCs/>
        </w:rPr>
        <w:t>Annual Review of Ecology, Evolution, and Systematics</w:t>
      </w:r>
      <w:r w:rsidRPr="00EE5B67">
        <w:t xml:space="preserve">, </w:t>
      </w:r>
      <w:r w:rsidRPr="00EE5B67">
        <w:rPr>
          <w:i/>
          <w:iCs/>
        </w:rPr>
        <w:t>42</w:t>
      </w:r>
      <w:r w:rsidRPr="00EE5B67">
        <w:t>(1), 1–22. https://doi.org/10.1146/annurev-ecolsys-102710-145042</w:t>
      </w:r>
    </w:p>
    <w:p w14:paraId="5C167CCD" w14:textId="77777777" w:rsidR="00EE5B67" w:rsidRPr="00EE5B67" w:rsidRDefault="00EE5B67" w:rsidP="00EE5B67">
      <w:pPr>
        <w:pStyle w:val="Bibliography"/>
      </w:pPr>
      <w:r w:rsidRPr="00EE5B67">
        <w:lastRenderedPageBreak/>
        <w:t xml:space="preserve">Winfree, R., Griswold, T., &amp; Kremen, C. (2007). Effect of Human Disturbance on Bee Communities in a Forested Ecosystem. </w:t>
      </w:r>
      <w:r w:rsidRPr="00EE5B67">
        <w:rPr>
          <w:i/>
          <w:iCs/>
        </w:rPr>
        <w:t>Conservation Biology</w:t>
      </w:r>
      <w:r w:rsidRPr="00EE5B67">
        <w:t xml:space="preserve">, </w:t>
      </w:r>
      <w:r w:rsidRPr="00EE5B67">
        <w:rPr>
          <w:i/>
          <w:iCs/>
        </w:rPr>
        <w:t>21</w:t>
      </w:r>
      <w:r w:rsidRPr="00EE5B67">
        <w:t>(1), 213–223. https://doi.org/10.1111/j.1523-1739.2006.00574.x</w:t>
      </w:r>
    </w:p>
    <w:p w14:paraId="65BEBCA8" w14:textId="77777777" w:rsidR="00EE5B67" w:rsidRPr="00EE5B67" w:rsidRDefault="00EE5B67" w:rsidP="00EE5B67">
      <w:pPr>
        <w:pStyle w:val="Bibliography"/>
      </w:pPr>
      <w:r w:rsidRPr="00EE5B67">
        <w:t xml:space="preserve">Winfree, R., W. Fox, J., Williams, N. M., Reilly, J. R., &amp; Cariveau, D. P. (2015). Abundance of common species, not species richness, drives delivery of a real-world ecosystem service. </w:t>
      </w:r>
      <w:r w:rsidRPr="00EE5B67">
        <w:rPr>
          <w:i/>
          <w:iCs/>
        </w:rPr>
        <w:t>Ecology Letters</w:t>
      </w:r>
      <w:r w:rsidRPr="00EE5B67">
        <w:t xml:space="preserve">, </w:t>
      </w:r>
      <w:r w:rsidRPr="00EE5B67">
        <w:rPr>
          <w:i/>
          <w:iCs/>
        </w:rPr>
        <w:t>18</w:t>
      </w:r>
      <w:r w:rsidRPr="00EE5B67">
        <w:t>(7), 626–635.</w:t>
      </w:r>
    </w:p>
    <w:p w14:paraId="6158605B" w14:textId="77777777" w:rsidR="00EE5B67" w:rsidRPr="00EE5B67" w:rsidRDefault="00EE5B67" w:rsidP="00EE5B67">
      <w:pPr>
        <w:pStyle w:val="Bibliography"/>
      </w:pPr>
      <w:r w:rsidRPr="00EE5B67">
        <w:t xml:space="preserve">Winfree, R., Williams, N. M., Dushoff, J., &amp; Kremen, C. (2007). Native bees provide insurance against ongoing honey bee losses. </w:t>
      </w:r>
      <w:r w:rsidRPr="00EE5B67">
        <w:rPr>
          <w:i/>
          <w:iCs/>
        </w:rPr>
        <w:t>Ecology Letters</w:t>
      </w:r>
      <w:r w:rsidRPr="00EE5B67">
        <w:t xml:space="preserve">, </w:t>
      </w:r>
      <w:r w:rsidRPr="00EE5B67">
        <w:rPr>
          <w:i/>
          <w:iCs/>
        </w:rPr>
        <w:t>10</w:t>
      </w:r>
      <w:r w:rsidRPr="00EE5B67">
        <w:t>(11), 1105–1113. https://doi.org/10.1111/j.1461-0248.2007.01110.x</w:t>
      </w:r>
    </w:p>
    <w:p w14:paraId="14F0564E" w14:textId="16D532EB" w:rsidR="00207B01" w:rsidRPr="000C7549" w:rsidRDefault="00207B01" w:rsidP="00306DCA">
      <w:pPr>
        <w:spacing w:line="480" w:lineRule="auto"/>
        <w:rPr>
          <w:rFonts w:ascii="Arial" w:hAnsi="Arial" w:cs="Arial"/>
        </w:rPr>
      </w:pPr>
      <w:r w:rsidRPr="000C7549">
        <w:rPr>
          <w:rFonts w:ascii="Arial" w:hAnsi="Arial" w:cs="Arial"/>
        </w:rPr>
        <w:fldChar w:fldCharType="end"/>
      </w:r>
    </w:p>
    <w:p w14:paraId="1CA3FDC3" w14:textId="3B3F1E47" w:rsidR="00F020D2" w:rsidRDefault="00F020D2" w:rsidP="00F9200C">
      <w:pPr>
        <w:pStyle w:val="Heading1"/>
        <w:spacing w:line="480" w:lineRule="auto"/>
        <w:rPr>
          <w:caps w:val="0"/>
        </w:rPr>
      </w:pPr>
    </w:p>
    <w:p w14:paraId="7F7950D2" w14:textId="6C1E8FFB" w:rsidR="00F42E35" w:rsidRDefault="00F42E35" w:rsidP="00F42E35"/>
    <w:p w14:paraId="6B868E96" w14:textId="2418FAD1" w:rsidR="00F42E35" w:rsidRDefault="00F42E35" w:rsidP="00F42E35"/>
    <w:p w14:paraId="6D5AF42C" w14:textId="55562A6D" w:rsidR="00F42E35" w:rsidRDefault="00F42E35" w:rsidP="00F42E35"/>
    <w:p w14:paraId="65A68DE8" w14:textId="419EF637" w:rsidR="00F42E35" w:rsidRDefault="00F42E35" w:rsidP="00F42E35"/>
    <w:p w14:paraId="0A587C44" w14:textId="7FA3FFD6" w:rsidR="00F42E35" w:rsidRDefault="00F42E35" w:rsidP="00F42E35"/>
    <w:p w14:paraId="519AAB5A" w14:textId="35AC8A37" w:rsidR="00F42E35" w:rsidRDefault="00F42E35" w:rsidP="00F42E35"/>
    <w:p w14:paraId="373F36C0" w14:textId="0F242444" w:rsidR="00F42E35" w:rsidRDefault="00F42E35" w:rsidP="00F42E35"/>
    <w:p w14:paraId="7890073C" w14:textId="48729463" w:rsidR="00F42E35" w:rsidRDefault="00F42E35" w:rsidP="00F42E35"/>
    <w:p w14:paraId="6EB38316" w14:textId="77B8DD1F" w:rsidR="00F42E35" w:rsidRDefault="00F42E35" w:rsidP="00F42E35"/>
    <w:p w14:paraId="0A07F177" w14:textId="6DC717CD" w:rsidR="00F42E35" w:rsidRDefault="00F42E35" w:rsidP="00F42E35"/>
    <w:p w14:paraId="09E90ECF" w14:textId="4CE9CE13" w:rsidR="00F42E35" w:rsidRDefault="00F42E35" w:rsidP="00F42E35"/>
    <w:p w14:paraId="4093958E" w14:textId="78DD3C94" w:rsidR="00F42E35" w:rsidRDefault="00F42E35" w:rsidP="00F42E35"/>
    <w:p w14:paraId="5A69EB5B" w14:textId="2C76E9FC" w:rsidR="00F42E35" w:rsidRDefault="00F42E35" w:rsidP="00F42E35"/>
    <w:p w14:paraId="68FB3FE9" w14:textId="09CFC5E8" w:rsidR="00F42E35" w:rsidRDefault="00F42E35" w:rsidP="00F42E35"/>
    <w:p w14:paraId="02E81D37" w14:textId="1DB588D8" w:rsidR="00F42E35" w:rsidRDefault="00F42E35" w:rsidP="00F42E35"/>
    <w:p w14:paraId="584F9359" w14:textId="7FD495BE" w:rsidR="00F42E35" w:rsidRDefault="00F42E35" w:rsidP="00F42E35"/>
    <w:p w14:paraId="1981A71E" w14:textId="1DF4DE93" w:rsidR="00F42E35" w:rsidRDefault="00F42E35" w:rsidP="00F42E35"/>
    <w:p w14:paraId="560B7B7A" w14:textId="118CDB81" w:rsidR="00F42E35" w:rsidRDefault="00F42E35" w:rsidP="00F42E35"/>
    <w:p w14:paraId="63CD91B8" w14:textId="605C1FFA" w:rsidR="00F42E35" w:rsidRDefault="00F42E35" w:rsidP="00F42E35"/>
    <w:p w14:paraId="49439562" w14:textId="40C6A918" w:rsidR="00F42E35" w:rsidRDefault="00F42E35" w:rsidP="00F42E35"/>
    <w:p w14:paraId="2051C50E" w14:textId="7C015A90" w:rsidR="00F42E35" w:rsidRDefault="00F42E35" w:rsidP="00F42E35"/>
    <w:p w14:paraId="058FC2F6" w14:textId="77777777" w:rsidR="00F020D2" w:rsidRDefault="00F020D2" w:rsidP="00F9200C">
      <w:pPr>
        <w:pStyle w:val="Heading1"/>
        <w:spacing w:line="480" w:lineRule="auto"/>
        <w:rPr>
          <w:caps w:val="0"/>
        </w:rPr>
      </w:pPr>
    </w:p>
    <w:p w14:paraId="632BAA34" w14:textId="5A4AE067" w:rsidR="00207B01" w:rsidRPr="000C7549" w:rsidRDefault="00207B01" w:rsidP="00F9200C">
      <w:pPr>
        <w:pStyle w:val="Heading1"/>
        <w:spacing w:line="480" w:lineRule="auto"/>
      </w:pPr>
      <w:bookmarkStart w:id="31" w:name="_Toc76799713"/>
      <w:r w:rsidRPr="000C7549">
        <w:rPr>
          <w:caps w:val="0"/>
        </w:rPr>
        <w:lastRenderedPageBreak/>
        <w:t>APPENDIX</w:t>
      </w:r>
      <w:bookmarkEnd w:id="31"/>
    </w:p>
    <w:p w14:paraId="1D2D6BC1" w14:textId="3781CE48" w:rsidR="00207B01" w:rsidRDefault="00207B01" w:rsidP="00207B01">
      <w:pPr>
        <w:pStyle w:val="Title"/>
      </w:pPr>
    </w:p>
    <w:p w14:paraId="09D37F78" w14:textId="11CDD3DF" w:rsidR="00F42E35" w:rsidRDefault="00F42E35" w:rsidP="00207B01">
      <w:pPr>
        <w:pStyle w:val="Title"/>
      </w:pPr>
    </w:p>
    <w:p w14:paraId="2045CB1C" w14:textId="308DB462" w:rsidR="00F42E35" w:rsidRDefault="00F42E35" w:rsidP="00207B01">
      <w:pPr>
        <w:pStyle w:val="Title"/>
      </w:pPr>
    </w:p>
    <w:p w14:paraId="474DEAD1" w14:textId="13363E41" w:rsidR="00F42E35" w:rsidRDefault="00F42E35" w:rsidP="00207B01">
      <w:pPr>
        <w:pStyle w:val="Title"/>
      </w:pPr>
    </w:p>
    <w:p w14:paraId="22FEED6D" w14:textId="28E72FB6" w:rsidR="00F42E35" w:rsidRDefault="00F42E35" w:rsidP="00207B01">
      <w:pPr>
        <w:pStyle w:val="Title"/>
      </w:pPr>
    </w:p>
    <w:p w14:paraId="481E2D09" w14:textId="48B29CE4" w:rsidR="00F42E35" w:rsidRDefault="00F42E35" w:rsidP="00207B01">
      <w:pPr>
        <w:pStyle w:val="Title"/>
      </w:pPr>
    </w:p>
    <w:p w14:paraId="0739C2E1" w14:textId="4DF5E25E" w:rsidR="00F42E35" w:rsidRDefault="00F42E35" w:rsidP="00207B01">
      <w:pPr>
        <w:pStyle w:val="Title"/>
      </w:pPr>
    </w:p>
    <w:p w14:paraId="6CFA0590" w14:textId="4EB46836" w:rsidR="00F42E35" w:rsidRDefault="00F42E35" w:rsidP="00207B01">
      <w:pPr>
        <w:pStyle w:val="Title"/>
      </w:pPr>
    </w:p>
    <w:p w14:paraId="7A0EC60A" w14:textId="23D07973" w:rsidR="00F42E35" w:rsidRDefault="00F42E35" w:rsidP="00207B01">
      <w:pPr>
        <w:pStyle w:val="Title"/>
      </w:pPr>
    </w:p>
    <w:p w14:paraId="0FD00886" w14:textId="3AE3A4B1" w:rsidR="00F42E35" w:rsidRDefault="00F42E35" w:rsidP="00207B01">
      <w:pPr>
        <w:pStyle w:val="Title"/>
      </w:pPr>
    </w:p>
    <w:p w14:paraId="4A31F3FD" w14:textId="796A1B01" w:rsidR="00F42E35" w:rsidRDefault="00F42E35" w:rsidP="00207B01">
      <w:pPr>
        <w:pStyle w:val="Title"/>
      </w:pPr>
    </w:p>
    <w:p w14:paraId="769AFD5B" w14:textId="32F67FF9" w:rsidR="00F42E35" w:rsidRDefault="00F42E35" w:rsidP="00207B01">
      <w:pPr>
        <w:pStyle w:val="Title"/>
      </w:pPr>
    </w:p>
    <w:p w14:paraId="35984D4C" w14:textId="77777777" w:rsidR="00F42E35" w:rsidRPr="000C7549" w:rsidRDefault="00F42E35" w:rsidP="00207B01">
      <w:pPr>
        <w:pStyle w:val="Title"/>
      </w:pPr>
    </w:p>
    <w:p w14:paraId="728B7CF0" w14:textId="77777777" w:rsidR="00207B01" w:rsidRPr="000C7549" w:rsidRDefault="00207B01" w:rsidP="00207B01">
      <w:pPr>
        <w:spacing w:line="480" w:lineRule="auto"/>
        <w:rPr>
          <w:rFonts w:ascii="Arial" w:hAnsi="Arial" w:cs="Arial"/>
        </w:rPr>
      </w:pPr>
    </w:p>
    <w:p w14:paraId="6C44FB5F" w14:textId="77777777" w:rsidR="00207B01" w:rsidRPr="000C7549" w:rsidRDefault="00207B01" w:rsidP="00207B01">
      <w:pPr>
        <w:spacing w:line="480" w:lineRule="auto"/>
        <w:rPr>
          <w:rFonts w:ascii="Arial" w:hAnsi="Arial" w:cs="Arial"/>
        </w:rPr>
      </w:pPr>
    </w:p>
    <w:p w14:paraId="2D6C52D7" w14:textId="77777777" w:rsidR="00207B01" w:rsidRPr="000C7549" w:rsidRDefault="00207B01" w:rsidP="00207B01">
      <w:pPr>
        <w:spacing w:line="480" w:lineRule="auto"/>
        <w:rPr>
          <w:rFonts w:ascii="Arial" w:hAnsi="Arial" w:cs="Arial"/>
        </w:rPr>
      </w:pPr>
    </w:p>
    <w:p w14:paraId="2FB2C82A" w14:textId="77777777" w:rsidR="00207B01" w:rsidRPr="000C7549" w:rsidRDefault="00207B01" w:rsidP="00207B01">
      <w:pPr>
        <w:spacing w:line="480" w:lineRule="auto"/>
        <w:rPr>
          <w:rFonts w:ascii="Arial" w:hAnsi="Arial" w:cs="Arial"/>
        </w:rPr>
      </w:pPr>
    </w:p>
    <w:p w14:paraId="78B5C6BA" w14:textId="77777777" w:rsidR="00207B01" w:rsidRPr="000C7549" w:rsidRDefault="00207B01" w:rsidP="00207B01">
      <w:pPr>
        <w:spacing w:line="480" w:lineRule="auto"/>
        <w:rPr>
          <w:rFonts w:ascii="Arial" w:hAnsi="Arial" w:cs="Arial"/>
        </w:rPr>
      </w:pPr>
    </w:p>
    <w:p w14:paraId="7095B4BE" w14:textId="77777777" w:rsidR="00207B01" w:rsidRPr="000C7549" w:rsidRDefault="00207B01" w:rsidP="00207B01">
      <w:pPr>
        <w:spacing w:line="480" w:lineRule="auto"/>
        <w:rPr>
          <w:rFonts w:ascii="Arial" w:hAnsi="Arial" w:cs="Arial"/>
        </w:rPr>
      </w:pPr>
    </w:p>
    <w:p w14:paraId="3A43E1DF" w14:textId="77777777" w:rsidR="00207B01" w:rsidRPr="000C7549" w:rsidRDefault="00207B01" w:rsidP="00207B01">
      <w:pPr>
        <w:spacing w:line="480" w:lineRule="auto"/>
        <w:rPr>
          <w:rFonts w:ascii="Arial" w:hAnsi="Arial" w:cs="Arial"/>
        </w:rPr>
      </w:pPr>
    </w:p>
    <w:p w14:paraId="593D03CC" w14:textId="77777777" w:rsidR="00207B01" w:rsidRPr="000C7549" w:rsidRDefault="00207B01" w:rsidP="00207B01">
      <w:pPr>
        <w:spacing w:line="480" w:lineRule="auto"/>
        <w:rPr>
          <w:rFonts w:ascii="Arial" w:hAnsi="Arial" w:cs="Arial"/>
        </w:rPr>
      </w:pPr>
    </w:p>
    <w:p w14:paraId="14C79682" w14:textId="77777777" w:rsidR="00207B01" w:rsidRPr="000C7549" w:rsidRDefault="00207B01" w:rsidP="00207B01">
      <w:pPr>
        <w:spacing w:line="480" w:lineRule="auto"/>
        <w:rPr>
          <w:rFonts w:ascii="Arial" w:hAnsi="Arial" w:cs="Arial"/>
        </w:rPr>
      </w:pPr>
    </w:p>
    <w:p w14:paraId="0E8B4DA6" w14:textId="77777777" w:rsidR="00E723C2" w:rsidRDefault="00E723C2" w:rsidP="00F42E35">
      <w:pPr>
        <w:pStyle w:val="Caption"/>
        <w:spacing w:before="0" w:after="0"/>
      </w:pPr>
      <w:bookmarkStart w:id="32" w:name="_Toc289175850"/>
      <w:r w:rsidRPr="000C7549">
        <w:rPr>
          <w:noProof/>
        </w:rPr>
        <w:lastRenderedPageBreak/>
        <w:drawing>
          <wp:inline distT="0" distB="0" distL="0" distR="0" wp14:anchorId="154535F7" wp14:editId="3EF11D74">
            <wp:extent cx="4343400" cy="2331908"/>
            <wp:effectExtent l="0" t="0" r="0" b="5080"/>
            <wp:docPr id="18" name="Picture 18" descr="A picture containing electronics,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lectronics, calculator&#10;&#10;Description automatically generated"/>
                    <pic:cNvPicPr/>
                  </pic:nvPicPr>
                  <pic:blipFill>
                    <a:blip r:embed="rId9"/>
                    <a:stretch>
                      <a:fillRect/>
                    </a:stretch>
                  </pic:blipFill>
                  <pic:spPr>
                    <a:xfrm>
                      <a:off x="0" y="0"/>
                      <a:ext cx="4563999" cy="2450345"/>
                    </a:xfrm>
                    <a:prstGeom prst="rect">
                      <a:avLst/>
                    </a:prstGeom>
                  </pic:spPr>
                </pic:pic>
              </a:graphicData>
            </a:graphic>
          </wp:inline>
        </w:drawing>
      </w:r>
    </w:p>
    <w:p w14:paraId="3C04E968" w14:textId="79EE63BE" w:rsidR="00B472E2" w:rsidRDefault="00E723C2" w:rsidP="00F42E35">
      <w:pPr>
        <w:pStyle w:val="Caption"/>
        <w:spacing w:before="0" w:after="0"/>
      </w:pPr>
      <w:bookmarkStart w:id="33" w:name="_Toc76799610"/>
      <w:r w:rsidRPr="000C7549">
        <w:t xml:space="preserve">Figure </w:t>
      </w:r>
      <w:fldSimple w:instr=" SEQ Figure \* ARABIC ">
        <w:r w:rsidR="00B472E2">
          <w:rPr>
            <w:noProof/>
          </w:rPr>
          <w:t>1</w:t>
        </w:r>
      </w:fldSimple>
      <w:r w:rsidRPr="000C7549">
        <w:t>. Plot Design</w:t>
      </w:r>
      <w:bookmarkEnd w:id="33"/>
    </w:p>
    <w:p w14:paraId="112E9D92" w14:textId="0DAF33C5" w:rsidR="00E723C2" w:rsidRPr="00B472E2" w:rsidRDefault="00B472E2" w:rsidP="00F42E35">
      <w:pPr>
        <w:rPr>
          <w:rFonts w:ascii="Arial" w:hAnsi="Arial" w:cs="Arial"/>
          <w:sz w:val="20"/>
          <w:szCs w:val="20"/>
        </w:rPr>
      </w:pPr>
      <w:r>
        <w:rPr>
          <w:rFonts w:ascii="Arial" w:hAnsi="Arial" w:cs="Arial"/>
          <w:sz w:val="20"/>
          <w:szCs w:val="20"/>
        </w:rPr>
        <w:t xml:space="preserve">Design of each plot or treatment across all blocks. There are 6 different plant species and four individuals per species, totaling </w:t>
      </w:r>
      <w:r w:rsidR="00E723C2" w:rsidRPr="00B472E2">
        <w:rPr>
          <w:rFonts w:ascii="Arial" w:hAnsi="Arial" w:cs="Arial"/>
          <w:sz w:val="20"/>
          <w:szCs w:val="20"/>
        </w:rPr>
        <w:t xml:space="preserve">24 individuals per plot. Each color represents a plant species. </w:t>
      </w:r>
    </w:p>
    <w:p w14:paraId="445F94DC" w14:textId="77777777" w:rsidR="00E723C2" w:rsidRPr="00B472E2" w:rsidRDefault="00E723C2" w:rsidP="00B472E2"/>
    <w:p w14:paraId="21DEA190" w14:textId="77777777" w:rsidR="00E723C2" w:rsidRPr="00B472E2" w:rsidRDefault="00E723C2" w:rsidP="00B472E2"/>
    <w:p w14:paraId="74E8E72D" w14:textId="5187C404" w:rsidR="00E723C2" w:rsidRPr="00EC5B92" w:rsidRDefault="00E723C2" w:rsidP="00EC5B92"/>
    <w:p w14:paraId="6077A4AB" w14:textId="68F51E71" w:rsidR="00F020D2" w:rsidRPr="00EC5B92" w:rsidRDefault="00F020D2" w:rsidP="00EC5B92"/>
    <w:p w14:paraId="1E9DCB97" w14:textId="269820F8" w:rsidR="00F020D2" w:rsidRPr="00EC5B92" w:rsidRDefault="00F020D2" w:rsidP="00EC5B92"/>
    <w:p w14:paraId="35359E04" w14:textId="64FBC3B6" w:rsidR="00F020D2" w:rsidRPr="00EC5B92" w:rsidRDefault="00F020D2" w:rsidP="00EC5B92"/>
    <w:p w14:paraId="1705EE76" w14:textId="5C195659" w:rsidR="00F020D2" w:rsidRDefault="00F020D2" w:rsidP="00EC5B92"/>
    <w:p w14:paraId="36EFC4C0" w14:textId="710791B3" w:rsidR="00F020D2" w:rsidRDefault="00F020D2" w:rsidP="00E723C2"/>
    <w:p w14:paraId="0E7E6450" w14:textId="77777777" w:rsidR="00F42E35" w:rsidRDefault="00F42E35" w:rsidP="00E723C2"/>
    <w:p w14:paraId="25F9AFB2" w14:textId="77777777" w:rsidR="00E723C2" w:rsidRPr="000C7549" w:rsidRDefault="00E723C2" w:rsidP="00F42E35">
      <w:pPr>
        <w:rPr>
          <w:rFonts w:ascii="Arial" w:hAnsi="Arial" w:cs="Arial"/>
        </w:rPr>
      </w:pPr>
      <w:r w:rsidRPr="000C7549">
        <w:rPr>
          <w:rFonts w:ascii="Arial" w:hAnsi="Arial" w:cs="Arial"/>
          <w:noProof/>
        </w:rPr>
        <w:drawing>
          <wp:inline distT="0" distB="0" distL="0" distR="0" wp14:anchorId="357227A8" wp14:editId="3E2B2971">
            <wp:extent cx="5829300" cy="2598420"/>
            <wp:effectExtent l="0" t="0" r="12700" b="17780"/>
            <wp:docPr id="19" name="Chart 19">
              <a:extLst xmlns:a="http://schemas.openxmlformats.org/drawingml/2006/main">
                <a:ext uri="{FF2B5EF4-FFF2-40B4-BE49-F238E27FC236}">
                  <a16:creationId xmlns:a16="http://schemas.microsoft.com/office/drawing/2014/main" id="{0F75A657-798A-5E44-91D2-C1CD1B27B5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D60D5D" w14:textId="1AEC044E" w:rsidR="00E723C2" w:rsidRDefault="00E723C2" w:rsidP="00F42E35">
      <w:pPr>
        <w:pStyle w:val="Caption"/>
        <w:spacing w:before="0" w:after="0"/>
        <w:rPr>
          <w:b w:val="0"/>
          <w:bCs w:val="0"/>
        </w:rPr>
      </w:pPr>
      <w:bookmarkStart w:id="34" w:name="_Toc76799611"/>
      <w:r w:rsidRPr="000C7549">
        <w:t xml:space="preserve">Figure </w:t>
      </w:r>
      <w:fldSimple w:instr=" SEQ Figure \* ARABIC ">
        <w:r w:rsidRPr="000C7549">
          <w:rPr>
            <w:noProof/>
          </w:rPr>
          <w:t>2</w:t>
        </w:r>
      </w:fldSimple>
      <w:r w:rsidRPr="000C7549">
        <w:t xml:space="preserve">. Average </w:t>
      </w:r>
      <w:r w:rsidR="008E7576">
        <w:t xml:space="preserve">Pollinator </w:t>
      </w:r>
      <w:r w:rsidRPr="000C7549">
        <w:t xml:space="preserve">Abundance per </w:t>
      </w:r>
      <w:r w:rsidR="00F020D2">
        <w:t>B</w:t>
      </w:r>
      <w:r w:rsidRPr="000C7549">
        <w:t>lock</w:t>
      </w:r>
      <w:bookmarkEnd w:id="34"/>
      <w:r w:rsidRPr="000C7549">
        <w:rPr>
          <w:b w:val="0"/>
          <w:bCs w:val="0"/>
        </w:rPr>
        <w:t xml:space="preserve"> </w:t>
      </w:r>
    </w:p>
    <w:p w14:paraId="0CCB907D" w14:textId="36DA1B5A" w:rsidR="00E723C2" w:rsidRDefault="00E723C2" w:rsidP="00F42E35">
      <w:pPr>
        <w:pStyle w:val="Caption"/>
        <w:spacing w:before="0" w:after="0"/>
        <w:rPr>
          <w:b w:val="0"/>
          <w:bCs w:val="0"/>
          <w:color w:val="000000" w:themeColor="text1"/>
          <w:sz w:val="20"/>
          <w:szCs w:val="20"/>
        </w:rPr>
      </w:pPr>
      <w:r w:rsidRPr="000C7549">
        <w:rPr>
          <w:b w:val="0"/>
          <w:bCs w:val="0"/>
          <w:color w:val="000000" w:themeColor="text1"/>
          <w:sz w:val="20"/>
          <w:szCs w:val="20"/>
        </w:rPr>
        <w:t xml:space="preserve">Orange bars represent 2019 collections and 2020 in blue. </w:t>
      </w:r>
      <w:r w:rsidR="00D5111D">
        <w:rPr>
          <w:b w:val="0"/>
          <w:bCs w:val="0"/>
          <w:color w:val="000000" w:themeColor="text1"/>
          <w:sz w:val="20"/>
          <w:szCs w:val="20"/>
        </w:rPr>
        <w:t>Block 5</w:t>
      </w:r>
      <w:r w:rsidRPr="000C7549">
        <w:rPr>
          <w:b w:val="0"/>
          <w:bCs w:val="0"/>
          <w:color w:val="000000" w:themeColor="text1"/>
          <w:sz w:val="20"/>
          <w:szCs w:val="20"/>
        </w:rPr>
        <w:t xml:space="preserve"> was established in 2020</w:t>
      </w:r>
      <w:r w:rsidR="00CF20DC">
        <w:rPr>
          <w:b w:val="0"/>
          <w:bCs w:val="0"/>
          <w:color w:val="000000" w:themeColor="text1"/>
          <w:sz w:val="20"/>
          <w:szCs w:val="20"/>
        </w:rPr>
        <w:t xml:space="preserve"> and </w:t>
      </w:r>
      <w:r w:rsidRPr="000C7549">
        <w:rPr>
          <w:b w:val="0"/>
          <w:bCs w:val="0"/>
          <w:color w:val="000000" w:themeColor="text1"/>
          <w:sz w:val="20"/>
          <w:szCs w:val="20"/>
        </w:rPr>
        <w:t xml:space="preserve">had the highest average abundance (10.4 </w:t>
      </w:r>
      <w:r w:rsidRPr="000C7549">
        <w:rPr>
          <w:b w:val="0"/>
          <w:bCs w:val="0"/>
          <w:color w:val="000000" w:themeColor="text1"/>
          <w:sz w:val="20"/>
          <w:szCs w:val="20"/>
          <w:shd w:val="clear" w:color="auto" w:fill="FFFFFF"/>
        </w:rPr>
        <w:t xml:space="preserve">± 1.8). </w:t>
      </w:r>
      <w:r w:rsidR="00D5111D">
        <w:rPr>
          <w:b w:val="0"/>
          <w:bCs w:val="0"/>
          <w:color w:val="000000" w:themeColor="text1"/>
          <w:sz w:val="20"/>
          <w:szCs w:val="20"/>
          <w:shd w:val="clear" w:color="auto" w:fill="FFFFFF"/>
        </w:rPr>
        <w:t>Block 4</w:t>
      </w:r>
      <w:r w:rsidRPr="000C7549">
        <w:rPr>
          <w:b w:val="0"/>
          <w:bCs w:val="0"/>
          <w:color w:val="000000" w:themeColor="text1"/>
          <w:sz w:val="20"/>
          <w:szCs w:val="20"/>
          <w:shd w:val="clear" w:color="auto" w:fill="FFFFFF"/>
        </w:rPr>
        <w:t xml:space="preserve"> had the</w:t>
      </w:r>
      <w:r>
        <w:rPr>
          <w:b w:val="0"/>
          <w:bCs w:val="0"/>
          <w:color w:val="000000" w:themeColor="text1"/>
          <w:sz w:val="20"/>
          <w:szCs w:val="20"/>
          <w:shd w:val="clear" w:color="auto" w:fill="FFFFFF"/>
        </w:rPr>
        <w:t xml:space="preserve"> </w:t>
      </w:r>
      <w:r w:rsidRPr="000C7549">
        <w:rPr>
          <w:b w:val="0"/>
          <w:bCs w:val="0"/>
          <w:color w:val="000000" w:themeColor="text1"/>
          <w:sz w:val="20"/>
          <w:szCs w:val="20"/>
          <w:shd w:val="clear" w:color="auto" w:fill="FFFFFF"/>
        </w:rPr>
        <w:t xml:space="preserve">lowest abundance in </w:t>
      </w:r>
      <w:r>
        <w:rPr>
          <w:b w:val="0"/>
          <w:bCs w:val="0"/>
          <w:color w:val="000000" w:themeColor="text1"/>
          <w:sz w:val="20"/>
          <w:szCs w:val="20"/>
          <w:shd w:val="clear" w:color="auto" w:fill="FFFFFF"/>
        </w:rPr>
        <w:t>2019</w:t>
      </w:r>
      <w:r w:rsidRPr="000C7549">
        <w:rPr>
          <w:b w:val="0"/>
          <w:bCs w:val="0"/>
          <w:color w:val="000000" w:themeColor="text1"/>
          <w:sz w:val="20"/>
          <w:szCs w:val="20"/>
          <w:shd w:val="clear" w:color="auto" w:fill="FFFFFF"/>
        </w:rPr>
        <w:t xml:space="preserve"> (5.0</w:t>
      </w:r>
      <w:r w:rsidR="00CF20DC">
        <w:rPr>
          <w:b w:val="0"/>
          <w:bCs w:val="0"/>
          <w:color w:val="000000" w:themeColor="text1"/>
          <w:sz w:val="20"/>
          <w:szCs w:val="20"/>
          <w:shd w:val="clear" w:color="auto" w:fill="FFFFFF"/>
        </w:rPr>
        <w:t xml:space="preserve"> </w:t>
      </w:r>
      <w:r w:rsidRPr="000C7549">
        <w:rPr>
          <w:b w:val="0"/>
          <w:bCs w:val="0"/>
          <w:color w:val="000000" w:themeColor="text1"/>
          <w:sz w:val="20"/>
          <w:szCs w:val="20"/>
          <w:shd w:val="clear" w:color="auto" w:fill="FFFFFF"/>
        </w:rPr>
        <w:t>± 0.7) and 2</w:t>
      </w:r>
      <w:r>
        <w:rPr>
          <w:b w:val="0"/>
          <w:bCs w:val="0"/>
          <w:color w:val="000000" w:themeColor="text1"/>
          <w:sz w:val="20"/>
          <w:szCs w:val="20"/>
          <w:shd w:val="clear" w:color="auto" w:fill="FFFFFF"/>
        </w:rPr>
        <w:t>020</w:t>
      </w:r>
      <w:r w:rsidRPr="000C7549">
        <w:rPr>
          <w:b w:val="0"/>
          <w:bCs w:val="0"/>
          <w:color w:val="000000" w:themeColor="text1"/>
          <w:sz w:val="20"/>
          <w:szCs w:val="20"/>
          <w:shd w:val="clear" w:color="auto" w:fill="FFFFFF"/>
        </w:rPr>
        <w:t xml:space="preserve"> (4.2 ± 0.6).</w:t>
      </w:r>
      <w:r w:rsidR="00D5111D">
        <w:rPr>
          <w:b w:val="0"/>
          <w:bCs w:val="0"/>
          <w:color w:val="000000" w:themeColor="text1"/>
          <w:sz w:val="20"/>
          <w:szCs w:val="20"/>
          <w:shd w:val="clear" w:color="auto" w:fill="FFFFFF"/>
        </w:rPr>
        <w:t xml:space="preserve"> </w:t>
      </w:r>
      <w:r>
        <w:rPr>
          <w:b w:val="0"/>
          <w:bCs w:val="0"/>
          <w:color w:val="000000" w:themeColor="text1"/>
          <w:sz w:val="20"/>
          <w:szCs w:val="20"/>
        </w:rPr>
        <w:t xml:space="preserve">2020 </w:t>
      </w:r>
      <w:r w:rsidRPr="000C7549">
        <w:rPr>
          <w:b w:val="0"/>
          <w:bCs w:val="0"/>
          <w:color w:val="000000" w:themeColor="text1"/>
          <w:sz w:val="20"/>
          <w:szCs w:val="20"/>
        </w:rPr>
        <w:t>blocks did not have higher abundance</w:t>
      </w:r>
      <w:r w:rsidR="00CF20DC">
        <w:rPr>
          <w:b w:val="0"/>
          <w:bCs w:val="0"/>
          <w:color w:val="000000" w:themeColor="text1"/>
          <w:sz w:val="20"/>
          <w:szCs w:val="20"/>
        </w:rPr>
        <w:t xml:space="preserve"> than 2019 blocks</w:t>
      </w:r>
      <w:r>
        <w:rPr>
          <w:b w:val="0"/>
          <w:bCs w:val="0"/>
          <w:color w:val="000000" w:themeColor="text1"/>
          <w:sz w:val="20"/>
          <w:szCs w:val="20"/>
        </w:rPr>
        <w:t xml:space="preserve">. </w:t>
      </w:r>
    </w:p>
    <w:p w14:paraId="7872CDDE" w14:textId="77777777" w:rsidR="00E723C2" w:rsidRDefault="00E723C2" w:rsidP="00E723C2"/>
    <w:p w14:paraId="40E4909A" w14:textId="77777777" w:rsidR="00E723C2" w:rsidRDefault="00E723C2" w:rsidP="00E723C2"/>
    <w:p w14:paraId="76E900C7" w14:textId="77777777" w:rsidR="00F020D2" w:rsidRDefault="00E723C2" w:rsidP="00E649FD">
      <w:pPr>
        <w:rPr>
          <w:rFonts w:ascii="Arial" w:hAnsi="Arial" w:cs="Arial"/>
        </w:rPr>
      </w:pPr>
      <w:r w:rsidRPr="000C7549">
        <w:rPr>
          <w:rFonts w:ascii="Arial" w:hAnsi="Arial" w:cs="Arial"/>
          <w:b/>
          <w:bCs/>
          <w:noProof/>
        </w:rPr>
        <w:drawing>
          <wp:inline distT="0" distB="0" distL="0" distR="0" wp14:anchorId="224C93F7" wp14:editId="0478829A">
            <wp:extent cx="4236720" cy="6647011"/>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97911" cy="6743014"/>
                    </a:xfrm>
                    <a:prstGeom prst="rect">
                      <a:avLst/>
                    </a:prstGeom>
                  </pic:spPr>
                </pic:pic>
              </a:graphicData>
            </a:graphic>
          </wp:inline>
        </w:drawing>
      </w:r>
      <w:r w:rsidRPr="000225DE">
        <w:rPr>
          <w:rFonts w:ascii="Arial" w:hAnsi="Arial" w:cs="Arial"/>
        </w:rPr>
        <w:t xml:space="preserve"> </w:t>
      </w:r>
    </w:p>
    <w:p w14:paraId="2290E535" w14:textId="7D2A0489" w:rsidR="00F020D2" w:rsidRDefault="00E723C2" w:rsidP="00E649FD">
      <w:pPr>
        <w:pStyle w:val="Caption"/>
        <w:spacing w:before="0" w:after="0"/>
      </w:pPr>
      <w:bookmarkStart w:id="35" w:name="_Toc76799612"/>
      <w:r w:rsidRPr="000003EA">
        <w:t xml:space="preserve">Figure </w:t>
      </w:r>
      <w:fldSimple w:instr=" SEQ Figure \* ARABIC ">
        <w:r w:rsidR="00B10994">
          <w:rPr>
            <w:noProof/>
          </w:rPr>
          <w:t>3</w:t>
        </w:r>
      </w:fldSimple>
      <w:r w:rsidRPr="000003EA">
        <w:t>. Floral Phenology</w:t>
      </w:r>
      <w:bookmarkEnd w:id="35"/>
      <w:r w:rsidRPr="000C7549">
        <w:t xml:space="preserve">  </w:t>
      </w:r>
    </w:p>
    <w:p w14:paraId="6E504008" w14:textId="2031B882" w:rsidR="00E723C2" w:rsidRPr="00F020D2" w:rsidRDefault="00E723C2" w:rsidP="00351A7F">
      <w:pPr>
        <w:rPr>
          <w:rFonts w:ascii="Arial" w:hAnsi="Arial" w:cs="Arial"/>
        </w:rPr>
      </w:pPr>
      <w:r w:rsidRPr="00C220DA">
        <w:rPr>
          <w:rFonts w:ascii="Arial" w:hAnsi="Arial" w:cs="Arial"/>
          <w:sz w:val="20"/>
          <w:szCs w:val="20"/>
        </w:rPr>
        <w:t xml:space="preserve">Duration and peak floral phenology for all species that </w:t>
      </w:r>
      <w:r w:rsidR="00CF20DC">
        <w:rPr>
          <w:rFonts w:ascii="Arial" w:hAnsi="Arial" w:cs="Arial"/>
          <w:sz w:val="20"/>
          <w:szCs w:val="20"/>
        </w:rPr>
        <w:t>bloomed</w:t>
      </w:r>
      <w:r w:rsidRPr="00C220DA">
        <w:rPr>
          <w:rFonts w:ascii="Arial" w:hAnsi="Arial" w:cs="Arial"/>
          <w:sz w:val="20"/>
          <w:szCs w:val="20"/>
        </w:rPr>
        <w:t xml:space="preserve">. We calculated floral phenology by averaging the total number of inflorescences per plant species, summed across all blocks, per week. </w:t>
      </w:r>
      <w:r w:rsidR="00CF20DC">
        <w:rPr>
          <w:rFonts w:ascii="Arial" w:hAnsi="Arial" w:cs="Arial"/>
          <w:sz w:val="20"/>
          <w:szCs w:val="20"/>
        </w:rPr>
        <w:t>We</w:t>
      </w:r>
      <w:r w:rsidR="00CF20DC" w:rsidRPr="00C220DA">
        <w:rPr>
          <w:rFonts w:ascii="Arial" w:hAnsi="Arial" w:cs="Arial"/>
          <w:sz w:val="20"/>
          <w:szCs w:val="20"/>
        </w:rPr>
        <w:t xml:space="preserve"> </w:t>
      </w:r>
      <w:r w:rsidRPr="00C220DA">
        <w:rPr>
          <w:rFonts w:ascii="Arial" w:hAnsi="Arial" w:cs="Arial"/>
          <w:sz w:val="20"/>
          <w:szCs w:val="20"/>
        </w:rPr>
        <w:t xml:space="preserve">standardized </w:t>
      </w:r>
      <w:r w:rsidR="00CF20DC">
        <w:rPr>
          <w:rFonts w:ascii="Arial" w:hAnsi="Arial" w:cs="Arial"/>
          <w:sz w:val="20"/>
          <w:szCs w:val="20"/>
        </w:rPr>
        <w:t xml:space="preserve">floral display </w:t>
      </w:r>
      <w:r w:rsidRPr="00C220DA">
        <w:rPr>
          <w:rFonts w:ascii="Arial" w:hAnsi="Arial" w:cs="Arial"/>
          <w:sz w:val="20"/>
          <w:szCs w:val="20"/>
        </w:rPr>
        <w:t xml:space="preserve">on a 0-1 scale (feature scaling). Lines depict the start of each plant species </w:t>
      </w:r>
      <w:r w:rsidR="00CF20DC">
        <w:rPr>
          <w:rFonts w:ascii="Arial" w:hAnsi="Arial" w:cs="Arial"/>
          <w:sz w:val="20"/>
          <w:szCs w:val="20"/>
        </w:rPr>
        <w:t>bloom period</w:t>
      </w:r>
      <w:r w:rsidR="00CF20DC" w:rsidRPr="00C220DA">
        <w:rPr>
          <w:rFonts w:ascii="Arial" w:hAnsi="Arial" w:cs="Arial"/>
          <w:sz w:val="20"/>
          <w:szCs w:val="20"/>
        </w:rPr>
        <w:t xml:space="preserve"> </w:t>
      </w:r>
      <w:r w:rsidRPr="00C220DA">
        <w:rPr>
          <w:rFonts w:ascii="Arial" w:hAnsi="Arial" w:cs="Arial"/>
          <w:sz w:val="20"/>
          <w:szCs w:val="20"/>
        </w:rPr>
        <w:t>and the shape and thickness of each line represents the average standardized floral display per week. Plant species are represented by abbreviations of the first three letters of genus and species.</w:t>
      </w:r>
    </w:p>
    <w:p w14:paraId="17B56D0B" w14:textId="77777777" w:rsidR="00E723C2" w:rsidRPr="000C7549" w:rsidRDefault="00E723C2" w:rsidP="00E723C2">
      <w:pPr>
        <w:rPr>
          <w:rFonts w:ascii="Arial" w:hAnsi="Arial" w:cs="Arial"/>
        </w:rPr>
      </w:pPr>
      <w:r w:rsidRPr="000C7549">
        <w:rPr>
          <w:rFonts w:ascii="Arial" w:hAnsi="Arial" w:cs="Arial"/>
          <w:noProof/>
        </w:rPr>
        <w:lastRenderedPageBreak/>
        <w:drawing>
          <wp:inline distT="0" distB="0" distL="0" distR="0" wp14:anchorId="045E819D" wp14:editId="5C0FCA57">
            <wp:extent cx="5580380" cy="4457700"/>
            <wp:effectExtent l="0" t="0" r="7620" b="12700"/>
            <wp:docPr id="25" name="Chart 25">
              <a:extLst xmlns:a="http://schemas.openxmlformats.org/drawingml/2006/main">
                <a:ext uri="{FF2B5EF4-FFF2-40B4-BE49-F238E27FC236}">
                  <a16:creationId xmlns:a16="http://schemas.microsoft.com/office/drawing/2014/main" id="{D3420553-7CB2-7D47-AECB-CCB5B76726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24F579" w14:textId="195CE586" w:rsidR="00E723C2" w:rsidRPr="000C7549" w:rsidRDefault="00E723C2" w:rsidP="00E723C2">
      <w:pPr>
        <w:pStyle w:val="Caption"/>
        <w:spacing w:before="0" w:after="0"/>
        <w:rPr>
          <w:noProof/>
        </w:rPr>
      </w:pPr>
      <w:bookmarkStart w:id="36" w:name="_Toc76799613"/>
      <w:r w:rsidRPr="000C7549">
        <w:t xml:space="preserve">Figure </w:t>
      </w:r>
      <w:fldSimple w:instr=" SEQ Figure \* ARABIC ">
        <w:r w:rsidR="00B10994">
          <w:rPr>
            <w:noProof/>
          </w:rPr>
          <w:t>4</w:t>
        </w:r>
      </w:fldSimple>
      <w:r w:rsidRPr="000C7549">
        <w:t>. Average Floral Display per Plant Species per Individual Sample</w:t>
      </w:r>
      <w:bookmarkEnd w:id="36"/>
      <w:r w:rsidRPr="000C7549">
        <w:rPr>
          <w:noProof/>
        </w:rPr>
        <w:t xml:space="preserve">  </w:t>
      </w:r>
    </w:p>
    <w:p w14:paraId="72E9D874" w14:textId="262FB845" w:rsidR="00E723C2" w:rsidRDefault="00E723C2" w:rsidP="00E723C2">
      <w:pPr>
        <w:rPr>
          <w:rFonts w:ascii="Arial" w:hAnsi="Arial" w:cs="Arial"/>
          <w:sz w:val="20"/>
          <w:szCs w:val="20"/>
        </w:rPr>
      </w:pPr>
      <w:r w:rsidRPr="000C7549">
        <w:rPr>
          <w:rFonts w:ascii="Arial" w:hAnsi="Arial" w:cs="Arial"/>
          <w:sz w:val="20"/>
          <w:szCs w:val="20"/>
        </w:rPr>
        <w:t>We calculated floral display by taking the average size of an inflorescence</w:t>
      </w:r>
      <w:r w:rsidR="00CF20DC">
        <w:rPr>
          <w:rFonts w:ascii="Arial" w:hAnsi="Arial" w:cs="Arial"/>
          <w:sz w:val="20"/>
          <w:szCs w:val="20"/>
        </w:rPr>
        <w:t xml:space="preserve"> </w:t>
      </w:r>
      <w:r w:rsidR="00CF20DC" w:rsidRPr="000C7549">
        <w:rPr>
          <w:rFonts w:ascii="Arial" w:hAnsi="Arial" w:cs="Arial"/>
          <w:sz w:val="20"/>
          <w:szCs w:val="20"/>
        </w:rPr>
        <w:t>in mm</w:t>
      </w:r>
      <w:r w:rsidR="00CF20DC" w:rsidRPr="000C7549">
        <w:rPr>
          <w:rFonts w:ascii="Arial" w:hAnsi="Arial" w:cs="Arial"/>
          <w:sz w:val="20"/>
          <w:szCs w:val="20"/>
          <w:vertAlign w:val="superscript"/>
        </w:rPr>
        <w:t>2</w:t>
      </w:r>
      <w:r w:rsidRPr="000C7549">
        <w:rPr>
          <w:rFonts w:ascii="Arial" w:hAnsi="Arial" w:cs="Arial"/>
          <w:sz w:val="20"/>
          <w:szCs w:val="20"/>
        </w:rPr>
        <w:t xml:space="preserve"> multiplied by the number of inflorescences for each plant species per individual sample. We then calculated the average of the total floral display</w:t>
      </w:r>
      <w:r w:rsidR="00CF20DC">
        <w:rPr>
          <w:rFonts w:ascii="Arial" w:hAnsi="Arial" w:cs="Arial"/>
          <w:sz w:val="20"/>
          <w:szCs w:val="20"/>
        </w:rPr>
        <w:t xml:space="preserve"> for Asteraceae (yellow), Lamiaceae (blue), and Fabaceae (red).</w:t>
      </w:r>
    </w:p>
    <w:p w14:paraId="5AC6E454" w14:textId="77777777" w:rsidR="00E723C2" w:rsidRDefault="00E723C2" w:rsidP="00E723C2">
      <w:pPr>
        <w:rPr>
          <w:rFonts w:ascii="Arial" w:hAnsi="Arial" w:cs="Arial"/>
          <w:sz w:val="21"/>
          <w:szCs w:val="21"/>
        </w:rPr>
      </w:pPr>
    </w:p>
    <w:p w14:paraId="1B323E83" w14:textId="77777777" w:rsidR="00E723C2" w:rsidRDefault="00E723C2" w:rsidP="00E723C2">
      <w:pPr>
        <w:rPr>
          <w:rFonts w:ascii="Arial" w:hAnsi="Arial" w:cs="Arial"/>
          <w:sz w:val="21"/>
          <w:szCs w:val="21"/>
        </w:rPr>
      </w:pPr>
    </w:p>
    <w:p w14:paraId="7194F2D1" w14:textId="77777777" w:rsidR="00E723C2" w:rsidRDefault="00E723C2" w:rsidP="00E723C2">
      <w:pPr>
        <w:rPr>
          <w:rFonts w:ascii="Arial" w:hAnsi="Arial" w:cs="Arial"/>
          <w:sz w:val="21"/>
          <w:szCs w:val="21"/>
        </w:rPr>
      </w:pPr>
    </w:p>
    <w:p w14:paraId="7A3423D9" w14:textId="77777777" w:rsidR="00E723C2" w:rsidRDefault="00E723C2" w:rsidP="00E723C2">
      <w:pPr>
        <w:rPr>
          <w:rFonts w:ascii="Arial" w:hAnsi="Arial" w:cs="Arial"/>
          <w:sz w:val="21"/>
          <w:szCs w:val="21"/>
        </w:rPr>
      </w:pPr>
    </w:p>
    <w:p w14:paraId="3D5039A3" w14:textId="77777777" w:rsidR="00E723C2" w:rsidRDefault="00E723C2" w:rsidP="00E723C2">
      <w:pPr>
        <w:rPr>
          <w:rFonts w:ascii="Arial" w:hAnsi="Arial" w:cs="Arial"/>
          <w:sz w:val="21"/>
          <w:szCs w:val="21"/>
        </w:rPr>
      </w:pPr>
    </w:p>
    <w:p w14:paraId="49BFFB28" w14:textId="77777777" w:rsidR="00E723C2" w:rsidRDefault="00E723C2" w:rsidP="00E723C2">
      <w:pPr>
        <w:rPr>
          <w:rFonts w:ascii="Arial" w:hAnsi="Arial" w:cs="Arial"/>
          <w:sz w:val="21"/>
          <w:szCs w:val="21"/>
        </w:rPr>
      </w:pPr>
    </w:p>
    <w:p w14:paraId="6512F84F" w14:textId="77777777" w:rsidR="00E723C2" w:rsidRDefault="00E723C2" w:rsidP="00E723C2">
      <w:pPr>
        <w:rPr>
          <w:rFonts w:ascii="Arial" w:hAnsi="Arial" w:cs="Arial"/>
          <w:sz w:val="21"/>
          <w:szCs w:val="21"/>
        </w:rPr>
      </w:pPr>
    </w:p>
    <w:p w14:paraId="23CCD32E" w14:textId="77777777" w:rsidR="00E723C2" w:rsidRPr="000C7549" w:rsidRDefault="00E723C2" w:rsidP="008F1CF8">
      <w:pPr>
        <w:rPr>
          <w:rFonts w:ascii="Arial" w:hAnsi="Arial" w:cs="Arial"/>
        </w:rPr>
      </w:pPr>
      <w:r w:rsidRPr="000C7549">
        <w:rPr>
          <w:rFonts w:ascii="Arial" w:hAnsi="Arial" w:cs="Arial"/>
          <w:noProof/>
        </w:rPr>
        <w:lastRenderedPageBreak/>
        <w:drawing>
          <wp:inline distT="0" distB="0" distL="0" distR="0" wp14:anchorId="77E5EC08" wp14:editId="03956F13">
            <wp:extent cx="3168869" cy="3824166"/>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3">
                      <a:extLst>
                        <a:ext uri="{28A0092B-C50C-407E-A947-70E740481C1C}">
                          <a14:useLocalDpi xmlns:a14="http://schemas.microsoft.com/office/drawing/2010/main" val="0"/>
                        </a:ext>
                      </a:extLst>
                    </a:blip>
                    <a:srcRect l="9426" r="8954"/>
                    <a:stretch/>
                  </pic:blipFill>
                  <pic:spPr bwMode="auto">
                    <a:xfrm>
                      <a:off x="0" y="0"/>
                      <a:ext cx="3193457" cy="3853838"/>
                    </a:xfrm>
                    <a:prstGeom prst="rect">
                      <a:avLst/>
                    </a:prstGeom>
                    <a:ln>
                      <a:noFill/>
                    </a:ln>
                    <a:extLst>
                      <a:ext uri="{53640926-AAD7-44D8-BBD7-CCE9431645EC}">
                        <a14:shadowObscured xmlns:a14="http://schemas.microsoft.com/office/drawing/2010/main"/>
                      </a:ext>
                    </a:extLst>
                  </pic:spPr>
                </pic:pic>
              </a:graphicData>
            </a:graphic>
          </wp:inline>
        </w:drawing>
      </w:r>
    </w:p>
    <w:p w14:paraId="03CE5572" w14:textId="6BB3F75F" w:rsidR="00E723C2" w:rsidRDefault="00E723C2" w:rsidP="008F1CF8">
      <w:pPr>
        <w:pStyle w:val="Caption"/>
        <w:spacing w:before="0" w:after="0"/>
      </w:pPr>
      <w:bookmarkStart w:id="37" w:name="_Toc76799614"/>
      <w:r w:rsidRPr="000C7549">
        <w:t xml:space="preserve">Figure </w:t>
      </w:r>
      <w:fldSimple w:instr=" SEQ Figure \* ARABIC ">
        <w:r w:rsidR="00B10994">
          <w:rPr>
            <w:noProof/>
          </w:rPr>
          <w:t>5</w:t>
        </w:r>
      </w:fldSimple>
      <w:r w:rsidRPr="000C7549">
        <w:t>. Floral Display and Abundance</w:t>
      </w:r>
      <w:bookmarkEnd w:id="37"/>
      <w:r w:rsidRPr="000C7549">
        <w:t xml:space="preserve"> </w:t>
      </w:r>
    </w:p>
    <w:p w14:paraId="1DB09FB4" w14:textId="646F7A02" w:rsidR="00E723C2" w:rsidRPr="00C220DA" w:rsidRDefault="00E723C2" w:rsidP="008F1CF8">
      <w:pPr>
        <w:pStyle w:val="Caption"/>
        <w:spacing w:before="0" w:after="0"/>
        <w:rPr>
          <w:b w:val="0"/>
          <w:bCs w:val="0"/>
        </w:rPr>
      </w:pPr>
      <w:r w:rsidRPr="000C7549">
        <w:rPr>
          <w:b w:val="0"/>
          <w:bCs w:val="0"/>
          <w:sz w:val="20"/>
          <w:szCs w:val="20"/>
        </w:rPr>
        <w:t>Linear model of floral display (log transformed) on the x-axis and</w:t>
      </w:r>
      <w:r w:rsidR="00232B15">
        <w:rPr>
          <w:b w:val="0"/>
          <w:bCs w:val="0"/>
          <w:sz w:val="20"/>
          <w:szCs w:val="20"/>
        </w:rPr>
        <w:t xml:space="preserve"> pollinator</w:t>
      </w:r>
      <w:r w:rsidRPr="000C7549">
        <w:rPr>
          <w:b w:val="0"/>
          <w:bCs w:val="0"/>
          <w:sz w:val="20"/>
          <w:szCs w:val="20"/>
        </w:rPr>
        <w:t xml:space="preserve"> abundance (log transformed) on the y-axis. </w:t>
      </w:r>
      <w:r w:rsidR="00232B15">
        <w:rPr>
          <w:b w:val="0"/>
          <w:bCs w:val="0"/>
          <w:sz w:val="20"/>
          <w:szCs w:val="20"/>
        </w:rPr>
        <w:t xml:space="preserve">Floral display was calculated by the average size of the </w:t>
      </w:r>
      <w:r w:rsidR="00CF20DC">
        <w:rPr>
          <w:b w:val="0"/>
          <w:bCs w:val="0"/>
          <w:sz w:val="20"/>
          <w:szCs w:val="20"/>
        </w:rPr>
        <w:t xml:space="preserve">inflorescence </w:t>
      </w:r>
      <w:r w:rsidR="00232B15">
        <w:rPr>
          <w:b w:val="0"/>
          <w:bCs w:val="0"/>
          <w:sz w:val="20"/>
          <w:szCs w:val="20"/>
        </w:rPr>
        <w:t xml:space="preserve">per plant species, multiplied by the number of </w:t>
      </w:r>
      <w:proofErr w:type="spellStart"/>
      <w:r w:rsidR="00CF20DC">
        <w:rPr>
          <w:b w:val="0"/>
          <w:bCs w:val="0"/>
          <w:sz w:val="20"/>
          <w:szCs w:val="20"/>
        </w:rPr>
        <w:t>infloresceneces</w:t>
      </w:r>
      <w:proofErr w:type="spellEnd"/>
      <w:r w:rsidR="00232B15">
        <w:rPr>
          <w:b w:val="0"/>
          <w:bCs w:val="0"/>
          <w:sz w:val="20"/>
          <w:szCs w:val="20"/>
        </w:rPr>
        <w:t xml:space="preserve">. Each black dot represents one sampling event.  </w:t>
      </w:r>
    </w:p>
    <w:p w14:paraId="1BEB7317" w14:textId="77777777" w:rsidR="00E723C2" w:rsidRDefault="00E723C2" w:rsidP="00E723C2">
      <w:pPr>
        <w:rPr>
          <w:rFonts w:ascii="Arial" w:hAnsi="Arial" w:cs="Arial"/>
          <w:sz w:val="21"/>
          <w:szCs w:val="21"/>
        </w:rPr>
      </w:pPr>
    </w:p>
    <w:p w14:paraId="762712A4" w14:textId="5F128D8F" w:rsidR="00E723C2" w:rsidRDefault="00E723C2" w:rsidP="00E723C2">
      <w:pPr>
        <w:rPr>
          <w:rFonts w:ascii="Arial" w:hAnsi="Arial" w:cs="Arial"/>
          <w:sz w:val="21"/>
          <w:szCs w:val="21"/>
        </w:rPr>
      </w:pPr>
    </w:p>
    <w:p w14:paraId="4164C8BD" w14:textId="10287519" w:rsidR="007667D9" w:rsidRDefault="007667D9" w:rsidP="00E723C2">
      <w:pPr>
        <w:rPr>
          <w:rFonts w:ascii="Arial" w:hAnsi="Arial" w:cs="Arial"/>
          <w:sz w:val="21"/>
          <w:szCs w:val="21"/>
        </w:rPr>
      </w:pPr>
    </w:p>
    <w:p w14:paraId="6EDBD67E" w14:textId="77777777" w:rsidR="008F1CF8" w:rsidRDefault="008F1CF8" w:rsidP="00E723C2">
      <w:pPr>
        <w:rPr>
          <w:rFonts w:ascii="Arial" w:hAnsi="Arial" w:cs="Arial"/>
          <w:sz w:val="21"/>
          <w:szCs w:val="21"/>
        </w:rPr>
      </w:pPr>
    </w:p>
    <w:p w14:paraId="54031B75" w14:textId="77777777" w:rsidR="00E723C2" w:rsidRDefault="00E723C2" w:rsidP="00E723C2">
      <w:pPr>
        <w:rPr>
          <w:rFonts w:ascii="Arial" w:hAnsi="Arial" w:cs="Arial"/>
          <w:sz w:val="21"/>
          <w:szCs w:val="21"/>
        </w:rPr>
      </w:pPr>
    </w:p>
    <w:p w14:paraId="16413757" w14:textId="77777777" w:rsidR="00E723C2" w:rsidRPr="000C7549" w:rsidRDefault="00E723C2" w:rsidP="000D37C7">
      <w:pPr>
        <w:rPr>
          <w:rFonts w:ascii="Arial" w:hAnsi="Arial" w:cs="Arial"/>
          <w:b/>
          <w:bCs/>
          <w:i/>
          <w:iCs/>
        </w:rPr>
      </w:pPr>
      <w:r w:rsidRPr="000C7549">
        <w:rPr>
          <w:rFonts w:ascii="Arial" w:hAnsi="Arial" w:cs="Arial"/>
          <w:b/>
          <w:bCs/>
          <w:i/>
          <w:iCs/>
          <w:noProof/>
        </w:rPr>
        <w:drawing>
          <wp:inline distT="0" distB="0" distL="0" distR="0" wp14:anchorId="00A7E145" wp14:editId="7BD76B38">
            <wp:extent cx="2817195" cy="1982470"/>
            <wp:effectExtent l="0" t="0" r="2540" b="0"/>
            <wp:docPr id="34" name="Picture 3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878147" cy="2025362"/>
                    </a:xfrm>
                    <a:prstGeom prst="rect">
                      <a:avLst/>
                    </a:prstGeom>
                  </pic:spPr>
                </pic:pic>
              </a:graphicData>
            </a:graphic>
          </wp:inline>
        </w:drawing>
      </w:r>
    </w:p>
    <w:p w14:paraId="5EF4C44B" w14:textId="4BD82B58" w:rsidR="00E723C2" w:rsidRPr="000C7549" w:rsidRDefault="00E723C2" w:rsidP="000D37C7">
      <w:pPr>
        <w:pStyle w:val="Caption"/>
        <w:spacing w:before="0" w:after="0"/>
      </w:pPr>
      <w:bookmarkStart w:id="38" w:name="_Toc76799615"/>
      <w:r w:rsidRPr="000C7549">
        <w:t xml:space="preserve">Figure </w:t>
      </w:r>
      <w:fldSimple w:instr=" SEQ Figure \* ARABIC ">
        <w:r w:rsidR="00B10994">
          <w:rPr>
            <w:noProof/>
          </w:rPr>
          <w:t>6</w:t>
        </w:r>
      </w:fldSimple>
      <w:r w:rsidRPr="000C7549">
        <w:t>. Linear Model Summary Output, Abundance and Floral Display</w:t>
      </w:r>
      <w:bookmarkEnd w:id="38"/>
      <w:r w:rsidRPr="000C7549">
        <w:t xml:space="preserve"> </w:t>
      </w:r>
    </w:p>
    <w:p w14:paraId="5B4CDC98" w14:textId="4CA05EE6" w:rsidR="00E723C2" w:rsidRDefault="008E5C01" w:rsidP="00E723C2">
      <w:pPr>
        <w:rPr>
          <w:rFonts w:ascii="Arial" w:hAnsi="Arial" w:cs="Arial"/>
          <w:sz w:val="20"/>
          <w:szCs w:val="20"/>
        </w:rPr>
      </w:pPr>
      <w:r>
        <w:rPr>
          <w:rFonts w:ascii="Arial" w:hAnsi="Arial" w:cs="Arial"/>
          <w:sz w:val="20"/>
          <w:szCs w:val="20"/>
        </w:rPr>
        <w:t xml:space="preserve">Linear model summary output for Fig </w:t>
      </w:r>
      <w:r w:rsidR="00232196">
        <w:rPr>
          <w:rFonts w:ascii="Arial" w:hAnsi="Arial" w:cs="Arial"/>
          <w:sz w:val="20"/>
          <w:szCs w:val="20"/>
        </w:rPr>
        <w:t>9, pollinator</w:t>
      </w:r>
      <w:r w:rsidR="009C7A92">
        <w:rPr>
          <w:rFonts w:ascii="Arial" w:hAnsi="Arial" w:cs="Arial"/>
          <w:sz w:val="20"/>
          <w:szCs w:val="20"/>
        </w:rPr>
        <w:t xml:space="preserve"> abundance (log transformed), and</w:t>
      </w:r>
      <w:r w:rsidR="00E723C2" w:rsidRPr="000C7549">
        <w:rPr>
          <w:rFonts w:ascii="Arial" w:hAnsi="Arial" w:cs="Arial"/>
          <w:sz w:val="20"/>
          <w:szCs w:val="20"/>
        </w:rPr>
        <w:t xml:space="preserve"> floral display (log transformed)</w:t>
      </w:r>
      <w:r w:rsidR="00232196">
        <w:rPr>
          <w:rFonts w:ascii="Arial" w:hAnsi="Arial" w:cs="Arial"/>
          <w:sz w:val="20"/>
          <w:szCs w:val="20"/>
        </w:rPr>
        <w:t>. Floral display was treated</w:t>
      </w:r>
      <w:r w:rsidR="00E723C2" w:rsidRPr="000C7549">
        <w:rPr>
          <w:rFonts w:ascii="Arial" w:hAnsi="Arial" w:cs="Arial"/>
          <w:sz w:val="20"/>
          <w:szCs w:val="20"/>
        </w:rPr>
        <w:t xml:space="preserve"> as a fixed effect and block as a random effect using the </w:t>
      </w:r>
      <w:proofErr w:type="spellStart"/>
      <w:r w:rsidR="00E723C2" w:rsidRPr="000C7549">
        <w:rPr>
          <w:rFonts w:ascii="Arial" w:hAnsi="Arial" w:cs="Arial"/>
          <w:sz w:val="20"/>
          <w:szCs w:val="20"/>
        </w:rPr>
        <w:t>sjPlot</w:t>
      </w:r>
      <w:proofErr w:type="spellEnd"/>
      <w:r w:rsidR="00E723C2" w:rsidRPr="000C7549">
        <w:rPr>
          <w:rFonts w:ascii="Arial" w:hAnsi="Arial" w:cs="Arial"/>
          <w:sz w:val="20"/>
          <w:szCs w:val="20"/>
        </w:rPr>
        <w:t xml:space="preserve"> package in R. </w:t>
      </w:r>
    </w:p>
    <w:p w14:paraId="2EB792AE" w14:textId="77777777" w:rsidR="00E723C2" w:rsidRPr="000C7549" w:rsidRDefault="00E723C2" w:rsidP="00351A7F">
      <w:pPr>
        <w:rPr>
          <w:rFonts w:ascii="Arial" w:hAnsi="Arial" w:cs="Arial"/>
          <w:noProof/>
          <w:sz w:val="20"/>
          <w:szCs w:val="20"/>
        </w:rPr>
      </w:pPr>
      <w:r w:rsidRPr="000C7549">
        <w:rPr>
          <w:rFonts w:ascii="Arial" w:hAnsi="Arial" w:cs="Arial"/>
          <w:noProof/>
        </w:rPr>
        <w:lastRenderedPageBreak/>
        <w:drawing>
          <wp:inline distT="0" distB="0" distL="0" distR="0" wp14:anchorId="308D20D2" wp14:editId="38E23FC4">
            <wp:extent cx="5770179" cy="2853559"/>
            <wp:effectExtent l="0" t="0" r="8890" b="17145"/>
            <wp:docPr id="27" name="Chart 27">
              <a:extLst xmlns:a="http://schemas.openxmlformats.org/drawingml/2006/main">
                <a:ext uri="{FF2B5EF4-FFF2-40B4-BE49-F238E27FC236}">
                  <a16:creationId xmlns:a16="http://schemas.microsoft.com/office/drawing/2014/main" id="{4C76A475-0355-4967-ABD4-FD2430A76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82E06C" w14:textId="33BBCE1F" w:rsidR="00E723C2" w:rsidRDefault="00E723C2" w:rsidP="00351A7F">
      <w:pPr>
        <w:pStyle w:val="Caption"/>
        <w:spacing w:before="0" w:after="0"/>
        <w:rPr>
          <w:noProof/>
        </w:rPr>
      </w:pPr>
      <w:r w:rsidRPr="000C7549">
        <w:rPr>
          <w:sz w:val="20"/>
          <w:szCs w:val="20"/>
        </w:rPr>
        <w:t xml:space="preserve"> </w:t>
      </w:r>
      <w:bookmarkStart w:id="39" w:name="_Toc76799616"/>
      <w:r w:rsidRPr="000C7549">
        <w:t xml:space="preserve">Figure </w:t>
      </w:r>
      <w:fldSimple w:instr=" SEQ Figure \* ARABIC ">
        <w:r w:rsidR="00482141">
          <w:rPr>
            <w:noProof/>
          </w:rPr>
          <w:t>7</w:t>
        </w:r>
      </w:fldSimple>
      <w:r w:rsidR="00E837F0">
        <w:rPr>
          <w:noProof/>
        </w:rPr>
        <w:t>a</w:t>
      </w:r>
      <w:r w:rsidRPr="000C7549">
        <w:t>. Average Visitation Rate Per Plant Species 2020</w:t>
      </w:r>
      <w:bookmarkEnd w:id="39"/>
      <w:r w:rsidRPr="000C7549">
        <w:rPr>
          <w:noProof/>
        </w:rPr>
        <w:t xml:space="preserve"> </w:t>
      </w:r>
    </w:p>
    <w:p w14:paraId="14AF341B" w14:textId="2197382C" w:rsidR="00E723C2" w:rsidRDefault="00E723C2" w:rsidP="00351A7F">
      <w:pPr>
        <w:pStyle w:val="Caption"/>
        <w:spacing w:before="0" w:after="0"/>
        <w:rPr>
          <w:b w:val="0"/>
          <w:bCs w:val="0"/>
          <w:color w:val="000000" w:themeColor="text1"/>
          <w:sz w:val="20"/>
          <w:szCs w:val="20"/>
          <w:shd w:val="clear" w:color="auto" w:fill="FFFFFF"/>
        </w:rPr>
      </w:pPr>
      <w:r w:rsidRPr="000C7549">
        <w:rPr>
          <w:b w:val="0"/>
          <w:bCs w:val="0"/>
          <w:sz w:val="20"/>
          <w:szCs w:val="20"/>
        </w:rPr>
        <w:t xml:space="preserve">Calculated by the number of insect visitors per </w:t>
      </w:r>
      <w:r w:rsidR="00CF20DC">
        <w:rPr>
          <w:b w:val="0"/>
          <w:bCs w:val="0"/>
          <w:sz w:val="20"/>
          <w:szCs w:val="20"/>
        </w:rPr>
        <w:t xml:space="preserve">unit </w:t>
      </w:r>
      <w:r w:rsidRPr="000C7549">
        <w:rPr>
          <w:b w:val="0"/>
          <w:bCs w:val="0"/>
          <w:sz w:val="20"/>
          <w:szCs w:val="20"/>
        </w:rPr>
        <w:t xml:space="preserve">floral area, per sample, averaged across all blocks and collections. Each plant species </w:t>
      </w:r>
      <w:r w:rsidR="00CF20DC">
        <w:rPr>
          <w:b w:val="0"/>
          <w:bCs w:val="0"/>
          <w:sz w:val="20"/>
          <w:szCs w:val="20"/>
        </w:rPr>
        <w:t xml:space="preserve">is labeled with an </w:t>
      </w:r>
      <w:r w:rsidRPr="000C7549">
        <w:rPr>
          <w:b w:val="0"/>
          <w:bCs w:val="0"/>
          <w:sz w:val="20"/>
          <w:szCs w:val="20"/>
        </w:rPr>
        <w:t xml:space="preserve">abbreviation of </w:t>
      </w:r>
      <w:r w:rsidR="00CF20DC">
        <w:rPr>
          <w:b w:val="0"/>
          <w:bCs w:val="0"/>
          <w:sz w:val="20"/>
          <w:szCs w:val="20"/>
        </w:rPr>
        <w:t xml:space="preserve">the first </w:t>
      </w:r>
      <w:r w:rsidRPr="000C7549">
        <w:rPr>
          <w:b w:val="0"/>
          <w:bCs w:val="0"/>
          <w:sz w:val="20"/>
          <w:szCs w:val="20"/>
        </w:rPr>
        <w:t>three letters from the genus and species name. The color of each bar represents each plant family</w:t>
      </w:r>
      <w:r w:rsidR="00CF20DC">
        <w:rPr>
          <w:b w:val="0"/>
          <w:bCs w:val="0"/>
          <w:sz w:val="20"/>
          <w:szCs w:val="20"/>
        </w:rPr>
        <w:t>;</w:t>
      </w:r>
      <w:r w:rsidRPr="000C7549">
        <w:rPr>
          <w:b w:val="0"/>
          <w:bCs w:val="0"/>
          <w:sz w:val="20"/>
          <w:szCs w:val="20"/>
        </w:rPr>
        <w:t xml:space="preserve"> Asteraceae </w:t>
      </w:r>
      <w:r w:rsidR="00CF20DC">
        <w:rPr>
          <w:b w:val="0"/>
          <w:bCs w:val="0"/>
          <w:sz w:val="20"/>
          <w:szCs w:val="20"/>
        </w:rPr>
        <w:t>(</w:t>
      </w:r>
      <w:r w:rsidRPr="000C7549">
        <w:rPr>
          <w:b w:val="0"/>
          <w:bCs w:val="0"/>
          <w:sz w:val="20"/>
          <w:szCs w:val="20"/>
        </w:rPr>
        <w:t>yellow</w:t>
      </w:r>
      <w:r w:rsidR="00CF20DC">
        <w:rPr>
          <w:b w:val="0"/>
          <w:bCs w:val="0"/>
          <w:sz w:val="20"/>
          <w:szCs w:val="20"/>
        </w:rPr>
        <w:t>)</w:t>
      </w:r>
      <w:r w:rsidRPr="000C7549">
        <w:rPr>
          <w:b w:val="0"/>
          <w:bCs w:val="0"/>
          <w:sz w:val="20"/>
          <w:szCs w:val="20"/>
        </w:rPr>
        <w:t xml:space="preserve">, Fabaceae </w:t>
      </w:r>
      <w:r w:rsidR="00CF20DC">
        <w:rPr>
          <w:b w:val="0"/>
          <w:bCs w:val="0"/>
          <w:sz w:val="20"/>
          <w:szCs w:val="20"/>
        </w:rPr>
        <w:t>(</w:t>
      </w:r>
      <w:r w:rsidRPr="000C7549">
        <w:rPr>
          <w:b w:val="0"/>
          <w:bCs w:val="0"/>
          <w:sz w:val="20"/>
          <w:szCs w:val="20"/>
        </w:rPr>
        <w:t>red</w:t>
      </w:r>
      <w:r w:rsidR="00CF20DC">
        <w:rPr>
          <w:b w:val="0"/>
          <w:bCs w:val="0"/>
          <w:sz w:val="20"/>
          <w:szCs w:val="20"/>
        </w:rPr>
        <w:t>)</w:t>
      </w:r>
      <w:r w:rsidRPr="000C7549">
        <w:rPr>
          <w:b w:val="0"/>
          <w:bCs w:val="0"/>
          <w:sz w:val="20"/>
          <w:szCs w:val="20"/>
        </w:rPr>
        <w:t xml:space="preserve">, and Lamiaceae </w:t>
      </w:r>
      <w:r w:rsidR="00CF20DC">
        <w:rPr>
          <w:b w:val="0"/>
          <w:bCs w:val="0"/>
          <w:sz w:val="20"/>
          <w:szCs w:val="20"/>
        </w:rPr>
        <w:t>(</w:t>
      </w:r>
      <w:r w:rsidRPr="000C7549">
        <w:rPr>
          <w:b w:val="0"/>
          <w:bCs w:val="0"/>
          <w:sz w:val="20"/>
          <w:szCs w:val="20"/>
        </w:rPr>
        <w:t>blue</w:t>
      </w:r>
      <w:r w:rsidR="00CF20DC">
        <w:rPr>
          <w:b w:val="0"/>
          <w:bCs w:val="0"/>
          <w:sz w:val="20"/>
          <w:szCs w:val="20"/>
        </w:rPr>
        <w:t>)</w:t>
      </w:r>
      <w:r w:rsidRPr="000C7549">
        <w:rPr>
          <w:b w:val="0"/>
          <w:bCs w:val="0"/>
          <w:sz w:val="20"/>
          <w:szCs w:val="20"/>
        </w:rPr>
        <w:t xml:space="preserve">. </w:t>
      </w:r>
      <w:r w:rsidRPr="00546490">
        <w:rPr>
          <w:b w:val="0"/>
          <w:bCs w:val="0"/>
          <w:i/>
          <w:sz w:val="20"/>
          <w:szCs w:val="20"/>
        </w:rPr>
        <w:t>Pycnanthemum muticum</w:t>
      </w:r>
      <w:r w:rsidRPr="000C7549">
        <w:rPr>
          <w:b w:val="0"/>
          <w:bCs w:val="0"/>
          <w:sz w:val="20"/>
          <w:szCs w:val="20"/>
        </w:rPr>
        <w:t xml:space="preserve"> had the highest visitation rate (0.03. ± 0.003).</w:t>
      </w:r>
      <w:r w:rsidRPr="000C7549">
        <w:rPr>
          <w:b w:val="0"/>
          <w:bCs w:val="0"/>
          <w:color w:val="000000" w:themeColor="text1"/>
          <w:sz w:val="20"/>
          <w:szCs w:val="20"/>
          <w:shd w:val="clear" w:color="auto" w:fill="FFFFFF"/>
        </w:rPr>
        <w:t xml:space="preserve"> </w:t>
      </w:r>
    </w:p>
    <w:p w14:paraId="403E4DF7" w14:textId="60B45893" w:rsidR="00351A7F" w:rsidRDefault="00351A7F" w:rsidP="00351A7F"/>
    <w:p w14:paraId="01B6EFE0" w14:textId="621D0A23" w:rsidR="007667D9" w:rsidRDefault="007667D9" w:rsidP="00351A7F"/>
    <w:p w14:paraId="1EDFE326" w14:textId="77777777" w:rsidR="00D730F0" w:rsidRDefault="00D730F0" w:rsidP="00351A7F"/>
    <w:p w14:paraId="1998A72D" w14:textId="77777777" w:rsidR="00332CAE" w:rsidRDefault="00332CAE" w:rsidP="00351A7F"/>
    <w:p w14:paraId="205CAD5B" w14:textId="77777777" w:rsidR="00332CAE" w:rsidRDefault="00332CAE" w:rsidP="00332CAE">
      <w:r>
        <w:rPr>
          <w:noProof/>
        </w:rPr>
        <w:drawing>
          <wp:inline distT="0" distB="0" distL="0" distR="0" wp14:anchorId="1B1331B9" wp14:editId="1ADB8042">
            <wp:extent cx="5801360" cy="2537964"/>
            <wp:effectExtent l="0" t="0" r="15240" b="15240"/>
            <wp:docPr id="4" name="Chart 4">
              <a:extLst xmlns:a="http://schemas.openxmlformats.org/drawingml/2006/main">
                <a:ext uri="{FF2B5EF4-FFF2-40B4-BE49-F238E27FC236}">
                  <a16:creationId xmlns:a16="http://schemas.microsoft.com/office/drawing/2014/main" id="{62980EFE-A63C-114E-85D8-5EED05930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734E2F" w14:textId="77777777" w:rsidR="00332CAE" w:rsidRDefault="00332CAE" w:rsidP="00332CAE">
      <w:pPr>
        <w:pStyle w:val="Caption"/>
        <w:spacing w:before="0" w:after="0"/>
        <w:rPr>
          <w:noProof/>
        </w:rPr>
      </w:pPr>
      <w:bookmarkStart w:id="40" w:name="_Toc76799617"/>
      <w:r w:rsidRPr="000C7549">
        <w:t xml:space="preserve">Figure </w:t>
      </w:r>
      <w:fldSimple w:instr=" SEQ Figure \* ARABIC ">
        <w:r>
          <w:rPr>
            <w:noProof/>
          </w:rPr>
          <w:t>7</w:t>
        </w:r>
      </w:fldSimple>
      <w:r>
        <w:rPr>
          <w:noProof/>
        </w:rPr>
        <w:t>b</w:t>
      </w:r>
      <w:r w:rsidRPr="000C7549">
        <w:t xml:space="preserve">. Average </w:t>
      </w:r>
      <w:r>
        <w:t xml:space="preserve">Bee </w:t>
      </w:r>
      <w:r w:rsidRPr="000C7549">
        <w:t>Visitation Rate Per Plant Species 2020</w:t>
      </w:r>
      <w:bookmarkEnd w:id="40"/>
      <w:r w:rsidRPr="000C7549">
        <w:rPr>
          <w:noProof/>
        </w:rPr>
        <w:t xml:space="preserve"> </w:t>
      </w:r>
    </w:p>
    <w:p w14:paraId="621D07A3" w14:textId="7F857A93" w:rsidR="007667D9" w:rsidRDefault="00332CAE" w:rsidP="00332CAE">
      <w:pPr>
        <w:pStyle w:val="Caption"/>
        <w:spacing w:before="0" w:after="0"/>
        <w:rPr>
          <w:b w:val="0"/>
          <w:bCs w:val="0"/>
          <w:color w:val="000000" w:themeColor="text1"/>
          <w:sz w:val="20"/>
          <w:szCs w:val="20"/>
          <w:shd w:val="clear" w:color="auto" w:fill="FFFFFF"/>
        </w:rPr>
      </w:pPr>
      <w:r w:rsidRPr="000C7549">
        <w:rPr>
          <w:b w:val="0"/>
          <w:bCs w:val="0"/>
          <w:sz w:val="20"/>
          <w:szCs w:val="20"/>
        </w:rPr>
        <w:t xml:space="preserve">Calculated by the number </w:t>
      </w:r>
      <w:r>
        <w:rPr>
          <w:b w:val="0"/>
          <w:bCs w:val="0"/>
          <w:sz w:val="20"/>
          <w:szCs w:val="20"/>
        </w:rPr>
        <w:t>bees</w:t>
      </w:r>
      <w:r w:rsidRPr="000C7549">
        <w:rPr>
          <w:b w:val="0"/>
          <w:bCs w:val="0"/>
          <w:sz w:val="20"/>
          <w:szCs w:val="20"/>
        </w:rPr>
        <w:t xml:space="preserve"> per </w:t>
      </w:r>
      <w:r w:rsidR="00CF20DC">
        <w:rPr>
          <w:b w:val="0"/>
          <w:bCs w:val="0"/>
          <w:sz w:val="20"/>
          <w:szCs w:val="20"/>
        </w:rPr>
        <w:t xml:space="preserve">unit </w:t>
      </w:r>
      <w:r w:rsidRPr="000C7549">
        <w:rPr>
          <w:b w:val="0"/>
          <w:bCs w:val="0"/>
          <w:sz w:val="20"/>
          <w:szCs w:val="20"/>
        </w:rPr>
        <w:t xml:space="preserve">floral area, per sample, averaged across all blocks and collections. Each plant species </w:t>
      </w:r>
      <w:r w:rsidR="00CF20DC">
        <w:rPr>
          <w:b w:val="0"/>
          <w:bCs w:val="0"/>
          <w:sz w:val="20"/>
          <w:szCs w:val="20"/>
        </w:rPr>
        <w:t>is labeled with an</w:t>
      </w:r>
      <w:r w:rsidR="00CF20DC" w:rsidRPr="000C7549">
        <w:rPr>
          <w:b w:val="0"/>
          <w:bCs w:val="0"/>
          <w:sz w:val="20"/>
          <w:szCs w:val="20"/>
        </w:rPr>
        <w:t xml:space="preserve"> </w:t>
      </w:r>
      <w:r w:rsidRPr="000C7549">
        <w:rPr>
          <w:b w:val="0"/>
          <w:bCs w:val="0"/>
          <w:sz w:val="20"/>
          <w:szCs w:val="20"/>
        </w:rPr>
        <w:t>abbreviation</w:t>
      </w:r>
      <w:r w:rsidR="00CF20DC">
        <w:rPr>
          <w:b w:val="0"/>
          <w:bCs w:val="0"/>
          <w:sz w:val="20"/>
          <w:szCs w:val="20"/>
        </w:rPr>
        <w:t xml:space="preserve"> </w:t>
      </w:r>
      <w:r w:rsidRPr="000C7549">
        <w:rPr>
          <w:b w:val="0"/>
          <w:bCs w:val="0"/>
          <w:sz w:val="20"/>
          <w:szCs w:val="20"/>
        </w:rPr>
        <w:t xml:space="preserve">of </w:t>
      </w:r>
      <w:r w:rsidR="00CF20DC">
        <w:rPr>
          <w:b w:val="0"/>
          <w:bCs w:val="0"/>
          <w:sz w:val="20"/>
          <w:szCs w:val="20"/>
        </w:rPr>
        <w:t xml:space="preserve">the first </w:t>
      </w:r>
      <w:r w:rsidRPr="000C7549">
        <w:rPr>
          <w:b w:val="0"/>
          <w:bCs w:val="0"/>
          <w:sz w:val="20"/>
          <w:szCs w:val="20"/>
        </w:rPr>
        <w:t>three letters from the genus and species name. The color of each bar represents each plant family</w:t>
      </w:r>
      <w:r w:rsidR="00CF20DC">
        <w:rPr>
          <w:b w:val="0"/>
          <w:bCs w:val="0"/>
          <w:sz w:val="20"/>
          <w:szCs w:val="20"/>
        </w:rPr>
        <w:t>;</w:t>
      </w:r>
      <w:r w:rsidRPr="000C7549">
        <w:rPr>
          <w:b w:val="0"/>
          <w:bCs w:val="0"/>
          <w:sz w:val="20"/>
          <w:szCs w:val="20"/>
        </w:rPr>
        <w:t xml:space="preserve"> Asteraceae </w:t>
      </w:r>
      <w:r w:rsidR="00CF20DC">
        <w:rPr>
          <w:b w:val="0"/>
          <w:bCs w:val="0"/>
          <w:sz w:val="20"/>
          <w:szCs w:val="20"/>
        </w:rPr>
        <w:t>(</w:t>
      </w:r>
      <w:r w:rsidRPr="000C7549">
        <w:rPr>
          <w:b w:val="0"/>
          <w:bCs w:val="0"/>
          <w:sz w:val="20"/>
          <w:szCs w:val="20"/>
        </w:rPr>
        <w:t>yellow</w:t>
      </w:r>
      <w:r w:rsidR="00CF20DC">
        <w:rPr>
          <w:b w:val="0"/>
          <w:bCs w:val="0"/>
          <w:sz w:val="20"/>
          <w:szCs w:val="20"/>
        </w:rPr>
        <w:t>),</w:t>
      </w:r>
      <w:r w:rsidRPr="000C7549">
        <w:rPr>
          <w:b w:val="0"/>
          <w:bCs w:val="0"/>
          <w:sz w:val="20"/>
          <w:szCs w:val="20"/>
        </w:rPr>
        <w:t xml:space="preserve"> Fabaceae </w:t>
      </w:r>
      <w:r w:rsidR="00CF20DC">
        <w:rPr>
          <w:b w:val="0"/>
          <w:bCs w:val="0"/>
          <w:sz w:val="20"/>
          <w:szCs w:val="20"/>
        </w:rPr>
        <w:t>(</w:t>
      </w:r>
      <w:r w:rsidRPr="000C7549">
        <w:rPr>
          <w:b w:val="0"/>
          <w:bCs w:val="0"/>
          <w:sz w:val="20"/>
          <w:szCs w:val="20"/>
        </w:rPr>
        <w:t>red</w:t>
      </w:r>
      <w:r w:rsidR="00CF20DC">
        <w:rPr>
          <w:b w:val="0"/>
          <w:bCs w:val="0"/>
          <w:sz w:val="20"/>
          <w:szCs w:val="20"/>
        </w:rPr>
        <w:t>),</w:t>
      </w:r>
      <w:r w:rsidRPr="000C7549">
        <w:rPr>
          <w:b w:val="0"/>
          <w:bCs w:val="0"/>
          <w:sz w:val="20"/>
          <w:szCs w:val="20"/>
        </w:rPr>
        <w:t xml:space="preserve"> and Lamiaceae </w:t>
      </w:r>
      <w:r w:rsidR="00CF20DC">
        <w:rPr>
          <w:b w:val="0"/>
          <w:bCs w:val="0"/>
          <w:sz w:val="20"/>
          <w:szCs w:val="20"/>
        </w:rPr>
        <w:t>(</w:t>
      </w:r>
      <w:r w:rsidRPr="000C7549">
        <w:rPr>
          <w:b w:val="0"/>
          <w:bCs w:val="0"/>
          <w:sz w:val="20"/>
          <w:szCs w:val="20"/>
        </w:rPr>
        <w:t>blue</w:t>
      </w:r>
      <w:r w:rsidR="00CF20DC">
        <w:rPr>
          <w:b w:val="0"/>
          <w:bCs w:val="0"/>
          <w:sz w:val="20"/>
          <w:szCs w:val="20"/>
        </w:rPr>
        <w:t>)</w:t>
      </w:r>
      <w:r w:rsidRPr="000C7549">
        <w:rPr>
          <w:b w:val="0"/>
          <w:bCs w:val="0"/>
          <w:sz w:val="20"/>
          <w:szCs w:val="20"/>
        </w:rPr>
        <w:t xml:space="preserve">. </w:t>
      </w:r>
      <w:r w:rsidRPr="00546490">
        <w:rPr>
          <w:b w:val="0"/>
          <w:bCs w:val="0"/>
          <w:i/>
          <w:sz w:val="20"/>
          <w:szCs w:val="20"/>
        </w:rPr>
        <w:t>Lespedeza hirta</w:t>
      </w:r>
      <w:r w:rsidRPr="000C7549">
        <w:rPr>
          <w:b w:val="0"/>
          <w:bCs w:val="0"/>
          <w:sz w:val="20"/>
          <w:szCs w:val="20"/>
        </w:rPr>
        <w:t xml:space="preserve"> had the highest visitation rate (0.0</w:t>
      </w:r>
      <w:r w:rsidR="00CF20DC">
        <w:rPr>
          <w:b w:val="0"/>
          <w:bCs w:val="0"/>
          <w:sz w:val="20"/>
          <w:szCs w:val="20"/>
        </w:rPr>
        <w:t>2</w:t>
      </w:r>
      <w:r w:rsidRPr="000C7549">
        <w:rPr>
          <w:b w:val="0"/>
          <w:bCs w:val="0"/>
          <w:sz w:val="20"/>
          <w:szCs w:val="20"/>
        </w:rPr>
        <w:t>. ± 0.00</w:t>
      </w:r>
      <w:r>
        <w:rPr>
          <w:b w:val="0"/>
          <w:bCs w:val="0"/>
          <w:sz w:val="20"/>
          <w:szCs w:val="20"/>
        </w:rPr>
        <w:t>1</w:t>
      </w:r>
      <w:r w:rsidRPr="000C7549">
        <w:rPr>
          <w:b w:val="0"/>
          <w:bCs w:val="0"/>
          <w:sz w:val="20"/>
          <w:szCs w:val="20"/>
        </w:rPr>
        <w:t>).</w:t>
      </w:r>
      <w:r w:rsidRPr="000C7549">
        <w:rPr>
          <w:b w:val="0"/>
          <w:bCs w:val="0"/>
          <w:color w:val="000000" w:themeColor="text1"/>
          <w:sz w:val="20"/>
          <w:szCs w:val="20"/>
          <w:shd w:val="clear" w:color="auto" w:fill="FFFFFF"/>
        </w:rPr>
        <w:t xml:space="preserve"> </w:t>
      </w:r>
    </w:p>
    <w:p w14:paraId="458A97F9" w14:textId="77777777" w:rsidR="00332CAE" w:rsidRPr="00332CAE" w:rsidRDefault="00332CAE" w:rsidP="00332CAE"/>
    <w:p w14:paraId="206E999F" w14:textId="77777777" w:rsidR="00E723C2" w:rsidRPr="000C7549" w:rsidRDefault="00E723C2" w:rsidP="00351A7F">
      <w:pPr>
        <w:rPr>
          <w:rFonts w:ascii="Arial" w:hAnsi="Arial" w:cs="Arial"/>
        </w:rPr>
      </w:pPr>
      <w:r w:rsidRPr="000C7549">
        <w:rPr>
          <w:rFonts w:ascii="Arial" w:hAnsi="Arial" w:cs="Arial"/>
          <w:noProof/>
        </w:rPr>
        <w:lastRenderedPageBreak/>
        <w:drawing>
          <wp:inline distT="0" distB="0" distL="0" distR="0" wp14:anchorId="39A99CFE" wp14:editId="3AF8A1CD">
            <wp:extent cx="5666740" cy="1939159"/>
            <wp:effectExtent l="0" t="0" r="10160" b="17145"/>
            <wp:docPr id="35" name="Chart 35">
              <a:extLst xmlns:a="http://schemas.openxmlformats.org/drawingml/2006/main">
                <a:ext uri="{FF2B5EF4-FFF2-40B4-BE49-F238E27FC236}">
                  <a16:creationId xmlns:a16="http://schemas.microsoft.com/office/drawing/2014/main" id="{D87C6D77-A106-4FC4-B62C-12B9908AF8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E0829E0" w14:textId="07EAC1B9" w:rsidR="00E723C2" w:rsidRDefault="00E723C2" w:rsidP="00351A7F">
      <w:pPr>
        <w:pStyle w:val="Caption"/>
        <w:spacing w:before="0" w:after="0"/>
        <w:rPr>
          <w:b w:val="0"/>
          <w:bCs w:val="0"/>
          <w:sz w:val="20"/>
          <w:szCs w:val="20"/>
        </w:rPr>
      </w:pPr>
      <w:bookmarkStart w:id="41" w:name="_Toc76799618"/>
      <w:r w:rsidRPr="000C7549">
        <w:t xml:space="preserve">Figure </w:t>
      </w:r>
      <w:fldSimple w:instr=" SEQ Figure \* ARABIC ">
        <w:r w:rsidR="00482141">
          <w:rPr>
            <w:noProof/>
          </w:rPr>
          <w:t>8</w:t>
        </w:r>
      </w:fldSimple>
      <w:r w:rsidRPr="000C7549">
        <w:t>. Average Visitation Rate Per Treatment</w:t>
      </w:r>
      <w:r w:rsidR="00CF20DC">
        <w:t xml:space="preserve"> 2020</w:t>
      </w:r>
      <w:bookmarkEnd w:id="41"/>
    </w:p>
    <w:p w14:paraId="2A3B4A4C" w14:textId="4DC8B1F9" w:rsidR="00E723C2" w:rsidRDefault="00232196" w:rsidP="00351A7F">
      <w:pPr>
        <w:pStyle w:val="Caption"/>
        <w:spacing w:before="0" w:after="0"/>
        <w:rPr>
          <w:b w:val="0"/>
          <w:bCs w:val="0"/>
          <w:color w:val="000000" w:themeColor="text1"/>
          <w:sz w:val="20"/>
          <w:szCs w:val="20"/>
          <w:shd w:val="clear" w:color="auto" w:fill="FFFFFF"/>
        </w:rPr>
      </w:pPr>
      <w:r>
        <w:rPr>
          <w:b w:val="0"/>
          <w:bCs w:val="0"/>
          <w:sz w:val="20"/>
          <w:szCs w:val="20"/>
        </w:rPr>
        <w:t xml:space="preserve">Visitation rate </w:t>
      </w:r>
      <w:r w:rsidR="00CF20DC">
        <w:rPr>
          <w:b w:val="0"/>
          <w:bCs w:val="0"/>
          <w:sz w:val="20"/>
          <w:szCs w:val="20"/>
        </w:rPr>
        <w:t xml:space="preserve">from 2020 </w:t>
      </w:r>
      <w:r>
        <w:rPr>
          <w:b w:val="0"/>
          <w:bCs w:val="0"/>
          <w:sz w:val="20"/>
          <w:szCs w:val="20"/>
        </w:rPr>
        <w:t xml:space="preserve">for each of the four treatments, across all blocks. Visitation rate was calculated by total pollinator abundance, divided by the average size of the </w:t>
      </w:r>
      <w:r w:rsidR="00CF20DC">
        <w:rPr>
          <w:b w:val="0"/>
          <w:bCs w:val="0"/>
          <w:sz w:val="20"/>
          <w:szCs w:val="20"/>
        </w:rPr>
        <w:t>inflorescences</w:t>
      </w:r>
      <w:r>
        <w:rPr>
          <w:b w:val="0"/>
          <w:bCs w:val="0"/>
          <w:sz w:val="20"/>
          <w:szCs w:val="20"/>
        </w:rPr>
        <w:t xml:space="preserve">, multiplied by the number of </w:t>
      </w:r>
      <w:r w:rsidR="00CF20DC">
        <w:rPr>
          <w:b w:val="0"/>
          <w:bCs w:val="0"/>
          <w:sz w:val="20"/>
          <w:szCs w:val="20"/>
        </w:rPr>
        <w:t>inflorescences</w:t>
      </w:r>
      <w:r>
        <w:rPr>
          <w:b w:val="0"/>
          <w:bCs w:val="0"/>
          <w:sz w:val="20"/>
          <w:szCs w:val="20"/>
        </w:rPr>
        <w:t xml:space="preserve">, per sample. </w:t>
      </w:r>
      <w:r w:rsidR="00E723C2" w:rsidRPr="000C7549">
        <w:rPr>
          <w:b w:val="0"/>
          <w:bCs w:val="0"/>
          <w:sz w:val="20"/>
          <w:szCs w:val="20"/>
        </w:rPr>
        <w:t xml:space="preserve">The Mixed plot had the highest average visitation rate (0.014 </w:t>
      </w:r>
      <w:r w:rsidR="00E723C2" w:rsidRPr="000C7549">
        <w:rPr>
          <w:b w:val="0"/>
          <w:bCs w:val="0"/>
          <w:color w:val="000000" w:themeColor="text1"/>
          <w:sz w:val="20"/>
          <w:szCs w:val="20"/>
          <w:shd w:val="clear" w:color="auto" w:fill="FFFFFF"/>
        </w:rPr>
        <w:t xml:space="preserve">± 0.002), followed by Lamiaceae, </w:t>
      </w:r>
      <w:r w:rsidR="00E723C2" w:rsidRPr="000C7549">
        <w:rPr>
          <w:b w:val="0"/>
          <w:bCs w:val="0"/>
          <w:sz w:val="20"/>
          <w:szCs w:val="20"/>
        </w:rPr>
        <w:t xml:space="preserve">(0.013 </w:t>
      </w:r>
      <w:r w:rsidR="00E723C2" w:rsidRPr="000C7549">
        <w:rPr>
          <w:b w:val="0"/>
          <w:bCs w:val="0"/>
          <w:color w:val="000000" w:themeColor="text1"/>
          <w:sz w:val="20"/>
          <w:szCs w:val="20"/>
          <w:shd w:val="clear" w:color="auto" w:fill="FFFFFF"/>
        </w:rPr>
        <w:t xml:space="preserve">± 0.001), Fabaceae </w:t>
      </w:r>
      <w:r w:rsidR="00E723C2" w:rsidRPr="000C7549">
        <w:rPr>
          <w:b w:val="0"/>
          <w:bCs w:val="0"/>
          <w:sz w:val="20"/>
          <w:szCs w:val="20"/>
        </w:rPr>
        <w:t xml:space="preserve">(0.013 </w:t>
      </w:r>
      <w:r w:rsidR="00E723C2" w:rsidRPr="000C7549">
        <w:rPr>
          <w:b w:val="0"/>
          <w:bCs w:val="0"/>
          <w:color w:val="000000" w:themeColor="text1"/>
          <w:sz w:val="20"/>
          <w:szCs w:val="20"/>
          <w:shd w:val="clear" w:color="auto" w:fill="FFFFFF"/>
        </w:rPr>
        <w:t xml:space="preserve">± 0.003), and Asteraceae </w:t>
      </w:r>
      <w:r w:rsidR="00E723C2" w:rsidRPr="000C7549">
        <w:rPr>
          <w:b w:val="0"/>
          <w:bCs w:val="0"/>
          <w:sz w:val="20"/>
          <w:szCs w:val="20"/>
        </w:rPr>
        <w:t xml:space="preserve">(0.004 </w:t>
      </w:r>
      <w:r w:rsidR="00E723C2" w:rsidRPr="000C7549">
        <w:rPr>
          <w:b w:val="0"/>
          <w:bCs w:val="0"/>
          <w:color w:val="000000" w:themeColor="text1"/>
          <w:sz w:val="20"/>
          <w:szCs w:val="20"/>
          <w:shd w:val="clear" w:color="auto" w:fill="FFFFFF"/>
        </w:rPr>
        <w:t xml:space="preserve">± 0.001). </w:t>
      </w:r>
    </w:p>
    <w:p w14:paraId="3F9E09DF" w14:textId="77777777" w:rsidR="00E723C2" w:rsidRDefault="00E723C2" w:rsidP="00E723C2"/>
    <w:p w14:paraId="2CED75B2" w14:textId="77777777" w:rsidR="00E723C2" w:rsidRDefault="00E723C2" w:rsidP="00E723C2"/>
    <w:p w14:paraId="4D340660" w14:textId="4DE9F12C" w:rsidR="00B10994" w:rsidRDefault="00B10994" w:rsidP="00E723C2"/>
    <w:p w14:paraId="7D07E4D0" w14:textId="32E209CE" w:rsidR="00F020D2" w:rsidRDefault="00F020D2" w:rsidP="00E723C2"/>
    <w:p w14:paraId="249F029F" w14:textId="03345EFD" w:rsidR="00F020D2" w:rsidRDefault="00F020D2" w:rsidP="00E723C2"/>
    <w:p w14:paraId="2B9B14E5" w14:textId="200CB8E1" w:rsidR="00F020D2" w:rsidRDefault="00F020D2" w:rsidP="00E723C2"/>
    <w:p w14:paraId="231D6216" w14:textId="3948B15F" w:rsidR="000D37C7" w:rsidRDefault="000D37C7" w:rsidP="00E723C2"/>
    <w:p w14:paraId="667DEBA0" w14:textId="77777777" w:rsidR="000D37C7" w:rsidRDefault="000D37C7" w:rsidP="00E723C2"/>
    <w:p w14:paraId="33312448" w14:textId="77777777" w:rsidR="00E723C2" w:rsidRPr="000C7549" w:rsidRDefault="00E723C2" w:rsidP="000D37C7">
      <w:pPr>
        <w:rPr>
          <w:rFonts w:ascii="Arial" w:hAnsi="Arial" w:cs="Arial"/>
        </w:rPr>
      </w:pPr>
      <w:r w:rsidRPr="000C7549">
        <w:rPr>
          <w:rFonts w:ascii="Arial" w:hAnsi="Arial" w:cs="Arial"/>
          <w:noProof/>
        </w:rPr>
        <w:drawing>
          <wp:inline distT="0" distB="0" distL="0" distR="0" wp14:anchorId="4AB6B1DF" wp14:editId="5DD2A4E2">
            <wp:extent cx="3695700" cy="2654300"/>
            <wp:effectExtent l="0" t="0" r="0" b="0"/>
            <wp:docPr id="28" name="Picture 28" descr="A picture contain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window&#10;&#10;Description automatically generated"/>
                    <pic:cNvPicPr/>
                  </pic:nvPicPr>
                  <pic:blipFill>
                    <a:blip r:embed="rId18"/>
                    <a:stretch>
                      <a:fillRect/>
                    </a:stretch>
                  </pic:blipFill>
                  <pic:spPr>
                    <a:xfrm>
                      <a:off x="0" y="0"/>
                      <a:ext cx="3695700" cy="2654300"/>
                    </a:xfrm>
                    <a:prstGeom prst="rect">
                      <a:avLst/>
                    </a:prstGeom>
                  </pic:spPr>
                </pic:pic>
              </a:graphicData>
            </a:graphic>
          </wp:inline>
        </w:drawing>
      </w:r>
    </w:p>
    <w:p w14:paraId="7F49B1FF" w14:textId="1DF430A1" w:rsidR="00E723C2" w:rsidRDefault="00E723C2" w:rsidP="000D37C7">
      <w:pPr>
        <w:pStyle w:val="Caption"/>
        <w:spacing w:before="0" w:after="0"/>
      </w:pPr>
      <w:bookmarkStart w:id="42" w:name="_Toc76799619"/>
      <w:r w:rsidRPr="000C7549">
        <w:t xml:space="preserve">Figure </w:t>
      </w:r>
      <w:fldSimple w:instr=" SEQ Figure \* ARABIC ">
        <w:r w:rsidR="00B10994">
          <w:rPr>
            <w:noProof/>
          </w:rPr>
          <w:t>9</w:t>
        </w:r>
      </w:fldSimple>
      <w:r w:rsidRPr="000C7549">
        <w:t>. 2000m Buffer Analysis Using NLCD Layer (</w:t>
      </w:r>
      <w:r w:rsidR="006F19EB" w:rsidRPr="000C7549">
        <w:t>E</w:t>
      </w:r>
      <w:r w:rsidR="006F19EB">
        <w:t>SRI</w:t>
      </w:r>
      <w:r w:rsidRPr="000C7549">
        <w:t>, 2016)</w:t>
      </w:r>
      <w:bookmarkEnd w:id="42"/>
      <w:r w:rsidRPr="000C7549">
        <w:t xml:space="preserve"> </w:t>
      </w:r>
    </w:p>
    <w:p w14:paraId="493E8DA8" w14:textId="5CC27CA3" w:rsidR="00E723C2" w:rsidRPr="000C7549" w:rsidRDefault="00E723C2" w:rsidP="000D37C7">
      <w:pPr>
        <w:pStyle w:val="Caption"/>
        <w:spacing w:before="0" w:after="0"/>
        <w:rPr>
          <w:b w:val="0"/>
          <w:bCs w:val="0"/>
        </w:rPr>
      </w:pPr>
      <w:r w:rsidRPr="000C7549">
        <w:rPr>
          <w:b w:val="0"/>
          <w:bCs w:val="0"/>
          <w:sz w:val="20"/>
          <w:szCs w:val="20"/>
        </w:rPr>
        <w:t xml:space="preserve">Using the NLCD layer, we classified the land cover </w:t>
      </w:r>
      <w:r w:rsidR="006F19EB">
        <w:rPr>
          <w:b w:val="0"/>
          <w:bCs w:val="0"/>
          <w:sz w:val="20"/>
          <w:szCs w:val="20"/>
        </w:rPr>
        <w:t xml:space="preserve">types </w:t>
      </w:r>
      <w:r w:rsidRPr="000C7549">
        <w:rPr>
          <w:b w:val="0"/>
          <w:bCs w:val="0"/>
          <w:sz w:val="20"/>
          <w:szCs w:val="20"/>
        </w:rPr>
        <w:t xml:space="preserve">around </w:t>
      </w:r>
      <w:r w:rsidR="006F19EB">
        <w:rPr>
          <w:b w:val="0"/>
          <w:bCs w:val="0"/>
          <w:sz w:val="20"/>
          <w:szCs w:val="20"/>
        </w:rPr>
        <w:t>in</w:t>
      </w:r>
      <w:r w:rsidRPr="000C7549">
        <w:rPr>
          <w:b w:val="0"/>
          <w:bCs w:val="0"/>
          <w:sz w:val="20"/>
          <w:szCs w:val="20"/>
        </w:rPr>
        <w:t xml:space="preserve"> a 2000m radius with the Asteraceae plot at the center of each buffer</w:t>
      </w:r>
      <w:r w:rsidR="006F19EB">
        <w:rPr>
          <w:b w:val="0"/>
          <w:bCs w:val="0"/>
          <w:sz w:val="20"/>
          <w:szCs w:val="20"/>
        </w:rPr>
        <w:t xml:space="preserve"> for Site 1 (</w:t>
      </w:r>
      <w:r w:rsidR="006F19EB" w:rsidRPr="000C7549">
        <w:rPr>
          <w:b w:val="0"/>
          <w:bCs w:val="0"/>
          <w:sz w:val="20"/>
          <w:szCs w:val="20"/>
        </w:rPr>
        <w:t>Urban Gardens</w:t>
      </w:r>
      <w:r w:rsidR="006F19EB">
        <w:rPr>
          <w:b w:val="0"/>
          <w:bCs w:val="0"/>
          <w:sz w:val="20"/>
          <w:szCs w:val="20"/>
        </w:rPr>
        <w:t>), Site 2 (</w:t>
      </w:r>
      <w:r w:rsidR="006F19EB" w:rsidRPr="000C7549">
        <w:rPr>
          <w:b w:val="0"/>
          <w:bCs w:val="0"/>
          <w:sz w:val="20"/>
          <w:szCs w:val="20"/>
        </w:rPr>
        <w:t>Arboretum</w:t>
      </w:r>
      <w:r w:rsidR="006F19EB">
        <w:rPr>
          <w:b w:val="0"/>
          <w:bCs w:val="0"/>
          <w:sz w:val="20"/>
          <w:szCs w:val="20"/>
        </w:rPr>
        <w:t>), Site 3 (</w:t>
      </w:r>
      <w:r w:rsidR="006F19EB" w:rsidRPr="000C7549">
        <w:rPr>
          <w:b w:val="0"/>
          <w:bCs w:val="0"/>
          <w:sz w:val="20"/>
          <w:szCs w:val="20"/>
        </w:rPr>
        <w:t>Cattle Pasture</w:t>
      </w:r>
      <w:r w:rsidR="006F19EB">
        <w:rPr>
          <w:b w:val="0"/>
          <w:bCs w:val="0"/>
          <w:sz w:val="20"/>
          <w:szCs w:val="20"/>
        </w:rPr>
        <w:t>), Site 4 (</w:t>
      </w:r>
      <w:r w:rsidR="006F19EB" w:rsidRPr="000C7549">
        <w:rPr>
          <w:b w:val="0"/>
          <w:bCs w:val="0"/>
          <w:sz w:val="20"/>
          <w:szCs w:val="20"/>
        </w:rPr>
        <w:t>Mixed Use Agriculture</w:t>
      </w:r>
      <w:r w:rsidR="006F19EB">
        <w:rPr>
          <w:b w:val="0"/>
          <w:bCs w:val="0"/>
          <w:sz w:val="20"/>
          <w:szCs w:val="20"/>
        </w:rPr>
        <w:t>), and Site 5 (</w:t>
      </w:r>
      <w:r w:rsidR="006F19EB" w:rsidRPr="000C7549">
        <w:rPr>
          <w:b w:val="0"/>
          <w:bCs w:val="0"/>
          <w:sz w:val="20"/>
          <w:szCs w:val="20"/>
        </w:rPr>
        <w:t>Organic Agriculture</w:t>
      </w:r>
      <w:r w:rsidR="006F19EB">
        <w:rPr>
          <w:b w:val="0"/>
          <w:bCs w:val="0"/>
          <w:sz w:val="20"/>
          <w:szCs w:val="20"/>
        </w:rPr>
        <w:t>)</w:t>
      </w:r>
      <w:r w:rsidRPr="000C7549">
        <w:rPr>
          <w:b w:val="0"/>
          <w:bCs w:val="0"/>
          <w:sz w:val="20"/>
          <w:szCs w:val="20"/>
        </w:rPr>
        <w:t xml:space="preserve">. Yellow indicates agriculture, red is developed, green is forested or natural cover, and blue indicates open water. </w:t>
      </w:r>
    </w:p>
    <w:p w14:paraId="7A3263A6" w14:textId="77777777" w:rsidR="000D37C7" w:rsidRPr="000D37C7" w:rsidRDefault="000D37C7" w:rsidP="000D37C7"/>
    <w:p w14:paraId="4F4A1212" w14:textId="77777777" w:rsidR="00F020D2" w:rsidRPr="003A0CC2" w:rsidRDefault="00F020D2" w:rsidP="008F1CF8">
      <w:pPr>
        <w:rPr>
          <w:rFonts w:ascii="Arial" w:hAnsi="Arial" w:cs="Arial"/>
          <w:sz w:val="20"/>
          <w:szCs w:val="20"/>
          <w:highlight w:val="yellow"/>
        </w:rPr>
      </w:pPr>
      <w:r w:rsidRPr="003A0CC2">
        <w:rPr>
          <w:rFonts w:ascii="Arial" w:hAnsi="Arial" w:cs="Arial"/>
          <w:noProof/>
          <w:highlight w:val="yellow"/>
        </w:rPr>
        <w:lastRenderedPageBreak/>
        <w:drawing>
          <wp:inline distT="0" distB="0" distL="0" distR="0" wp14:anchorId="2C1FA13D" wp14:editId="3B519F92">
            <wp:extent cx="5501640" cy="2057400"/>
            <wp:effectExtent l="0" t="0" r="10160" b="12700"/>
            <wp:docPr id="21" name="Chart 21">
              <a:extLst xmlns:a="http://schemas.openxmlformats.org/drawingml/2006/main">
                <a:ext uri="{FF2B5EF4-FFF2-40B4-BE49-F238E27FC236}">
                  <a16:creationId xmlns:a16="http://schemas.microsoft.com/office/drawing/2014/main" id="{2CB5C0D6-A401-EA49-AEA8-7A45A6DA8E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7A40B96" w14:textId="5C661F8B" w:rsidR="00F020D2" w:rsidRPr="00D73509" w:rsidRDefault="00F020D2" w:rsidP="008F1CF8">
      <w:pPr>
        <w:pStyle w:val="Caption"/>
        <w:spacing w:before="0" w:after="0"/>
        <w:rPr>
          <w:b w:val="0"/>
          <w:bCs w:val="0"/>
          <w:color w:val="000000" w:themeColor="text1"/>
          <w:sz w:val="20"/>
          <w:szCs w:val="20"/>
        </w:rPr>
      </w:pPr>
      <w:bookmarkStart w:id="43" w:name="_Toc76799620"/>
      <w:r w:rsidRPr="00D73509">
        <w:t xml:space="preserve">Figure </w:t>
      </w:r>
      <w:fldSimple w:instr=" SEQ Figure \* ARABIC ">
        <w:r w:rsidR="00482141">
          <w:rPr>
            <w:noProof/>
          </w:rPr>
          <w:t>10</w:t>
        </w:r>
      </w:fldSimple>
      <w:r w:rsidRPr="00D73509">
        <w:t xml:space="preserve">. Average Bee Abundance per </w:t>
      </w:r>
      <w:r w:rsidR="00D23EF3" w:rsidRPr="00D73509">
        <w:t>Site</w:t>
      </w:r>
      <w:bookmarkEnd w:id="43"/>
      <w:r w:rsidRPr="00D73509">
        <w:rPr>
          <w:b w:val="0"/>
          <w:bCs w:val="0"/>
          <w:color w:val="000000" w:themeColor="text1"/>
          <w:sz w:val="20"/>
          <w:szCs w:val="20"/>
        </w:rPr>
        <w:t xml:space="preserve"> </w:t>
      </w:r>
    </w:p>
    <w:p w14:paraId="1B5D6B89" w14:textId="38BB021A" w:rsidR="00F020D2" w:rsidRPr="000225DE" w:rsidRDefault="009460D0" w:rsidP="008F1CF8">
      <w:pPr>
        <w:pStyle w:val="Caption"/>
        <w:spacing w:before="0" w:after="0"/>
        <w:rPr>
          <w:b w:val="0"/>
          <w:bCs w:val="0"/>
        </w:rPr>
      </w:pPr>
      <w:r w:rsidRPr="00D73509">
        <w:rPr>
          <w:b w:val="0"/>
          <w:bCs w:val="0"/>
          <w:color w:val="000000" w:themeColor="text1"/>
          <w:sz w:val="20"/>
          <w:szCs w:val="20"/>
        </w:rPr>
        <w:t>T</w:t>
      </w:r>
      <w:r w:rsidR="00D73509" w:rsidRPr="00D73509">
        <w:rPr>
          <w:b w:val="0"/>
          <w:bCs w:val="0"/>
          <w:color w:val="000000" w:themeColor="text1"/>
          <w:sz w:val="20"/>
          <w:szCs w:val="20"/>
        </w:rPr>
        <w:t xml:space="preserve">his graph depicts the average number of bees collected per </w:t>
      </w:r>
      <w:r w:rsidR="006F19EB">
        <w:rPr>
          <w:b w:val="0"/>
          <w:bCs w:val="0"/>
          <w:color w:val="000000" w:themeColor="text1"/>
          <w:sz w:val="20"/>
          <w:szCs w:val="20"/>
        </w:rPr>
        <w:t xml:space="preserve">sample, per </w:t>
      </w:r>
      <w:r w:rsidR="00D73509" w:rsidRPr="00D73509">
        <w:rPr>
          <w:b w:val="0"/>
          <w:bCs w:val="0"/>
          <w:color w:val="000000" w:themeColor="text1"/>
          <w:sz w:val="20"/>
          <w:szCs w:val="20"/>
        </w:rPr>
        <w:t xml:space="preserve">site for both years combined, 2019 and 2020. </w:t>
      </w:r>
      <w:r w:rsidR="00F020D2" w:rsidRPr="00D73509">
        <w:rPr>
          <w:b w:val="0"/>
          <w:bCs w:val="0"/>
          <w:color w:val="000000" w:themeColor="text1"/>
          <w:sz w:val="20"/>
          <w:szCs w:val="20"/>
        </w:rPr>
        <w:t xml:space="preserve">The Organic Agriculture block had the highest average bee abundance </w:t>
      </w:r>
      <w:r w:rsidR="00F020D2" w:rsidRPr="00D73509">
        <w:rPr>
          <w:b w:val="0"/>
          <w:bCs w:val="0"/>
          <w:color w:val="000000" w:themeColor="text1"/>
          <w:sz w:val="20"/>
          <w:szCs w:val="20"/>
          <w:shd w:val="clear" w:color="auto" w:fill="FFFFFF"/>
        </w:rPr>
        <w:t>(7.0 ± 1.1), while the Cattle Pasture block had the lowest (2.6 ± 0.3).</w:t>
      </w:r>
      <w:r w:rsidR="00F020D2" w:rsidRPr="000C7549">
        <w:rPr>
          <w:b w:val="0"/>
          <w:bCs w:val="0"/>
          <w:color w:val="000000" w:themeColor="text1"/>
          <w:sz w:val="20"/>
          <w:szCs w:val="20"/>
          <w:shd w:val="clear" w:color="auto" w:fill="FFFFFF"/>
        </w:rPr>
        <w:t xml:space="preserve"> </w:t>
      </w:r>
    </w:p>
    <w:p w14:paraId="6E531817" w14:textId="6B38AC3C" w:rsidR="00447E45" w:rsidRDefault="00447E45" w:rsidP="00F020D2">
      <w:pPr>
        <w:rPr>
          <w:rFonts w:ascii="Arial" w:hAnsi="Arial" w:cs="Arial"/>
          <w:sz w:val="21"/>
          <w:szCs w:val="21"/>
        </w:rPr>
      </w:pPr>
    </w:p>
    <w:p w14:paraId="78347B7F" w14:textId="1072A12A" w:rsidR="00682B6F" w:rsidRDefault="00682B6F" w:rsidP="00F020D2">
      <w:pPr>
        <w:rPr>
          <w:rFonts w:ascii="Arial" w:hAnsi="Arial" w:cs="Arial"/>
          <w:sz w:val="21"/>
          <w:szCs w:val="21"/>
        </w:rPr>
      </w:pPr>
    </w:p>
    <w:p w14:paraId="189D7CA3" w14:textId="6CC32B6A" w:rsidR="00682B6F" w:rsidRDefault="00682B6F" w:rsidP="00F020D2">
      <w:pPr>
        <w:rPr>
          <w:rFonts w:ascii="Arial" w:hAnsi="Arial" w:cs="Arial"/>
          <w:sz w:val="21"/>
          <w:szCs w:val="21"/>
        </w:rPr>
      </w:pPr>
    </w:p>
    <w:p w14:paraId="1665762D" w14:textId="4D7348C8" w:rsidR="00682B6F" w:rsidRDefault="00682B6F" w:rsidP="00F020D2">
      <w:pPr>
        <w:rPr>
          <w:rFonts w:ascii="Arial" w:hAnsi="Arial" w:cs="Arial"/>
          <w:sz w:val="21"/>
          <w:szCs w:val="21"/>
        </w:rPr>
      </w:pPr>
    </w:p>
    <w:p w14:paraId="5ABBEF7B" w14:textId="76DF1ED1" w:rsidR="00682B6F" w:rsidRDefault="00682B6F" w:rsidP="00F020D2">
      <w:pPr>
        <w:rPr>
          <w:rFonts w:ascii="Arial" w:hAnsi="Arial" w:cs="Arial"/>
          <w:sz w:val="21"/>
          <w:szCs w:val="21"/>
        </w:rPr>
      </w:pPr>
    </w:p>
    <w:p w14:paraId="42976249" w14:textId="77777777" w:rsidR="009E1C7C" w:rsidRDefault="009E1C7C" w:rsidP="00F020D2">
      <w:pPr>
        <w:rPr>
          <w:rFonts w:ascii="Arial" w:hAnsi="Arial" w:cs="Arial"/>
          <w:sz w:val="21"/>
          <w:szCs w:val="21"/>
        </w:rPr>
      </w:pPr>
    </w:p>
    <w:p w14:paraId="3EC73B40" w14:textId="77777777" w:rsidR="00447E45" w:rsidRDefault="00447E45" w:rsidP="00F020D2">
      <w:pPr>
        <w:rPr>
          <w:rFonts w:ascii="Arial" w:hAnsi="Arial" w:cs="Arial"/>
          <w:sz w:val="21"/>
          <w:szCs w:val="21"/>
        </w:rPr>
      </w:pPr>
    </w:p>
    <w:p w14:paraId="5BDF5676" w14:textId="04D01BCD" w:rsidR="00F020D2" w:rsidRDefault="00F020D2" w:rsidP="00F020D2">
      <w:pPr>
        <w:rPr>
          <w:rFonts w:ascii="Arial" w:hAnsi="Arial" w:cs="Arial"/>
          <w:sz w:val="21"/>
          <w:szCs w:val="21"/>
        </w:rPr>
      </w:pPr>
      <w:r>
        <w:rPr>
          <w:rFonts w:ascii="Arial" w:hAnsi="Arial" w:cs="Arial"/>
          <w:noProof/>
          <w:sz w:val="21"/>
          <w:szCs w:val="21"/>
        </w:rPr>
        <w:drawing>
          <wp:inline distT="0" distB="0" distL="0" distR="0" wp14:anchorId="5085224C" wp14:editId="7E06F02B">
            <wp:extent cx="2995793" cy="3276600"/>
            <wp:effectExtent l="0" t="0" r="1905"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20">
                      <a:extLst>
                        <a:ext uri="{28A0092B-C50C-407E-A947-70E740481C1C}">
                          <a14:useLocalDpi xmlns:a14="http://schemas.microsoft.com/office/drawing/2010/main" val="0"/>
                        </a:ext>
                      </a:extLst>
                    </a:blip>
                    <a:srcRect l="16303" t="4814" r="11217" b="24073"/>
                    <a:stretch/>
                  </pic:blipFill>
                  <pic:spPr bwMode="auto">
                    <a:xfrm>
                      <a:off x="0" y="0"/>
                      <a:ext cx="3008123" cy="3290086"/>
                    </a:xfrm>
                    <a:prstGeom prst="rect">
                      <a:avLst/>
                    </a:prstGeom>
                    <a:ln>
                      <a:noFill/>
                    </a:ln>
                    <a:extLst>
                      <a:ext uri="{53640926-AAD7-44D8-BBD7-CCE9431645EC}">
                        <a14:shadowObscured xmlns:a14="http://schemas.microsoft.com/office/drawing/2010/main"/>
                      </a:ext>
                    </a:extLst>
                  </pic:spPr>
                </pic:pic>
              </a:graphicData>
            </a:graphic>
          </wp:inline>
        </w:drawing>
      </w:r>
      <w:r w:rsidR="00447E45">
        <w:rPr>
          <w:rFonts w:ascii="Arial" w:hAnsi="Arial" w:cs="Arial"/>
          <w:noProof/>
          <w:sz w:val="21"/>
          <w:szCs w:val="21"/>
        </w:rPr>
        <w:drawing>
          <wp:inline distT="0" distB="0" distL="0" distR="0" wp14:anchorId="162259EC" wp14:editId="3C804784">
            <wp:extent cx="2844887" cy="797267"/>
            <wp:effectExtent l="0" t="0" r="0" b="317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20">
                      <a:extLst>
                        <a:ext uri="{28A0092B-C50C-407E-A947-70E740481C1C}">
                          <a14:useLocalDpi xmlns:a14="http://schemas.microsoft.com/office/drawing/2010/main" val="0"/>
                        </a:ext>
                      </a:extLst>
                    </a:blip>
                    <a:srcRect l="7795" t="76538" r="3930" b="1270"/>
                    <a:stretch/>
                  </pic:blipFill>
                  <pic:spPr bwMode="auto">
                    <a:xfrm>
                      <a:off x="0" y="0"/>
                      <a:ext cx="2869148" cy="804066"/>
                    </a:xfrm>
                    <a:prstGeom prst="rect">
                      <a:avLst/>
                    </a:prstGeom>
                    <a:ln>
                      <a:noFill/>
                    </a:ln>
                    <a:extLst>
                      <a:ext uri="{53640926-AAD7-44D8-BBD7-CCE9431645EC}">
                        <a14:shadowObscured xmlns:a14="http://schemas.microsoft.com/office/drawing/2010/main"/>
                      </a:ext>
                    </a:extLst>
                  </pic:spPr>
                </pic:pic>
              </a:graphicData>
            </a:graphic>
          </wp:inline>
        </w:drawing>
      </w:r>
    </w:p>
    <w:p w14:paraId="1D773004" w14:textId="1CF80176" w:rsidR="00482141" w:rsidRDefault="00351A7F" w:rsidP="00351A7F">
      <w:pPr>
        <w:pStyle w:val="Caption"/>
        <w:spacing w:before="0" w:after="0"/>
      </w:pPr>
      <w:bookmarkStart w:id="44" w:name="_Toc76799621"/>
      <w:r w:rsidRPr="00D23EF3">
        <w:t xml:space="preserve">Figure </w:t>
      </w:r>
      <w:fldSimple w:instr=" SEQ Figure \* ARABIC ">
        <w:r w:rsidR="00482141">
          <w:rPr>
            <w:noProof/>
          </w:rPr>
          <w:t>11</w:t>
        </w:r>
      </w:fldSimple>
      <w:r w:rsidRPr="00D23EF3">
        <w:t xml:space="preserve">. Shannon’s Diversity Index per </w:t>
      </w:r>
      <w:r w:rsidR="00D23EF3" w:rsidRPr="00D23EF3">
        <w:t>Site</w:t>
      </w:r>
      <w:bookmarkEnd w:id="44"/>
    </w:p>
    <w:p w14:paraId="2204C5A9" w14:textId="500ADEAD" w:rsidR="00F020D2" w:rsidRPr="00801135" w:rsidRDefault="00482141" w:rsidP="00482141">
      <w:pPr>
        <w:rPr>
          <w:rFonts w:ascii="Arial" w:hAnsi="Arial" w:cs="Arial"/>
          <w:sz w:val="20"/>
          <w:szCs w:val="20"/>
          <w:highlight w:val="yellow"/>
        </w:rPr>
      </w:pPr>
      <w:r w:rsidRPr="00801135">
        <w:rPr>
          <w:rFonts w:ascii="Arial" w:hAnsi="Arial" w:cs="Arial"/>
          <w:sz w:val="20"/>
          <w:szCs w:val="20"/>
        </w:rPr>
        <w:t>Using the Shannon’s Diversity Index, we calculated the bee species diversity for each site. The Cattle Forage block had the highest species diversity with</w:t>
      </w:r>
      <w:r w:rsidR="006F19EB">
        <w:rPr>
          <w:rFonts w:ascii="Arial" w:hAnsi="Arial" w:cs="Arial"/>
          <w:sz w:val="20"/>
          <w:szCs w:val="20"/>
        </w:rPr>
        <w:t xml:space="preserve"> an index of</w:t>
      </w:r>
      <w:r w:rsidRPr="00801135">
        <w:rPr>
          <w:rFonts w:ascii="Arial" w:hAnsi="Arial" w:cs="Arial"/>
          <w:sz w:val="20"/>
          <w:szCs w:val="20"/>
        </w:rPr>
        <w:t xml:space="preserve"> 16, followed by the Mixed Use</w:t>
      </w:r>
      <w:r w:rsidR="000D37C7">
        <w:rPr>
          <w:rFonts w:ascii="Arial" w:hAnsi="Arial" w:cs="Arial"/>
          <w:sz w:val="20"/>
          <w:szCs w:val="20"/>
        </w:rPr>
        <w:t xml:space="preserve"> </w:t>
      </w:r>
      <w:r w:rsidRPr="00801135">
        <w:rPr>
          <w:rFonts w:ascii="Arial" w:hAnsi="Arial" w:cs="Arial"/>
          <w:sz w:val="20"/>
          <w:szCs w:val="20"/>
        </w:rPr>
        <w:t xml:space="preserve">Agriculture, Semi-natural, and Urban with </w:t>
      </w:r>
      <w:r w:rsidR="006F19EB">
        <w:rPr>
          <w:rFonts w:ascii="Arial" w:hAnsi="Arial" w:cs="Arial"/>
          <w:sz w:val="20"/>
          <w:szCs w:val="20"/>
        </w:rPr>
        <w:t xml:space="preserve">indices of </w:t>
      </w:r>
      <w:r w:rsidRPr="00801135">
        <w:rPr>
          <w:rFonts w:ascii="Arial" w:hAnsi="Arial" w:cs="Arial"/>
          <w:sz w:val="20"/>
          <w:szCs w:val="20"/>
        </w:rPr>
        <w:t xml:space="preserve">12, and lastly the Organic Agriculture site with </w:t>
      </w:r>
      <w:r w:rsidR="006F19EB">
        <w:rPr>
          <w:rFonts w:ascii="Arial" w:hAnsi="Arial" w:cs="Arial"/>
          <w:sz w:val="20"/>
          <w:szCs w:val="20"/>
        </w:rPr>
        <w:t xml:space="preserve">an index of </w:t>
      </w:r>
      <w:r w:rsidRPr="00801135">
        <w:rPr>
          <w:rFonts w:ascii="Arial" w:hAnsi="Arial" w:cs="Arial"/>
          <w:sz w:val="20"/>
          <w:szCs w:val="20"/>
        </w:rPr>
        <w:t>7.</w:t>
      </w:r>
    </w:p>
    <w:p w14:paraId="6D0BB4CA" w14:textId="77777777" w:rsidR="00F020D2" w:rsidRDefault="00F020D2" w:rsidP="00E723C2"/>
    <w:p w14:paraId="7DB6BB19" w14:textId="77777777" w:rsidR="00E723C2" w:rsidRPr="000C7549" w:rsidRDefault="00E723C2" w:rsidP="00246847">
      <w:pPr>
        <w:ind w:firstLine="720"/>
        <w:rPr>
          <w:rFonts w:ascii="Arial" w:hAnsi="Arial" w:cs="Arial"/>
        </w:rPr>
      </w:pPr>
      <w:r w:rsidRPr="000C7549">
        <w:rPr>
          <w:rFonts w:ascii="Arial" w:hAnsi="Arial" w:cs="Arial"/>
          <w:noProof/>
        </w:rPr>
        <w:lastRenderedPageBreak/>
        <w:drawing>
          <wp:inline distT="0" distB="0" distL="0" distR="0" wp14:anchorId="750C4904" wp14:editId="735A1343">
            <wp:extent cx="5422265" cy="4518837"/>
            <wp:effectExtent l="0" t="0" r="6985" b="15240"/>
            <wp:docPr id="29" name="Chart 29">
              <a:extLst xmlns:a="http://schemas.openxmlformats.org/drawingml/2006/main">
                <a:ext uri="{FF2B5EF4-FFF2-40B4-BE49-F238E27FC236}">
                  <a16:creationId xmlns:a16="http://schemas.microsoft.com/office/drawing/2014/main" id="{0CAE282D-4627-40B8-B8CF-A3C7E2B0E0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EBD972" w14:textId="23D31DE6" w:rsidR="00351A7F" w:rsidRDefault="00E723C2" w:rsidP="00246847">
      <w:pPr>
        <w:pStyle w:val="Caption"/>
        <w:spacing w:before="0" w:after="0"/>
      </w:pPr>
      <w:bookmarkStart w:id="45" w:name="_Toc76799622"/>
      <w:r w:rsidRPr="000C7549">
        <w:t xml:space="preserve">Figure </w:t>
      </w:r>
      <w:fldSimple w:instr=" SEQ Figure \* ARABIC ">
        <w:r w:rsidR="00801135">
          <w:rPr>
            <w:noProof/>
          </w:rPr>
          <w:t>12</w:t>
        </w:r>
      </w:fldSimple>
      <w:r w:rsidRPr="000C7549">
        <w:t>. Comparison of Average Abundance and Proportion of Natural Land Cover at Selected Radii (500m, 1000m, 2000m)</w:t>
      </w:r>
      <w:bookmarkEnd w:id="45"/>
      <w:r w:rsidRPr="000C7549">
        <w:t xml:space="preserve"> </w:t>
      </w:r>
    </w:p>
    <w:p w14:paraId="6634A54A" w14:textId="15CDCCD2" w:rsidR="00E723C2" w:rsidRPr="006F7EE5" w:rsidRDefault="00995C19" w:rsidP="00246847">
      <w:pPr>
        <w:rPr>
          <w:rFonts w:ascii="Arial" w:hAnsi="Arial" w:cs="Arial"/>
          <w:sz w:val="20"/>
          <w:szCs w:val="20"/>
        </w:rPr>
      </w:pPr>
      <w:r>
        <w:rPr>
          <w:rFonts w:ascii="Arial" w:hAnsi="Arial" w:cs="Arial"/>
          <w:sz w:val="20"/>
          <w:szCs w:val="20"/>
        </w:rPr>
        <w:t>Scatterplot depicting each site (dots)</w:t>
      </w:r>
      <w:r w:rsidR="000A06BE">
        <w:rPr>
          <w:rFonts w:ascii="Arial" w:hAnsi="Arial" w:cs="Arial"/>
          <w:sz w:val="20"/>
          <w:szCs w:val="20"/>
        </w:rPr>
        <w:t xml:space="preserve"> with the </w:t>
      </w:r>
      <w:r w:rsidR="007315AC">
        <w:rPr>
          <w:rFonts w:ascii="Arial" w:hAnsi="Arial" w:cs="Arial"/>
          <w:sz w:val="20"/>
          <w:szCs w:val="20"/>
        </w:rPr>
        <w:t>proportion of natural land cover on the x-axis</w:t>
      </w:r>
      <w:r w:rsidR="001004BC">
        <w:rPr>
          <w:rFonts w:ascii="Arial" w:hAnsi="Arial" w:cs="Arial"/>
          <w:sz w:val="20"/>
          <w:szCs w:val="20"/>
        </w:rPr>
        <w:t xml:space="preserve"> and the</w:t>
      </w:r>
      <w:r w:rsidR="006F7EE5">
        <w:rPr>
          <w:rFonts w:ascii="Arial" w:hAnsi="Arial" w:cs="Arial"/>
          <w:sz w:val="20"/>
          <w:szCs w:val="20"/>
        </w:rPr>
        <w:t xml:space="preserve"> </w:t>
      </w:r>
      <w:r w:rsidR="000A06BE">
        <w:rPr>
          <w:rFonts w:ascii="Arial" w:hAnsi="Arial" w:cs="Arial"/>
          <w:sz w:val="20"/>
          <w:szCs w:val="20"/>
        </w:rPr>
        <w:t>average abundance per site, per sample on the y-axi</w:t>
      </w:r>
      <w:r w:rsidR="007E40E9">
        <w:rPr>
          <w:rFonts w:ascii="Arial" w:hAnsi="Arial" w:cs="Arial"/>
          <w:sz w:val="20"/>
          <w:szCs w:val="20"/>
        </w:rPr>
        <w:t>s</w:t>
      </w:r>
      <w:r w:rsidR="006F19EB">
        <w:rPr>
          <w:rFonts w:ascii="Arial" w:hAnsi="Arial" w:cs="Arial"/>
          <w:sz w:val="20"/>
          <w:szCs w:val="20"/>
        </w:rPr>
        <w:t xml:space="preserve"> at different radii:</w:t>
      </w:r>
      <w:r w:rsidR="006F7EE5">
        <w:rPr>
          <w:rFonts w:ascii="Arial" w:hAnsi="Arial" w:cs="Arial"/>
          <w:sz w:val="20"/>
          <w:szCs w:val="20"/>
        </w:rPr>
        <w:t xml:space="preserve"> </w:t>
      </w:r>
      <w:r w:rsidR="00E723C2" w:rsidRPr="00801135">
        <w:rPr>
          <w:rFonts w:ascii="Arial" w:hAnsi="Arial" w:cs="Arial"/>
          <w:sz w:val="20"/>
          <w:szCs w:val="20"/>
        </w:rPr>
        <w:t xml:space="preserve">500m </w:t>
      </w:r>
      <w:r w:rsidR="006F19EB">
        <w:rPr>
          <w:rFonts w:ascii="Arial" w:hAnsi="Arial" w:cs="Arial"/>
          <w:sz w:val="20"/>
          <w:szCs w:val="20"/>
        </w:rPr>
        <w:t>(blue),</w:t>
      </w:r>
      <w:r w:rsidR="00E723C2" w:rsidRPr="00801135">
        <w:rPr>
          <w:rFonts w:ascii="Arial" w:hAnsi="Arial" w:cs="Arial"/>
          <w:sz w:val="20"/>
          <w:szCs w:val="20"/>
        </w:rPr>
        <w:t xml:space="preserve"> 1000m </w:t>
      </w:r>
      <w:r w:rsidR="006F19EB">
        <w:rPr>
          <w:rFonts w:ascii="Arial" w:hAnsi="Arial" w:cs="Arial"/>
          <w:sz w:val="20"/>
          <w:szCs w:val="20"/>
        </w:rPr>
        <w:t>(orange),</w:t>
      </w:r>
      <w:r w:rsidR="00E723C2" w:rsidRPr="00801135">
        <w:rPr>
          <w:rFonts w:ascii="Arial" w:hAnsi="Arial" w:cs="Arial"/>
          <w:sz w:val="20"/>
          <w:szCs w:val="20"/>
        </w:rPr>
        <w:t xml:space="preserve"> 2000m </w:t>
      </w:r>
      <w:r w:rsidR="006F19EB">
        <w:rPr>
          <w:rFonts w:ascii="Arial" w:hAnsi="Arial" w:cs="Arial"/>
          <w:sz w:val="20"/>
          <w:szCs w:val="20"/>
        </w:rPr>
        <w:t>(grey)</w:t>
      </w:r>
      <w:r w:rsidR="00E723C2" w:rsidRPr="00801135">
        <w:rPr>
          <w:rFonts w:ascii="Arial" w:hAnsi="Arial" w:cs="Arial"/>
          <w:sz w:val="20"/>
          <w:szCs w:val="20"/>
        </w:rPr>
        <w:t>. For the 500m radius, R² = 0.</w:t>
      </w:r>
      <w:r w:rsidR="006F19EB" w:rsidRPr="00801135">
        <w:rPr>
          <w:rFonts w:ascii="Arial" w:hAnsi="Arial" w:cs="Arial"/>
          <w:sz w:val="20"/>
          <w:szCs w:val="20"/>
        </w:rPr>
        <w:t>0</w:t>
      </w:r>
      <w:r w:rsidR="006F19EB">
        <w:rPr>
          <w:rFonts w:ascii="Arial" w:hAnsi="Arial" w:cs="Arial"/>
          <w:sz w:val="20"/>
          <w:szCs w:val="20"/>
        </w:rPr>
        <w:t>4</w:t>
      </w:r>
      <w:r w:rsidR="00E723C2" w:rsidRPr="00801135">
        <w:rPr>
          <w:rFonts w:ascii="Arial" w:hAnsi="Arial" w:cs="Arial"/>
          <w:sz w:val="20"/>
          <w:szCs w:val="20"/>
        </w:rPr>
        <w:t xml:space="preserve">, 1000m radius, R² </w:t>
      </w:r>
      <w:r w:rsidR="006F19EB">
        <w:rPr>
          <w:rFonts w:ascii="Arial" w:hAnsi="Arial" w:cs="Arial"/>
          <w:sz w:val="20"/>
          <w:szCs w:val="20"/>
        </w:rPr>
        <w:t>&lt; 0.01</w:t>
      </w:r>
      <w:r w:rsidR="00E723C2" w:rsidRPr="00801135">
        <w:rPr>
          <w:rFonts w:ascii="Arial" w:hAnsi="Arial" w:cs="Arial"/>
          <w:sz w:val="20"/>
          <w:szCs w:val="20"/>
        </w:rPr>
        <w:t>, and for 2000m, R² = 0.</w:t>
      </w:r>
      <w:r w:rsidR="006F19EB">
        <w:rPr>
          <w:rFonts w:ascii="Arial" w:hAnsi="Arial" w:cs="Arial"/>
          <w:sz w:val="20"/>
          <w:szCs w:val="20"/>
        </w:rPr>
        <w:t>10</w:t>
      </w:r>
      <w:r w:rsidR="00E723C2" w:rsidRPr="00801135">
        <w:rPr>
          <w:rFonts w:ascii="Arial" w:hAnsi="Arial" w:cs="Arial"/>
          <w:sz w:val="20"/>
          <w:szCs w:val="20"/>
        </w:rPr>
        <w:t xml:space="preserve">. </w:t>
      </w:r>
    </w:p>
    <w:p w14:paraId="0CB607CA" w14:textId="77777777" w:rsidR="00E723C2" w:rsidRDefault="00E723C2" w:rsidP="00E723C2"/>
    <w:p w14:paraId="3E55862F" w14:textId="77777777" w:rsidR="00E723C2" w:rsidRPr="000C7549" w:rsidRDefault="00E723C2" w:rsidP="00246847">
      <w:pPr>
        <w:ind w:firstLine="720"/>
        <w:rPr>
          <w:rFonts w:ascii="Arial" w:hAnsi="Arial" w:cs="Arial"/>
        </w:rPr>
      </w:pPr>
      <w:r w:rsidRPr="000C7549">
        <w:rPr>
          <w:rFonts w:ascii="Arial" w:hAnsi="Arial" w:cs="Arial"/>
          <w:noProof/>
        </w:rPr>
        <w:lastRenderedPageBreak/>
        <w:drawing>
          <wp:inline distT="0" distB="0" distL="0" distR="0" wp14:anchorId="61A1F86F" wp14:editId="1DC4A759">
            <wp:extent cx="5380074" cy="4423144"/>
            <wp:effectExtent l="0" t="0" r="11430" b="15875"/>
            <wp:docPr id="30" name="Chart 30">
              <a:extLst xmlns:a="http://schemas.openxmlformats.org/drawingml/2006/main">
                <a:ext uri="{FF2B5EF4-FFF2-40B4-BE49-F238E27FC236}">
                  <a16:creationId xmlns:a16="http://schemas.microsoft.com/office/drawing/2014/main" id="{C415379F-F600-4491-8E5F-01F1D8D2E1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055062" w14:textId="12B9E8E1" w:rsidR="00351A7F" w:rsidRDefault="00E723C2" w:rsidP="00246847">
      <w:pPr>
        <w:pStyle w:val="Caption"/>
        <w:spacing w:before="0" w:after="0"/>
      </w:pPr>
      <w:bookmarkStart w:id="46" w:name="_Toc76799623"/>
      <w:r w:rsidRPr="000C7549">
        <w:t xml:space="preserve">Figure </w:t>
      </w:r>
      <w:fldSimple w:instr=" SEQ Figure \* ARABIC ">
        <w:r w:rsidR="00801135">
          <w:rPr>
            <w:noProof/>
          </w:rPr>
          <w:t>13</w:t>
        </w:r>
      </w:fldSimple>
      <w:r w:rsidRPr="000C7549">
        <w:t>. Comparison of Average Abundance Across Major Land Cover Classes at 2000m Radius</w:t>
      </w:r>
      <w:bookmarkEnd w:id="46"/>
      <w:r w:rsidRPr="000C7549">
        <w:t xml:space="preserve"> </w:t>
      </w:r>
    </w:p>
    <w:p w14:paraId="72097C95" w14:textId="3A3AB509" w:rsidR="00E723C2" w:rsidRPr="00801135" w:rsidRDefault="00FB6E30" w:rsidP="00246847">
      <w:pPr>
        <w:rPr>
          <w:rFonts w:ascii="Arial" w:hAnsi="Arial" w:cs="Arial"/>
          <w:b/>
          <w:bCs/>
          <w:sz w:val="20"/>
          <w:szCs w:val="20"/>
        </w:rPr>
      </w:pPr>
      <w:r>
        <w:rPr>
          <w:rFonts w:ascii="Arial" w:hAnsi="Arial" w:cs="Arial"/>
          <w:sz w:val="20"/>
          <w:szCs w:val="20"/>
        </w:rPr>
        <w:t>Scatterplot depicting each site (dot) and the proportion of land cover on the x-axis and the average abundance per site, per sample on the y-axis</w:t>
      </w:r>
      <w:r w:rsidR="006F19EB">
        <w:rPr>
          <w:rFonts w:ascii="Arial" w:hAnsi="Arial" w:cs="Arial"/>
          <w:sz w:val="20"/>
          <w:szCs w:val="20"/>
        </w:rPr>
        <w:t xml:space="preserve"> for different land cover types</w:t>
      </w:r>
      <w:r w:rsidR="008B567E">
        <w:rPr>
          <w:rFonts w:ascii="Arial" w:hAnsi="Arial" w:cs="Arial"/>
          <w:sz w:val="20"/>
          <w:szCs w:val="20"/>
        </w:rPr>
        <w:t>:</w:t>
      </w:r>
      <w:r>
        <w:rPr>
          <w:rFonts w:ascii="Arial" w:hAnsi="Arial" w:cs="Arial"/>
          <w:sz w:val="20"/>
          <w:szCs w:val="20"/>
        </w:rPr>
        <w:t xml:space="preserve"> </w:t>
      </w:r>
      <w:r w:rsidR="00E723C2" w:rsidRPr="00801135">
        <w:rPr>
          <w:rFonts w:ascii="Arial" w:hAnsi="Arial" w:cs="Arial"/>
          <w:sz w:val="20"/>
          <w:szCs w:val="20"/>
        </w:rPr>
        <w:t>agriculture</w:t>
      </w:r>
      <w:r w:rsidR="008B567E">
        <w:rPr>
          <w:rFonts w:ascii="Arial" w:hAnsi="Arial" w:cs="Arial"/>
          <w:sz w:val="20"/>
          <w:szCs w:val="20"/>
        </w:rPr>
        <w:t xml:space="preserve"> (blue)</w:t>
      </w:r>
      <w:r w:rsidR="00E723C2" w:rsidRPr="00801135">
        <w:rPr>
          <w:rFonts w:ascii="Arial" w:hAnsi="Arial" w:cs="Arial"/>
          <w:sz w:val="20"/>
          <w:szCs w:val="20"/>
        </w:rPr>
        <w:t xml:space="preserve">, developed </w:t>
      </w:r>
      <w:r w:rsidR="008B567E">
        <w:rPr>
          <w:rFonts w:ascii="Arial" w:hAnsi="Arial" w:cs="Arial"/>
          <w:sz w:val="20"/>
          <w:szCs w:val="20"/>
        </w:rPr>
        <w:t xml:space="preserve">(orange), </w:t>
      </w:r>
      <w:r w:rsidR="00E723C2" w:rsidRPr="00801135">
        <w:rPr>
          <w:rFonts w:ascii="Arial" w:hAnsi="Arial" w:cs="Arial"/>
          <w:sz w:val="20"/>
          <w:szCs w:val="20"/>
        </w:rPr>
        <w:t xml:space="preserve">and natural </w:t>
      </w:r>
      <w:r w:rsidR="008B567E">
        <w:rPr>
          <w:rFonts w:ascii="Arial" w:hAnsi="Arial" w:cs="Arial"/>
          <w:sz w:val="20"/>
          <w:szCs w:val="20"/>
        </w:rPr>
        <w:t>(grey)</w:t>
      </w:r>
      <w:r w:rsidR="00E723C2" w:rsidRPr="00801135">
        <w:rPr>
          <w:rFonts w:ascii="Arial" w:hAnsi="Arial" w:cs="Arial"/>
          <w:sz w:val="20"/>
          <w:szCs w:val="20"/>
        </w:rPr>
        <w:t>. For agriculture, R² =0.18</w:t>
      </w:r>
      <w:r w:rsidR="006F19EB">
        <w:rPr>
          <w:rFonts w:ascii="Arial" w:hAnsi="Arial" w:cs="Arial"/>
          <w:sz w:val="20"/>
          <w:szCs w:val="20"/>
        </w:rPr>
        <w:t>,</w:t>
      </w:r>
      <w:r w:rsidR="00E723C2" w:rsidRPr="00801135">
        <w:rPr>
          <w:rFonts w:ascii="Arial" w:hAnsi="Arial" w:cs="Arial"/>
          <w:sz w:val="20"/>
          <w:szCs w:val="20"/>
        </w:rPr>
        <w:t xml:space="preserve"> developed radius, R² = 0.2</w:t>
      </w:r>
      <w:r w:rsidR="006F19EB">
        <w:rPr>
          <w:rFonts w:ascii="Arial" w:hAnsi="Arial" w:cs="Arial"/>
          <w:sz w:val="20"/>
          <w:szCs w:val="20"/>
        </w:rPr>
        <w:t>2</w:t>
      </w:r>
      <w:r w:rsidR="00E723C2" w:rsidRPr="00801135">
        <w:rPr>
          <w:rFonts w:ascii="Arial" w:hAnsi="Arial" w:cs="Arial"/>
          <w:sz w:val="20"/>
          <w:szCs w:val="20"/>
        </w:rPr>
        <w:t>, and natural, R² = 0.1</w:t>
      </w:r>
      <w:r w:rsidR="006F19EB">
        <w:rPr>
          <w:rFonts w:ascii="Arial" w:hAnsi="Arial" w:cs="Arial"/>
          <w:sz w:val="20"/>
          <w:szCs w:val="20"/>
        </w:rPr>
        <w:t>0</w:t>
      </w:r>
      <w:r w:rsidR="00E723C2" w:rsidRPr="00801135">
        <w:rPr>
          <w:rFonts w:ascii="Arial" w:hAnsi="Arial" w:cs="Arial"/>
          <w:sz w:val="20"/>
          <w:szCs w:val="20"/>
        </w:rPr>
        <w:t xml:space="preserve">. </w:t>
      </w:r>
    </w:p>
    <w:p w14:paraId="70FD5337" w14:textId="77777777" w:rsidR="00E723C2" w:rsidRDefault="00E723C2" w:rsidP="00E723C2"/>
    <w:p w14:paraId="416E652F" w14:textId="77777777" w:rsidR="00E723C2" w:rsidRPr="000C7549" w:rsidRDefault="00E723C2" w:rsidP="00E723C2">
      <w:pPr>
        <w:rPr>
          <w:rFonts w:ascii="Arial" w:hAnsi="Arial" w:cs="Arial"/>
        </w:rPr>
      </w:pPr>
      <w:r w:rsidRPr="000C7549">
        <w:rPr>
          <w:rFonts w:ascii="Arial" w:hAnsi="Arial" w:cs="Arial"/>
          <w:noProof/>
        </w:rPr>
        <w:lastRenderedPageBreak/>
        <w:drawing>
          <wp:inline distT="0" distB="0" distL="0" distR="0" wp14:anchorId="1C54BFD3" wp14:editId="622B9151">
            <wp:extent cx="2975458" cy="2771335"/>
            <wp:effectExtent l="0" t="0" r="0" b="0"/>
            <wp:docPr id="31" name="Picture 3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rotWithShape="1">
                    <a:blip r:embed="rId23">
                      <a:extLst>
                        <a:ext uri="{28A0092B-C50C-407E-A947-70E740481C1C}">
                          <a14:useLocalDpi xmlns:a14="http://schemas.microsoft.com/office/drawing/2010/main" val="0"/>
                        </a:ext>
                      </a:extLst>
                    </a:blip>
                    <a:srcRect t="1872" r="7474" b="7799"/>
                    <a:stretch/>
                  </pic:blipFill>
                  <pic:spPr bwMode="auto">
                    <a:xfrm>
                      <a:off x="0" y="0"/>
                      <a:ext cx="3034773" cy="2826581"/>
                    </a:xfrm>
                    <a:prstGeom prst="rect">
                      <a:avLst/>
                    </a:prstGeom>
                    <a:ln>
                      <a:noFill/>
                    </a:ln>
                    <a:extLst>
                      <a:ext uri="{53640926-AAD7-44D8-BBD7-CCE9431645EC}">
                        <a14:shadowObscured xmlns:a14="http://schemas.microsoft.com/office/drawing/2010/main"/>
                      </a:ext>
                    </a:extLst>
                  </pic:spPr>
                </pic:pic>
              </a:graphicData>
            </a:graphic>
          </wp:inline>
        </w:drawing>
      </w:r>
    </w:p>
    <w:p w14:paraId="2030AAFF" w14:textId="4D2F9C2A" w:rsidR="00351A7F" w:rsidRDefault="00E723C2" w:rsidP="00E723C2">
      <w:pPr>
        <w:pStyle w:val="Caption"/>
        <w:spacing w:before="0" w:after="0"/>
      </w:pPr>
      <w:bookmarkStart w:id="47" w:name="_Toc76799624"/>
      <w:r w:rsidRPr="000C7549">
        <w:t xml:space="preserve">Figure </w:t>
      </w:r>
      <w:fldSimple w:instr=" SEQ Figure \* ARABIC ">
        <w:r w:rsidR="00801135">
          <w:rPr>
            <w:noProof/>
          </w:rPr>
          <w:t>14</w:t>
        </w:r>
      </w:fldSimple>
      <w:r w:rsidRPr="000C7549">
        <w:t>. Linear Model Summary Output, Species Richness and Natural Land Cover</w:t>
      </w:r>
      <w:bookmarkEnd w:id="47"/>
      <w:r w:rsidRPr="000C7549">
        <w:t xml:space="preserve"> </w:t>
      </w:r>
    </w:p>
    <w:p w14:paraId="432C8DD2" w14:textId="00B76885" w:rsidR="00E723C2" w:rsidRDefault="00E723C2" w:rsidP="00801135">
      <w:pPr>
        <w:rPr>
          <w:rFonts w:ascii="Arial" w:hAnsi="Arial" w:cs="Arial"/>
          <w:sz w:val="20"/>
          <w:szCs w:val="20"/>
        </w:rPr>
      </w:pPr>
      <w:r w:rsidRPr="00801135">
        <w:rPr>
          <w:rFonts w:ascii="Arial" w:hAnsi="Arial" w:cs="Arial"/>
          <w:sz w:val="20"/>
          <w:szCs w:val="20"/>
        </w:rPr>
        <w:t xml:space="preserve">The linear model included both floral display (log transformed) as a fixed effect and percentage of natural land cover for all three radii (500m, 1000m, and 2000m) and block as a random effect using the </w:t>
      </w:r>
      <w:proofErr w:type="spellStart"/>
      <w:r w:rsidRPr="00801135">
        <w:rPr>
          <w:rFonts w:ascii="Arial" w:hAnsi="Arial" w:cs="Arial"/>
          <w:sz w:val="20"/>
          <w:szCs w:val="20"/>
        </w:rPr>
        <w:t>sjPlot</w:t>
      </w:r>
      <w:proofErr w:type="spellEnd"/>
      <w:r w:rsidRPr="00801135">
        <w:rPr>
          <w:rFonts w:ascii="Arial" w:hAnsi="Arial" w:cs="Arial"/>
          <w:sz w:val="20"/>
          <w:szCs w:val="20"/>
        </w:rPr>
        <w:t xml:space="preserve"> package in R. </w:t>
      </w:r>
    </w:p>
    <w:p w14:paraId="17316B72" w14:textId="5DF39F93" w:rsidR="00682B6F" w:rsidRDefault="00682B6F" w:rsidP="00801135">
      <w:pPr>
        <w:rPr>
          <w:rFonts w:ascii="Arial" w:hAnsi="Arial" w:cs="Arial"/>
          <w:sz w:val="20"/>
          <w:szCs w:val="20"/>
        </w:rPr>
      </w:pPr>
    </w:p>
    <w:p w14:paraId="663DA15B" w14:textId="65640536" w:rsidR="00682B6F" w:rsidRDefault="00682B6F" w:rsidP="00801135">
      <w:pPr>
        <w:rPr>
          <w:rFonts w:ascii="Arial" w:hAnsi="Arial" w:cs="Arial"/>
          <w:sz w:val="20"/>
          <w:szCs w:val="20"/>
        </w:rPr>
      </w:pPr>
    </w:p>
    <w:p w14:paraId="1EF21BB6" w14:textId="77777777" w:rsidR="00682B6F" w:rsidRPr="00801135" w:rsidRDefault="00682B6F" w:rsidP="00801135">
      <w:pPr>
        <w:rPr>
          <w:rFonts w:ascii="Arial" w:hAnsi="Arial" w:cs="Arial"/>
          <w:b/>
          <w:bCs/>
          <w:sz w:val="20"/>
          <w:szCs w:val="20"/>
        </w:rPr>
      </w:pPr>
    </w:p>
    <w:p w14:paraId="3E70FCE3" w14:textId="3C72CD08" w:rsidR="00E723C2" w:rsidRDefault="00E723C2" w:rsidP="00E723C2"/>
    <w:p w14:paraId="1B30885F" w14:textId="2FEC5D89" w:rsidR="00682B6F" w:rsidRDefault="00682B6F" w:rsidP="00E723C2"/>
    <w:p w14:paraId="401ECA8C" w14:textId="77777777" w:rsidR="00682B6F" w:rsidRDefault="00682B6F" w:rsidP="00E723C2"/>
    <w:p w14:paraId="0FA25CBF" w14:textId="77777777" w:rsidR="00E723C2" w:rsidRPr="000C7549" w:rsidRDefault="00E723C2" w:rsidP="00E723C2">
      <w:pPr>
        <w:rPr>
          <w:rFonts w:ascii="Arial" w:hAnsi="Arial" w:cs="Arial"/>
        </w:rPr>
      </w:pPr>
      <w:r w:rsidRPr="000C7549">
        <w:rPr>
          <w:rFonts w:ascii="Arial" w:hAnsi="Arial" w:cs="Arial"/>
          <w:noProof/>
        </w:rPr>
        <w:drawing>
          <wp:inline distT="0" distB="0" distL="0" distR="0" wp14:anchorId="61B32454" wp14:editId="04E92EDC">
            <wp:extent cx="2902144" cy="2658794"/>
            <wp:effectExtent l="0" t="0" r="6350" b="0"/>
            <wp:docPr id="32" name="Picture 3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rotWithShape="1">
                    <a:blip r:embed="rId24">
                      <a:extLst>
                        <a:ext uri="{28A0092B-C50C-407E-A947-70E740481C1C}">
                          <a14:useLocalDpi xmlns:a14="http://schemas.microsoft.com/office/drawing/2010/main" val="0"/>
                        </a:ext>
                      </a:extLst>
                    </a:blip>
                    <a:srcRect r="6470" b="5484"/>
                    <a:stretch/>
                  </pic:blipFill>
                  <pic:spPr bwMode="auto">
                    <a:xfrm>
                      <a:off x="0" y="0"/>
                      <a:ext cx="2951933" cy="2704408"/>
                    </a:xfrm>
                    <a:prstGeom prst="rect">
                      <a:avLst/>
                    </a:prstGeom>
                    <a:ln>
                      <a:noFill/>
                    </a:ln>
                    <a:extLst>
                      <a:ext uri="{53640926-AAD7-44D8-BBD7-CCE9431645EC}">
                        <a14:shadowObscured xmlns:a14="http://schemas.microsoft.com/office/drawing/2010/main"/>
                      </a:ext>
                    </a:extLst>
                  </pic:spPr>
                </pic:pic>
              </a:graphicData>
            </a:graphic>
          </wp:inline>
        </w:drawing>
      </w:r>
    </w:p>
    <w:p w14:paraId="2632FBAE" w14:textId="2AC4031D" w:rsidR="000C546B" w:rsidRDefault="00E723C2" w:rsidP="00E723C2">
      <w:pPr>
        <w:pStyle w:val="Caption"/>
        <w:spacing w:before="0" w:after="0"/>
        <w:rPr>
          <w:b w:val="0"/>
          <w:bCs w:val="0"/>
          <w:sz w:val="20"/>
          <w:szCs w:val="20"/>
        </w:rPr>
      </w:pPr>
      <w:bookmarkStart w:id="48" w:name="_Toc76799625"/>
      <w:r w:rsidRPr="000C7549">
        <w:t xml:space="preserve">Figure </w:t>
      </w:r>
      <w:fldSimple w:instr=" SEQ Figure \* ARABIC ">
        <w:r w:rsidR="000C546B">
          <w:rPr>
            <w:noProof/>
          </w:rPr>
          <w:t>15</w:t>
        </w:r>
      </w:fldSimple>
      <w:r w:rsidRPr="000C7549">
        <w:t>. Linear Model Summary Output, Abundance and Natural Land Cover</w:t>
      </w:r>
      <w:bookmarkEnd w:id="48"/>
      <w:r w:rsidRPr="000C7549">
        <w:t xml:space="preserve"> </w:t>
      </w:r>
    </w:p>
    <w:p w14:paraId="66990248" w14:textId="1A4407A2" w:rsidR="00E723C2" w:rsidRPr="00682B6F" w:rsidRDefault="00B71FD8" w:rsidP="00E723C2">
      <w:pPr>
        <w:rPr>
          <w:rFonts w:ascii="Arial" w:hAnsi="Arial" w:cs="Arial"/>
          <w:sz w:val="20"/>
          <w:szCs w:val="20"/>
        </w:rPr>
      </w:pPr>
      <w:r w:rsidRPr="000C546B">
        <w:rPr>
          <w:rFonts w:ascii="Arial" w:hAnsi="Arial" w:cs="Arial"/>
          <w:sz w:val="20"/>
          <w:szCs w:val="20"/>
        </w:rPr>
        <w:t xml:space="preserve">The linear model included both floral display (log transformed) as a fixed effect and percentage of natural land cover for all three radii (500m, 1000m, and 2000m) and block as a random effect using the </w:t>
      </w:r>
      <w:proofErr w:type="spellStart"/>
      <w:r w:rsidRPr="000C546B">
        <w:rPr>
          <w:rFonts w:ascii="Arial" w:hAnsi="Arial" w:cs="Arial"/>
          <w:sz w:val="20"/>
          <w:szCs w:val="20"/>
        </w:rPr>
        <w:t>sjPlot</w:t>
      </w:r>
      <w:proofErr w:type="spellEnd"/>
      <w:r w:rsidRPr="000C546B">
        <w:rPr>
          <w:rFonts w:ascii="Arial" w:hAnsi="Arial" w:cs="Arial"/>
          <w:sz w:val="20"/>
          <w:szCs w:val="20"/>
        </w:rPr>
        <w:t xml:space="preserve"> package in R</w:t>
      </w:r>
      <w:r w:rsidR="008B567E">
        <w:rPr>
          <w:rFonts w:ascii="Arial" w:hAnsi="Arial" w:cs="Arial"/>
          <w:sz w:val="20"/>
          <w:szCs w:val="20"/>
        </w:rPr>
        <w:t>.</w:t>
      </w:r>
    </w:p>
    <w:p w14:paraId="16F96B56" w14:textId="42E0A190" w:rsidR="00E723C2" w:rsidRPr="000C7549" w:rsidRDefault="00E723C2" w:rsidP="00FE5AF2">
      <w:pPr>
        <w:pStyle w:val="Caption"/>
        <w:spacing w:before="0" w:after="0"/>
      </w:pPr>
      <w:bookmarkStart w:id="49" w:name="_Toc76799602"/>
      <w:r w:rsidRPr="000C7549">
        <w:lastRenderedPageBreak/>
        <w:t xml:space="preserve">Table </w:t>
      </w:r>
      <w:fldSimple w:instr=" SEQ Table \* ARABIC ">
        <w:r w:rsidR="00123848">
          <w:rPr>
            <w:noProof/>
          </w:rPr>
          <w:t>1</w:t>
        </w:r>
      </w:fldSimple>
      <w:r w:rsidRPr="000C7549">
        <w:t>. Native Study Plants.</w:t>
      </w:r>
      <w:bookmarkEnd w:id="49"/>
    </w:p>
    <w:tbl>
      <w:tblPr>
        <w:tblStyle w:val="TableGrid"/>
        <w:tblW w:w="8550" w:type="dxa"/>
        <w:tblInd w:w="-5" w:type="dxa"/>
        <w:tblLook w:val="04A0" w:firstRow="1" w:lastRow="0" w:firstColumn="1" w:lastColumn="0" w:noHBand="0" w:noVBand="1"/>
      </w:tblPr>
      <w:tblGrid>
        <w:gridCol w:w="2456"/>
        <w:gridCol w:w="1954"/>
        <w:gridCol w:w="1997"/>
        <w:gridCol w:w="2143"/>
      </w:tblGrid>
      <w:tr w:rsidR="00E723C2" w:rsidRPr="000C7549" w14:paraId="2AF22D51" w14:textId="77777777" w:rsidTr="00FE5AF2">
        <w:trPr>
          <w:trHeight w:val="143"/>
        </w:trPr>
        <w:tc>
          <w:tcPr>
            <w:tcW w:w="2456" w:type="dxa"/>
          </w:tcPr>
          <w:p w14:paraId="79977A49" w14:textId="77777777" w:rsidR="00E723C2" w:rsidRPr="000C7549" w:rsidRDefault="00E723C2" w:rsidP="00C9273B">
            <w:pPr>
              <w:jc w:val="center"/>
              <w:rPr>
                <w:rFonts w:ascii="Arial" w:hAnsi="Arial" w:cs="Arial"/>
                <w:sz w:val="24"/>
                <w:szCs w:val="24"/>
              </w:rPr>
            </w:pPr>
            <w:r w:rsidRPr="000C7549">
              <w:rPr>
                <w:rFonts w:ascii="Arial" w:hAnsi="Arial" w:cs="Arial"/>
                <w:sz w:val="24"/>
                <w:szCs w:val="24"/>
              </w:rPr>
              <w:t>Asteraceae</w:t>
            </w:r>
          </w:p>
        </w:tc>
        <w:tc>
          <w:tcPr>
            <w:tcW w:w="1954" w:type="dxa"/>
          </w:tcPr>
          <w:p w14:paraId="433B3DA0" w14:textId="77777777" w:rsidR="00E723C2" w:rsidRPr="000C7549" w:rsidRDefault="00E723C2" w:rsidP="00C9273B">
            <w:pPr>
              <w:jc w:val="center"/>
              <w:rPr>
                <w:rFonts w:ascii="Arial" w:hAnsi="Arial" w:cs="Arial"/>
                <w:sz w:val="24"/>
                <w:szCs w:val="24"/>
              </w:rPr>
            </w:pPr>
            <w:r w:rsidRPr="000C7549">
              <w:rPr>
                <w:rFonts w:ascii="Arial" w:hAnsi="Arial" w:cs="Arial"/>
                <w:sz w:val="24"/>
                <w:szCs w:val="24"/>
              </w:rPr>
              <w:t>Fabaceae</w:t>
            </w:r>
          </w:p>
        </w:tc>
        <w:tc>
          <w:tcPr>
            <w:tcW w:w="1997" w:type="dxa"/>
          </w:tcPr>
          <w:p w14:paraId="52B80DBF" w14:textId="77777777" w:rsidR="00E723C2" w:rsidRPr="000C7549" w:rsidRDefault="00E723C2" w:rsidP="00C9273B">
            <w:pPr>
              <w:jc w:val="center"/>
              <w:rPr>
                <w:rFonts w:ascii="Arial" w:hAnsi="Arial" w:cs="Arial"/>
                <w:sz w:val="24"/>
                <w:szCs w:val="24"/>
              </w:rPr>
            </w:pPr>
            <w:r w:rsidRPr="000C7549">
              <w:rPr>
                <w:rFonts w:ascii="Arial" w:hAnsi="Arial" w:cs="Arial"/>
                <w:sz w:val="24"/>
                <w:szCs w:val="24"/>
              </w:rPr>
              <w:t>Lamiaceae</w:t>
            </w:r>
          </w:p>
        </w:tc>
        <w:tc>
          <w:tcPr>
            <w:tcW w:w="2143" w:type="dxa"/>
          </w:tcPr>
          <w:p w14:paraId="79F4446E" w14:textId="77777777" w:rsidR="00E723C2" w:rsidRPr="000C7549" w:rsidRDefault="00E723C2" w:rsidP="00C9273B">
            <w:pPr>
              <w:jc w:val="center"/>
              <w:rPr>
                <w:rFonts w:ascii="Arial" w:hAnsi="Arial" w:cs="Arial"/>
                <w:sz w:val="24"/>
                <w:szCs w:val="24"/>
              </w:rPr>
            </w:pPr>
            <w:r w:rsidRPr="000C7549">
              <w:rPr>
                <w:rFonts w:ascii="Arial" w:hAnsi="Arial" w:cs="Arial"/>
                <w:sz w:val="24"/>
                <w:szCs w:val="24"/>
              </w:rPr>
              <w:t>Mixed</w:t>
            </w:r>
          </w:p>
        </w:tc>
      </w:tr>
      <w:tr w:rsidR="00E723C2" w:rsidRPr="000C7549" w14:paraId="28F04CF7" w14:textId="77777777" w:rsidTr="00FE5AF2">
        <w:tc>
          <w:tcPr>
            <w:tcW w:w="2456" w:type="dxa"/>
          </w:tcPr>
          <w:p w14:paraId="27C151EC" w14:textId="77777777" w:rsidR="00E723C2" w:rsidRPr="000C7549" w:rsidRDefault="00E723C2" w:rsidP="00C9273B">
            <w:pPr>
              <w:rPr>
                <w:rFonts w:ascii="Arial" w:hAnsi="Arial" w:cs="Arial"/>
                <w:sz w:val="24"/>
                <w:szCs w:val="24"/>
              </w:rPr>
            </w:pPr>
            <w:r w:rsidRPr="000C7549">
              <w:rPr>
                <w:rFonts w:ascii="Arial" w:hAnsi="Arial" w:cs="Arial"/>
                <w:i/>
                <w:sz w:val="24"/>
                <w:szCs w:val="24"/>
              </w:rPr>
              <w:t>Helianthus occidentalis</w:t>
            </w:r>
          </w:p>
        </w:tc>
        <w:tc>
          <w:tcPr>
            <w:tcW w:w="1954" w:type="dxa"/>
          </w:tcPr>
          <w:p w14:paraId="3E7087E0" w14:textId="77777777" w:rsidR="00E723C2" w:rsidRPr="000C7549" w:rsidRDefault="00E723C2" w:rsidP="00C9273B">
            <w:pPr>
              <w:rPr>
                <w:rFonts w:ascii="Arial" w:hAnsi="Arial" w:cs="Arial"/>
                <w:sz w:val="24"/>
                <w:szCs w:val="24"/>
              </w:rPr>
            </w:pPr>
            <w:r w:rsidRPr="000C7549">
              <w:rPr>
                <w:rFonts w:ascii="Arial" w:hAnsi="Arial" w:cs="Arial"/>
                <w:i/>
                <w:sz w:val="24"/>
                <w:szCs w:val="24"/>
              </w:rPr>
              <w:t>Amorpha herbacea</w:t>
            </w:r>
          </w:p>
        </w:tc>
        <w:tc>
          <w:tcPr>
            <w:tcW w:w="1997" w:type="dxa"/>
          </w:tcPr>
          <w:p w14:paraId="7E197E9A" w14:textId="77777777" w:rsidR="00E723C2" w:rsidRPr="000C7549" w:rsidRDefault="00E723C2" w:rsidP="00C9273B">
            <w:pPr>
              <w:rPr>
                <w:rFonts w:ascii="Arial" w:hAnsi="Arial" w:cs="Arial"/>
                <w:sz w:val="24"/>
                <w:szCs w:val="24"/>
              </w:rPr>
            </w:pPr>
            <w:r w:rsidRPr="000C7549">
              <w:rPr>
                <w:rFonts w:ascii="Arial" w:hAnsi="Arial" w:cs="Arial"/>
                <w:i/>
                <w:sz w:val="24"/>
                <w:szCs w:val="24"/>
              </w:rPr>
              <w:t xml:space="preserve">Conradina verticillata </w:t>
            </w:r>
          </w:p>
        </w:tc>
        <w:tc>
          <w:tcPr>
            <w:tcW w:w="2143" w:type="dxa"/>
          </w:tcPr>
          <w:p w14:paraId="331ADF2B" w14:textId="77777777" w:rsidR="00E723C2" w:rsidRPr="000C7549" w:rsidRDefault="00E723C2" w:rsidP="00C9273B">
            <w:pPr>
              <w:rPr>
                <w:rFonts w:ascii="Arial" w:hAnsi="Arial" w:cs="Arial"/>
                <w:sz w:val="24"/>
                <w:szCs w:val="24"/>
              </w:rPr>
            </w:pPr>
            <w:r w:rsidRPr="000C7549">
              <w:rPr>
                <w:rFonts w:ascii="Arial" w:hAnsi="Arial" w:cs="Arial"/>
                <w:i/>
                <w:sz w:val="24"/>
                <w:szCs w:val="24"/>
              </w:rPr>
              <w:t>Helianthus occidentalis</w:t>
            </w:r>
          </w:p>
        </w:tc>
      </w:tr>
      <w:tr w:rsidR="00E723C2" w:rsidRPr="000C7549" w14:paraId="5FAA061E" w14:textId="77777777" w:rsidTr="00FE5AF2">
        <w:tc>
          <w:tcPr>
            <w:tcW w:w="2456" w:type="dxa"/>
          </w:tcPr>
          <w:p w14:paraId="25C55921" w14:textId="77777777" w:rsidR="00E723C2" w:rsidRPr="000C7549" w:rsidRDefault="00E723C2" w:rsidP="00C9273B">
            <w:pPr>
              <w:rPr>
                <w:rFonts w:ascii="Arial" w:hAnsi="Arial" w:cs="Arial"/>
                <w:sz w:val="24"/>
                <w:szCs w:val="24"/>
              </w:rPr>
            </w:pPr>
            <w:r w:rsidRPr="000C7549">
              <w:rPr>
                <w:rFonts w:ascii="Arial" w:hAnsi="Arial" w:cs="Arial"/>
                <w:i/>
                <w:sz w:val="24"/>
                <w:szCs w:val="24"/>
              </w:rPr>
              <w:t xml:space="preserve">Coreopsis lanceolata </w:t>
            </w:r>
          </w:p>
        </w:tc>
        <w:tc>
          <w:tcPr>
            <w:tcW w:w="1954" w:type="dxa"/>
          </w:tcPr>
          <w:p w14:paraId="1EF8FFB6" w14:textId="77777777" w:rsidR="00E723C2" w:rsidRPr="000C7549" w:rsidRDefault="00E723C2" w:rsidP="00C9273B">
            <w:pPr>
              <w:rPr>
                <w:rFonts w:ascii="Arial" w:hAnsi="Arial" w:cs="Arial"/>
                <w:sz w:val="24"/>
                <w:szCs w:val="24"/>
              </w:rPr>
            </w:pPr>
            <w:r w:rsidRPr="000C7549">
              <w:rPr>
                <w:rFonts w:ascii="Arial" w:hAnsi="Arial" w:cs="Arial"/>
                <w:i/>
                <w:sz w:val="24"/>
                <w:szCs w:val="24"/>
              </w:rPr>
              <w:t>Senna marilandica</w:t>
            </w:r>
          </w:p>
        </w:tc>
        <w:tc>
          <w:tcPr>
            <w:tcW w:w="1997" w:type="dxa"/>
          </w:tcPr>
          <w:p w14:paraId="5176AFD9" w14:textId="77777777" w:rsidR="00E723C2" w:rsidRPr="000C7549" w:rsidRDefault="00E723C2" w:rsidP="00C9273B">
            <w:pPr>
              <w:rPr>
                <w:rFonts w:ascii="Arial" w:hAnsi="Arial" w:cs="Arial"/>
                <w:sz w:val="24"/>
                <w:szCs w:val="24"/>
              </w:rPr>
            </w:pPr>
            <w:r w:rsidRPr="000C7549">
              <w:rPr>
                <w:rFonts w:ascii="Arial" w:hAnsi="Arial" w:cs="Arial"/>
                <w:i/>
                <w:sz w:val="24"/>
                <w:szCs w:val="24"/>
              </w:rPr>
              <w:t>Pycnanthemum muticum</w:t>
            </w:r>
          </w:p>
        </w:tc>
        <w:tc>
          <w:tcPr>
            <w:tcW w:w="2143" w:type="dxa"/>
          </w:tcPr>
          <w:p w14:paraId="514503A7" w14:textId="77777777" w:rsidR="00E723C2" w:rsidRPr="000C7549" w:rsidRDefault="00E723C2" w:rsidP="00C9273B">
            <w:pPr>
              <w:rPr>
                <w:rFonts w:ascii="Arial" w:hAnsi="Arial" w:cs="Arial"/>
                <w:sz w:val="24"/>
                <w:szCs w:val="24"/>
              </w:rPr>
            </w:pPr>
            <w:r w:rsidRPr="000C7549">
              <w:rPr>
                <w:rFonts w:ascii="Arial" w:hAnsi="Arial" w:cs="Arial"/>
                <w:i/>
                <w:sz w:val="24"/>
                <w:szCs w:val="24"/>
              </w:rPr>
              <w:t>Senna marilandica</w:t>
            </w:r>
          </w:p>
        </w:tc>
      </w:tr>
      <w:tr w:rsidR="00E723C2" w:rsidRPr="000C7549" w14:paraId="21BA871D" w14:textId="77777777" w:rsidTr="00FE5AF2">
        <w:trPr>
          <w:trHeight w:val="61"/>
        </w:trPr>
        <w:tc>
          <w:tcPr>
            <w:tcW w:w="2456" w:type="dxa"/>
          </w:tcPr>
          <w:p w14:paraId="18B98EAF" w14:textId="77777777" w:rsidR="00E723C2" w:rsidRPr="000C7549" w:rsidRDefault="00E723C2" w:rsidP="00C9273B">
            <w:pPr>
              <w:rPr>
                <w:rFonts w:ascii="Arial" w:hAnsi="Arial" w:cs="Arial"/>
                <w:sz w:val="24"/>
                <w:szCs w:val="24"/>
              </w:rPr>
            </w:pPr>
            <w:r w:rsidRPr="000C7549">
              <w:rPr>
                <w:rFonts w:ascii="Arial" w:hAnsi="Arial" w:cs="Arial"/>
                <w:i/>
                <w:sz w:val="24"/>
                <w:szCs w:val="24"/>
              </w:rPr>
              <w:t>Eurybia saxicastelli</w:t>
            </w:r>
          </w:p>
        </w:tc>
        <w:tc>
          <w:tcPr>
            <w:tcW w:w="1954" w:type="dxa"/>
          </w:tcPr>
          <w:p w14:paraId="21A384A0" w14:textId="77777777" w:rsidR="00E723C2" w:rsidRPr="000C7549" w:rsidRDefault="00E723C2" w:rsidP="00C9273B">
            <w:pPr>
              <w:rPr>
                <w:rFonts w:ascii="Arial" w:hAnsi="Arial" w:cs="Arial"/>
                <w:sz w:val="24"/>
                <w:szCs w:val="24"/>
              </w:rPr>
            </w:pPr>
            <w:r w:rsidRPr="000C7549">
              <w:rPr>
                <w:rFonts w:ascii="Arial" w:hAnsi="Arial" w:cs="Arial"/>
                <w:i/>
                <w:sz w:val="24"/>
                <w:szCs w:val="24"/>
              </w:rPr>
              <w:t>Baptisia albescens</w:t>
            </w:r>
          </w:p>
        </w:tc>
        <w:tc>
          <w:tcPr>
            <w:tcW w:w="1997" w:type="dxa"/>
          </w:tcPr>
          <w:p w14:paraId="1923B8AE" w14:textId="77777777" w:rsidR="00E723C2" w:rsidRPr="000C7549" w:rsidRDefault="00E723C2" w:rsidP="00C9273B">
            <w:pPr>
              <w:rPr>
                <w:rFonts w:ascii="Arial" w:hAnsi="Arial" w:cs="Arial"/>
                <w:sz w:val="24"/>
                <w:szCs w:val="24"/>
              </w:rPr>
            </w:pPr>
            <w:r w:rsidRPr="000C7549">
              <w:rPr>
                <w:rFonts w:ascii="Arial" w:hAnsi="Arial" w:cs="Arial"/>
                <w:i/>
                <w:sz w:val="24"/>
                <w:szCs w:val="24"/>
              </w:rPr>
              <w:t>Lycopus virginicus</w:t>
            </w:r>
          </w:p>
        </w:tc>
        <w:tc>
          <w:tcPr>
            <w:tcW w:w="2143" w:type="dxa"/>
          </w:tcPr>
          <w:p w14:paraId="0A70BACA" w14:textId="77777777" w:rsidR="00E723C2" w:rsidRPr="000C7549" w:rsidRDefault="00E723C2" w:rsidP="00C9273B">
            <w:pPr>
              <w:rPr>
                <w:rFonts w:ascii="Arial" w:hAnsi="Arial" w:cs="Arial"/>
                <w:sz w:val="24"/>
                <w:szCs w:val="24"/>
              </w:rPr>
            </w:pPr>
            <w:r w:rsidRPr="000C7549">
              <w:rPr>
                <w:rFonts w:ascii="Arial" w:hAnsi="Arial" w:cs="Arial"/>
                <w:i/>
                <w:sz w:val="24"/>
                <w:szCs w:val="24"/>
              </w:rPr>
              <w:t>Conradina verticillata</w:t>
            </w:r>
          </w:p>
        </w:tc>
      </w:tr>
      <w:tr w:rsidR="00E723C2" w:rsidRPr="000C7549" w14:paraId="2E97015B" w14:textId="77777777" w:rsidTr="00FE5AF2">
        <w:trPr>
          <w:trHeight w:val="107"/>
        </w:trPr>
        <w:tc>
          <w:tcPr>
            <w:tcW w:w="2456" w:type="dxa"/>
          </w:tcPr>
          <w:p w14:paraId="0BDE3210" w14:textId="77777777" w:rsidR="00E723C2" w:rsidRPr="000C7549" w:rsidRDefault="00E723C2" w:rsidP="00C9273B">
            <w:pPr>
              <w:rPr>
                <w:rFonts w:ascii="Arial" w:hAnsi="Arial" w:cs="Arial"/>
                <w:sz w:val="24"/>
                <w:szCs w:val="24"/>
              </w:rPr>
            </w:pPr>
            <w:r w:rsidRPr="000C7549">
              <w:rPr>
                <w:rFonts w:ascii="Arial" w:hAnsi="Arial" w:cs="Arial"/>
                <w:i/>
                <w:sz w:val="24"/>
                <w:szCs w:val="24"/>
              </w:rPr>
              <w:t>Stokesia laevis</w:t>
            </w:r>
          </w:p>
        </w:tc>
        <w:tc>
          <w:tcPr>
            <w:tcW w:w="1954" w:type="dxa"/>
          </w:tcPr>
          <w:p w14:paraId="66335113" w14:textId="77777777" w:rsidR="00E723C2" w:rsidRPr="000C7549" w:rsidRDefault="00E723C2" w:rsidP="00C9273B">
            <w:pPr>
              <w:rPr>
                <w:rFonts w:ascii="Arial" w:hAnsi="Arial" w:cs="Arial"/>
                <w:sz w:val="24"/>
                <w:szCs w:val="24"/>
              </w:rPr>
            </w:pPr>
            <w:r w:rsidRPr="000C7549">
              <w:rPr>
                <w:rFonts w:ascii="Arial" w:hAnsi="Arial" w:cs="Arial"/>
                <w:i/>
                <w:sz w:val="24"/>
                <w:szCs w:val="24"/>
              </w:rPr>
              <w:t>Lespedeza hirta</w:t>
            </w:r>
          </w:p>
        </w:tc>
        <w:tc>
          <w:tcPr>
            <w:tcW w:w="1997" w:type="dxa"/>
          </w:tcPr>
          <w:p w14:paraId="59BA27C2" w14:textId="77777777" w:rsidR="00E723C2" w:rsidRPr="000C7549" w:rsidRDefault="00E723C2" w:rsidP="00C9273B">
            <w:pPr>
              <w:rPr>
                <w:rFonts w:ascii="Arial" w:hAnsi="Arial" w:cs="Arial"/>
                <w:sz w:val="24"/>
                <w:szCs w:val="24"/>
              </w:rPr>
            </w:pPr>
            <w:r w:rsidRPr="000C7549">
              <w:rPr>
                <w:rFonts w:ascii="Arial" w:hAnsi="Arial" w:cs="Arial"/>
                <w:i/>
                <w:sz w:val="24"/>
                <w:szCs w:val="24"/>
              </w:rPr>
              <w:t>Physostegia leptophylla</w:t>
            </w:r>
          </w:p>
        </w:tc>
        <w:tc>
          <w:tcPr>
            <w:tcW w:w="2143" w:type="dxa"/>
          </w:tcPr>
          <w:p w14:paraId="55941FDB" w14:textId="77777777" w:rsidR="00E723C2" w:rsidRPr="000C7549" w:rsidRDefault="00E723C2" w:rsidP="00C9273B">
            <w:pPr>
              <w:rPr>
                <w:rFonts w:ascii="Arial" w:hAnsi="Arial" w:cs="Arial"/>
                <w:sz w:val="24"/>
                <w:szCs w:val="24"/>
              </w:rPr>
            </w:pPr>
            <w:r w:rsidRPr="000C7549">
              <w:rPr>
                <w:rFonts w:ascii="Arial" w:hAnsi="Arial" w:cs="Arial"/>
                <w:i/>
                <w:sz w:val="24"/>
                <w:szCs w:val="24"/>
              </w:rPr>
              <w:t>Baptisia. albescens</w:t>
            </w:r>
          </w:p>
        </w:tc>
      </w:tr>
      <w:tr w:rsidR="00E723C2" w:rsidRPr="000C7549" w14:paraId="2F1A848C" w14:textId="77777777" w:rsidTr="00FE5AF2">
        <w:tc>
          <w:tcPr>
            <w:tcW w:w="2456" w:type="dxa"/>
          </w:tcPr>
          <w:p w14:paraId="721BD001" w14:textId="257C7A3B" w:rsidR="00E723C2" w:rsidRPr="000C7549" w:rsidRDefault="00E723C2" w:rsidP="00C9273B">
            <w:pPr>
              <w:rPr>
                <w:rFonts w:ascii="Arial" w:hAnsi="Arial" w:cs="Arial"/>
                <w:sz w:val="24"/>
                <w:szCs w:val="24"/>
              </w:rPr>
            </w:pPr>
            <w:r w:rsidRPr="000C7549">
              <w:rPr>
                <w:rFonts w:ascii="Arial" w:hAnsi="Arial" w:cs="Arial"/>
                <w:i/>
                <w:sz w:val="24"/>
                <w:szCs w:val="24"/>
              </w:rPr>
              <w:t xml:space="preserve">Helianthus </w:t>
            </w:r>
            <w:proofErr w:type="spellStart"/>
            <w:r w:rsidRPr="000C7549">
              <w:rPr>
                <w:rFonts w:ascii="Arial" w:hAnsi="Arial" w:cs="Arial"/>
                <w:i/>
                <w:sz w:val="24"/>
                <w:szCs w:val="24"/>
              </w:rPr>
              <w:t>hir</w:t>
            </w:r>
            <w:r w:rsidR="008B567E">
              <w:rPr>
                <w:rFonts w:ascii="Arial" w:hAnsi="Arial" w:cs="Arial"/>
                <w:i/>
                <w:sz w:val="24"/>
                <w:szCs w:val="24"/>
              </w:rPr>
              <w:t>sutus</w:t>
            </w:r>
            <w:proofErr w:type="spellEnd"/>
          </w:p>
        </w:tc>
        <w:tc>
          <w:tcPr>
            <w:tcW w:w="1954" w:type="dxa"/>
          </w:tcPr>
          <w:p w14:paraId="3007AF4D" w14:textId="77777777" w:rsidR="00E723C2" w:rsidRPr="000C7549" w:rsidRDefault="00E723C2" w:rsidP="00C9273B">
            <w:pPr>
              <w:rPr>
                <w:rFonts w:ascii="Arial" w:hAnsi="Arial" w:cs="Arial"/>
                <w:sz w:val="24"/>
                <w:szCs w:val="24"/>
              </w:rPr>
            </w:pPr>
            <w:r w:rsidRPr="000C7549">
              <w:rPr>
                <w:rFonts w:ascii="Arial" w:hAnsi="Arial" w:cs="Arial"/>
                <w:i/>
                <w:sz w:val="24"/>
                <w:szCs w:val="24"/>
              </w:rPr>
              <w:t>Baptisia tinctoria</w:t>
            </w:r>
          </w:p>
        </w:tc>
        <w:tc>
          <w:tcPr>
            <w:tcW w:w="1997" w:type="dxa"/>
          </w:tcPr>
          <w:p w14:paraId="31DCD70B" w14:textId="77777777" w:rsidR="00E723C2" w:rsidRPr="000C7549" w:rsidRDefault="00E723C2" w:rsidP="00C9273B">
            <w:pPr>
              <w:rPr>
                <w:rFonts w:ascii="Arial" w:hAnsi="Arial" w:cs="Arial"/>
                <w:sz w:val="24"/>
                <w:szCs w:val="24"/>
              </w:rPr>
            </w:pPr>
            <w:r w:rsidRPr="000C7549">
              <w:rPr>
                <w:rFonts w:ascii="Arial" w:hAnsi="Arial" w:cs="Arial"/>
                <w:i/>
                <w:sz w:val="24"/>
                <w:szCs w:val="24"/>
              </w:rPr>
              <w:t>Blephilia subnuda</w:t>
            </w:r>
          </w:p>
        </w:tc>
        <w:tc>
          <w:tcPr>
            <w:tcW w:w="2143" w:type="dxa"/>
          </w:tcPr>
          <w:p w14:paraId="00329213" w14:textId="77777777" w:rsidR="00E723C2" w:rsidRPr="000C7549" w:rsidRDefault="00E723C2" w:rsidP="00C9273B">
            <w:pPr>
              <w:rPr>
                <w:rFonts w:ascii="Arial" w:hAnsi="Arial" w:cs="Arial"/>
                <w:sz w:val="24"/>
                <w:szCs w:val="24"/>
              </w:rPr>
            </w:pPr>
            <w:r w:rsidRPr="000C7549">
              <w:rPr>
                <w:rFonts w:ascii="Arial" w:hAnsi="Arial" w:cs="Arial"/>
                <w:i/>
                <w:sz w:val="24"/>
                <w:szCs w:val="24"/>
              </w:rPr>
              <w:t>Coreopsis lanceolata</w:t>
            </w:r>
          </w:p>
        </w:tc>
      </w:tr>
      <w:tr w:rsidR="00E723C2" w:rsidRPr="000C7549" w14:paraId="00805C15" w14:textId="77777777" w:rsidTr="00FE5AF2">
        <w:tc>
          <w:tcPr>
            <w:tcW w:w="2456" w:type="dxa"/>
          </w:tcPr>
          <w:p w14:paraId="275BB7B1" w14:textId="77777777" w:rsidR="00E723C2" w:rsidRPr="000C7549" w:rsidRDefault="00E723C2" w:rsidP="00C9273B">
            <w:pPr>
              <w:rPr>
                <w:rFonts w:ascii="Arial" w:hAnsi="Arial" w:cs="Arial"/>
                <w:sz w:val="24"/>
                <w:szCs w:val="24"/>
              </w:rPr>
            </w:pPr>
            <w:r w:rsidRPr="000C7549">
              <w:rPr>
                <w:rFonts w:ascii="Arial" w:hAnsi="Arial" w:cs="Arial"/>
                <w:i/>
                <w:sz w:val="24"/>
                <w:szCs w:val="24"/>
              </w:rPr>
              <w:t>Verbesina occidentalis</w:t>
            </w:r>
          </w:p>
        </w:tc>
        <w:tc>
          <w:tcPr>
            <w:tcW w:w="1954" w:type="dxa"/>
          </w:tcPr>
          <w:p w14:paraId="04A2D872" w14:textId="77777777" w:rsidR="00E723C2" w:rsidRPr="000C7549" w:rsidRDefault="00E723C2" w:rsidP="00C9273B">
            <w:pPr>
              <w:rPr>
                <w:rFonts w:ascii="Arial" w:hAnsi="Arial" w:cs="Arial"/>
                <w:sz w:val="24"/>
                <w:szCs w:val="24"/>
              </w:rPr>
            </w:pPr>
            <w:r w:rsidRPr="000C7549">
              <w:rPr>
                <w:rFonts w:ascii="Arial" w:hAnsi="Arial" w:cs="Arial"/>
                <w:i/>
                <w:sz w:val="24"/>
                <w:szCs w:val="24"/>
              </w:rPr>
              <w:t>Thermopsis villosa</w:t>
            </w:r>
          </w:p>
        </w:tc>
        <w:tc>
          <w:tcPr>
            <w:tcW w:w="1997" w:type="dxa"/>
          </w:tcPr>
          <w:p w14:paraId="76564A67" w14:textId="77777777" w:rsidR="00E723C2" w:rsidRPr="000C7549" w:rsidRDefault="00E723C2" w:rsidP="00C9273B">
            <w:pPr>
              <w:rPr>
                <w:rFonts w:ascii="Arial" w:hAnsi="Arial" w:cs="Arial"/>
                <w:sz w:val="24"/>
                <w:szCs w:val="24"/>
              </w:rPr>
            </w:pPr>
            <w:r w:rsidRPr="000C7549">
              <w:rPr>
                <w:rFonts w:ascii="Arial" w:hAnsi="Arial" w:cs="Arial"/>
                <w:i/>
                <w:sz w:val="24"/>
                <w:szCs w:val="24"/>
              </w:rPr>
              <w:t>Collinsonia canadensis</w:t>
            </w:r>
          </w:p>
        </w:tc>
        <w:tc>
          <w:tcPr>
            <w:tcW w:w="2143" w:type="dxa"/>
          </w:tcPr>
          <w:p w14:paraId="67714C13" w14:textId="77777777" w:rsidR="00E723C2" w:rsidRPr="000C7549" w:rsidRDefault="00E723C2" w:rsidP="00C9273B">
            <w:pPr>
              <w:rPr>
                <w:rFonts w:ascii="Arial" w:hAnsi="Arial" w:cs="Arial"/>
                <w:sz w:val="24"/>
                <w:szCs w:val="24"/>
              </w:rPr>
            </w:pPr>
            <w:r w:rsidRPr="000C7549">
              <w:rPr>
                <w:rFonts w:ascii="Arial" w:hAnsi="Arial" w:cs="Arial"/>
                <w:i/>
                <w:sz w:val="24"/>
                <w:szCs w:val="24"/>
              </w:rPr>
              <w:t>Pycnanthemum muticum</w:t>
            </w:r>
          </w:p>
        </w:tc>
      </w:tr>
    </w:tbl>
    <w:p w14:paraId="15E6BBFE" w14:textId="77777777" w:rsidR="00351A7F" w:rsidRDefault="00351A7F" w:rsidP="00E723C2">
      <w:pPr>
        <w:pStyle w:val="Caption"/>
        <w:spacing w:before="0" w:after="0"/>
      </w:pPr>
    </w:p>
    <w:p w14:paraId="7CBEF385" w14:textId="2913F988" w:rsidR="00351A7F" w:rsidRDefault="00351A7F" w:rsidP="00351A7F">
      <w:pPr>
        <w:rPr>
          <w:rFonts w:ascii="Arial" w:hAnsi="Arial" w:cs="Arial"/>
        </w:rPr>
      </w:pPr>
    </w:p>
    <w:p w14:paraId="3668A59F" w14:textId="17424DDF" w:rsidR="00A53317" w:rsidRDefault="00A53317" w:rsidP="00351A7F">
      <w:pPr>
        <w:rPr>
          <w:rFonts w:ascii="Arial" w:hAnsi="Arial" w:cs="Arial"/>
        </w:rPr>
      </w:pPr>
    </w:p>
    <w:p w14:paraId="65B21F34" w14:textId="77777777" w:rsidR="00966233" w:rsidRPr="00351A7F" w:rsidRDefault="00966233" w:rsidP="00351A7F">
      <w:pPr>
        <w:rPr>
          <w:rFonts w:ascii="Arial" w:hAnsi="Arial" w:cs="Arial"/>
        </w:rPr>
      </w:pPr>
    </w:p>
    <w:p w14:paraId="5430DFEF" w14:textId="26CA2C4E" w:rsidR="00E723C2" w:rsidRPr="000C7549" w:rsidRDefault="00E723C2" w:rsidP="00E723C2">
      <w:pPr>
        <w:pStyle w:val="Caption"/>
      </w:pPr>
      <w:bookmarkStart w:id="50" w:name="_Toc76799603"/>
      <w:r w:rsidRPr="000C7549">
        <w:t xml:space="preserve">Table </w:t>
      </w:r>
      <w:fldSimple w:instr=" SEQ Table \* ARABIC ">
        <w:r w:rsidR="00123848">
          <w:rPr>
            <w:noProof/>
          </w:rPr>
          <w:t>2</w:t>
        </w:r>
      </w:fldSimple>
      <w:r w:rsidRPr="000C7549">
        <w:t>. Bee Specimens 2019 and 2020, Family, Genus, Species and Count</w:t>
      </w:r>
      <w:bookmarkEnd w:id="50"/>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031"/>
        <w:gridCol w:w="1976"/>
        <w:gridCol w:w="1933"/>
      </w:tblGrid>
      <w:tr w:rsidR="00E723C2" w:rsidRPr="000C7549" w14:paraId="2CC92067" w14:textId="77777777" w:rsidTr="00A53317">
        <w:tc>
          <w:tcPr>
            <w:tcW w:w="2520" w:type="dxa"/>
            <w:shd w:val="clear" w:color="auto" w:fill="auto"/>
            <w:vAlign w:val="bottom"/>
          </w:tcPr>
          <w:p w14:paraId="720BBEBF" w14:textId="77777777" w:rsidR="00E723C2" w:rsidRPr="000C7549" w:rsidRDefault="00E723C2" w:rsidP="00C9273B">
            <w:pPr>
              <w:rPr>
                <w:rFonts w:ascii="Arial" w:hAnsi="Arial" w:cs="Arial"/>
              </w:rPr>
            </w:pPr>
            <w:r w:rsidRPr="000C7549">
              <w:rPr>
                <w:rFonts w:ascii="Arial" w:hAnsi="Arial" w:cs="Arial"/>
                <w:color w:val="000000"/>
              </w:rPr>
              <w:t>Family</w:t>
            </w:r>
          </w:p>
        </w:tc>
        <w:tc>
          <w:tcPr>
            <w:tcW w:w="2031" w:type="dxa"/>
            <w:vAlign w:val="bottom"/>
          </w:tcPr>
          <w:p w14:paraId="47A186F1" w14:textId="77777777" w:rsidR="00E723C2" w:rsidRPr="000C7549" w:rsidRDefault="00E723C2" w:rsidP="00C9273B">
            <w:pPr>
              <w:rPr>
                <w:rFonts w:ascii="Arial" w:hAnsi="Arial" w:cs="Arial"/>
              </w:rPr>
            </w:pPr>
            <w:r w:rsidRPr="000C7549">
              <w:rPr>
                <w:rFonts w:ascii="Arial" w:hAnsi="Arial" w:cs="Arial"/>
                <w:color w:val="000000"/>
              </w:rPr>
              <w:t>Genus</w:t>
            </w:r>
          </w:p>
        </w:tc>
        <w:tc>
          <w:tcPr>
            <w:tcW w:w="1976" w:type="dxa"/>
            <w:vAlign w:val="bottom"/>
          </w:tcPr>
          <w:p w14:paraId="1AC2B893" w14:textId="77777777" w:rsidR="00E723C2" w:rsidRPr="000C7549" w:rsidRDefault="00E723C2" w:rsidP="00C9273B">
            <w:pPr>
              <w:rPr>
                <w:rFonts w:ascii="Arial" w:hAnsi="Arial" w:cs="Arial"/>
              </w:rPr>
            </w:pPr>
            <w:r w:rsidRPr="000C7549">
              <w:rPr>
                <w:rFonts w:ascii="Arial" w:hAnsi="Arial" w:cs="Arial"/>
                <w:color w:val="000000"/>
              </w:rPr>
              <w:t>Species</w:t>
            </w:r>
          </w:p>
        </w:tc>
        <w:tc>
          <w:tcPr>
            <w:tcW w:w="1933" w:type="dxa"/>
            <w:shd w:val="clear" w:color="auto" w:fill="auto"/>
            <w:vAlign w:val="bottom"/>
          </w:tcPr>
          <w:p w14:paraId="3B2F9DE5" w14:textId="77777777" w:rsidR="00E723C2" w:rsidRPr="000C7549" w:rsidRDefault="00E723C2" w:rsidP="00C9273B">
            <w:pPr>
              <w:rPr>
                <w:rFonts w:ascii="Arial" w:hAnsi="Arial" w:cs="Arial"/>
              </w:rPr>
            </w:pPr>
            <w:r w:rsidRPr="000C7549">
              <w:rPr>
                <w:rFonts w:ascii="Arial" w:hAnsi="Arial" w:cs="Arial"/>
                <w:color w:val="000000"/>
              </w:rPr>
              <w:t>Count of Species</w:t>
            </w:r>
          </w:p>
        </w:tc>
      </w:tr>
      <w:tr w:rsidR="00E723C2" w:rsidRPr="000C7549" w14:paraId="629E86EC" w14:textId="77777777" w:rsidTr="00A53317">
        <w:tc>
          <w:tcPr>
            <w:tcW w:w="2520" w:type="dxa"/>
            <w:shd w:val="clear" w:color="auto" w:fill="auto"/>
            <w:vAlign w:val="bottom"/>
          </w:tcPr>
          <w:p w14:paraId="3AECCA76" w14:textId="77777777" w:rsidR="00E723C2" w:rsidRPr="000C7549" w:rsidRDefault="00E723C2" w:rsidP="00C9273B">
            <w:pPr>
              <w:rPr>
                <w:rFonts w:ascii="Arial" w:hAnsi="Arial" w:cs="Arial"/>
              </w:rPr>
            </w:pPr>
            <w:r w:rsidRPr="000C7549">
              <w:rPr>
                <w:rFonts w:ascii="Arial" w:hAnsi="Arial" w:cs="Arial"/>
                <w:color w:val="000000"/>
              </w:rPr>
              <w:t>Andrenidae, n=15</w:t>
            </w:r>
          </w:p>
        </w:tc>
        <w:tc>
          <w:tcPr>
            <w:tcW w:w="2031" w:type="dxa"/>
            <w:vAlign w:val="bottom"/>
          </w:tcPr>
          <w:p w14:paraId="291FEFCE" w14:textId="77777777" w:rsidR="00E723C2" w:rsidRPr="000C7549" w:rsidRDefault="00E723C2" w:rsidP="00C9273B">
            <w:pPr>
              <w:rPr>
                <w:rFonts w:ascii="Arial" w:hAnsi="Arial" w:cs="Arial"/>
                <w:i/>
              </w:rPr>
            </w:pPr>
            <w:r w:rsidRPr="000C7549">
              <w:rPr>
                <w:rFonts w:ascii="Arial" w:hAnsi="Arial" w:cs="Arial"/>
                <w:i/>
                <w:color w:val="000000"/>
              </w:rPr>
              <w:t>Andrena</w:t>
            </w:r>
          </w:p>
        </w:tc>
        <w:tc>
          <w:tcPr>
            <w:tcW w:w="1976" w:type="dxa"/>
            <w:vAlign w:val="bottom"/>
          </w:tcPr>
          <w:p w14:paraId="493F6AA2" w14:textId="77777777" w:rsidR="00E723C2" w:rsidRPr="000C7549" w:rsidRDefault="00E723C2" w:rsidP="00C9273B">
            <w:pPr>
              <w:rPr>
                <w:rFonts w:ascii="Arial" w:hAnsi="Arial" w:cs="Arial"/>
                <w:i/>
              </w:rPr>
            </w:pPr>
            <w:proofErr w:type="spellStart"/>
            <w:r w:rsidRPr="000C7549">
              <w:rPr>
                <w:rFonts w:ascii="Arial" w:hAnsi="Arial" w:cs="Arial"/>
                <w:i/>
                <w:color w:val="000000"/>
              </w:rPr>
              <w:t>personata</w:t>
            </w:r>
            <w:proofErr w:type="spellEnd"/>
          </w:p>
        </w:tc>
        <w:tc>
          <w:tcPr>
            <w:tcW w:w="1933" w:type="dxa"/>
            <w:shd w:val="clear" w:color="auto" w:fill="auto"/>
            <w:vAlign w:val="bottom"/>
          </w:tcPr>
          <w:p w14:paraId="20EA968E" w14:textId="77777777" w:rsidR="00E723C2" w:rsidRPr="000C7549" w:rsidRDefault="00E723C2" w:rsidP="00C9273B">
            <w:pPr>
              <w:rPr>
                <w:rFonts w:ascii="Arial" w:hAnsi="Arial" w:cs="Arial"/>
              </w:rPr>
            </w:pPr>
            <w:r w:rsidRPr="000C7549">
              <w:rPr>
                <w:rFonts w:ascii="Arial" w:hAnsi="Arial" w:cs="Arial"/>
                <w:color w:val="000000"/>
              </w:rPr>
              <w:t>3</w:t>
            </w:r>
          </w:p>
        </w:tc>
      </w:tr>
      <w:tr w:rsidR="00E723C2" w:rsidRPr="000C7549" w14:paraId="124CF671" w14:textId="77777777" w:rsidTr="00A53317">
        <w:tc>
          <w:tcPr>
            <w:tcW w:w="2520" w:type="dxa"/>
            <w:shd w:val="clear" w:color="auto" w:fill="auto"/>
            <w:vAlign w:val="bottom"/>
          </w:tcPr>
          <w:p w14:paraId="76AAF48E" w14:textId="77777777" w:rsidR="00E723C2" w:rsidRPr="000C7549" w:rsidRDefault="00E723C2" w:rsidP="00C9273B">
            <w:pPr>
              <w:rPr>
                <w:rFonts w:ascii="Arial" w:hAnsi="Arial" w:cs="Arial"/>
              </w:rPr>
            </w:pPr>
          </w:p>
        </w:tc>
        <w:tc>
          <w:tcPr>
            <w:tcW w:w="2031" w:type="dxa"/>
            <w:vAlign w:val="bottom"/>
          </w:tcPr>
          <w:p w14:paraId="1774F036" w14:textId="77777777" w:rsidR="00E723C2" w:rsidRPr="000C7549" w:rsidRDefault="00E723C2" w:rsidP="00C9273B">
            <w:pPr>
              <w:rPr>
                <w:rFonts w:ascii="Arial" w:hAnsi="Arial" w:cs="Arial"/>
                <w:i/>
              </w:rPr>
            </w:pPr>
          </w:p>
        </w:tc>
        <w:tc>
          <w:tcPr>
            <w:tcW w:w="1976" w:type="dxa"/>
            <w:vAlign w:val="bottom"/>
          </w:tcPr>
          <w:p w14:paraId="7C300E92" w14:textId="77777777" w:rsidR="00E723C2" w:rsidRPr="000C7549" w:rsidRDefault="00E723C2" w:rsidP="00C9273B">
            <w:pPr>
              <w:rPr>
                <w:rFonts w:ascii="Arial" w:hAnsi="Arial" w:cs="Arial"/>
                <w:i/>
              </w:rPr>
            </w:pPr>
            <w:proofErr w:type="spellStart"/>
            <w:r w:rsidRPr="000C7549">
              <w:rPr>
                <w:rFonts w:ascii="Arial" w:hAnsi="Arial" w:cs="Arial"/>
                <w:i/>
                <w:color w:val="000000"/>
              </w:rPr>
              <w:t>placata</w:t>
            </w:r>
            <w:proofErr w:type="spellEnd"/>
          </w:p>
        </w:tc>
        <w:tc>
          <w:tcPr>
            <w:tcW w:w="1933" w:type="dxa"/>
            <w:shd w:val="clear" w:color="auto" w:fill="auto"/>
            <w:vAlign w:val="bottom"/>
          </w:tcPr>
          <w:p w14:paraId="5AABF7C4"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09145433" w14:textId="77777777" w:rsidTr="00A53317">
        <w:tc>
          <w:tcPr>
            <w:tcW w:w="2520" w:type="dxa"/>
            <w:shd w:val="clear" w:color="auto" w:fill="auto"/>
            <w:vAlign w:val="bottom"/>
          </w:tcPr>
          <w:p w14:paraId="2D971788" w14:textId="77777777" w:rsidR="00E723C2" w:rsidRPr="000C7549" w:rsidRDefault="00E723C2" w:rsidP="00C9273B">
            <w:pPr>
              <w:rPr>
                <w:rFonts w:ascii="Arial" w:hAnsi="Arial" w:cs="Arial"/>
              </w:rPr>
            </w:pPr>
          </w:p>
        </w:tc>
        <w:tc>
          <w:tcPr>
            <w:tcW w:w="2031" w:type="dxa"/>
            <w:vAlign w:val="bottom"/>
          </w:tcPr>
          <w:p w14:paraId="186E8504" w14:textId="77777777" w:rsidR="00E723C2" w:rsidRPr="000C7549" w:rsidRDefault="00E723C2" w:rsidP="00C9273B">
            <w:pPr>
              <w:rPr>
                <w:rFonts w:ascii="Arial" w:hAnsi="Arial" w:cs="Arial"/>
                <w:i/>
              </w:rPr>
            </w:pPr>
          </w:p>
        </w:tc>
        <w:tc>
          <w:tcPr>
            <w:tcW w:w="1976" w:type="dxa"/>
            <w:vAlign w:val="bottom"/>
          </w:tcPr>
          <w:p w14:paraId="62F19E4D" w14:textId="77777777" w:rsidR="00E723C2" w:rsidRPr="000C7549" w:rsidRDefault="00E723C2" w:rsidP="00C9273B">
            <w:pPr>
              <w:rPr>
                <w:rFonts w:ascii="Arial" w:hAnsi="Arial" w:cs="Arial"/>
                <w:i/>
              </w:rPr>
            </w:pPr>
            <w:r w:rsidRPr="000C7549">
              <w:rPr>
                <w:rFonts w:ascii="Arial" w:hAnsi="Arial" w:cs="Arial"/>
                <w:i/>
                <w:color w:val="000000"/>
              </w:rPr>
              <w:t>near simplex*</w:t>
            </w:r>
          </w:p>
        </w:tc>
        <w:tc>
          <w:tcPr>
            <w:tcW w:w="1933" w:type="dxa"/>
            <w:shd w:val="clear" w:color="auto" w:fill="auto"/>
            <w:vAlign w:val="bottom"/>
          </w:tcPr>
          <w:p w14:paraId="6A52E47C"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13CCF48C" w14:textId="77777777" w:rsidTr="00A53317">
        <w:tc>
          <w:tcPr>
            <w:tcW w:w="2520" w:type="dxa"/>
            <w:shd w:val="clear" w:color="auto" w:fill="auto"/>
            <w:vAlign w:val="bottom"/>
          </w:tcPr>
          <w:p w14:paraId="6BEED243" w14:textId="77777777" w:rsidR="00E723C2" w:rsidRPr="000C7549" w:rsidRDefault="00E723C2" w:rsidP="00C9273B">
            <w:pPr>
              <w:rPr>
                <w:rFonts w:ascii="Arial" w:hAnsi="Arial" w:cs="Arial"/>
              </w:rPr>
            </w:pPr>
          </w:p>
        </w:tc>
        <w:tc>
          <w:tcPr>
            <w:tcW w:w="2031" w:type="dxa"/>
            <w:vAlign w:val="bottom"/>
          </w:tcPr>
          <w:p w14:paraId="440534D9" w14:textId="77777777" w:rsidR="00E723C2" w:rsidRPr="000C7549" w:rsidRDefault="00E723C2" w:rsidP="00C9273B">
            <w:pPr>
              <w:rPr>
                <w:rFonts w:ascii="Arial" w:hAnsi="Arial" w:cs="Arial"/>
                <w:i/>
              </w:rPr>
            </w:pPr>
          </w:p>
        </w:tc>
        <w:tc>
          <w:tcPr>
            <w:tcW w:w="1976" w:type="dxa"/>
            <w:vAlign w:val="bottom"/>
          </w:tcPr>
          <w:p w14:paraId="16C940E0" w14:textId="77777777" w:rsidR="00E723C2" w:rsidRPr="000C7549" w:rsidRDefault="00E723C2" w:rsidP="00C9273B">
            <w:pPr>
              <w:rPr>
                <w:rFonts w:ascii="Arial" w:hAnsi="Arial" w:cs="Arial"/>
                <w:i/>
              </w:rPr>
            </w:pPr>
            <w:proofErr w:type="spellStart"/>
            <w:r w:rsidRPr="000C7549">
              <w:rPr>
                <w:rFonts w:ascii="Arial" w:hAnsi="Arial" w:cs="Arial"/>
                <w:i/>
                <w:color w:val="000000"/>
              </w:rPr>
              <w:t>asteris</w:t>
            </w:r>
            <w:proofErr w:type="spellEnd"/>
            <w:r w:rsidRPr="000C7549">
              <w:rPr>
                <w:rFonts w:ascii="Arial" w:hAnsi="Arial" w:cs="Arial"/>
                <w:i/>
                <w:color w:val="000000"/>
              </w:rPr>
              <w:t>*</w:t>
            </w:r>
          </w:p>
        </w:tc>
        <w:tc>
          <w:tcPr>
            <w:tcW w:w="1933" w:type="dxa"/>
            <w:shd w:val="clear" w:color="auto" w:fill="auto"/>
            <w:vAlign w:val="bottom"/>
          </w:tcPr>
          <w:p w14:paraId="41CA9543"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2C8D8370" w14:textId="77777777" w:rsidTr="00A53317">
        <w:tc>
          <w:tcPr>
            <w:tcW w:w="2520" w:type="dxa"/>
            <w:shd w:val="clear" w:color="auto" w:fill="auto"/>
            <w:vAlign w:val="bottom"/>
          </w:tcPr>
          <w:p w14:paraId="38CE6418" w14:textId="77777777" w:rsidR="00E723C2" w:rsidRPr="000C7549" w:rsidRDefault="00E723C2" w:rsidP="00C9273B">
            <w:pPr>
              <w:rPr>
                <w:rFonts w:ascii="Arial" w:hAnsi="Arial" w:cs="Arial"/>
              </w:rPr>
            </w:pPr>
          </w:p>
        </w:tc>
        <w:tc>
          <w:tcPr>
            <w:tcW w:w="2031" w:type="dxa"/>
            <w:vAlign w:val="bottom"/>
          </w:tcPr>
          <w:p w14:paraId="60E2C043" w14:textId="77777777" w:rsidR="00E723C2" w:rsidRPr="000C7549" w:rsidRDefault="00E723C2" w:rsidP="00C9273B">
            <w:pPr>
              <w:rPr>
                <w:rFonts w:ascii="Arial" w:hAnsi="Arial" w:cs="Arial"/>
                <w:i/>
              </w:rPr>
            </w:pPr>
            <w:r w:rsidRPr="000C7549">
              <w:rPr>
                <w:rFonts w:ascii="Arial" w:hAnsi="Arial" w:cs="Arial"/>
                <w:i/>
                <w:color w:val="000000"/>
              </w:rPr>
              <w:t>Calliopsis</w:t>
            </w:r>
          </w:p>
        </w:tc>
        <w:tc>
          <w:tcPr>
            <w:tcW w:w="1976" w:type="dxa"/>
            <w:vAlign w:val="bottom"/>
          </w:tcPr>
          <w:p w14:paraId="75F6B87B" w14:textId="77777777" w:rsidR="00E723C2" w:rsidRPr="000C7549" w:rsidRDefault="00E723C2" w:rsidP="00C9273B">
            <w:pPr>
              <w:rPr>
                <w:rFonts w:ascii="Arial" w:hAnsi="Arial" w:cs="Arial"/>
                <w:i/>
              </w:rPr>
            </w:pPr>
            <w:proofErr w:type="spellStart"/>
            <w:r w:rsidRPr="000C7549">
              <w:rPr>
                <w:rFonts w:ascii="Arial" w:hAnsi="Arial" w:cs="Arial"/>
                <w:i/>
                <w:color w:val="000000"/>
              </w:rPr>
              <w:t>andreniformis</w:t>
            </w:r>
            <w:proofErr w:type="spellEnd"/>
          </w:p>
        </w:tc>
        <w:tc>
          <w:tcPr>
            <w:tcW w:w="1933" w:type="dxa"/>
            <w:shd w:val="clear" w:color="auto" w:fill="auto"/>
            <w:vAlign w:val="bottom"/>
          </w:tcPr>
          <w:p w14:paraId="15104757" w14:textId="77777777" w:rsidR="00E723C2" w:rsidRPr="000C7549" w:rsidRDefault="00E723C2" w:rsidP="00C9273B">
            <w:pPr>
              <w:rPr>
                <w:rFonts w:ascii="Arial" w:hAnsi="Arial" w:cs="Arial"/>
              </w:rPr>
            </w:pPr>
            <w:r w:rsidRPr="000C7549">
              <w:rPr>
                <w:rFonts w:ascii="Arial" w:hAnsi="Arial" w:cs="Arial"/>
                <w:color w:val="000000"/>
              </w:rPr>
              <w:t>4</w:t>
            </w:r>
          </w:p>
        </w:tc>
      </w:tr>
      <w:tr w:rsidR="00E723C2" w:rsidRPr="000C7549" w14:paraId="56D4283F" w14:textId="77777777" w:rsidTr="00A53317">
        <w:tc>
          <w:tcPr>
            <w:tcW w:w="2520" w:type="dxa"/>
            <w:shd w:val="clear" w:color="auto" w:fill="auto"/>
            <w:vAlign w:val="bottom"/>
          </w:tcPr>
          <w:p w14:paraId="4BF82752" w14:textId="77777777" w:rsidR="00E723C2" w:rsidRPr="000C7549" w:rsidRDefault="00E723C2" w:rsidP="00C9273B">
            <w:pPr>
              <w:rPr>
                <w:rFonts w:ascii="Arial" w:hAnsi="Arial" w:cs="Arial"/>
              </w:rPr>
            </w:pPr>
          </w:p>
        </w:tc>
        <w:tc>
          <w:tcPr>
            <w:tcW w:w="2031" w:type="dxa"/>
            <w:vAlign w:val="bottom"/>
          </w:tcPr>
          <w:p w14:paraId="0A094125" w14:textId="77777777" w:rsidR="00E723C2" w:rsidRPr="000C7549" w:rsidRDefault="00E723C2" w:rsidP="00C9273B">
            <w:pPr>
              <w:rPr>
                <w:rFonts w:ascii="Arial" w:hAnsi="Arial" w:cs="Arial"/>
                <w:i/>
                <w:color w:val="000000"/>
              </w:rPr>
            </w:pPr>
            <w:r w:rsidRPr="000C7549">
              <w:rPr>
                <w:rFonts w:ascii="Arial" w:hAnsi="Arial" w:cs="Arial"/>
                <w:i/>
                <w:color w:val="000000"/>
              </w:rPr>
              <w:t>Pseudopanurgus</w:t>
            </w:r>
          </w:p>
        </w:tc>
        <w:tc>
          <w:tcPr>
            <w:tcW w:w="1976" w:type="dxa"/>
            <w:vAlign w:val="bottom"/>
          </w:tcPr>
          <w:p w14:paraId="2014DF71" w14:textId="77777777" w:rsidR="00E723C2" w:rsidRPr="000C7549" w:rsidRDefault="00E723C2" w:rsidP="00C9273B">
            <w:pPr>
              <w:rPr>
                <w:rFonts w:ascii="Arial" w:hAnsi="Arial" w:cs="Arial"/>
                <w:i/>
                <w:color w:val="000000"/>
              </w:rPr>
            </w:pPr>
            <w:proofErr w:type="spellStart"/>
            <w:r w:rsidRPr="000C7549">
              <w:rPr>
                <w:rFonts w:ascii="Arial" w:hAnsi="Arial" w:cs="Arial"/>
                <w:i/>
                <w:color w:val="000000"/>
              </w:rPr>
              <w:t>compositarum</w:t>
            </w:r>
            <w:proofErr w:type="spellEnd"/>
            <w:r w:rsidRPr="000C7549">
              <w:rPr>
                <w:rFonts w:ascii="Arial" w:hAnsi="Arial" w:cs="Arial"/>
                <w:i/>
                <w:color w:val="000000"/>
              </w:rPr>
              <w:t>*</w:t>
            </w:r>
          </w:p>
        </w:tc>
        <w:tc>
          <w:tcPr>
            <w:tcW w:w="1933" w:type="dxa"/>
            <w:shd w:val="clear" w:color="auto" w:fill="auto"/>
            <w:vAlign w:val="bottom"/>
          </w:tcPr>
          <w:p w14:paraId="5BCCB1F7" w14:textId="77777777" w:rsidR="00E723C2" w:rsidRPr="000C7549" w:rsidRDefault="00E723C2" w:rsidP="00C9273B">
            <w:pPr>
              <w:rPr>
                <w:rFonts w:ascii="Arial" w:hAnsi="Arial" w:cs="Arial"/>
                <w:color w:val="000000"/>
              </w:rPr>
            </w:pPr>
            <w:r w:rsidRPr="000C7549">
              <w:rPr>
                <w:rFonts w:ascii="Arial" w:hAnsi="Arial" w:cs="Arial"/>
                <w:color w:val="000000"/>
              </w:rPr>
              <w:t>3</w:t>
            </w:r>
          </w:p>
        </w:tc>
      </w:tr>
      <w:tr w:rsidR="00E723C2" w:rsidRPr="000C7549" w14:paraId="4BE47C12" w14:textId="77777777" w:rsidTr="00A53317">
        <w:tc>
          <w:tcPr>
            <w:tcW w:w="2520" w:type="dxa"/>
            <w:shd w:val="clear" w:color="auto" w:fill="auto"/>
            <w:vAlign w:val="bottom"/>
          </w:tcPr>
          <w:p w14:paraId="2418D8B9" w14:textId="77777777" w:rsidR="00E723C2" w:rsidRPr="000C7549" w:rsidRDefault="00E723C2" w:rsidP="00C9273B">
            <w:pPr>
              <w:rPr>
                <w:rFonts w:ascii="Arial" w:hAnsi="Arial" w:cs="Arial"/>
              </w:rPr>
            </w:pPr>
          </w:p>
        </w:tc>
        <w:tc>
          <w:tcPr>
            <w:tcW w:w="2031" w:type="dxa"/>
            <w:vAlign w:val="bottom"/>
          </w:tcPr>
          <w:p w14:paraId="683EF0E5" w14:textId="77777777" w:rsidR="00E723C2" w:rsidRPr="000C7549" w:rsidRDefault="00E723C2" w:rsidP="00C9273B">
            <w:pPr>
              <w:rPr>
                <w:rFonts w:ascii="Arial" w:hAnsi="Arial" w:cs="Arial"/>
                <w:i/>
              </w:rPr>
            </w:pPr>
          </w:p>
        </w:tc>
        <w:tc>
          <w:tcPr>
            <w:tcW w:w="1976" w:type="dxa"/>
            <w:vAlign w:val="bottom"/>
          </w:tcPr>
          <w:p w14:paraId="51AC6A2A" w14:textId="77777777" w:rsidR="00E723C2" w:rsidRPr="000C7549" w:rsidRDefault="00E723C2" w:rsidP="00C9273B">
            <w:pPr>
              <w:rPr>
                <w:rFonts w:ascii="Arial" w:hAnsi="Arial" w:cs="Arial"/>
                <w:i/>
              </w:rPr>
            </w:pPr>
            <w:proofErr w:type="spellStart"/>
            <w:r w:rsidRPr="000C7549">
              <w:rPr>
                <w:rFonts w:ascii="Arial" w:hAnsi="Arial" w:cs="Arial"/>
                <w:i/>
                <w:color w:val="000000"/>
              </w:rPr>
              <w:t>labrosus</w:t>
            </w:r>
            <w:proofErr w:type="spellEnd"/>
          </w:p>
        </w:tc>
        <w:tc>
          <w:tcPr>
            <w:tcW w:w="1933" w:type="dxa"/>
            <w:shd w:val="clear" w:color="auto" w:fill="auto"/>
            <w:vAlign w:val="bottom"/>
          </w:tcPr>
          <w:p w14:paraId="5E71B974"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43898F87" w14:textId="77777777" w:rsidTr="00A53317">
        <w:tc>
          <w:tcPr>
            <w:tcW w:w="2520" w:type="dxa"/>
            <w:shd w:val="clear" w:color="auto" w:fill="auto"/>
            <w:vAlign w:val="bottom"/>
          </w:tcPr>
          <w:p w14:paraId="17788BB8" w14:textId="77777777" w:rsidR="00E723C2" w:rsidRPr="000C7549" w:rsidRDefault="00E723C2" w:rsidP="00C9273B">
            <w:pPr>
              <w:rPr>
                <w:rFonts w:ascii="Arial" w:hAnsi="Arial" w:cs="Arial"/>
              </w:rPr>
            </w:pPr>
          </w:p>
        </w:tc>
        <w:tc>
          <w:tcPr>
            <w:tcW w:w="2031" w:type="dxa"/>
            <w:vAlign w:val="bottom"/>
          </w:tcPr>
          <w:p w14:paraId="0694C8C5" w14:textId="77777777" w:rsidR="00E723C2" w:rsidRPr="000C7549" w:rsidRDefault="00E723C2" w:rsidP="00C9273B">
            <w:pPr>
              <w:rPr>
                <w:rFonts w:ascii="Arial" w:hAnsi="Arial" w:cs="Arial"/>
                <w:i/>
              </w:rPr>
            </w:pPr>
          </w:p>
        </w:tc>
        <w:tc>
          <w:tcPr>
            <w:tcW w:w="1976" w:type="dxa"/>
            <w:vAlign w:val="bottom"/>
          </w:tcPr>
          <w:p w14:paraId="14E6E684" w14:textId="77777777" w:rsidR="00E723C2" w:rsidRPr="000C7549" w:rsidRDefault="00E723C2" w:rsidP="00C9273B">
            <w:pPr>
              <w:rPr>
                <w:rFonts w:ascii="Arial" w:hAnsi="Arial" w:cs="Arial"/>
                <w:i/>
              </w:rPr>
            </w:pPr>
            <w:proofErr w:type="spellStart"/>
            <w:r w:rsidRPr="000C7549">
              <w:rPr>
                <w:rFonts w:ascii="Arial" w:hAnsi="Arial" w:cs="Arial"/>
                <w:i/>
                <w:color w:val="000000"/>
              </w:rPr>
              <w:t>rugosus</w:t>
            </w:r>
            <w:proofErr w:type="spellEnd"/>
          </w:p>
        </w:tc>
        <w:tc>
          <w:tcPr>
            <w:tcW w:w="1933" w:type="dxa"/>
            <w:shd w:val="clear" w:color="auto" w:fill="auto"/>
            <w:vAlign w:val="bottom"/>
          </w:tcPr>
          <w:p w14:paraId="79260B39"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0D8D0670" w14:textId="77777777" w:rsidTr="00A53317">
        <w:tc>
          <w:tcPr>
            <w:tcW w:w="2520" w:type="dxa"/>
            <w:shd w:val="clear" w:color="auto" w:fill="auto"/>
            <w:vAlign w:val="bottom"/>
          </w:tcPr>
          <w:p w14:paraId="0F5417C5" w14:textId="77777777" w:rsidR="00E723C2" w:rsidRPr="000C7549" w:rsidRDefault="00E723C2" w:rsidP="00C9273B">
            <w:pPr>
              <w:rPr>
                <w:rFonts w:ascii="Arial" w:hAnsi="Arial" w:cs="Arial"/>
              </w:rPr>
            </w:pPr>
            <w:r w:rsidRPr="000C7549">
              <w:rPr>
                <w:rFonts w:ascii="Arial" w:hAnsi="Arial" w:cs="Arial"/>
                <w:color w:val="000000"/>
              </w:rPr>
              <w:t>Apidae, n=1,492</w:t>
            </w:r>
          </w:p>
        </w:tc>
        <w:tc>
          <w:tcPr>
            <w:tcW w:w="2031" w:type="dxa"/>
            <w:vAlign w:val="bottom"/>
          </w:tcPr>
          <w:p w14:paraId="28209F5C" w14:textId="77777777" w:rsidR="00E723C2" w:rsidRPr="000C7549" w:rsidRDefault="00E723C2" w:rsidP="00C9273B">
            <w:pPr>
              <w:rPr>
                <w:rFonts w:ascii="Arial" w:hAnsi="Arial" w:cs="Arial"/>
                <w:i/>
              </w:rPr>
            </w:pPr>
            <w:r w:rsidRPr="000C7549">
              <w:rPr>
                <w:rFonts w:ascii="Arial" w:hAnsi="Arial" w:cs="Arial"/>
                <w:i/>
                <w:color w:val="000000"/>
              </w:rPr>
              <w:t>Apis</w:t>
            </w:r>
          </w:p>
        </w:tc>
        <w:tc>
          <w:tcPr>
            <w:tcW w:w="1976" w:type="dxa"/>
            <w:vAlign w:val="bottom"/>
          </w:tcPr>
          <w:p w14:paraId="068E4825" w14:textId="77777777" w:rsidR="00E723C2" w:rsidRPr="000C7549" w:rsidRDefault="00E723C2" w:rsidP="00C9273B">
            <w:pPr>
              <w:rPr>
                <w:rFonts w:ascii="Arial" w:hAnsi="Arial" w:cs="Arial"/>
                <w:i/>
              </w:rPr>
            </w:pPr>
            <w:proofErr w:type="spellStart"/>
            <w:r w:rsidRPr="000C7549">
              <w:rPr>
                <w:rFonts w:ascii="Arial" w:hAnsi="Arial" w:cs="Arial"/>
                <w:i/>
                <w:color w:val="000000"/>
              </w:rPr>
              <w:t>meliffera</w:t>
            </w:r>
            <w:proofErr w:type="spellEnd"/>
          </w:p>
        </w:tc>
        <w:tc>
          <w:tcPr>
            <w:tcW w:w="1933" w:type="dxa"/>
            <w:shd w:val="clear" w:color="auto" w:fill="auto"/>
            <w:vAlign w:val="bottom"/>
          </w:tcPr>
          <w:p w14:paraId="1B725E01" w14:textId="77777777" w:rsidR="00E723C2" w:rsidRPr="000C7549" w:rsidRDefault="00E723C2" w:rsidP="00C9273B">
            <w:pPr>
              <w:rPr>
                <w:rFonts w:ascii="Arial" w:hAnsi="Arial" w:cs="Arial"/>
              </w:rPr>
            </w:pPr>
            <w:r w:rsidRPr="000C7549">
              <w:rPr>
                <w:rFonts w:ascii="Arial" w:hAnsi="Arial" w:cs="Arial"/>
              </w:rPr>
              <w:t>545</w:t>
            </w:r>
          </w:p>
        </w:tc>
      </w:tr>
      <w:tr w:rsidR="00E723C2" w:rsidRPr="000C7549" w14:paraId="41561CB5" w14:textId="77777777" w:rsidTr="00A53317">
        <w:tc>
          <w:tcPr>
            <w:tcW w:w="2520" w:type="dxa"/>
            <w:shd w:val="clear" w:color="auto" w:fill="auto"/>
            <w:vAlign w:val="bottom"/>
          </w:tcPr>
          <w:p w14:paraId="763CA165" w14:textId="77777777" w:rsidR="00E723C2" w:rsidRPr="000C7549" w:rsidRDefault="00E723C2" w:rsidP="00C9273B">
            <w:pPr>
              <w:rPr>
                <w:rFonts w:ascii="Arial" w:hAnsi="Arial" w:cs="Arial"/>
              </w:rPr>
            </w:pPr>
          </w:p>
        </w:tc>
        <w:tc>
          <w:tcPr>
            <w:tcW w:w="2031" w:type="dxa"/>
            <w:vAlign w:val="bottom"/>
          </w:tcPr>
          <w:p w14:paraId="0F088E10" w14:textId="77777777" w:rsidR="00E723C2" w:rsidRPr="000C7549" w:rsidRDefault="00E723C2" w:rsidP="00C9273B">
            <w:pPr>
              <w:rPr>
                <w:rFonts w:ascii="Arial" w:hAnsi="Arial" w:cs="Arial"/>
                <w:i/>
              </w:rPr>
            </w:pPr>
            <w:r w:rsidRPr="000C7549">
              <w:rPr>
                <w:rFonts w:ascii="Arial" w:hAnsi="Arial" w:cs="Arial"/>
                <w:i/>
                <w:color w:val="000000"/>
              </w:rPr>
              <w:t>Bombus</w:t>
            </w:r>
          </w:p>
        </w:tc>
        <w:tc>
          <w:tcPr>
            <w:tcW w:w="1976" w:type="dxa"/>
            <w:vAlign w:val="bottom"/>
          </w:tcPr>
          <w:p w14:paraId="563EC4B7" w14:textId="77777777" w:rsidR="00E723C2" w:rsidRPr="000C7549" w:rsidRDefault="00E723C2" w:rsidP="00C9273B">
            <w:pPr>
              <w:rPr>
                <w:rFonts w:ascii="Arial" w:hAnsi="Arial" w:cs="Arial"/>
                <w:i/>
              </w:rPr>
            </w:pPr>
            <w:r w:rsidRPr="000C7549">
              <w:rPr>
                <w:rFonts w:ascii="Arial" w:hAnsi="Arial" w:cs="Arial"/>
                <w:i/>
                <w:color w:val="000000"/>
              </w:rPr>
              <w:t>impatiens</w:t>
            </w:r>
          </w:p>
        </w:tc>
        <w:tc>
          <w:tcPr>
            <w:tcW w:w="1933" w:type="dxa"/>
            <w:shd w:val="clear" w:color="auto" w:fill="auto"/>
            <w:vAlign w:val="bottom"/>
          </w:tcPr>
          <w:p w14:paraId="410D9691" w14:textId="77777777" w:rsidR="00E723C2" w:rsidRPr="000C7549" w:rsidRDefault="00E723C2" w:rsidP="00C9273B">
            <w:pPr>
              <w:rPr>
                <w:rFonts w:ascii="Arial" w:hAnsi="Arial" w:cs="Arial"/>
              </w:rPr>
            </w:pPr>
            <w:r w:rsidRPr="000C7549">
              <w:rPr>
                <w:rFonts w:ascii="Arial" w:hAnsi="Arial" w:cs="Arial"/>
                <w:color w:val="000000"/>
              </w:rPr>
              <w:t>331</w:t>
            </w:r>
          </w:p>
        </w:tc>
      </w:tr>
      <w:tr w:rsidR="00E723C2" w:rsidRPr="000C7549" w14:paraId="1FAF947C" w14:textId="77777777" w:rsidTr="00A53317">
        <w:tc>
          <w:tcPr>
            <w:tcW w:w="2520" w:type="dxa"/>
            <w:shd w:val="clear" w:color="auto" w:fill="auto"/>
            <w:vAlign w:val="bottom"/>
          </w:tcPr>
          <w:p w14:paraId="1F98120A" w14:textId="77777777" w:rsidR="00E723C2" w:rsidRPr="000C7549" w:rsidRDefault="00E723C2" w:rsidP="00C9273B">
            <w:pPr>
              <w:rPr>
                <w:rFonts w:ascii="Arial" w:hAnsi="Arial" w:cs="Arial"/>
              </w:rPr>
            </w:pPr>
          </w:p>
        </w:tc>
        <w:tc>
          <w:tcPr>
            <w:tcW w:w="2031" w:type="dxa"/>
            <w:vAlign w:val="bottom"/>
          </w:tcPr>
          <w:p w14:paraId="27F8CBA5" w14:textId="77777777" w:rsidR="00E723C2" w:rsidRPr="000C7549" w:rsidRDefault="00E723C2" w:rsidP="00C9273B">
            <w:pPr>
              <w:rPr>
                <w:rFonts w:ascii="Arial" w:hAnsi="Arial" w:cs="Arial"/>
                <w:i/>
              </w:rPr>
            </w:pPr>
          </w:p>
        </w:tc>
        <w:tc>
          <w:tcPr>
            <w:tcW w:w="1976" w:type="dxa"/>
            <w:vAlign w:val="bottom"/>
          </w:tcPr>
          <w:p w14:paraId="0EA953C2" w14:textId="77777777" w:rsidR="00E723C2" w:rsidRPr="000C7549" w:rsidRDefault="00E723C2" w:rsidP="00C9273B">
            <w:pPr>
              <w:rPr>
                <w:rFonts w:ascii="Arial" w:hAnsi="Arial" w:cs="Arial"/>
                <w:i/>
              </w:rPr>
            </w:pPr>
            <w:proofErr w:type="spellStart"/>
            <w:r w:rsidRPr="000C7549">
              <w:rPr>
                <w:rFonts w:ascii="Arial" w:hAnsi="Arial" w:cs="Arial"/>
                <w:i/>
                <w:color w:val="000000"/>
              </w:rPr>
              <w:t>bimaculatus</w:t>
            </w:r>
            <w:proofErr w:type="spellEnd"/>
            <w:r w:rsidRPr="000C7549">
              <w:rPr>
                <w:rFonts w:ascii="Arial" w:hAnsi="Arial" w:cs="Arial"/>
                <w:i/>
                <w:color w:val="000000"/>
              </w:rPr>
              <w:t>*</w:t>
            </w:r>
          </w:p>
        </w:tc>
        <w:tc>
          <w:tcPr>
            <w:tcW w:w="1933" w:type="dxa"/>
            <w:shd w:val="clear" w:color="auto" w:fill="auto"/>
            <w:vAlign w:val="bottom"/>
          </w:tcPr>
          <w:p w14:paraId="10FEF2A6" w14:textId="77777777" w:rsidR="00E723C2" w:rsidRPr="000C7549" w:rsidRDefault="00E723C2" w:rsidP="00C9273B">
            <w:pPr>
              <w:rPr>
                <w:rFonts w:ascii="Arial" w:hAnsi="Arial" w:cs="Arial"/>
              </w:rPr>
            </w:pPr>
            <w:r w:rsidRPr="000C7549">
              <w:rPr>
                <w:rFonts w:ascii="Arial" w:hAnsi="Arial" w:cs="Arial"/>
                <w:color w:val="000000"/>
              </w:rPr>
              <w:t>45</w:t>
            </w:r>
          </w:p>
        </w:tc>
      </w:tr>
      <w:tr w:rsidR="00E723C2" w:rsidRPr="000C7549" w14:paraId="0A2B77D2" w14:textId="77777777" w:rsidTr="00A53317">
        <w:tc>
          <w:tcPr>
            <w:tcW w:w="2520" w:type="dxa"/>
            <w:shd w:val="clear" w:color="auto" w:fill="auto"/>
            <w:vAlign w:val="bottom"/>
          </w:tcPr>
          <w:p w14:paraId="2DE02C25" w14:textId="77777777" w:rsidR="00E723C2" w:rsidRPr="000C7549" w:rsidRDefault="00E723C2" w:rsidP="00C9273B">
            <w:pPr>
              <w:rPr>
                <w:rFonts w:ascii="Arial" w:hAnsi="Arial" w:cs="Arial"/>
              </w:rPr>
            </w:pPr>
          </w:p>
        </w:tc>
        <w:tc>
          <w:tcPr>
            <w:tcW w:w="2031" w:type="dxa"/>
            <w:vAlign w:val="bottom"/>
          </w:tcPr>
          <w:p w14:paraId="0C0A4BC8" w14:textId="77777777" w:rsidR="00E723C2" w:rsidRPr="000C7549" w:rsidRDefault="00E723C2" w:rsidP="00C9273B">
            <w:pPr>
              <w:rPr>
                <w:rFonts w:ascii="Arial" w:hAnsi="Arial" w:cs="Arial"/>
              </w:rPr>
            </w:pPr>
          </w:p>
        </w:tc>
        <w:tc>
          <w:tcPr>
            <w:tcW w:w="1976" w:type="dxa"/>
            <w:vAlign w:val="bottom"/>
          </w:tcPr>
          <w:p w14:paraId="0209DDF3" w14:textId="77777777" w:rsidR="00E723C2" w:rsidRPr="000C7549" w:rsidRDefault="00E723C2" w:rsidP="00C9273B">
            <w:pPr>
              <w:rPr>
                <w:rFonts w:ascii="Arial" w:hAnsi="Arial" w:cs="Arial"/>
                <w:i/>
                <w:iCs/>
              </w:rPr>
            </w:pPr>
            <w:r w:rsidRPr="000C7549">
              <w:rPr>
                <w:rFonts w:ascii="Arial" w:hAnsi="Arial" w:cs="Arial"/>
                <w:i/>
                <w:iCs/>
              </w:rPr>
              <w:t>sp.</w:t>
            </w:r>
          </w:p>
        </w:tc>
        <w:tc>
          <w:tcPr>
            <w:tcW w:w="1933" w:type="dxa"/>
            <w:shd w:val="clear" w:color="auto" w:fill="auto"/>
            <w:vAlign w:val="bottom"/>
          </w:tcPr>
          <w:p w14:paraId="4F945FC9" w14:textId="77777777" w:rsidR="00E723C2" w:rsidRPr="000C7549" w:rsidRDefault="00E723C2" w:rsidP="00C9273B">
            <w:pPr>
              <w:rPr>
                <w:rFonts w:ascii="Arial" w:hAnsi="Arial" w:cs="Arial"/>
              </w:rPr>
            </w:pPr>
            <w:r w:rsidRPr="000C7549">
              <w:rPr>
                <w:rFonts w:ascii="Arial" w:hAnsi="Arial" w:cs="Arial"/>
                <w:color w:val="000000"/>
              </w:rPr>
              <w:t>20</w:t>
            </w:r>
          </w:p>
        </w:tc>
      </w:tr>
      <w:tr w:rsidR="00E723C2" w:rsidRPr="000C7549" w14:paraId="6F6B5902" w14:textId="77777777" w:rsidTr="00A53317">
        <w:tc>
          <w:tcPr>
            <w:tcW w:w="2520" w:type="dxa"/>
            <w:shd w:val="clear" w:color="auto" w:fill="auto"/>
            <w:vAlign w:val="bottom"/>
          </w:tcPr>
          <w:p w14:paraId="40A05695" w14:textId="77777777" w:rsidR="00E723C2" w:rsidRPr="000C7549" w:rsidRDefault="00E723C2" w:rsidP="00C9273B">
            <w:pPr>
              <w:rPr>
                <w:rFonts w:ascii="Arial" w:hAnsi="Arial" w:cs="Arial"/>
              </w:rPr>
            </w:pPr>
          </w:p>
        </w:tc>
        <w:tc>
          <w:tcPr>
            <w:tcW w:w="2031" w:type="dxa"/>
            <w:vAlign w:val="bottom"/>
          </w:tcPr>
          <w:p w14:paraId="62265ACF" w14:textId="77777777" w:rsidR="00E723C2" w:rsidRPr="000C7549" w:rsidRDefault="00E723C2" w:rsidP="00C9273B">
            <w:pPr>
              <w:rPr>
                <w:rFonts w:ascii="Arial" w:hAnsi="Arial" w:cs="Arial"/>
                <w:i/>
              </w:rPr>
            </w:pPr>
          </w:p>
        </w:tc>
        <w:tc>
          <w:tcPr>
            <w:tcW w:w="1976" w:type="dxa"/>
            <w:vAlign w:val="bottom"/>
          </w:tcPr>
          <w:p w14:paraId="74769861" w14:textId="77777777" w:rsidR="00E723C2" w:rsidRPr="000C7549" w:rsidRDefault="00E723C2" w:rsidP="00C9273B">
            <w:pPr>
              <w:rPr>
                <w:rFonts w:ascii="Arial" w:hAnsi="Arial" w:cs="Arial"/>
                <w:i/>
              </w:rPr>
            </w:pPr>
            <w:proofErr w:type="spellStart"/>
            <w:r w:rsidRPr="000C7549">
              <w:rPr>
                <w:rFonts w:ascii="Arial" w:hAnsi="Arial" w:cs="Arial"/>
                <w:i/>
                <w:color w:val="000000"/>
              </w:rPr>
              <w:t>griseocollis</w:t>
            </w:r>
            <w:proofErr w:type="spellEnd"/>
            <w:r w:rsidRPr="000C7549">
              <w:rPr>
                <w:rFonts w:ascii="Arial" w:hAnsi="Arial" w:cs="Arial"/>
                <w:i/>
                <w:color w:val="000000"/>
              </w:rPr>
              <w:t>*</w:t>
            </w:r>
          </w:p>
        </w:tc>
        <w:tc>
          <w:tcPr>
            <w:tcW w:w="1933" w:type="dxa"/>
            <w:shd w:val="clear" w:color="auto" w:fill="auto"/>
            <w:vAlign w:val="bottom"/>
          </w:tcPr>
          <w:p w14:paraId="04C0B1A2" w14:textId="77777777" w:rsidR="00E723C2" w:rsidRPr="000C7549" w:rsidRDefault="00E723C2" w:rsidP="00C9273B">
            <w:pPr>
              <w:rPr>
                <w:rFonts w:ascii="Arial" w:hAnsi="Arial" w:cs="Arial"/>
              </w:rPr>
            </w:pPr>
            <w:r w:rsidRPr="000C7549">
              <w:rPr>
                <w:rFonts w:ascii="Arial" w:hAnsi="Arial" w:cs="Arial"/>
                <w:color w:val="000000"/>
              </w:rPr>
              <w:t>13</w:t>
            </w:r>
          </w:p>
        </w:tc>
      </w:tr>
      <w:tr w:rsidR="00E723C2" w:rsidRPr="000C7549" w14:paraId="6004FC18" w14:textId="77777777" w:rsidTr="00A53317">
        <w:tc>
          <w:tcPr>
            <w:tcW w:w="2520" w:type="dxa"/>
            <w:shd w:val="clear" w:color="auto" w:fill="auto"/>
            <w:vAlign w:val="bottom"/>
          </w:tcPr>
          <w:p w14:paraId="044294AC" w14:textId="77777777" w:rsidR="00E723C2" w:rsidRPr="000C7549" w:rsidRDefault="00E723C2" w:rsidP="00C9273B">
            <w:pPr>
              <w:rPr>
                <w:rFonts w:ascii="Arial" w:hAnsi="Arial" w:cs="Arial"/>
              </w:rPr>
            </w:pPr>
          </w:p>
        </w:tc>
        <w:tc>
          <w:tcPr>
            <w:tcW w:w="2031" w:type="dxa"/>
            <w:vAlign w:val="bottom"/>
          </w:tcPr>
          <w:p w14:paraId="094E302D" w14:textId="77777777" w:rsidR="00E723C2" w:rsidRPr="000C7549" w:rsidRDefault="00E723C2" w:rsidP="00C9273B">
            <w:pPr>
              <w:rPr>
                <w:rFonts w:ascii="Arial" w:hAnsi="Arial" w:cs="Arial"/>
                <w:i/>
              </w:rPr>
            </w:pPr>
          </w:p>
        </w:tc>
        <w:tc>
          <w:tcPr>
            <w:tcW w:w="1976" w:type="dxa"/>
            <w:vAlign w:val="bottom"/>
          </w:tcPr>
          <w:p w14:paraId="179AEFD6" w14:textId="77777777" w:rsidR="00E723C2" w:rsidRPr="000C7549" w:rsidRDefault="00E723C2" w:rsidP="00C9273B">
            <w:pPr>
              <w:rPr>
                <w:rFonts w:ascii="Arial" w:hAnsi="Arial" w:cs="Arial"/>
                <w:i/>
              </w:rPr>
            </w:pPr>
            <w:proofErr w:type="spellStart"/>
            <w:r w:rsidRPr="000C7549">
              <w:rPr>
                <w:rFonts w:ascii="Arial" w:hAnsi="Arial" w:cs="Arial"/>
                <w:i/>
                <w:color w:val="000000"/>
              </w:rPr>
              <w:t>pensylvanicus</w:t>
            </w:r>
            <w:proofErr w:type="spellEnd"/>
            <w:r w:rsidRPr="000C7549">
              <w:rPr>
                <w:rFonts w:ascii="Arial" w:hAnsi="Arial" w:cs="Arial"/>
                <w:i/>
                <w:color w:val="000000"/>
              </w:rPr>
              <w:t>*</w:t>
            </w:r>
          </w:p>
        </w:tc>
        <w:tc>
          <w:tcPr>
            <w:tcW w:w="1933" w:type="dxa"/>
            <w:shd w:val="clear" w:color="auto" w:fill="auto"/>
            <w:vAlign w:val="bottom"/>
          </w:tcPr>
          <w:p w14:paraId="2DEFB524" w14:textId="77777777" w:rsidR="00E723C2" w:rsidRPr="000C7549" w:rsidRDefault="00E723C2" w:rsidP="00C9273B">
            <w:pPr>
              <w:rPr>
                <w:rFonts w:ascii="Arial" w:hAnsi="Arial" w:cs="Arial"/>
              </w:rPr>
            </w:pPr>
            <w:r w:rsidRPr="000C7549">
              <w:rPr>
                <w:rFonts w:ascii="Arial" w:hAnsi="Arial" w:cs="Arial"/>
                <w:color w:val="000000"/>
              </w:rPr>
              <w:t>7</w:t>
            </w:r>
          </w:p>
        </w:tc>
      </w:tr>
      <w:tr w:rsidR="00E723C2" w:rsidRPr="000C7549" w14:paraId="1E4B0135" w14:textId="77777777" w:rsidTr="00A53317">
        <w:tc>
          <w:tcPr>
            <w:tcW w:w="2520" w:type="dxa"/>
            <w:shd w:val="clear" w:color="auto" w:fill="auto"/>
            <w:vAlign w:val="bottom"/>
          </w:tcPr>
          <w:p w14:paraId="3A4812A4" w14:textId="77777777" w:rsidR="00E723C2" w:rsidRPr="000C7549" w:rsidRDefault="00E723C2" w:rsidP="00C9273B">
            <w:pPr>
              <w:rPr>
                <w:rFonts w:ascii="Arial" w:hAnsi="Arial" w:cs="Arial"/>
              </w:rPr>
            </w:pPr>
          </w:p>
        </w:tc>
        <w:tc>
          <w:tcPr>
            <w:tcW w:w="2031" w:type="dxa"/>
            <w:vAlign w:val="bottom"/>
          </w:tcPr>
          <w:p w14:paraId="79FFE2F5" w14:textId="77777777" w:rsidR="00E723C2" w:rsidRPr="000C7549" w:rsidRDefault="00E723C2" w:rsidP="00C9273B">
            <w:pPr>
              <w:rPr>
                <w:rFonts w:ascii="Arial" w:hAnsi="Arial" w:cs="Arial"/>
                <w:i/>
              </w:rPr>
            </w:pPr>
          </w:p>
        </w:tc>
        <w:tc>
          <w:tcPr>
            <w:tcW w:w="1976" w:type="dxa"/>
            <w:vAlign w:val="bottom"/>
          </w:tcPr>
          <w:p w14:paraId="68B2D8D9" w14:textId="77777777" w:rsidR="00E723C2" w:rsidRPr="000C7549" w:rsidRDefault="00E723C2" w:rsidP="00C9273B">
            <w:pPr>
              <w:rPr>
                <w:rFonts w:ascii="Arial" w:hAnsi="Arial" w:cs="Arial"/>
                <w:i/>
              </w:rPr>
            </w:pPr>
            <w:proofErr w:type="spellStart"/>
            <w:r w:rsidRPr="000C7549">
              <w:rPr>
                <w:rFonts w:ascii="Arial" w:hAnsi="Arial" w:cs="Arial"/>
                <w:i/>
                <w:color w:val="000000"/>
              </w:rPr>
              <w:t>citrinus</w:t>
            </w:r>
            <w:proofErr w:type="spellEnd"/>
            <w:r w:rsidRPr="000C7549">
              <w:rPr>
                <w:rFonts w:ascii="Arial" w:hAnsi="Arial" w:cs="Arial"/>
                <w:i/>
                <w:color w:val="000000"/>
              </w:rPr>
              <w:t>*</w:t>
            </w:r>
          </w:p>
        </w:tc>
        <w:tc>
          <w:tcPr>
            <w:tcW w:w="1933" w:type="dxa"/>
            <w:shd w:val="clear" w:color="auto" w:fill="auto"/>
            <w:vAlign w:val="bottom"/>
          </w:tcPr>
          <w:p w14:paraId="3035E2D0"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1A0137F0" w14:textId="77777777" w:rsidTr="00A53317">
        <w:tc>
          <w:tcPr>
            <w:tcW w:w="2520" w:type="dxa"/>
            <w:shd w:val="clear" w:color="auto" w:fill="auto"/>
            <w:vAlign w:val="bottom"/>
          </w:tcPr>
          <w:p w14:paraId="3E7A1835" w14:textId="77777777" w:rsidR="00E723C2" w:rsidRPr="000C7549" w:rsidRDefault="00E723C2" w:rsidP="00C9273B">
            <w:pPr>
              <w:rPr>
                <w:rFonts w:ascii="Arial" w:hAnsi="Arial" w:cs="Arial"/>
              </w:rPr>
            </w:pPr>
          </w:p>
        </w:tc>
        <w:tc>
          <w:tcPr>
            <w:tcW w:w="2031" w:type="dxa"/>
            <w:vAlign w:val="bottom"/>
          </w:tcPr>
          <w:p w14:paraId="6CFF8DCE" w14:textId="77777777" w:rsidR="00E723C2" w:rsidRPr="000C7549" w:rsidRDefault="00E723C2" w:rsidP="00C9273B">
            <w:pPr>
              <w:rPr>
                <w:rFonts w:ascii="Arial" w:hAnsi="Arial" w:cs="Arial"/>
                <w:i/>
              </w:rPr>
            </w:pPr>
            <w:r w:rsidRPr="000C7549">
              <w:rPr>
                <w:rFonts w:ascii="Arial" w:hAnsi="Arial" w:cs="Arial"/>
                <w:i/>
                <w:color w:val="000000"/>
              </w:rPr>
              <w:t>Ceratina</w:t>
            </w:r>
          </w:p>
        </w:tc>
        <w:tc>
          <w:tcPr>
            <w:tcW w:w="1976" w:type="dxa"/>
            <w:vAlign w:val="bottom"/>
          </w:tcPr>
          <w:p w14:paraId="22F00EE6" w14:textId="77777777" w:rsidR="00E723C2" w:rsidRPr="000C7549" w:rsidRDefault="00E723C2" w:rsidP="00C9273B">
            <w:pPr>
              <w:rPr>
                <w:rFonts w:ascii="Arial" w:hAnsi="Arial" w:cs="Arial"/>
                <w:i/>
              </w:rPr>
            </w:pPr>
            <w:proofErr w:type="spellStart"/>
            <w:r w:rsidRPr="000C7549">
              <w:rPr>
                <w:rFonts w:ascii="Arial" w:hAnsi="Arial" w:cs="Arial"/>
                <w:i/>
                <w:color w:val="000000"/>
              </w:rPr>
              <w:t>strenua</w:t>
            </w:r>
            <w:proofErr w:type="spellEnd"/>
          </w:p>
        </w:tc>
        <w:tc>
          <w:tcPr>
            <w:tcW w:w="1933" w:type="dxa"/>
            <w:shd w:val="clear" w:color="auto" w:fill="auto"/>
            <w:vAlign w:val="bottom"/>
          </w:tcPr>
          <w:p w14:paraId="6E785928" w14:textId="77777777" w:rsidR="00E723C2" w:rsidRPr="000C7549" w:rsidRDefault="00E723C2" w:rsidP="00C9273B">
            <w:pPr>
              <w:rPr>
                <w:rFonts w:ascii="Arial" w:hAnsi="Arial" w:cs="Arial"/>
              </w:rPr>
            </w:pPr>
            <w:r w:rsidRPr="000C7549">
              <w:rPr>
                <w:rFonts w:ascii="Arial" w:hAnsi="Arial" w:cs="Arial"/>
                <w:color w:val="000000"/>
              </w:rPr>
              <w:t>261</w:t>
            </w:r>
          </w:p>
        </w:tc>
      </w:tr>
      <w:tr w:rsidR="00E723C2" w:rsidRPr="000C7549" w14:paraId="23A993C4" w14:textId="77777777" w:rsidTr="00A53317">
        <w:tc>
          <w:tcPr>
            <w:tcW w:w="2520" w:type="dxa"/>
            <w:shd w:val="clear" w:color="auto" w:fill="auto"/>
            <w:vAlign w:val="bottom"/>
          </w:tcPr>
          <w:p w14:paraId="3BCBB4F3" w14:textId="77777777" w:rsidR="00E723C2" w:rsidRPr="000C7549" w:rsidRDefault="00E723C2" w:rsidP="00C9273B">
            <w:pPr>
              <w:rPr>
                <w:rFonts w:ascii="Arial" w:hAnsi="Arial" w:cs="Arial"/>
              </w:rPr>
            </w:pPr>
          </w:p>
        </w:tc>
        <w:tc>
          <w:tcPr>
            <w:tcW w:w="2031" w:type="dxa"/>
            <w:vAlign w:val="bottom"/>
          </w:tcPr>
          <w:p w14:paraId="10E9A20D" w14:textId="77777777" w:rsidR="00E723C2" w:rsidRPr="000C7549" w:rsidRDefault="00E723C2" w:rsidP="00C9273B">
            <w:pPr>
              <w:rPr>
                <w:rFonts w:ascii="Arial" w:hAnsi="Arial" w:cs="Arial"/>
                <w:i/>
              </w:rPr>
            </w:pPr>
          </w:p>
        </w:tc>
        <w:tc>
          <w:tcPr>
            <w:tcW w:w="1976" w:type="dxa"/>
            <w:vAlign w:val="bottom"/>
          </w:tcPr>
          <w:p w14:paraId="6DFA830B" w14:textId="77777777" w:rsidR="00E723C2" w:rsidRPr="000C7549" w:rsidRDefault="00E723C2" w:rsidP="00C9273B">
            <w:pPr>
              <w:rPr>
                <w:rFonts w:ascii="Arial" w:hAnsi="Arial" w:cs="Arial"/>
                <w:i/>
              </w:rPr>
            </w:pPr>
            <w:proofErr w:type="spellStart"/>
            <w:r w:rsidRPr="000C7549">
              <w:rPr>
                <w:rFonts w:ascii="Arial" w:hAnsi="Arial" w:cs="Arial"/>
                <w:i/>
                <w:color w:val="000000"/>
              </w:rPr>
              <w:t>calcarata</w:t>
            </w:r>
            <w:proofErr w:type="spellEnd"/>
          </w:p>
        </w:tc>
        <w:tc>
          <w:tcPr>
            <w:tcW w:w="1933" w:type="dxa"/>
            <w:shd w:val="clear" w:color="auto" w:fill="auto"/>
            <w:vAlign w:val="bottom"/>
          </w:tcPr>
          <w:p w14:paraId="3E823149" w14:textId="77777777" w:rsidR="00E723C2" w:rsidRPr="000C7549" w:rsidRDefault="00E723C2" w:rsidP="00C9273B">
            <w:pPr>
              <w:rPr>
                <w:rFonts w:ascii="Arial" w:hAnsi="Arial" w:cs="Arial"/>
              </w:rPr>
            </w:pPr>
            <w:r w:rsidRPr="000C7549">
              <w:rPr>
                <w:rFonts w:ascii="Arial" w:hAnsi="Arial" w:cs="Arial"/>
                <w:color w:val="000000"/>
              </w:rPr>
              <w:t>118</w:t>
            </w:r>
          </w:p>
        </w:tc>
      </w:tr>
      <w:tr w:rsidR="00E723C2" w:rsidRPr="000C7549" w14:paraId="15E019BF" w14:textId="77777777" w:rsidTr="00A53317">
        <w:trPr>
          <w:trHeight w:val="60"/>
        </w:trPr>
        <w:tc>
          <w:tcPr>
            <w:tcW w:w="2520" w:type="dxa"/>
            <w:shd w:val="clear" w:color="auto" w:fill="auto"/>
            <w:vAlign w:val="bottom"/>
          </w:tcPr>
          <w:p w14:paraId="3B967C4D" w14:textId="77777777" w:rsidR="00E723C2" w:rsidRPr="000C7549" w:rsidRDefault="00E723C2" w:rsidP="00C9273B">
            <w:pPr>
              <w:rPr>
                <w:rFonts w:ascii="Arial" w:hAnsi="Arial" w:cs="Arial"/>
              </w:rPr>
            </w:pPr>
          </w:p>
        </w:tc>
        <w:tc>
          <w:tcPr>
            <w:tcW w:w="2031" w:type="dxa"/>
            <w:vAlign w:val="bottom"/>
          </w:tcPr>
          <w:p w14:paraId="172B755C" w14:textId="77777777" w:rsidR="00E723C2" w:rsidRPr="000C7549" w:rsidRDefault="00E723C2" w:rsidP="00C9273B">
            <w:pPr>
              <w:rPr>
                <w:rFonts w:ascii="Arial" w:hAnsi="Arial" w:cs="Arial"/>
                <w:i/>
              </w:rPr>
            </w:pPr>
          </w:p>
        </w:tc>
        <w:tc>
          <w:tcPr>
            <w:tcW w:w="1976" w:type="dxa"/>
            <w:vAlign w:val="bottom"/>
          </w:tcPr>
          <w:p w14:paraId="794206A9" w14:textId="77777777" w:rsidR="00E723C2" w:rsidRPr="000C7549" w:rsidRDefault="00E723C2" w:rsidP="00C9273B">
            <w:pPr>
              <w:rPr>
                <w:rFonts w:ascii="Arial" w:hAnsi="Arial" w:cs="Arial"/>
                <w:i/>
              </w:rPr>
            </w:pPr>
            <w:proofErr w:type="spellStart"/>
            <w:r w:rsidRPr="000C7549">
              <w:rPr>
                <w:rFonts w:ascii="Arial" w:hAnsi="Arial" w:cs="Arial"/>
                <w:i/>
                <w:color w:val="000000"/>
              </w:rPr>
              <w:t>dupla</w:t>
            </w:r>
            <w:proofErr w:type="spellEnd"/>
          </w:p>
        </w:tc>
        <w:tc>
          <w:tcPr>
            <w:tcW w:w="1933" w:type="dxa"/>
            <w:shd w:val="clear" w:color="auto" w:fill="auto"/>
            <w:vAlign w:val="bottom"/>
          </w:tcPr>
          <w:p w14:paraId="75068318" w14:textId="77777777" w:rsidR="00E723C2" w:rsidRPr="000C7549" w:rsidRDefault="00E723C2" w:rsidP="00C9273B">
            <w:pPr>
              <w:rPr>
                <w:rFonts w:ascii="Arial" w:hAnsi="Arial" w:cs="Arial"/>
              </w:rPr>
            </w:pPr>
            <w:r w:rsidRPr="000C7549">
              <w:rPr>
                <w:rFonts w:ascii="Arial" w:hAnsi="Arial" w:cs="Arial"/>
                <w:color w:val="000000"/>
              </w:rPr>
              <w:t>22</w:t>
            </w:r>
          </w:p>
        </w:tc>
      </w:tr>
      <w:tr w:rsidR="00E723C2" w:rsidRPr="000C7549" w14:paraId="0FE51D8E" w14:textId="77777777" w:rsidTr="00A53317">
        <w:tc>
          <w:tcPr>
            <w:tcW w:w="2520" w:type="dxa"/>
            <w:shd w:val="clear" w:color="auto" w:fill="auto"/>
            <w:vAlign w:val="bottom"/>
          </w:tcPr>
          <w:p w14:paraId="514868C3" w14:textId="77777777" w:rsidR="00E723C2" w:rsidRPr="000C7549" w:rsidRDefault="00E723C2" w:rsidP="00C9273B">
            <w:pPr>
              <w:rPr>
                <w:rFonts w:ascii="Arial" w:hAnsi="Arial" w:cs="Arial"/>
              </w:rPr>
            </w:pPr>
          </w:p>
        </w:tc>
        <w:tc>
          <w:tcPr>
            <w:tcW w:w="2031" w:type="dxa"/>
            <w:vAlign w:val="bottom"/>
          </w:tcPr>
          <w:p w14:paraId="61E7D967" w14:textId="77777777" w:rsidR="00E723C2" w:rsidRPr="000C7549" w:rsidRDefault="00E723C2" w:rsidP="00C9273B">
            <w:pPr>
              <w:rPr>
                <w:rFonts w:ascii="Arial" w:hAnsi="Arial" w:cs="Arial"/>
                <w:i/>
              </w:rPr>
            </w:pPr>
          </w:p>
        </w:tc>
        <w:tc>
          <w:tcPr>
            <w:tcW w:w="1976" w:type="dxa"/>
            <w:vAlign w:val="bottom"/>
          </w:tcPr>
          <w:p w14:paraId="168C3916" w14:textId="77777777" w:rsidR="00E723C2" w:rsidRPr="000C7549" w:rsidRDefault="00E723C2" w:rsidP="00C9273B">
            <w:pPr>
              <w:rPr>
                <w:rFonts w:ascii="Arial" w:hAnsi="Arial" w:cs="Arial"/>
                <w:i/>
              </w:rPr>
            </w:pPr>
            <w:proofErr w:type="spellStart"/>
            <w:r w:rsidRPr="000C7549">
              <w:rPr>
                <w:rFonts w:ascii="Arial" w:hAnsi="Arial" w:cs="Arial"/>
                <w:i/>
                <w:color w:val="000000"/>
              </w:rPr>
              <w:t>mikmaqi</w:t>
            </w:r>
            <w:proofErr w:type="spellEnd"/>
            <w:r w:rsidRPr="000C7549">
              <w:rPr>
                <w:rFonts w:ascii="Arial" w:hAnsi="Arial" w:cs="Arial"/>
                <w:i/>
                <w:color w:val="000000"/>
              </w:rPr>
              <w:t>*</w:t>
            </w:r>
          </w:p>
        </w:tc>
        <w:tc>
          <w:tcPr>
            <w:tcW w:w="1933" w:type="dxa"/>
            <w:shd w:val="clear" w:color="auto" w:fill="auto"/>
            <w:vAlign w:val="bottom"/>
          </w:tcPr>
          <w:p w14:paraId="1C76AD5A" w14:textId="77777777" w:rsidR="00E723C2" w:rsidRPr="000C7549" w:rsidRDefault="00E723C2" w:rsidP="00C9273B">
            <w:pPr>
              <w:rPr>
                <w:rFonts w:ascii="Arial" w:hAnsi="Arial" w:cs="Arial"/>
              </w:rPr>
            </w:pPr>
            <w:r w:rsidRPr="000C7549">
              <w:rPr>
                <w:rFonts w:ascii="Arial" w:hAnsi="Arial" w:cs="Arial"/>
                <w:color w:val="000000"/>
              </w:rPr>
              <w:t>15</w:t>
            </w:r>
          </w:p>
        </w:tc>
      </w:tr>
      <w:tr w:rsidR="00E723C2" w:rsidRPr="000C7549" w14:paraId="1BB0D94B" w14:textId="77777777" w:rsidTr="00A53317">
        <w:tc>
          <w:tcPr>
            <w:tcW w:w="2520" w:type="dxa"/>
            <w:shd w:val="clear" w:color="auto" w:fill="auto"/>
            <w:vAlign w:val="bottom"/>
          </w:tcPr>
          <w:p w14:paraId="63AB8B7A" w14:textId="77777777" w:rsidR="00E723C2" w:rsidRPr="000C7549" w:rsidRDefault="00E723C2" w:rsidP="00C9273B">
            <w:pPr>
              <w:rPr>
                <w:rFonts w:ascii="Arial" w:hAnsi="Arial" w:cs="Arial"/>
              </w:rPr>
            </w:pPr>
          </w:p>
        </w:tc>
        <w:tc>
          <w:tcPr>
            <w:tcW w:w="2031" w:type="dxa"/>
            <w:vAlign w:val="bottom"/>
          </w:tcPr>
          <w:p w14:paraId="4712BEAE" w14:textId="77777777" w:rsidR="00E723C2" w:rsidRPr="000C7549" w:rsidRDefault="00E723C2" w:rsidP="00C9273B">
            <w:pPr>
              <w:rPr>
                <w:rFonts w:ascii="Arial" w:hAnsi="Arial" w:cs="Arial"/>
                <w:i/>
              </w:rPr>
            </w:pPr>
          </w:p>
        </w:tc>
        <w:tc>
          <w:tcPr>
            <w:tcW w:w="1976" w:type="dxa"/>
            <w:vAlign w:val="bottom"/>
          </w:tcPr>
          <w:p w14:paraId="352A009D" w14:textId="77777777" w:rsidR="00E723C2" w:rsidRPr="000C7549" w:rsidRDefault="00E723C2" w:rsidP="00C9273B">
            <w:pPr>
              <w:rPr>
                <w:rFonts w:ascii="Arial" w:hAnsi="Arial" w:cs="Arial"/>
                <w:i/>
              </w:rPr>
            </w:pPr>
            <w:r w:rsidRPr="000C7549">
              <w:rPr>
                <w:rFonts w:ascii="Arial" w:hAnsi="Arial" w:cs="Arial"/>
                <w:i/>
                <w:color w:val="000000"/>
              </w:rPr>
              <w:t>sp</w:t>
            </w:r>
          </w:p>
        </w:tc>
        <w:tc>
          <w:tcPr>
            <w:tcW w:w="1933" w:type="dxa"/>
            <w:shd w:val="clear" w:color="auto" w:fill="auto"/>
            <w:vAlign w:val="bottom"/>
          </w:tcPr>
          <w:p w14:paraId="276653FD" w14:textId="77777777" w:rsidR="00E723C2" w:rsidRPr="000C7549" w:rsidRDefault="00E723C2" w:rsidP="00C9273B">
            <w:pPr>
              <w:rPr>
                <w:rFonts w:ascii="Arial" w:hAnsi="Arial" w:cs="Arial"/>
              </w:rPr>
            </w:pPr>
            <w:r w:rsidRPr="000C7549">
              <w:rPr>
                <w:rFonts w:ascii="Arial" w:hAnsi="Arial" w:cs="Arial"/>
                <w:color w:val="000000"/>
              </w:rPr>
              <w:t>12</w:t>
            </w:r>
          </w:p>
        </w:tc>
      </w:tr>
    </w:tbl>
    <w:p w14:paraId="17FC5545" w14:textId="5530A412" w:rsidR="00024B6A" w:rsidRDefault="00024B6A">
      <w:r>
        <w:br w:type="page"/>
      </w:r>
      <w:r w:rsidRPr="000C7549">
        <w:rPr>
          <w:rFonts w:ascii="Arial" w:hAnsi="Arial" w:cs="Arial"/>
          <w:b/>
          <w:bCs/>
        </w:rPr>
        <w:lastRenderedPageBreak/>
        <w:t xml:space="preserve">“Table </w:t>
      </w:r>
      <w:r>
        <w:rPr>
          <w:rFonts w:ascii="Arial" w:hAnsi="Arial" w:cs="Arial"/>
          <w:b/>
          <w:bCs/>
        </w:rPr>
        <w:t>2</w:t>
      </w:r>
      <w:r w:rsidRPr="000C7549">
        <w:rPr>
          <w:rFonts w:ascii="Arial" w:hAnsi="Arial" w:cs="Arial"/>
          <w:b/>
          <w:bCs/>
        </w:rPr>
        <w:t xml:space="preserve"> Continued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031"/>
        <w:gridCol w:w="2017"/>
        <w:gridCol w:w="1933"/>
      </w:tblGrid>
      <w:tr w:rsidR="00E723C2" w:rsidRPr="000C7549" w14:paraId="55F7638E" w14:textId="77777777" w:rsidTr="004D3280">
        <w:tc>
          <w:tcPr>
            <w:tcW w:w="2520" w:type="dxa"/>
            <w:shd w:val="clear" w:color="auto" w:fill="auto"/>
            <w:vAlign w:val="bottom"/>
          </w:tcPr>
          <w:p w14:paraId="6A8CD78D" w14:textId="77777777" w:rsidR="00E723C2" w:rsidRPr="000C7549" w:rsidRDefault="00E723C2" w:rsidP="00C9273B">
            <w:pPr>
              <w:rPr>
                <w:rFonts w:ascii="Arial" w:hAnsi="Arial" w:cs="Arial"/>
              </w:rPr>
            </w:pPr>
          </w:p>
        </w:tc>
        <w:tc>
          <w:tcPr>
            <w:tcW w:w="2031" w:type="dxa"/>
            <w:vAlign w:val="bottom"/>
          </w:tcPr>
          <w:p w14:paraId="38363D1A" w14:textId="77777777" w:rsidR="00E723C2" w:rsidRPr="000C7549" w:rsidRDefault="00E723C2" w:rsidP="00C9273B">
            <w:pPr>
              <w:rPr>
                <w:rFonts w:ascii="Arial" w:hAnsi="Arial" w:cs="Arial"/>
                <w:i/>
              </w:rPr>
            </w:pPr>
          </w:p>
        </w:tc>
        <w:tc>
          <w:tcPr>
            <w:tcW w:w="2017" w:type="dxa"/>
            <w:vAlign w:val="bottom"/>
          </w:tcPr>
          <w:p w14:paraId="13D2D21C" w14:textId="77777777" w:rsidR="00E723C2" w:rsidRPr="000C7549" w:rsidRDefault="00E723C2" w:rsidP="00C9273B">
            <w:pPr>
              <w:rPr>
                <w:rFonts w:ascii="Arial" w:hAnsi="Arial" w:cs="Arial"/>
                <w:i/>
              </w:rPr>
            </w:pPr>
            <w:proofErr w:type="spellStart"/>
            <w:r w:rsidRPr="000C7549">
              <w:rPr>
                <w:rFonts w:ascii="Arial" w:hAnsi="Arial" w:cs="Arial"/>
                <w:i/>
                <w:color w:val="000000"/>
              </w:rPr>
              <w:t>cockerelli</w:t>
            </w:r>
            <w:proofErr w:type="spellEnd"/>
          </w:p>
        </w:tc>
        <w:tc>
          <w:tcPr>
            <w:tcW w:w="1933" w:type="dxa"/>
            <w:shd w:val="clear" w:color="auto" w:fill="auto"/>
            <w:vAlign w:val="bottom"/>
          </w:tcPr>
          <w:p w14:paraId="19D33079" w14:textId="77777777" w:rsidR="00E723C2" w:rsidRPr="000C7549" w:rsidRDefault="00E723C2" w:rsidP="00C9273B">
            <w:pPr>
              <w:rPr>
                <w:rFonts w:ascii="Arial" w:hAnsi="Arial" w:cs="Arial"/>
              </w:rPr>
            </w:pPr>
            <w:r w:rsidRPr="000C7549">
              <w:rPr>
                <w:rFonts w:ascii="Arial" w:hAnsi="Arial" w:cs="Arial"/>
                <w:color w:val="000000"/>
              </w:rPr>
              <w:t>6</w:t>
            </w:r>
          </w:p>
        </w:tc>
      </w:tr>
      <w:tr w:rsidR="00E723C2" w:rsidRPr="000C7549" w14:paraId="1B4BD128" w14:textId="77777777" w:rsidTr="004D3280">
        <w:tc>
          <w:tcPr>
            <w:tcW w:w="2520" w:type="dxa"/>
            <w:shd w:val="clear" w:color="auto" w:fill="auto"/>
            <w:vAlign w:val="bottom"/>
          </w:tcPr>
          <w:p w14:paraId="0EB31103" w14:textId="77777777" w:rsidR="00E723C2" w:rsidRPr="000C7549" w:rsidRDefault="00E723C2" w:rsidP="00C9273B">
            <w:pPr>
              <w:rPr>
                <w:rFonts w:ascii="Arial" w:hAnsi="Arial" w:cs="Arial"/>
              </w:rPr>
            </w:pPr>
          </w:p>
        </w:tc>
        <w:tc>
          <w:tcPr>
            <w:tcW w:w="2031" w:type="dxa"/>
            <w:vAlign w:val="bottom"/>
          </w:tcPr>
          <w:p w14:paraId="06A04C14" w14:textId="77777777" w:rsidR="00E723C2" w:rsidRPr="000C7549" w:rsidRDefault="00E723C2" w:rsidP="00C9273B">
            <w:pPr>
              <w:rPr>
                <w:rFonts w:ascii="Arial" w:hAnsi="Arial" w:cs="Arial"/>
                <w:i/>
              </w:rPr>
            </w:pPr>
            <w:r w:rsidRPr="000C7549">
              <w:rPr>
                <w:rFonts w:ascii="Arial" w:hAnsi="Arial" w:cs="Arial"/>
                <w:i/>
                <w:color w:val="000000"/>
              </w:rPr>
              <w:t>Epeolus</w:t>
            </w:r>
          </w:p>
        </w:tc>
        <w:tc>
          <w:tcPr>
            <w:tcW w:w="2017" w:type="dxa"/>
            <w:vAlign w:val="bottom"/>
          </w:tcPr>
          <w:p w14:paraId="4E934048" w14:textId="77777777" w:rsidR="00E723C2" w:rsidRPr="000C7549" w:rsidRDefault="00E723C2" w:rsidP="00C9273B">
            <w:pPr>
              <w:rPr>
                <w:rFonts w:ascii="Arial" w:hAnsi="Arial" w:cs="Arial"/>
                <w:i/>
              </w:rPr>
            </w:pPr>
            <w:r w:rsidRPr="000C7549">
              <w:rPr>
                <w:rFonts w:ascii="Arial" w:hAnsi="Arial" w:cs="Arial"/>
                <w:i/>
                <w:color w:val="000000"/>
              </w:rPr>
              <w:t>bifasciatus</w:t>
            </w:r>
          </w:p>
        </w:tc>
        <w:tc>
          <w:tcPr>
            <w:tcW w:w="1933" w:type="dxa"/>
            <w:shd w:val="clear" w:color="auto" w:fill="auto"/>
            <w:vAlign w:val="bottom"/>
          </w:tcPr>
          <w:p w14:paraId="0215D9A9" w14:textId="77777777" w:rsidR="00E723C2" w:rsidRPr="000C7549" w:rsidRDefault="00E723C2" w:rsidP="00C9273B">
            <w:pPr>
              <w:rPr>
                <w:rFonts w:ascii="Arial" w:hAnsi="Arial" w:cs="Arial"/>
              </w:rPr>
            </w:pPr>
            <w:r w:rsidRPr="000C7549">
              <w:rPr>
                <w:rFonts w:ascii="Arial" w:hAnsi="Arial" w:cs="Arial"/>
                <w:color w:val="000000"/>
              </w:rPr>
              <w:t>5</w:t>
            </w:r>
          </w:p>
        </w:tc>
      </w:tr>
      <w:tr w:rsidR="00E723C2" w:rsidRPr="000C7549" w14:paraId="6C051528" w14:textId="77777777" w:rsidTr="004D3280">
        <w:tc>
          <w:tcPr>
            <w:tcW w:w="2520" w:type="dxa"/>
            <w:shd w:val="clear" w:color="auto" w:fill="auto"/>
            <w:vAlign w:val="bottom"/>
          </w:tcPr>
          <w:p w14:paraId="46A3BE2E" w14:textId="77777777" w:rsidR="00E723C2" w:rsidRPr="000C7549" w:rsidRDefault="00E723C2" w:rsidP="00C9273B">
            <w:pPr>
              <w:rPr>
                <w:rFonts w:ascii="Arial" w:hAnsi="Arial" w:cs="Arial"/>
              </w:rPr>
            </w:pPr>
          </w:p>
        </w:tc>
        <w:tc>
          <w:tcPr>
            <w:tcW w:w="2031" w:type="dxa"/>
            <w:vAlign w:val="bottom"/>
          </w:tcPr>
          <w:p w14:paraId="12C3C29B" w14:textId="77777777" w:rsidR="00E723C2" w:rsidRPr="000C7549" w:rsidRDefault="00E723C2" w:rsidP="00C9273B">
            <w:pPr>
              <w:rPr>
                <w:rFonts w:ascii="Arial" w:hAnsi="Arial" w:cs="Arial"/>
                <w:i/>
              </w:rPr>
            </w:pPr>
            <w:r w:rsidRPr="000C7549">
              <w:rPr>
                <w:rFonts w:ascii="Arial" w:hAnsi="Arial" w:cs="Arial"/>
                <w:i/>
                <w:color w:val="000000"/>
              </w:rPr>
              <w:t>Holcopasites</w:t>
            </w:r>
          </w:p>
        </w:tc>
        <w:tc>
          <w:tcPr>
            <w:tcW w:w="2017" w:type="dxa"/>
            <w:vAlign w:val="bottom"/>
          </w:tcPr>
          <w:p w14:paraId="7B0D6A41" w14:textId="77777777" w:rsidR="00E723C2" w:rsidRPr="000C7549" w:rsidRDefault="00E723C2" w:rsidP="00C9273B">
            <w:pPr>
              <w:rPr>
                <w:rFonts w:ascii="Arial" w:hAnsi="Arial" w:cs="Arial"/>
                <w:i/>
              </w:rPr>
            </w:pPr>
            <w:r w:rsidRPr="000C7549">
              <w:rPr>
                <w:rFonts w:ascii="Arial" w:hAnsi="Arial" w:cs="Arial"/>
                <w:i/>
                <w:color w:val="000000"/>
              </w:rPr>
              <w:t>calliopsidis</w:t>
            </w:r>
          </w:p>
        </w:tc>
        <w:tc>
          <w:tcPr>
            <w:tcW w:w="1933" w:type="dxa"/>
            <w:shd w:val="clear" w:color="auto" w:fill="auto"/>
            <w:vAlign w:val="bottom"/>
          </w:tcPr>
          <w:p w14:paraId="4CB2376C" w14:textId="77777777" w:rsidR="00E723C2" w:rsidRPr="000C7549" w:rsidRDefault="00E723C2" w:rsidP="00C9273B">
            <w:pPr>
              <w:rPr>
                <w:rFonts w:ascii="Arial" w:hAnsi="Arial" w:cs="Arial"/>
              </w:rPr>
            </w:pPr>
            <w:r w:rsidRPr="000C7549">
              <w:rPr>
                <w:rFonts w:ascii="Arial" w:hAnsi="Arial" w:cs="Arial"/>
                <w:color w:val="000000"/>
              </w:rPr>
              <w:t>4</w:t>
            </w:r>
          </w:p>
        </w:tc>
      </w:tr>
      <w:tr w:rsidR="00E723C2" w:rsidRPr="000C7549" w14:paraId="269AA569" w14:textId="77777777" w:rsidTr="004D3280">
        <w:tc>
          <w:tcPr>
            <w:tcW w:w="2520" w:type="dxa"/>
            <w:shd w:val="clear" w:color="auto" w:fill="auto"/>
            <w:vAlign w:val="bottom"/>
          </w:tcPr>
          <w:p w14:paraId="1A098117" w14:textId="77777777" w:rsidR="00E723C2" w:rsidRPr="000C7549" w:rsidRDefault="00E723C2" w:rsidP="00C9273B">
            <w:pPr>
              <w:rPr>
                <w:rFonts w:ascii="Arial" w:hAnsi="Arial" w:cs="Arial"/>
              </w:rPr>
            </w:pPr>
          </w:p>
        </w:tc>
        <w:tc>
          <w:tcPr>
            <w:tcW w:w="2031" w:type="dxa"/>
            <w:vAlign w:val="bottom"/>
          </w:tcPr>
          <w:p w14:paraId="79AA1602" w14:textId="77777777" w:rsidR="00E723C2" w:rsidRPr="000C7549" w:rsidRDefault="00E723C2" w:rsidP="00C9273B">
            <w:pPr>
              <w:rPr>
                <w:rFonts w:ascii="Arial" w:hAnsi="Arial" w:cs="Arial"/>
                <w:i/>
                <w:color w:val="000000"/>
              </w:rPr>
            </w:pPr>
            <w:r w:rsidRPr="000C7549">
              <w:rPr>
                <w:rFonts w:ascii="Arial" w:hAnsi="Arial" w:cs="Arial"/>
                <w:i/>
                <w:color w:val="000000"/>
              </w:rPr>
              <w:t>Melissodes</w:t>
            </w:r>
          </w:p>
        </w:tc>
        <w:tc>
          <w:tcPr>
            <w:tcW w:w="2017" w:type="dxa"/>
            <w:vAlign w:val="bottom"/>
          </w:tcPr>
          <w:p w14:paraId="0D1B55F2" w14:textId="77777777" w:rsidR="00E723C2" w:rsidRPr="000C7549" w:rsidRDefault="00E723C2" w:rsidP="00C9273B">
            <w:pPr>
              <w:rPr>
                <w:rFonts w:ascii="Arial" w:hAnsi="Arial" w:cs="Arial"/>
                <w:i/>
                <w:color w:val="000000"/>
              </w:rPr>
            </w:pPr>
            <w:r w:rsidRPr="000C7549">
              <w:rPr>
                <w:rFonts w:ascii="Arial" w:hAnsi="Arial" w:cs="Arial"/>
                <w:i/>
                <w:color w:val="000000"/>
              </w:rPr>
              <w:t>trinodis</w:t>
            </w:r>
          </w:p>
        </w:tc>
        <w:tc>
          <w:tcPr>
            <w:tcW w:w="1933" w:type="dxa"/>
            <w:shd w:val="clear" w:color="auto" w:fill="auto"/>
            <w:vAlign w:val="bottom"/>
          </w:tcPr>
          <w:p w14:paraId="6CBCEB45" w14:textId="77777777" w:rsidR="00E723C2" w:rsidRPr="000C7549" w:rsidRDefault="00E723C2" w:rsidP="00C9273B">
            <w:pPr>
              <w:rPr>
                <w:rFonts w:ascii="Arial" w:hAnsi="Arial" w:cs="Arial"/>
                <w:color w:val="000000"/>
              </w:rPr>
            </w:pPr>
            <w:r w:rsidRPr="000C7549">
              <w:rPr>
                <w:rFonts w:ascii="Arial" w:hAnsi="Arial" w:cs="Arial"/>
                <w:color w:val="000000"/>
              </w:rPr>
              <w:t>16</w:t>
            </w:r>
          </w:p>
        </w:tc>
      </w:tr>
      <w:tr w:rsidR="00E723C2" w:rsidRPr="000C7549" w14:paraId="0BB83FAD" w14:textId="77777777" w:rsidTr="004D3280">
        <w:tc>
          <w:tcPr>
            <w:tcW w:w="2520" w:type="dxa"/>
            <w:shd w:val="clear" w:color="auto" w:fill="auto"/>
            <w:vAlign w:val="bottom"/>
          </w:tcPr>
          <w:p w14:paraId="15C883FD" w14:textId="77777777" w:rsidR="00E723C2" w:rsidRPr="000C7549" w:rsidRDefault="00E723C2" w:rsidP="00C9273B">
            <w:pPr>
              <w:rPr>
                <w:rFonts w:ascii="Arial" w:hAnsi="Arial" w:cs="Arial"/>
              </w:rPr>
            </w:pPr>
          </w:p>
        </w:tc>
        <w:tc>
          <w:tcPr>
            <w:tcW w:w="2031" w:type="dxa"/>
            <w:vAlign w:val="bottom"/>
          </w:tcPr>
          <w:p w14:paraId="487C4864" w14:textId="77777777" w:rsidR="00E723C2" w:rsidRPr="000C7549" w:rsidRDefault="00E723C2" w:rsidP="00C9273B">
            <w:pPr>
              <w:rPr>
                <w:rFonts w:ascii="Arial" w:hAnsi="Arial" w:cs="Arial"/>
                <w:i/>
                <w:color w:val="000000"/>
              </w:rPr>
            </w:pPr>
          </w:p>
        </w:tc>
        <w:tc>
          <w:tcPr>
            <w:tcW w:w="2017" w:type="dxa"/>
            <w:vAlign w:val="bottom"/>
          </w:tcPr>
          <w:p w14:paraId="62F2091B" w14:textId="77777777" w:rsidR="00E723C2" w:rsidRPr="000C7549" w:rsidRDefault="00E723C2" w:rsidP="00C9273B">
            <w:pPr>
              <w:rPr>
                <w:rFonts w:ascii="Arial" w:hAnsi="Arial" w:cs="Arial"/>
                <w:i/>
                <w:color w:val="000000"/>
              </w:rPr>
            </w:pPr>
            <w:r w:rsidRPr="000C7549">
              <w:rPr>
                <w:rFonts w:ascii="Arial" w:hAnsi="Arial" w:cs="Arial"/>
                <w:i/>
                <w:color w:val="000000"/>
              </w:rPr>
              <w:t>druriella</w:t>
            </w:r>
          </w:p>
        </w:tc>
        <w:tc>
          <w:tcPr>
            <w:tcW w:w="1933" w:type="dxa"/>
            <w:shd w:val="clear" w:color="auto" w:fill="auto"/>
            <w:vAlign w:val="bottom"/>
          </w:tcPr>
          <w:p w14:paraId="7A543668" w14:textId="77777777" w:rsidR="00E723C2" w:rsidRPr="000C7549" w:rsidRDefault="00E723C2" w:rsidP="00C9273B">
            <w:pPr>
              <w:rPr>
                <w:rFonts w:ascii="Arial" w:hAnsi="Arial" w:cs="Arial"/>
                <w:color w:val="000000"/>
              </w:rPr>
            </w:pPr>
            <w:r w:rsidRPr="000C7549">
              <w:rPr>
                <w:rFonts w:ascii="Arial" w:hAnsi="Arial" w:cs="Arial"/>
                <w:color w:val="000000"/>
              </w:rPr>
              <w:t>12</w:t>
            </w:r>
          </w:p>
        </w:tc>
      </w:tr>
      <w:tr w:rsidR="00E723C2" w:rsidRPr="000C7549" w14:paraId="734DA1F1" w14:textId="77777777" w:rsidTr="004D3280">
        <w:tc>
          <w:tcPr>
            <w:tcW w:w="2520" w:type="dxa"/>
            <w:shd w:val="clear" w:color="auto" w:fill="auto"/>
            <w:vAlign w:val="bottom"/>
          </w:tcPr>
          <w:p w14:paraId="366F881F" w14:textId="77777777" w:rsidR="00E723C2" w:rsidRPr="000C7549" w:rsidRDefault="00E723C2" w:rsidP="00C9273B">
            <w:pPr>
              <w:rPr>
                <w:rFonts w:ascii="Arial" w:hAnsi="Arial" w:cs="Arial"/>
              </w:rPr>
            </w:pPr>
          </w:p>
        </w:tc>
        <w:tc>
          <w:tcPr>
            <w:tcW w:w="2031" w:type="dxa"/>
            <w:vAlign w:val="bottom"/>
          </w:tcPr>
          <w:p w14:paraId="6FC5D08B" w14:textId="77777777" w:rsidR="00E723C2" w:rsidRPr="000C7549" w:rsidRDefault="00E723C2" w:rsidP="00C9273B">
            <w:pPr>
              <w:rPr>
                <w:rFonts w:ascii="Arial" w:hAnsi="Arial" w:cs="Arial"/>
                <w:i/>
                <w:color w:val="000000"/>
              </w:rPr>
            </w:pPr>
          </w:p>
        </w:tc>
        <w:tc>
          <w:tcPr>
            <w:tcW w:w="2017" w:type="dxa"/>
            <w:vAlign w:val="bottom"/>
          </w:tcPr>
          <w:p w14:paraId="12DE690C" w14:textId="77777777" w:rsidR="00E723C2" w:rsidRPr="000C7549" w:rsidRDefault="00E723C2" w:rsidP="00C9273B">
            <w:pPr>
              <w:rPr>
                <w:rFonts w:ascii="Arial" w:hAnsi="Arial" w:cs="Arial"/>
                <w:i/>
                <w:color w:val="000000"/>
              </w:rPr>
            </w:pPr>
            <w:r w:rsidRPr="000C7549">
              <w:rPr>
                <w:rFonts w:ascii="Arial" w:hAnsi="Arial" w:cs="Arial"/>
                <w:i/>
                <w:color w:val="000000"/>
              </w:rPr>
              <w:t>denticulatus</w:t>
            </w:r>
          </w:p>
        </w:tc>
        <w:tc>
          <w:tcPr>
            <w:tcW w:w="1933" w:type="dxa"/>
            <w:shd w:val="clear" w:color="auto" w:fill="auto"/>
            <w:vAlign w:val="bottom"/>
          </w:tcPr>
          <w:p w14:paraId="7970B145" w14:textId="77777777" w:rsidR="00E723C2" w:rsidRPr="000C7549" w:rsidRDefault="00E723C2" w:rsidP="00C9273B">
            <w:pPr>
              <w:rPr>
                <w:rFonts w:ascii="Arial" w:hAnsi="Arial" w:cs="Arial"/>
                <w:color w:val="000000"/>
              </w:rPr>
            </w:pPr>
            <w:r w:rsidRPr="000C7549">
              <w:rPr>
                <w:rFonts w:ascii="Arial" w:hAnsi="Arial" w:cs="Arial"/>
                <w:color w:val="000000"/>
              </w:rPr>
              <w:t>9</w:t>
            </w:r>
          </w:p>
        </w:tc>
      </w:tr>
      <w:tr w:rsidR="00E723C2" w:rsidRPr="000C7549" w14:paraId="0BAFEB11" w14:textId="77777777" w:rsidTr="004D3280">
        <w:tc>
          <w:tcPr>
            <w:tcW w:w="2520" w:type="dxa"/>
            <w:shd w:val="clear" w:color="auto" w:fill="auto"/>
            <w:vAlign w:val="bottom"/>
          </w:tcPr>
          <w:p w14:paraId="044AA0C0" w14:textId="77777777" w:rsidR="00E723C2" w:rsidRPr="000C7549" w:rsidRDefault="00E723C2" w:rsidP="00C9273B">
            <w:pPr>
              <w:rPr>
                <w:rFonts w:ascii="Arial" w:hAnsi="Arial" w:cs="Arial"/>
              </w:rPr>
            </w:pPr>
          </w:p>
        </w:tc>
        <w:tc>
          <w:tcPr>
            <w:tcW w:w="2031" w:type="dxa"/>
            <w:vAlign w:val="bottom"/>
          </w:tcPr>
          <w:p w14:paraId="3E05A584" w14:textId="77777777" w:rsidR="00E723C2" w:rsidRPr="000C7549" w:rsidRDefault="00E723C2" w:rsidP="00C9273B">
            <w:pPr>
              <w:rPr>
                <w:rFonts w:ascii="Arial" w:hAnsi="Arial" w:cs="Arial"/>
                <w:i/>
                <w:color w:val="000000"/>
              </w:rPr>
            </w:pPr>
          </w:p>
        </w:tc>
        <w:tc>
          <w:tcPr>
            <w:tcW w:w="2017" w:type="dxa"/>
            <w:vAlign w:val="bottom"/>
          </w:tcPr>
          <w:p w14:paraId="79AB8288" w14:textId="77777777" w:rsidR="00E723C2" w:rsidRPr="000C7549" w:rsidRDefault="00E723C2" w:rsidP="00C9273B">
            <w:pPr>
              <w:rPr>
                <w:rFonts w:ascii="Arial" w:hAnsi="Arial" w:cs="Arial"/>
                <w:i/>
                <w:color w:val="000000"/>
              </w:rPr>
            </w:pPr>
            <w:r w:rsidRPr="000C7549">
              <w:rPr>
                <w:rFonts w:ascii="Arial" w:hAnsi="Arial" w:cs="Arial"/>
                <w:i/>
                <w:color w:val="000000"/>
              </w:rPr>
              <w:t>boltoniae</w:t>
            </w:r>
          </w:p>
        </w:tc>
        <w:tc>
          <w:tcPr>
            <w:tcW w:w="1933" w:type="dxa"/>
            <w:shd w:val="clear" w:color="auto" w:fill="auto"/>
            <w:vAlign w:val="bottom"/>
          </w:tcPr>
          <w:p w14:paraId="43BB837B" w14:textId="77777777" w:rsidR="00E723C2" w:rsidRPr="000C7549" w:rsidRDefault="00E723C2" w:rsidP="00C9273B">
            <w:pPr>
              <w:rPr>
                <w:rFonts w:ascii="Arial" w:hAnsi="Arial" w:cs="Arial"/>
                <w:color w:val="000000"/>
              </w:rPr>
            </w:pPr>
            <w:r w:rsidRPr="000C7549">
              <w:rPr>
                <w:rFonts w:ascii="Arial" w:hAnsi="Arial" w:cs="Arial"/>
                <w:color w:val="000000"/>
              </w:rPr>
              <w:t>3</w:t>
            </w:r>
          </w:p>
        </w:tc>
      </w:tr>
      <w:tr w:rsidR="00E723C2" w:rsidRPr="000C7549" w14:paraId="4632F5B1" w14:textId="77777777" w:rsidTr="004D3280">
        <w:tc>
          <w:tcPr>
            <w:tcW w:w="2520" w:type="dxa"/>
            <w:shd w:val="clear" w:color="auto" w:fill="auto"/>
            <w:vAlign w:val="bottom"/>
          </w:tcPr>
          <w:p w14:paraId="76D9956F" w14:textId="77777777" w:rsidR="00E723C2" w:rsidRPr="000C7549" w:rsidRDefault="00E723C2" w:rsidP="00C9273B">
            <w:pPr>
              <w:rPr>
                <w:rFonts w:ascii="Arial" w:hAnsi="Arial" w:cs="Arial"/>
              </w:rPr>
            </w:pPr>
          </w:p>
        </w:tc>
        <w:tc>
          <w:tcPr>
            <w:tcW w:w="2031" w:type="dxa"/>
            <w:vAlign w:val="bottom"/>
          </w:tcPr>
          <w:p w14:paraId="1446AE40" w14:textId="77777777" w:rsidR="00E723C2" w:rsidRPr="000C7549" w:rsidRDefault="00E723C2" w:rsidP="00C9273B">
            <w:pPr>
              <w:rPr>
                <w:rFonts w:ascii="Arial" w:hAnsi="Arial" w:cs="Arial"/>
                <w:i/>
                <w:color w:val="000000"/>
              </w:rPr>
            </w:pPr>
          </w:p>
        </w:tc>
        <w:tc>
          <w:tcPr>
            <w:tcW w:w="2017" w:type="dxa"/>
            <w:vAlign w:val="bottom"/>
          </w:tcPr>
          <w:p w14:paraId="76978884" w14:textId="77777777" w:rsidR="00E723C2" w:rsidRPr="000C7549" w:rsidRDefault="00E723C2" w:rsidP="00C9273B">
            <w:pPr>
              <w:rPr>
                <w:rFonts w:ascii="Arial" w:hAnsi="Arial" w:cs="Arial"/>
                <w:i/>
                <w:color w:val="000000"/>
              </w:rPr>
            </w:pPr>
            <w:r w:rsidRPr="000C7549">
              <w:rPr>
                <w:rFonts w:ascii="Arial" w:hAnsi="Arial" w:cs="Arial"/>
                <w:i/>
                <w:color w:val="000000"/>
              </w:rPr>
              <w:t>sp A</w:t>
            </w:r>
          </w:p>
        </w:tc>
        <w:tc>
          <w:tcPr>
            <w:tcW w:w="1933" w:type="dxa"/>
            <w:shd w:val="clear" w:color="auto" w:fill="auto"/>
            <w:vAlign w:val="bottom"/>
          </w:tcPr>
          <w:p w14:paraId="2E5D23CB" w14:textId="77777777" w:rsidR="00E723C2" w:rsidRPr="000C7549" w:rsidRDefault="00E723C2" w:rsidP="00C9273B">
            <w:pPr>
              <w:rPr>
                <w:rFonts w:ascii="Arial" w:hAnsi="Arial" w:cs="Arial"/>
                <w:color w:val="000000"/>
              </w:rPr>
            </w:pPr>
            <w:r w:rsidRPr="000C7549">
              <w:rPr>
                <w:rFonts w:ascii="Arial" w:hAnsi="Arial" w:cs="Arial"/>
                <w:color w:val="000000"/>
              </w:rPr>
              <w:t>1</w:t>
            </w:r>
          </w:p>
        </w:tc>
      </w:tr>
      <w:tr w:rsidR="00E723C2" w:rsidRPr="000C7549" w14:paraId="0B41E87C" w14:textId="77777777" w:rsidTr="004D3280">
        <w:tc>
          <w:tcPr>
            <w:tcW w:w="2520" w:type="dxa"/>
            <w:shd w:val="clear" w:color="auto" w:fill="auto"/>
            <w:vAlign w:val="bottom"/>
          </w:tcPr>
          <w:p w14:paraId="2C086410" w14:textId="77777777" w:rsidR="00E723C2" w:rsidRPr="000C7549" w:rsidRDefault="00E723C2" w:rsidP="00C9273B">
            <w:pPr>
              <w:rPr>
                <w:rFonts w:ascii="Arial" w:hAnsi="Arial" w:cs="Arial"/>
              </w:rPr>
            </w:pPr>
          </w:p>
        </w:tc>
        <w:tc>
          <w:tcPr>
            <w:tcW w:w="2031" w:type="dxa"/>
            <w:vAlign w:val="bottom"/>
          </w:tcPr>
          <w:p w14:paraId="58F38EB4" w14:textId="77777777" w:rsidR="00E723C2" w:rsidRPr="000C7549" w:rsidRDefault="00E723C2" w:rsidP="00C9273B">
            <w:pPr>
              <w:rPr>
                <w:rFonts w:ascii="Arial" w:hAnsi="Arial" w:cs="Arial"/>
                <w:i/>
                <w:color w:val="000000"/>
              </w:rPr>
            </w:pPr>
          </w:p>
        </w:tc>
        <w:tc>
          <w:tcPr>
            <w:tcW w:w="2017" w:type="dxa"/>
            <w:vAlign w:val="bottom"/>
          </w:tcPr>
          <w:p w14:paraId="12B687E1" w14:textId="77777777" w:rsidR="00E723C2" w:rsidRPr="000C7549" w:rsidRDefault="00E723C2" w:rsidP="00C9273B">
            <w:pPr>
              <w:rPr>
                <w:rFonts w:ascii="Arial" w:hAnsi="Arial" w:cs="Arial"/>
                <w:i/>
                <w:color w:val="000000"/>
              </w:rPr>
            </w:pPr>
            <w:r w:rsidRPr="000C7549">
              <w:rPr>
                <w:rFonts w:ascii="Arial" w:hAnsi="Arial" w:cs="Arial"/>
                <w:i/>
                <w:color w:val="000000"/>
              </w:rPr>
              <w:t>near boltoniae</w:t>
            </w:r>
          </w:p>
        </w:tc>
        <w:tc>
          <w:tcPr>
            <w:tcW w:w="1933" w:type="dxa"/>
            <w:shd w:val="clear" w:color="auto" w:fill="auto"/>
            <w:vAlign w:val="bottom"/>
          </w:tcPr>
          <w:p w14:paraId="7F877935" w14:textId="77777777" w:rsidR="00E723C2" w:rsidRPr="000C7549" w:rsidRDefault="00E723C2" w:rsidP="00C9273B">
            <w:pPr>
              <w:rPr>
                <w:rFonts w:ascii="Arial" w:hAnsi="Arial" w:cs="Arial"/>
                <w:color w:val="000000"/>
              </w:rPr>
            </w:pPr>
            <w:r w:rsidRPr="000C7549">
              <w:rPr>
                <w:rFonts w:ascii="Arial" w:hAnsi="Arial" w:cs="Arial"/>
                <w:color w:val="000000"/>
              </w:rPr>
              <w:t>1</w:t>
            </w:r>
          </w:p>
        </w:tc>
      </w:tr>
      <w:tr w:rsidR="00E723C2" w:rsidRPr="000C7549" w14:paraId="13B9CC51" w14:textId="77777777" w:rsidTr="004D3280">
        <w:tc>
          <w:tcPr>
            <w:tcW w:w="2520" w:type="dxa"/>
            <w:shd w:val="clear" w:color="auto" w:fill="auto"/>
            <w:vAlign w:val="bottom"/>
          </w:tcPr>
          <w:p w14:paraId="7A8084D5" w14:textId="77777777" w:rsidR="00E723C2" w:rsidRPr="000C7549" w:rsidRDefault="00E723C2" w:rsidP="00C9273B">
            <w:pPr>
              <w:rPr>
                <w:rFonts w:ascii="Arial" w:hAnsi="Arial" w:cs="Arial"/>
              </w:rPr>
            </w:pPr>
          </w:p>
        </w:tc>
        <w:tc>
          <w:tcPr>
            <w:tcW w:w="2031" w:type="dxa"/>
            <w:vAlign w:val="bottom"/>
          </w:tcPr>
          <w:p w14:paraId="2F74CA87" w14:textId="77777777" w:rsidR="00E723C2" w:rsidRPr="000C7549" w:rsidRDefault="00E723C2" w:rsidP="00C9273B">
            <w:pPr>
              <w:rPr>
                <w:rFonts w:ascii="Arial" w:hAnsi="Arial" w:cs="Arial"/>
                <w:i/>
                <w:color w:val="000000"/>
              </w:rPr>
            </w:pPr>
          </w:p>
        </w:tc>
        <w:tc>
          <w:tcPr>
            <w:tcW w:w="2017" w:type="dxa"/>
            <w:vAlign w:val="bottom"/>
          </w:tcPr>
          <w:p w14:paraId="2E8A6D4B" w14:textId="77777777" w:rsidR="00E723C2" w:rsidRPr="000C7549" w:rsidRDefault="00E723C2" w:rsidP="00C9273B">
            <w:pPr>
              <w:rPr>
                <w:rFonts w:ascii="Arial" w:hAnsi="Arial" w:cs="Arial"/>
                <w:i/>
                <w:color w:val="000000"/>
              </w:rPr>
            </w:pPr>
            <w:r w:rsidRPr="000C7549">
              <w:rPr>
                <w:rFonts w:ascii="Arial" w:hAnsi="Arial" w:cs="Arial"/>
                <w:i/>
                <w:color w:val="000000"/>
              </w:rPr>
              <w:t>dentiventris</w:t>
            </w:r>
          </w:p>
        </w:tc>
        <w:tc>
          <w:tcPr>
            <w:tcW w:w="1933" w:type="dxa"/>
            <w:shd w:val="clear" w:color="auto" w:fill="auto"/>
            <w:vAlign w:val="bottom"/>
          </w:tcPr>
          <w:p w14:paraId="0F8F9E55" w14:textId="77777777" w:rsidR="00E723C2" w:rsidRPr="000C7549" w:rsidRDefault="00E723C2" w:rsidP="00C9273B">
            <w:pPr>
              <w:rPr>
                <w:rFonts w:ascii="Arial" w:hAnsi="Arial" w:cs="Arial"/>
                <w:color w:val="000000"/>
              </w:rPr>
            </w:pPr>
            <w:r w:rsidRPr="000C7549">
              <w:rPr>
                <w:rFonts w:ascii="Arial" w:hAnsi="Arial" w:cs="Arial"/>
                <w:color w:val="000000"/>
              </w:rPr>
              <w:t>1</w:t>
            </w:r>
          </w:p>
        </w:tc>
      </w:tr>
      <w:tr w:rsidR="00E723C2" w:rsidRPr="000C7549" w14:paraId="01254CCB" w14:textId="77777777" w:rsidTr="004D3280">
        <w:tc>
          <w:tcPr>
            <w:tcW w:w="2520" w:type="dxa"/>
            <w:shd w:val="clear" w:color="auto" w:fill="auto"/>
            <w:vAlign w:val="bottom"/>
          </w:tcPr>
          <w:p w14:paraId="59E0040F" w14:textId="77777777" w:rsidR="00E723C2" w:rsidRPr="000C7549" w:rsidRDefault="00E723C2" w:rsidP="00C9273B">
            <w:pPr>
              <w:rPr>
                <w:rFonts w:ascii="Arial" w:hAnsi="Arial" w:cs="Arial"/>
              </w:rPr>
            </w:pPr>
          </w:p>
        </w:tc>
        <w:tc>
          <w:tcPr>
            <w:tcW w:w="2031" w:type="dxa"/>
            <w:vAlign w:val="bottom"/>
          </w:tcPr>
          <w:p w14:paraId="02089BFA" w14:textId="77777777" w:rsidR="00E723C2" w:rsidRPr="000C7549" w:rsidRDefault="00E723C2" w:rsidP="00C9273B">
            <w:pPr>
              <w:rPr>
                <w:rFonts w:ascii="Arial" w:hAnsi="Arial" w:cs="Arial"/>
                <w:i/>
                <w:color w:val="000000"/>
              </w:rPr>
            </w:pPr>
          </w:p>
        </w:tc>
        <w:tc>
          <w:tcPr>
            <w:tcW w:w="2017" w:type="dxa"/>
            <w:vAlign w:val="bottom"/>
          </w:tcPr>
          <w:p w14:paraId="1F548836" w14:textId="77777777" w:rsidR="00E723C2" w:rsidRPr="000C7549" w:rsidRDefault="00E723C2" w:rsidP="00C9273B">
            <w:pPr>
              <w:rPr>
                <w:rFonts w:ascii="Arial" w:hAnsi="Arial" w:cs="Arial"/>
                <w:i/>
                <w:color w:val="000000"/>
              </w:rPr>
            </w:pPr>
            <w:r w:rsidRPr="000C7549">
              <w:rPr>
                <w:rFonts w:ascii="Arial" w:hAnsi="Arial" w:cs="Arial"/>
                <w:i/>
                <w:color w:val="000000"/>
              </w:rPr>
              <w:t>comptoides</w:t>
            </w:r>
          </w:p>
        </w:tc>
        <w:tc>
          <w:tcPr>
            <w:tcW w:w="1933" w:type="dxa"/>
            <w:shd w:val="clear" w:color="auto" w:fill="auto"/>
            <w:vAlign w:val="bottom"/>
          </w:tcPr>
          <w:p w14:paraId="08FA308D" w14:textId="77777777" w:rsidR="00E723C2" w:rsidRPr="000C7549" w:rsidRDefault="00E723C2" w:rsidP="00C9273B">
            <w:pPr>
              <w:rPr>
                <w:rFonts w:ascii="Arial" w:hAnsi="Arial" w:cs="Arial"/>
                <w:color w:val="000000"/>
              </w:rPr>
            </w:pPr>
            <w:r w:rsidRPr="000C7549">
              <w:rPr>
                <w:rFonts w:ascii="Arial" w:hAnsi="Arial" w:cs="Arial"/>
                <w:color w:val="000000"/>
              </w:rPr>
              <w:t>1</w:t>
            </w:r>
          </w:p>
        </w:tc>
      </w:tr>
      <w:tr w:rsidR="00E723C2" w:rsidRPr="000C7549" w14:paraId="1A56BADF" w14:textId="77777777" w:rsidTr="004D3280">
        <w:tc>
          <w:tcPr>
            <w:tcW w:w="2520" w:type="dxa"/>
            <w:shd w:val="clear" w:color="auto" w:fill="auto"/>
            <w:vAlign w:val="bottom"/>
          </w:tcPr>
          <w:p w14:paraId="0EFFCABC" w14:textId="77777777" w:rsidR="00E723C2" w:rsidRPr="000C7549" w:rsidRDefault="00E723C2" w:rsidP="00C9273B">
            <w:pPr>
              <w:rPr>
                <w:rFonts w:ascii="Arial" w:hAnsi="Arial" w:cs="Arial"/>
              </w:rPr>
            </w:pPr>
          </w:p>
        </w:tc>
        <w:tc>
          <w:tcPr>
            <w:tcW w:w="2031" w:type="dxa"/>
            <w:vAlign w:val="bottom"/>
          </w:tcPr>
          <w:p w14:paraId="0611509D" w14:textId="77777777" w:rsidR="00E723C2" w:rsidRPr="000C7549" w:rsidRDefault="00E723C2" w:rsidP="00C9273B">
            <w:pPr>
              <w:rPr>
                <w:rFonts w:ascii="Arial" w:hAnsi="Arial" w:cs="Arial"/>
                <w:i/>
                <w:color w:val="000000"/>
              </w:rPr>
            </w:pPr>
          </w:p>
        </w:tc>
        <w:tc>
          <w:tcPr>
            <w:tcW w:w="2017" w:type="dxa"/>
            <w:vAlign w:val="bottom"/>
          </w:tcPr>
          <w:p w14:paraId="614E4C7F" w14:textId="77777777" w:rsidR="00E723C2" w:rsidRPr="000C7549" w:rsidRDefault="00E723C2" w:rsidP="00C9273B">
            <w:pPr>
              <w:rPr>
                <w:rFonts w:ascii="Arial" w:hAnsi="Arial" w:cs="Arial"/>
                <w:i/>
                <w:color w:val="000000"/>
              </w:rPr>
            </w:pPr>
            <w:proofErr w:type="spellStart"/>
            <w:r w:rsidRPr="000C7549">
              <w:rPr>
                <w:rFonts w:ascii="Arial" w:hAnsi="Arial" w:cs="Arial"/>
                <w:i/>
                <w:color w:val="000000"/>
              </w:rPr>
              <w:t>bimaculatus</w:t>
            </w:r>
            <w:proofErr w:type="spellEnd"/>
            <w:r w:rsidRPr="000C7549">
              <w:rPr>
                <w:rFonts w:ascii="Arial" w:hAnsi="Arial" w:cs="Arial"/>
                <w:i/>
                <w:color w:val="000000"/>
              </w:rPr>
              <w:t>*</w:t>
            </w:r>
          </w:p>
        </w:tc>
        <w:tc>
          <w:tcPr>
            <w:tcW w:w="1933" w:type="dxa"/>
            <w:shd w:val="clear" w:color="auto" w:fill="auto"/>
            <w:vAlign w:val="bottom"/>
          </w:tcPr>
          <w:p w14:paraId="13D981D6" w14:textId="77777777" w:rsidR="00E723C2" w:rsidRPr="000C7549" w:rsidRDefault="00E723C2" w:rsidP="00C9273B">
            <w:pPr>
              <w:rPr>
                <w:rFonts w:ascii="Arial" w:hAnsi="Arial" w:cs="Arial"/>
                <w:color w:val="000000"/>
              </w:rPr>
            </w:pPr>
            <w:r w:rsidRPr="000C7549">
              <w:rPr>
                <w:rFonts w:ascii="Arial" w:hAnsi="Arial" w:cs="Arial"/>
                <w:color w:val="000000"/>
              </w:rPr>
              <w:t>1</w:t>
            </w:r>
          </w:p>
        </w:tc>
      </w:tr>
      <w:tr w:rsidR="00E723C2" w:rsidRPr="000C7549" w14:paraId="642D3F11" w14:textId="77777777" w:rsidTr="004D3280">
        <w:tc>
          <w:tcPr>
            <w:tcW w:w="2520" w:type="dxa"/>
            <w:shd w:val="clear" w:color="auto" w:fill="auto"/>
            <w:vAlign w:val="bottom"/>
          </w:tcPr>
          <w:p w14:paraId="0C4BC579" w14:textId="77777777" w:rsidR="00E723C2" w:rsidRPr="000C7549" w:rsidRDefault="00E723C2" w:rsidP="00C9273B">
            <w:pPr>
              <w:rPr>
                <w:rFonts w:ascii="Arial" w:hAnsi="Arial" w:cs="Arial"/>
              </w:rPr>
            </w:pPr>
          </w:p>
        </w:tc>
        <w:tc>
          <w:tcPr>
            <w:tcW w:w="2031" w:type="dxa"/>
            <w:vAlign w:val="bottom"/>
          </w:tcPr>
          <w:p w14:paraId="51E358DF" w14:textId="77777777" w:rsidR="00E723C2" w:rsidRPr="000C7549" w:rsidRDefault="00E723C2" w:rsidP="00C9273B">
            <w:pPr>
              <w:rPr>
                <w:rFonts w:ascii="Arial" w:hAnsi="Arial" w:cs="Arial"/>
                <w:i/>
                <w:color w:val="000000"/>
              </w:rPr>
            </w:pPr>
            <w:r w:rsidRPr="000C7549">
              <w:rPr>
                <w:rFonts w:ascii="Arial" w:hAnsi="Arial" w:cs="Arial"/>
                <w:i/>
                <w:color w:val="000000"/>
              </w:rPr>
              <w:t>Melitoma*</w:t>
            </w:r>
          </w:p>
        </w:tc>
        <w:tc>
          <w:tcPr>
            <w:tcW w:w="2017" w:type="dxa"/>
            <w:vAlign w:val="bottom"/>
          </w:tcPr>
          <w:p w14:paraId="19D53968" w14:textId="77777777" w:rsidR="00E723C2" w:rsidRPr="000C7549" w:rsidRDefault="00E723C2" w:rsidP="00C9273B">
            <w:pPr>
              <w:rPr>
                <w:rFonts w:ascii="Arial" w:hAnsi="Arial" w:cs="Arial"/>
                <w:i/>
                <w:color w:val="000000"/>
              </w:rPr>
            </w:pPr>
            <w:r w:rsidRPr="000C7549">
              <w:rPr>
                <w:rFonts w:ascii="Arial" w:hAnsi="Arial" w:cs="Arial"/>
                <w:i/>
                <w:color w:val="000000"/>
              </w:rPr>
              <w:t>taurea*</w:t>
            </w:r>
          </w:p>
        </w:tc>
        <w:tc>
          <w:tcPr>
            <w:tcW w:w="1933" w:type="dxa"/>
            <w:shd w:val="clear" w:color="auto" w:fill="auto"/>
            <w:vAlign w:val="bottom"/>
          </w:tcPr>
          <w:p w14:paraId="24080ED1" w14:textId="77777777" w:rsidR="00E723C2" w:rsidRPr="000C7549" w:rsidRDefault="00E723C2" w:rsidP="00C9273B">
            <w:pPr>
              <w:rPr>
                <w:rFonts w:ascii="Arial" w:hAnsi="Arial" w:cs="Arial"/>
                <w:color w:val="000000"/>
              </w:rPr>
            </w:pPr>
            <w:r w:rsidRPr="000C7549">
              <w:rPr>
                <w:rFonts w:ascii="Arial" w:hAnsi="Arial" w:cs="Arial"/>
                <w:color w:val="000000"/>
              </w:rPr>
              <w:t>1</w:t>
            </w:r>
          </w:p>
        </w:tc>
      </w:tr>
      <w:tr w:rsidR="00E723C2" w:rsidRPr="000C7549" w14:paraId="20645ED4" w14:textId="77777777" w:rsidTr="004D3280">
        <w:tc>
          <w:tcPr>
            <w:tcW w:w="2520" w:type="dxa"/>
            <w:shd w:val="clear" w:color="auto" w:fill="auto"/>
            <w:vAlign w:val="bottom"/>
          </w:tcPr>
          <w:p w14:paraId="36D95288" w14:textId="77777777" w:rsidR="00E723C2" w:rsidRPr="000C7549" w:rsidRDefault="00E723C2" w:rsidP="00C9273B">
            <w:pPr>
              <w:rPr>
                <w:rFonts w:ascii="Arial" w:hAnsi="Arial" w:cs="Arial"/>
              </w:rPr>
            </w:pPr>
          </w:p>
        </w:tc>
        <w:tc>
          <w:tcPr>
            <w:tcW w:w="2031" w:type="dxa"/>
            <w:vAlign w:val="bottom"/>
          </w:tcPr>
          <w:p w14:paraId="4A3FFFB3" w14:textId="77777777" w:rsidR="00E723C2" w:rsidRPr="000C7549" w:rsidRDefault="00E723C2" w:rsidP="00C9273B">
            <w:pPr>
              <w:rPr>
                <w:rFonts w:ascii="Arial" w:hAnsi="Arial" w:cs="Arial"/>
                <w:i/>
                <w:color w:val="000000"/>
              </w:rPr>
            </w:pPr>
            <w:r w:rsidRPr="000C7549">
              <w:rPr>
                <w:rFonts w:ascii="Arial" w:hAnsi="Arial" w:cs="Arial"/>
                <w:i/>
                <w:color w:val="000000"/>
              </w:rPr>
              <w:t>Svastra*</w:t>
            </w:r>
          </w:p>
        </w:tc>
        <w:tc>
          <w:tcPr>
            <w:tcW w:w="2017" w:type="dxa"/>
            <w:vAlign w:val="bottom"/>
          </w:tcPr>
          <w:p w14:paraId="14415D22" w14:textId="77777777" w:rsidR="00E723C2" w:rsidRPr="000C7549" w:rsidRDefault="00E723C2" w:rsidP="00C9273B">
            <w:pPr>
              <w:rPr>
                <w:rFonts w:ascii="Arial" w:hAnsi="Arial" w:cs="Arial"/>
                <w:i/>
                <w:color w:val="000000"/>
              </w:rPr>
            </w:pPr>
            <w:r w:rsidRPr="000C7549">
              <w:rPr>
                <w:rFonts w:ascii="Arial" w:hAnsi="Arial" w:cs="Arial"/>
                <w:i/>
                <w:color w:val="000000"/>
              </w:rPr>
              <w:t>obliqua*</w:t>
            </w:r>
          </w:p>
        </w:tc>
        <w:tc>
          <w:tcPr>
            <w:tcW w:w="1933" w:type="dxa"/>
            <w:shd w:val="clear" w:color="auto" w:fill="auto"/>
            <w:vAlign w:val="bottom"/>
          </w:tcPr>
          <w:p w14:paraId="2A9E926E" w14:textId="77777777" w:rsidR="00E723C2" w:rsidRPr="000C7549" w:rsidRDefault="00E723C2" w:rsidP="00C9273B">
            <w:pPr>
              <w:rPr>
                <w:rFonts w:ascii="Arial" w:hAnsi="Arial" w:cs="Arial"/>
                <w:color w:val="000000"/>
              </w:rPr>
            </w:pPr>
            <w:r w:rsidRPr="000C7549">
              <w:rPr>
                <w:rFonts w:ascii="Arial" w:hAnsi="Arial" w:cs="Arial"/>
                <w:color w:val="000000"/>
              </w:rPr>
              <w:t>6</w:t>
            </w:r>
          </w:p>
        </w:tc>
      </w:tr>
      <w:tr w:rsidR="00E723C2" w:rsidRPr="000C7549" w14:paraId="0DC7CC02" w14:textId="77777777" w:rsidTr="004D3280">
        <w:tc>
          <w:tcPr>
            <w:tcW w:w="2520" w:type="dxa"/>
            <w:shd w:val="clear" w:color="auto" w:fill="auto"/>
            <w:vAlign w:val="bottom"/>
          </w:tcPr>
          <w:p w14:paraId="4596AED3" w14:textId="77777777" w:rsidR="00E723C2" w:rsidRPr="000C7549" w:rsidRDefault="00E723C2" w:rsidP="00C9273B">
            <w:pPr>
              <w:rPr>
                <w:rFonts w:ascii="Arial" w:hAnsi="Arial" w:cs="Arial"/>
              </w:rPr>
            </w:pPr>
          </w:p>
        </w:tc>
        <w:tc>
          <w:tcPr>
            <w:tcW w:w="2031" w:type="dxa"/>
            <w:vAlign w:val="bottom"/>
          </w:tcPr>
          <w:p w14:paraId="40BDBD41" w14:textId="77777777" w:rsidR="00E723C2" w:rsidRPr="000C7549" w:rsidRDefault="00E723C2" w:rsidP="00C9273B">
            <w:pPr>
              <w:rPr>
                <w:rFonts w:ascii="Arial" w:hAnsi="Arial" w:cs="Arial"/>
                <w:i/>
                <w:color w:val="000000"/>
              </w:rPr>
            </w:pPr>
            <w:r w:rsidRPr="000C7549">
              <w:rPr>
                <w:rFonts w:ascii="Arial" w:hAnsi="Arial" w:cs="Arial"/>
                <w:i/>
                <w:color w:val="000000"/>
              </w:rPr>
              <w:t>Triepeolus</w:t>
            </w:r>
          </w:p>
        </w:tc>
        <w:tc>
          <w:tcPr>
            <w:tcW w:w="2017" w:type="dxa"/>
            <w:vAlign w:val="bottom"/>
          </w:tcPr>
          <w:p w14:paraId="4A122FF8" w14:textId="77777777" w:rsidR="00E723C2" w:rsidRPr="000C7549" w:rsidRDefault="00E723C2" w:rsidP="00C9273B">
            <w:pPr>
              <w:rPr>
                <w:rFonts w:ascii="Arial" w:hAnsi="Arial" w:cs="Arial"/>
                <w:i/>
                <w:color w:val="000000"/>
              </w:rPr>
            </w:pPr>
            <w:r w:rsidRPr="000C7549">
              <w:rPr>
                <w:rFonts w:ascii="Arial" w:hAnsi="Arial" w:cs="Arial"/>
                <w:i/>
                <w:color w:val="000000"/>
              </w:rPr>
              <w:t>remigatus</w:t>
            </w:r>
          </w:p>
        </w:tc>
        <w:tc>
          <w:tcPr>
            <w:tcW w:w="1933" w:type="dxa"/>
            <w:shd w:val="clear" w:color="auto" w:fill="auto"/>
            <w:vAlign w:val="bottom"/>
          </w:tcPr>
          <w:p w14:paraId="36C71044" w14:textId="77777777" w:rsidR="00E723C2" w:rsidRPr="000C7549" w:rsidRDefault="00E723C2" w:rsidP="00C9273B">
            <w:pPr>
              <w:rPr>
                <w:rFonts w:ascii="Arial" w:hAnsi="Arial" w:cs="Arial"/>
                <w:color w:val="000000"/>
              </w:rPr>
            </w:pPr>
            <w:r w:rsidRPr="000C7549">
              <w:rPr>
                <w:rFonts w:ascii="Arial" w:hAnsi="Arial" w:cs="Arial"/>
                <w:color w:val="000000"/>
              </w:rPr>
              <w:t>2</w:t>
            </w:r>
          </w:p>
        </w:tc>
      </w:tr>
      <w:tr w:rsidR="00E723C2" w:rsidRPr="000C7549" w14:paraId="5BDAA7D6" w14:textId="77777777" w:rsidTr="004D3280">
        <w:tc>
          <w:tcPr>
            <w:tcW w:w="2520" w:type="dxa"/>
            <w:shd w:val="clear" w:color="auto" w:fill="auto"/>
            <w:vAlign w:val="bottom"/>
          </w:tcPr>
          <w:p w14:paraId="44EA3142" w14:textId="77777777" w:rsidR="00E723C2" w:rsidRPr="000C7549" w:rsidRDefault="00E723C2" w:rsidP="00C9273B">
            <w:pPr>
              <w:rPr>
                <w:rFonts w:ascii="Arial" w:hAnsi="Arial" w:cs="Arial"/>
              </w:rPr>
            </w:pPr>
          </w:p>
        </w:tc>
        <w:tc>
          <w:tcPr>
            <w:tcW w:w="2031" w:type="dxa"/>
            <w:vAlign w:val="bottom"/>
          </w:tcPr>
          <w:p w14:paraId="67708438" w14:textId="77777777" w:rsidR="00E723C2" w:rsidRPr="000C7549" w:rsidRDefault="00E723C2" w:rsidP="00C9273B">
            <w:pPr>
              <w:rPr>
                <w:rFonts w:ascii="Arial" w:hAnsi="Arial" w:cs="Arial"/>
                <w:i/>
                <w:color w:val="000000"/>
              </w:rPr>
            </w:pPr>
            <w:r w:rsidRPr="000C7549">
              <w:rPr>
                <w:rFonts w:ascii="Arial" w:hAnsi="Arial" w:cs="Arial"/>
                <w:i/>
                <w:color w:val="000000"/>
              </w:rPr>
              <w:t>Xylocopa</w:t>
            </w:r>
          </w:p>
        </w:tc>
        <w:tc>
          <w:tcPr>
            <w:tcW w:w="2017" w:type="dxa"/>
            <w:vAlign w:val="bottom"/>
          </w:tcPr>
          <w:p w14:paraId="628D50FA" w14:textId="77777777" w:rsidR="00E723C2" w:rsidRPr="000C7549" w:rsidRDefault="00E723C2" w:rsidP="00C9273B">
            <w:pPr>
              <w:rPr>
                <w:rFonts w:ascii="Arial" w:hAnsi="Arial" w:cs="Arial"/>
                <w:i/>
                <w:color w:val="000000"/>
              </w:rPr>
            </w:pPr>
            <w:r w:rsidRPr="000C7549">
              <w:rPr>
                <w:rFonts w:ascii="Arial" w:hAnsi="Arial" w:cs="Arial"/>
                <w:i/>
                <w:color w:val="000000"/>
              </w:rPr>
              <w:t>virginica</w:t>
            </w:r>
          </w:p>
        </w:tc>
        <w:tc>
          <w:tcPr>
            <w:tcW w:w="1933" w:type="dxa"/>
            <w:shd w:val="clear" w:color="auto" w:fill="auto"/>
            <w:vAlign w:val="bottom"/>
          </w:tcPr>
          <w:p w14:paraId="62687197" w14:textId="77777777" w:rsidR="00E723C2" w:rsidRPr="000C7549" w:rsidRDefault="00E723C2" w:rsidP="00C9273B">
            <w:pPr>
              <w:rPr>
                <w:rFonts w:ascii="Arial" w:hAnsi="Arial" w:cs="Arial"/>
                <w:color w:val="000000"/>
              </w:rPr>
            </w:pPr>
            <w:r w:rsidRPr="000C7549">
              <w:rPr>
                <w:rFonts w:ascii="Arial" w:hAnsi="Arial" w:cs="Arial"/>
                <w:color w:val="000000"/>
              </w:rPr>
              <w:t>33</w:t>
            </w:r>
          </w:p>
        </w:tc>
      </w:tr>
      <w:tr w:rsidR="00E723C2" w:rsidRPr="000C7549" w14:paraId="7F393F6F" w14:textId="77777777" w:rsidTr="004D3280">
        <w:tc>
          <w:tcPr>
            <w:tcW w:w="2520" w:type="dxa"/>
            <w:shd w:val="clear" w:color="auto" w:fill="auto"/>
            <w:vAlign w:val="bottom"/>
          </w:tcPr>
          <w:p w14:paraId="6E65B1DA" w14:textId="77777777" w:rsidR="00E723C2" w:rsidRPr="000C7549" w:rsidRDefault="00E723C2" w:rsidP="00C9273B">
            <w:pPr>
              <w:rPr>
                <w:rFonts w:ascii="Arial" w:hAnsi="Arial" w:cs="Arial"/>
              </w:rPr>
            </w:pPr>
            <w:r w:rsidRPr="000C7549">
              <w:rPr>
                <w:rFonts w:ascii="Arial" w:hAnsi="Arial" w:cs="Arial"/>
                <w:color w:val="000000"/>
              </w:rPr>
              <w:t>Colletidae, n=11</w:t>
            </w:r>
          </w:p>
        </w:tc>
        <w:tc>
          <w:tcPr>
            <w:tcW w:w="2031" w:type="dxa"/>
            <w:vAlign w:val="bottom"/>
          </w:tcPr>
          <w:p w14:paraId="4E64F4BA" w14:textId="77777777" w:rsidR="00E723C2" w:rsidRPr="000C7549" w:rsidRDefault="00E723C2" w:rsidP="00C9273B">
            <w:pPr>
              <w:rPr>
                <w:rFonts w:ascii="Arial" w:hAnsi="Arial" w:cs="Arial"/>
                <w:i/>
                <w:color w:val="000000"/>
              </w:rPr>
            </w:pPr>
            <w:r w:rsidRPr="000C7549">
              <w:rPr>
                <w:rFonts w:ascii="Arial" w:hAnsi="Arial" w:cs="Arial"/>
                <w:i/>
                <w:color w:val="000000"/>
              </w:rPr>
              <w:t>Hylaeus</w:t>
            </w:r>
          </w:p>
        </w:tc>
        <w:tc>
          <w:tcPr>
            <w:tcW w:w="2017" w:type="dxa"/>
            <w:vAlign w:val="bottom"/>
          </w:tcPr>
          <w:p w14:paraId="120D5937" w14:textId="77777777" w:rsidR="00E723C2" w:rsidRPr="000C7549" w:rsidRDefault="00E723C2" w:rsidP="00C9273B">
            <w:pPr>
              <w:rPr>
                <w:rFonts w:ascii="Arial" w:hAnsi="Arial" w:cs="Arial"/>
                <w:i/>
                <w:color w:val="000000"/>
              </w:rPr>
            </w:pPr>
            <w:r w:rsidRPr="000C7549">
              <w:rPr>
                <w:rFonts w:ascii="Arial" w:hAnsi="Arial" w:cs="Arial"/>
                <w:i/>
                <w:color w:val="000000"/>
              </w:rPr>
              <w:t>affinis/modestus</w:t>
            </w:r>
          </w:p>
        </w:tc>
        <w:tc>
          <w:tcPr>
            <w:tcW w:w="1933" w:type="dxa"/>
            <w:shd w:val="clear" w:color="auto" w:fill="auto"/>
            <w:vAlign w:val="bottom"/>
          </w:tcPr>
          <w:p w14:paraId="25245E10" w14:textId="77777777" w:rsidR="00E723C2" w:rsidRPr="000C7549" w:rsidRDefault="00E723C2" w:rsidP="00C9273B">
            <w:pPr>
              <w:rPr>
                <w:rFonts w:ascii="Arial" w:hAnsi="Arial" w:cs="Arial"/>
                <w:color w:val="000000"/>
              </w:rPr>
            </w:pPr>
            <w:r w:rsidRPr="000C7549">
              <w:rPr>
                <w:rFonts w:ascii="Arial" w:hAnsi="Arial" w:cs="Arial"/>
                <w:color w:val="000000"/>
              </w:rPr>
              <w:t>7</w:t>
            </w:r>
          </w:p>
        </w:tc>
      </w:tr>
      <w:tr w:rsidR="00E723C2" w:rsidRPr="000C7549" w14:paraId="0EEE6A54" w14:textId="77777777" w:rsidTr="004D3280">
        <w:tc>
          <w:tcPr>
            <w:tcW w:w="2520" w:type="dxa"/>
            <w:shd w:val="clear" w:color="auto" w:fill="auto"/>
            <w:vAlign w:val="bottom"/>
          </w:tcPr>
          <w:p w14:paraId="52438B4C" w14:textId="77777777" w:rsidR="00E723C2" w:rsidRPr="000C7549" w:rsidRDefault="00E723C2" w:rsidP="00C9273B">
            <w:pPr>
              <w:rPr>
                <w:rFonts w:ascii="Arial" w:hAnsi="Arial" w:cs="Arial"/>
              </w:rPr>
            </w:pPr>
          </w:p>
        </w:tc>
        <w:tc>
          <w:tcPr>
            <w:tcW w:w="2031" w:type="dxa"/>
            <w:vAlign w:val="bottom"/>
          </w:tcPr>
          <w:p w14:paraId="0443B3C3" w14:textId="77777777" w:rsidR="00E723C2" w:rsidRPr="000C7549" w:rsidRDefault="00E723C2" w:rsidP="00C9273B">
            <w:pPr>
              <w:rPr>
                <w:rFonts w:ascii="Arial" w:hAnsi="Arial" w:cs="Arial"/>
                <w:i/>
                <w:color w:val="000000"/>
              </w:rPr>
            </w:pPr>
          </w:p>
        </w:tc>
        <w:tc>
          <w:tcPr>
            <w:tcW w:w="2017" w:type="dxa"/>
            <w:vAlign w:val="bottom"/>
          </w:tcPr>
          <w:p w14:paraId="3453E874" w14:textId="77777777" w:rsidR="00E723C2" w:rsidRPr="000C7549" w:rsidRDefault="00E723C2" w:rsidP="00C9273B">
            <w:pPr>
              <w:rPr>
                <w:rFonts w:ascii="Arial" w:hAnsi="Arial" w:cs="Arial"/>
                <w:i/>
                <w:color w:val="000000"/>
              </w:rPr>
            </w:pPr>
            <w:r w:rsidRPr="000C7549">
              <w:rPr>
                <w:rFonts w:ascii="Arial" w:hAnsi="Arial" w:cs="Arial"/>
                <w:i/>
                <w:color w:val="000000"/>
              </w:rPr>
              <w:t>modestus*</w:t>
            </w:r>
          </w:p>
        </w:tc>
        <w:tc>
          <w:tcPr>
            <w:tcW w:w="1933" w:type="dxa"/>
            <w:shd w:val="clear" w:color="auto" w:fill="auto"/>
            <w:vAlign w:val="bottom"/>
          </w:tcPr>
          <w:p w14:paraId="12096EDA" w14:textId="77777777" w:rsidR="00E723C2" w:rsidRPr="000C7549" w:rsidRDefault="00E723C2" w:rsidP="00C9273B">
            <w:pPr>
              <w:rPr>
                <w:rFonts w:ascii="Arial" w:hAnsi="Arial" w:cs="Arial"/>
                <w:color w:val="000000"/>
              </w:rPr>
            </w:pPr>
            <w:r w:rsidRPr="000C7549">
              <w:rPr>
                <w:rFonts w:ascii="Arial" w:hAnsi="Arial" w:cs="Arial"/>
                <w:color w:val="000000"/>
              </w:rPr>
              <w:t>3</w:t>
            </w:r>
          </w:p>
        </w:tc>
      </w:tr>
      <w:tr w:rsidR="00E723C2" w:rsidRPr="000C7549" w14:paraId="071503FC" w14:textId="77777777" w:rsidTr="004D3280">
        <w:tc>
          <w:tcPr>
            <w:tcW w:w="2520" w:type="dxa"/>
            <w:shd w:val="clear" w:color="auto" w:fill="auto"/>
            <w:vAlign w:val="bottom"/>
          </w:tcPr>
          <w:p w14:paraId="6B71D6C7" w14:textId="77777777" w:rsidR="00E723C2" w:rsidRPr="000C7549" w:rsidRDefault="00E723C2" w:rsidP="00C9273B">
            <w:pPr>
              <w:rPr>
                <w:rFonts w:ascii="Arial" w:hAnsi="Arial" w:cs="Arial"/>
              </w:rPr>
            </w:pPr>
          </w:p>
        </w:tc>
        <w:tc>
          <w:tcPr>
            <w:tcW w:w="2031" w:type="dxa"/>
            <w:vAlign w:val="bottom"/>
          </w:tcPr>
          <w:p w14:paraId="09498E53" w14:textId="77777777" w:rsidR="00E723C2" w:rsidRPr="000C7549" w:rsidRDefault="00E723C2" w:rsidP="00C9273B">
            <w:pPr>
              <w:rPr>
                <w:rFonts w:ascii="Arial" w:hAnsi="Arial" w:cs="Arial"/>
                <w:i/>
                <w:color w:val="000000"/>
              </w:rPr>
            </w:pPr>
          </w:p>
        </w:tc>
        <w:tc>
          <w:tcPr>
            <w:tcW w:w="2017" w:type="dxa"/>
            <w:vAlign w:val="bottom"/>
          </w:tcPr>
          <w:p w14:paraId="65E5CDB5" w14:textId="77777777" w:rsidR="00E723C2" w:rsidRPr="000C7549" w:rsidRDefault="00E723C2" w:rsidP="00C9273B">
            <w:pPr>
              <w:rPr>
                <w:rFonts w:ascii="Arial" w:hAnsi="Arial" w:cs="Arial"/>
                <w:i/>
                <w:color w:val="000000"/>
              </w:rPr>
            </w:pPr>
            <w:r w:rsidRPr="000C7549">
              <w:rPr>
                <w:rFonts w:ascii="Arial" w:hAnsi="Arial" w:cs="Arial"/>
                <w:i/>
                <w:color w:val="000000"/>
              </w:rPr>
              <w:t>mesillae*</w:t>
            </w:r>
          </w:p>
        </w:tc>
        <w:tc>
          <w:tcPr>
            <w:tcW w:w="1933" w:type="dxa"/>
            <w:shd w:val="clear" w:color="auto" w:fill="auto"/>
            <w:vAlign w:val="bottom"/>
          </w:tcPr>
          <w:p w14:paraId="3C118480" w14:textId="77777777" w:rsidR="00E723C2" w:rsidRPr="000C7549" w:rsidRDefault="00E723C2" w:rsidP="00C9273B">
            <w:pPr>
              <w:rPr>
                <w:rFonts w:ascii="Arial" w:hAnsi="Arial" w:cs="Arial"/>
                <w:color w:val="000000"/>
              </w:rPr>
            </w:pPr>
            <w:r w:rsidRPr="000C7549">
              <w:rPr>
                <w:rFonts w:ascii="Arial" w:hAnsi="Arial" w:cs="Arial"/>
                <w:color w:val="000000"/>
              </w:rPr>
              <w:t>1</w:t>
            </w:r>
          </w:p>
        </w:tc>
      </w:tr>
      <w:tr w:rsidR="00E723C2" w:rsidRPr="000C7549" w14:paraId="47FA1E01" w14:textId="77777777" w:rsidTr="004D3280">
        <w:tc>
          <w:tcPr>
            <w:tcW w:w="2520" w:type="dxa"/>
            <w:shd w:val="clear" w:color="auto" w:fill="auto"/>
            <w:vAlign w:val="bottom"/>
          </w:tcPr>
          <w:p w14:paraId="4C469A16" w14:textId="77777777" w:rsidR="00E723C2" w:rsidRPr="000C7549" w:rsidRDefault="00E723C2" w:rsidP="00C9273B">
            <w:pPr>
              <w:rPr>
                <w:rFonts w:ascii="Arial" w:hAnsi="Arial" w:cs="Arial"/>
              </w:rPr>
            </w:pPr>
            <w:r w:rsidRPr="000C7549">
              <w:rPr>
                <w:rFonts w:ascii="Arial" w:hAnsi="Arial" w:cs="Arial"/>
                <w:color w:val="000000"/>
              </w:rPr>
              <w:t>Megachilidae, n=115</w:t>
            </w:r>
          </w:p>
        </w:tc>
        <w:tc>
          <w:tcPr>
            <w:tcW w:w="2031" w:type="dxa"/>
            <w:vAlign w:val="bottom"/>
          </w:tcPr>
          <w:p w14:paraId="4B921908" w14:textId="77777777" w:rsidR="00E723C2" w:rsidRPr="000C7549" w:rsidRDefault="00E723C2" w:rsidP="00C9273B">
            <w:pPr>
              <w:rPr>
                <w:rFonts w:ascii="Arial" w:hAnsi="Arial" w:cs="Arial"/>
                <w:i/>
                <w:color w:val="000000"/>
              </w:rPr>
            </w:pPr>
            <w:r w:rsidRPr="000C7549">
              <w:rPr>
                <w:rFonts w:ascii="Arial" w:hAnsi="Arial" w:cs="Arial"/>
                <w:i/>
                <w:color w:val="000000"/>
              </w:rPr>
              <w:t>Anthidium*</w:t>
            </w:r>
          </w:p>
        </w:tc>
        <w:tc>
          <w:tcPr>
            <w:tcW w:w="2017" w:type="dxa"/>
            <w:vAlign w:val="bottom"/>
          </w:tcPr>
          <w:p w14:paraId="3ED715FB" w14:textId="77777777" w:rsidR="00E723C2" w:rsidRPr="000C7549" w:rsidRDefault="00E723C2" w:rsidP="00C9273B">
            <w:pPr>
              <w:rPr>
                <w:rFonts w:ascii="Arial" w:hAnsi="Arial" w:cs="Arial"/>
                <w:i/>
                <w:color w:val="000000"/>
              </w:rPr>
            </w:pPr>
            <w:r w:rsidRPr="000C7549">
              <w:rPr>
                <w:rFonts w:ascii="Arial" w:hAnsi="Arial" w:cs="Arial"/>
                <w:i/>
                <w:color w:val="000000"/>
              </w:rPr>
              <w:t>manicatum*</w:t>
            </w:r>
          </w:p>
        </w:tc>
        <w:tc>
          <w:tcPr>
            <w:tcW w:w="1933" w:type="dxa"/>
            <w:shd w:val="clear" w:color="auto" w:fill="auto"/>
            <w:vAlign w:val="bottom"/>
          </w:tcPr>
          <w:p w14:paraId="5C73225C" w14:textId="77777777" w:rsidR="00E723C2" w:rsidRPr="000C7549" w:rsidRDefault="00E723C2" w:rsidP="00C9273B">
            <w:pPr>
              <w:rPr>
                <w:rFonts w:ascii="Arial" w:hAnsi="Arial" w:cs="Arial"/>
                <w:color w:val="000000"/>
              </w:rPr>
            </w:pPr>
            <w:r w:rsidRPr="000C7549">
              <w:rPr>
                <w:rFonts w:ascii="Arial" w:hAnsi="Arial" w:cs="Arial"/>
                <w:color w:val="000000"/>
              </w:rPr>
              <w:t>4</w:t>
            </w:r>
          </w:p>
        </w:tc>
      </w:tr>
      <w:tr w:rsidR="00454AC6" w:rsidRPr="000C7549" w14:paraId="4B1C9331" w14:textId="77777777" w:rsidTr="004D3280">
        <w:tc>
          <w:tcPr>
            <w:tcW w:w="2520" w:type="dxa"/>
            <w:shd w:val="clear" w:color="auto" w:fill="auto"/>
            <w:vAlign w:val="bottom"/>
          </w:tcPr>
          <w:p w14:paraId="2320F683" w14:textId="77777777" w:rsidR="00454AC6" w:rsidRPr="000C7549" w:rsidRDefault="00454AC6" w:rsidP="00454AC6">
            <w:pPr>
              <w:rPr>
                <w:rFonts w:ascii="Arial" w:hAnsi="Arial" w:cs="Arial"/>
                <w:color w:val="000000"/>
              </w:rPr>
            </w:pPr>
          </w:p>
        </w:tc>
        <w:tc>
          <w:tcPr>
            <w:tcW w:w="2031" w:type="dxa"/>
            <w:vAlign w:val="bottom"/>
          </w:tcPr>
          <w:p w14:paraId="429DC4E6" w14:textId="77777777" w:rsidR="00454AC6" w:rsidRPr="000C7549" w:rsidRDefault="00454AC6" w:rsidP="00454AC6">
            <w:pPr>
              <w:rPr>
                <w:rFonts w:ascii="Arial" w:hAnsi="Arial" w:cs="Arial"/>
                <w:i/>
                <w:color w:val="000000"/>
              </w:rPr>
            </w:pPr>
          </w:p>
        </w:tc>
        <w:tc>
          <w:tcPr>
            <w:tcW w:w="2017" w:type="dxa"/>
            <w:vAlign w:val="bottom"/>
          </w:tcPr>
          <w:p w14:paraId="39978612" w14:textId="353160E7" w:rsidR="00454AC6" w:rsidRPr="000C7549" w:rsidRDefault="00454AC6" w:rsidP="00454AC6">
            <w:pPr>
              <w:rPr>
                <w:rFonts w:ascii="Arial" w:hAnsi="Arial" w:cs="Arial"/>
                <w:i/>
                <w:color w:val="000000"/>
              </w:rPr>
            </w:pPr>
            <w:proofErr w:type="spellStart"/>
            <w:r w:rsidRPr="000C7549">
              <w:rPr>
                <w:rFonts w:ascii="Arial" w:hAnsi="Arial" w:cs="Arial"/>
                <w:i/>
                <w:color w:val="000000"/>
              </w:rPr>
              <w:t>oblongatum</w:t>
            </w:r>
            <w:proofErr w:type="spellEnd"/>
          </w:p>
        </w:tc>
        <w:tc>
          <w:tcPr>
            <w:tcW w:w="1933" w:type="dxa"/>
            <w:shd w:val="clear" w:color="auto" w:fill="auto"/>
            <w:vAlign w:val="bottom"/>
          </w:tcPr>
          <w:p w14:paraId="04FF2434" w14:textId="425F5DD4" w:rsidR="00454AC6" w:rsidRPr="000C7549" w:rsidRDefault="00454AC6" w:rsidP="00454AC6">
            <w:pPr>
              <w:rPr>
                <w:rFonts w:ascii="Arial" w:hAnsi="Arial" w:cs="Arial"/>
                <w:color w:val="000000"/>
              </w:rPr>
            </w:pPr>
            <w:r w:rsidRPr="000C7549">
              <w:rPr>
                <w:rFonts w:ascii="Arial" w:hAnsi="Arial" w:cs="Arial"/>
                <w:color w:val="000000"/>
              </w:rPr>
              <w:t>2</w:t>
            </w:r>
          </w:p>
        </w:tc>
      </w:tr>
      <w:tr w:rsidR="00454AC6" w:rsidRPr="000C7549" w14:paraId="5AF845AC" w14:textId="77777777" w:rsidTr="004D3280">
        <w:tc>
          <w:tcPr>
            <w:tcW w:w="2520" w:type="dxa"/>
            <w:shd w:val="clear" w:color="auto" w:fill="auto"/>
            <w:vAlign w:val="bottom"/>
          </w:tcPr>
          <w:p w14:paraId="58955DFF" w14:textId="77777777" w:rsidR="00454AC6" w:rsidRPr="000C7549" w:rsidRDefault="00454AC6" w:rsidP="00454AC6">
            <w:pPr>
              <w:rPr>
                <w:rFonts w:ascii="Arial" w:hAnsi="Arial" w:cs="Arial"/>
                <w:color w:val="000000"/>
              </w:rPr>
            </w:pPr>
          </w:p>
        </w:tc>
        <w:tc>
          <w:tcPr>
            <w:tcW w:w="2031" w:type="dxa"/>
            <w:vAlign w:val="bottom"/>
          </w:tcPr>
          <w:p w14:paraId="7543F51F" w14:textId="5F9F54AC" w:rsidR="00454AC6" w:rsidRPr="000C7549" w:rsidRDefault="00454AC6" w:rsidP="00454AC6">
            <w:pPr>
              <w:rPr>
                <w:rFonts w:ascii="Arial" w:hAnsi="Arial" w:cs="Arial"/>
                <w:i/>
                <w:color w:val="000000"/>
              </w:rPr>
            </w:pPr>
            <w:r w:rsidRPr="000C7549">
              <w:rPr>
                <w:rFonts w:ascii="Arial" w:hAnsi="Arial" w:cs="Arial"/>
                <w:i/>
                <w:color w:val="000000"/>
              </w:rPr>
              <w:t>Coelioxys</w:t>
            </w:r>
          </w:p>
        </w:tc>
        <w:tc>
          <w:tcPr>
            <w:tcW w:w="2017" w:type="dxa"/>
            <w:vAlign w:val="bottom"/>
          </w:tcPr>
          <w:p w14:paraId="4B1F9F45" w14:textId="7E802F56" w:rsidR="00454AC6" w:rsidRPr="000C7549" w:rsidRDefault="00454AC6" w:rsidP="00454AC6">
            <w:pPr>
              <w:rPr>
                <w:rFonts w:ascii="Arial" w:hAnsi="Arial" w:cs="Arial"/>
                <w:i/>
                <w:color w:val="000000"/>
              </w:rPr>
            </w:pPr>
            <w:r w:rsidRPr="000C7549">
              <w:rPr>
                <w:rFonts w:ascii="Arial" w:hAnsi="Arial" w:cs="Arial"/>
                <w:i/>
                <w:color w:val="000000"/>
              </w:rPr>
              <w:t>modestus</w:t>
            </w:r>
          </w:p>
        </w:tc>
        <w:tc>
          <w:tcPr>
            <w:tcW w:w="1933" w:type="dxa"/>
            <w:shd w:val="clear" w:color="auto" w:fill="auto"/>
            <w:vAlign w:val="bottom"/>
          </w:tcPr>
          <w:p w14:paraId="172E0165" w14:textId="16A4E2D1" w:rsidR="00454AC6" w:rsidRPr="000C7549" w:rsidRDefault="00454AC6" w:rsidP="00454AC6">
            <w:pPr>
              <w:rPr>
                <w:rFonts w:ascii="Arial" w:hAnsi="Arial" w:cs="Arial"/>
                <w:color w:val="000000"/>
              </w:rPr>
            </w:pPr>
            <w:r w:rsidRPr="000C7549">
              <w:rPr>
                <w:rFonts w:ascii="Arial" w:hAnsi="Arial" w:cs="Arial"/>
                <w:color w:val="000000"/>
              </w:rPr>
              <w:t>2</w:t>
            </w:r>
          </w:p>
        </w:tc>
      </w:tr>
      <w:tr w:rsidR="00454AC6" w:rsidRPr="000C7549" w14:paraId="7BFA1EC8" w14:textId="77777777" w:rsidTr="004D3280">
        <w:tc>
          <w:tcPr>
            <w:tcW w:w="2520" w:type="dxa"/>
            <w:shd w:val="clear" w:color="auto" w:fill="auto"/>
            <w:vAlign w:val="bottom"/>
          </w:tcPr>
          <w:p w14:paraId="695341EA" w14:textId="77777777" w:rsidR="00454AC6" w:rsidRPr="000C7549" w:rsidRDefault="00454AC6" w:rsidP="00454AC6">
            <w:pPr>
              <w:rPr>
                <w:rFonts w:ascii="Arial" w:hAnsi="Arial" w:cs="Arial"/>
                <w:color w:val="000000"/>
              </w:rPr>
            </w:pPr>
          </w:p>
        </w:tc>
        <w:tc>
          <w:tcPr>
            <w:tcW w:w="2031" w:type="dxa"/>
            <w:vAlign w:val="bottom"/>
          </w:tcPr>
          <w:p w14:paraId="3A14A6DE" w14:textId="77777777" w:rsidR="00454AC6" w:rsidRPr="000C7549" w:rsidRDefault="00454AC6" w:rsidP="00454AC6">
            <w:pPr>
              <w:rPr>
                <w:rFonts w:ascii="Arial" w:hAnsi="Arial" w:cs="Arial"/>
                <w:i/>
                <w:color w:val="000000"/>
              </w:rPr>
            </w:pPr>
          </w:p>
        </w:tc>
        <w:tc>
          <w:tcPr>
            <w:tcW w:w="2017" w:type="dxa"/>
            <w:vAlign w:val="bottom"/>
          </w:tcPr>
          <w:p w14:paraId="45526BF7" w14:textId="4E9E270B" w:rsidR="00454AC6" w:rsidRPr="000C7549" w:rsidRDefault="00454AC6" w:rsidP="00454AC6">
            <w:pPr>
              <w:rPr>
                <w:rFonts w:ascii="Arial" w:hAnsi="Arial" w:cs="Arial"/>
                <w:i/>
                <w:color w:val="000000"/>
              </w:rPr>
            </w:pPr>
            <w:proofErr w:type="spellStart"/>
            <w:r w:rsidRPr="000C7549">
              <w:rPr>
                <w:rFonts w:ascii="Arial" w:hAnsi="Arial" w:cs="Arial"/>
                <w:i/>
                <w:color w:val="000000"/>
              </w:rPr>
              <w:t>germana</w:t>
            </w:r>
            <w:proofErr w:type="spellEnd"/>
          </w:p>
        </w:tc>
        <w:tc>
          <w:tcPr>
            <w:tcW w:w="1933" w:type="dxa"/>
            <w:shd w:val="clear" w:color="auto" w:fill="auto"/>
            <w:vAlign w:val="bottom"/>
          </w:tcPr>
          <w:p w14:paraId="0604A9FE" w14:textId="244CB6E7" w:rsidR="00454AC6" w:rsidRPr="000C7549" w:rsidRDefault="00454AC6" w:rsidP="00454AC6">
            <w:pPr>
              <w:rPr>
                <w:rFonts w:ascii="Arial" w:hAnsi="Arial" w:cs="Arial"/>
                <w:color w:val="000000"/>
              </w:rPr>
            </w:pPr>
            <w:r w:rsidRPr="000C7549">
              <w:rPr>
                <w:rFonts w:ascii="Arial" w:hAnsi="Arial" w:cs="Arial"/>
                <w:color w:val="000000"/>
              </w:rPr>
              <w:t>1</w:t>
            </w:r>
          </w:p>
        </w:tc>
      </w:tr>
      <w:tr w:rsidR="00454AC6" w:rsidRPr="000C7549" w14:paraId="328C3C67" w14:textId="77777777" w:rsidTr="004D3280">
        <w:tc>
          <w:tcPr>
            <w:tcW w:w="2520" w:type="dxa"/>
            <w:shd w:val="clear" w:color="auto" w:fill="auto"/>
            <w:vAlign w:val="bottom"/>
          </w:tcPr>
          <w:p w14:paraId="457BD09F" w14:textId="77777777" w:rsidR="00454AC6" w:rsidRPr="000C7549" w:rsidRDefault="00454AC6" w:rsidP="00454AC6">
            <w:pPr>
              <w:rPr>
                <w:rFonts w:ascii="Arial" w:hAnsi="Arial" w:cs="Arial"/>
                <w:color w:val="000000"/>
              </w:rPr>
            </w:pPr>
          </w:p>
        </w:tc>
        <w:tc>
          <w:tcPr>
            <w:tcW w:w="2031" w:type="dxa"/>
            <w:vAlign w:val="bottom"/>
          </w:tcPr>
          <w:p w14:paraId="39FF483E" w14:textId="77777777" w:rsidR="00454AC6" w:rsidRPr="000C7549" w:rsidRDefault="00454AC6" w:rsidP="00454AC6">
            <w:pPr>
              <w:rPr>
                <w:rFonts w:ascii="Arial" w:hAnsi="Arial" w:cs="Arial"/>
                <w:i/>
                <w:color w:val="000000"/>
              </w:rPr>
            </w:pPr>
          </w:p>
        </w:tc>
        <w:tc>
          <w:tcPr>
            <w:tcW w:w="2017" w:type="dxa"/>
            <w:vAlign w:val="bottom"/>
          </w:tcPr>
          <w:p w14:paraId="11833C42" w14:textId="2E117098" w:rsidR="00454AC6" w:rsidRPr="000C7549" w:rsidRDefault="00454AC6" w:rsidP="00454AC6">
            <w:pPr>
              <w:rPr>
                <w:rFonts w:ascii="Arial" w:hAnsi="Arial" w:cs="Arial"/>
                <w:i/>
                <w:color w:val="000000"/>
              </w:rPr>
            </w:pPr>
            <w:proofErr w:type="spellStart"/>
            <w:r w:rsidRPr="000C7549">
              <w:rPr>
                <w:rFonts w:ascii="Arial" w:hAnsi="Arial" w:cs="Arial"/>
                <w:i/>
                <w:color w:val="000000"/>
              </w:rPr>
              <w:t>sayi</w:t>
            </w:r>
            <w:proofErr w:type="spellEnd"/>
            <w:r w:rsidRPr="000C7549">
              <w:rPr>
                <w:rFonts w:ascii="Arial" w:hAnsi="Arial" w:cs="Arial"/>
                <w:i/>
                <w:color w:val="000000"/>
              </w:rPr>
              <w:t>*</w:t>
            </w:r>
          </w:p>
        </w:tc>
        <w:tc>
          <w:tcPr>
            <w:tcW w:w="1933" w:type="dxa"/>
            <w:shd w:val="clear" w:color="auto" w:fill="auto"/>
            <w:vAlign w:val="bottom"/>
          </w:tcPr>
          <w:p w14:paraId="72AB5942" w14:textId="6E19454B" w:rsidR="00454AC6" w:rsidRPr="000C7549" w:rsidRDefault="00454AC6" w:rsidP="00454AC6">
            <w:pPr>
              <w:rPr>
                <w:rFonts w:ascii="Arial" w:hAnsi="Arial" w:cs="Arial"/>
                <w:color w:val="000000"/>
              </w:rPr>
            </w:pPr>
            <w:r w:rsidRPr="000C7549">
              <w:rPr>
                <w:rFonts w:ascii="Arial" w:hAnsi="Arial" w:cs="Arial"/>
                <w:color w:val="000000"/>
              </w:rPr>
              <w:t>1</w:t>
            </w:r>
          </w:p>
        </w:tc>
      </w:tr>
      <w:tr w:rsidR="00454AC6" w:rsidRPr="000C7549" w14:paraId="1F781F2F" w14:textId="77777777" w:rsidTr="004D3280">
        <w:tc>
          <w:tcPr>
            <w:tcW w:w="2520" w:type="dxa"/>
            <w:shd w:val="clear" w:color="auto" w:fill="auto"/>
            <w:vAlign w:val="bottom"/>
          </w:tcPr>
          <w:p w14:paraId="64DD984E" w14:textId="77777777" w:rsidR="00454AC6" w:rsidRPr="000C7549" w:rsidRDefault="00454AC6" w:rsidP="00454AC6">
            <w:pPr>
              <w:rPr>
                <w:rFonts w:ascii="Arial" w:hAnsi="Arial" w:cs="Arial"/>
                <w:color w:val="000000"/>
              </w:rPr>
            </w:pPr>
          </w:p>
        </w:tc>
        <w:tc>
          <w:tcPr>
            <w:tcW w:w="2031" w:type="dxa"/>
            <w:vAlign w:val="bottom"/>
          </w:tcPr>
          <w:p w14:paraId="2428CA32" w14:textId="5A84326D" w:rsidR="00454AC6" w:rsidRPr="000C7549" w:rsidRDefault="00454AC6" w:rsidP="00454AC6">
            <w:pPr>
              <w:rPr>
                <w:rFonts w:ascii="Arial" w:hAnsi="Arial" w:cs="Arial"/>
                <w:i/>
                <w:color w:val="000000"/>
              </w:rPr>
            </w:pPr>
            <w:r w:rsidRPr="000C7549">
              <w:rPr>
                <w:rFonts w:ascii="Arial" w:hAnsi="Arial" w:cs="Arial"/>
                <w:i/>
                <w:color w:val="000000"/>
              </w:rPr>
              <w:t>Heriades*</w:t>
            </w:r>
          </w:p>
        </w:tc>
        <w:tc>
          <w:tcPr>
            <w:tcW w:w="2017" w:type="dxa"/>
            <w:vAlign w:val="bottom"/>
          </w:tcPr>
          <w:p w14:paraId="4BE1AA91" w14:textId="1C8F53E5" w:rsidR="00454AC6" w:rsidRPr="000C7549" w:rsidRDefault="00454AC6" w:rsidP="00454AC6">
            <w:pPr>
              <w:rPr>
                <w:rFonts w:ascii="Arial" w:hAnsi="Arial" w:cs="Arial"/>
                <w:i/>
                <w:color w:val="000000"/>
              </w:rPr>
            </w:pPr>
            <w:proofErr w:type="spellStart"/>
            <w:r w:rsidRPr="000C7549">
              <w:rPr>
                <w:rFonts w:ascii="Arial" w:hAnsi="Arial" w:cs="Arial"/>
                <w:i/>
                <w:color w:val="000000"/>
              </w:rPr>
              <w:t>leavitti</w:t>
            </w:r>
            <w:proofErr w:type="spellEnd"/>
            <w:r w:rsidRPr="000C7549">
              <w:rPr>
                <w:rFonts w:ascii="Arial" w:hAnsi="Arial" w:cs="Arial"/>
                <w:i/>
                <w:color w:val="000000"/>
              </w:rPr>
              <w:t>/</w:t>
            </w:r>
            <w:proofErr w:type="spellStart"/>
            <w:r w:rsidRPr="000C7549">
              <w:rPr>
                <w:rFonts w:ascii="Arial" w:hAnsi="Arial" w:cs="Arial"/>
                <w:i/>
                <w:color w:val="000000"/>
              </w:rPr>
              <w:t>variolosa</w:t>
            </w:r>
            <w:proofErr w:type="spellEnd"/>
            <w:r w:rsidRPr="000C7549">
              <w:rPr>
                <w:rFonts w:ascii="Arial" w:hAnsi="Arial" w:cs="Arial"/>
                <w:i/>
                <w:color w:val="000000"/>
              </w:rPr>
              <w:t>*</w:t>
            </w:r>
          </w:p>
        </w:tc>
        <w:tc>
          <w:tcPr>
            <w:tcW w:w="1933" w:type="dxa"/>
            <w:shd w:val="clear" w:color="auto" w:fill="auto"/>
            <w:vAlign w:val="bottom"/>
          </w:tcPr>
          <w:p w14:paraId="2B5964AE" w14:textId="419238EE" w:rsidR="00454AC6" w:rsidRPr="000C7549" w:rsidRDefault="00454AC6" w:rsidP="00454AC6">
            <w:pPr>
              <w:rPr>
                <w:rFonts w:ascii="Arial" w:hAnsi="Arial" w:cs="Arial"/>
                <w:color w:val="000000"/>
              </w:rPr>
            </w:pPr>
            <w:r w:rsidRPr="000C7549">
              <w:rPr>
                <w:rFonts w:ascii="Arial" w:hAnsi="Arial" w:cs="Arial"/>
                <w:color w:val="000000"/>
              </w:rPr>
              <w:t>2</w:t>
            </w:r>
          </w:p>
        </w:tc>
      </w:tr>
      <w:tr w:rsidR="00454AC6" w:rsidRPr="000C7549" w14:paraId="7EBD9853" w14:textId="77777777" w:rsidTr="004D3280">
        <w:tc>
          <w:tcPr>
            <w:tcW w:w="2520" w:type="dxa"/>
            <w:shd w:val="clear" w:color="auto" w:fill="auto"/>
            <w:vAlign w:val="bottom"/>
          </w:tcPr>
          <w:p w14:paraId="5E511BD9" w14:textId="77777777" w:rsidR="00454AC6" w:rsidRPr="000C7549" w:rsidRDefault="00454AC6" w:rsidP="00454AC6">
            <w:pPr>
              <w:rPr>
                <w:rFonts w:ascii="Arial" w:hAnsi="Arial" w:cs="Arial"/>
                <w:color w:val="000000"/>
              </w:rPr>
            </w:pPr>
          </w:p>
        </w:tc>
        <w:tc>
          <w:tcPr>
            <w:tcW w:w="2031" w:type="dxa"/>
            <w:vAlign w:val="bottom"/>
          </w:tcPr>
          <w:p w14:paraId="68A64280" w14:textId="77777777" w:rsidR="00454AC6" w:rsidRPr="000C7549" w:rsidRDefault="00454AC6" w:rsidP="00454AC6">
            <w:pPr>
              <w:rPr>
                <w:rFonts w:ascii="Arial" w:hAnsi="Arial" w:cs="Arial"/>
                <w:i/>
                <w:color w:val="000000"/>
              </w:rPr>
            </w:pPr>
          </w:p>
        </w:tc>
        <w:tc>
          <w:tcPr>
            <w:tcW w:w="2017" w:type="dxa"/>
            <w:vAlign w:val="bottom"/>
          </w:tcPr>
          <w:p w14:paraId="4D520D34" w14:textId="219ED9E8" w:rsidR="00454AC6" w:rsidRPr="000C7549" w:rsidRDefault="00454AC6" w:rsidP="00454AC6">
            <w:pPr>
              <w:rPr>
                <w:rFonts w:ascii="Arial" w:hAnsi="Arial" w:cs="Arial"/>
                <w:i/>
                <w:color w:val="000000"/>
              </w:rPr>
            </w:pPr>
            <w:proofErr w:type="spellStart"/>
            <w:r w:rsidRPr="000C7549">
              <w:rPr>
                <w:rFonts w:ascii="Arial" w:hAnsi="Arial" w:cs="Arial"/>
                <w:i/>
                <w:color w:val="000000"/>
              </w:rPr>
              <w:t>carinatus</w:t>
            </w:r>
            <w:proofErr w:type="spellEnd"/>
            <w:r w:rsidRPr="000C7549">
              <w:rPr>
                <w:rFonts w:ascii="Arial" w:hAnsi="Arial" w:cs="Arial"/>
                <w:i/>
                <w:color w:val="000000"/>
              </w:rPr>
              <w:t>*</w:t>
            </w:r>
          </w:p>
        </w:tc>
        <w:tc>
          <w:tcPr>
            <w:tcW w:w="1933" w:type="dxa"/>
            <w:shd w:val="clear" w:color="auto" w:fill="auto"/>
            <w:vAlign w:val="bottom"/>
          </w:tcPr>
          <w:p w14:paraId="5FD16286" w14:textId="661A4BC8" w:rsidR="00454AC6" w:rsidRPr="000C7549" w:rsidRDefault="00454AC6" w:rsidP="00454AC6">
            <w:pPr>
              <w:rPr>
                <w:rFonts w:ascii="Arial" w:hAnsi="Arial" w:cs="Arial"/>
                <w:color w:val="000000"/>
              </w:rPr>
            </w:pPr>
            <w:r w:rsidRPr="000C7549">
              <w:rPr>
                <w:rFonts w:ascii="Arial" w:hAnsi="Arial" w:cs="Arial"/>
                <w:color w:val="000000"/>
              </w:rPr>
              <w:t>1</w:t>
            </w:r>
          </w:p>
        </w:tc>
      </w:tr>
      <w:tr w:rsidR="00454AC6" w:rsidRPr="000C7549" w14:paraId="22107999" w14:textId="77777777" w:rsidTr="004D3280">
        <w:tc>
          <w:tcPr>
            <w:tcW w:w="2520" w:type="dxa"/>
            <w:shd w:val="clear" w:color="auto" w:fill="auto"/>
            <w:vAlign w:val="bottom"/>
          </w:tcPr>
          <w:p w14:paraId="4A89ACB3" w14:textId="77777777" w:rsidR="00454AC6" w:rsidRPr="000C7549" w:rsidRDefault="00454AC6" w:rsidP="00454AC6">
            <w:pPr>
              <w:rPr>
                <w:rFonts w:ascii="Arial" w:hAnsi="Arial" w:cs="Arial"/>
                <w:color w:val="000000"/>
              </w:rPr>
            </w:pPr>
          </w:p>
        </w:tc>
        <w:tc>
          <w:tcPr>
            <w:tcW w:w="2031" w:type="dxa"/>
            <w:vAlign w:val="bottom"/>
          </w:tcPr>
          <w:p w14:paraId="1EB3354F" w14:textId="19DA21D5" w:rsidR="00454AC6" w:rsidRPr="000C7549" w:rsidRDefault="00454AC6" w:rsidP="00454AC6">
            <w:pPr>
              <w:rPr>
                <w:rFonts w:ascii="Arial" w:hAnsi="Arial" w:cs="Arial"/>
                <w:i/>
                <w:color w:val="000000"/>
              </w:rPr>
            </w:pPr>
            <w:r w:rsidRPr="000C7549">
              <w:rPr>
                <w:rFonts w:ascii="Arial" w:hAnsi="Arial" w:cs="Arial"/>
                <w:i/>
                <w:color w:val="000000"/>
              </w:rPr>
              <w:t>Megachile</w:t>
            </w:r>
          </w:p>
        </w:tc>
        <w:tc>
          <w:tcPr>
            <w:tcW w:w="2017" w:type="dxa"/>
            <w:vAlign w:val="bottom"/>
          </w:tcPr>
          <w:p w14:paraId="5C10C8DA" w14:textId="6050AA9D" w:rsidR="00454AC6" w:rsidRPr="000C7549" w:rsidRDefault="00454AC6" w:rsidP="00454AC6">
            <w:pPr>
              <w:rPr>
                <w:rFonts w:ascii="Arial" w:hAnsi="Arial" w:cs="Arial"/>
                <w:i/>
                <w:color w:val="000000"/>
              </w:rPr>
            </w:pPr>
            <w:proofErr w:type="spellStart"/>
            <w:r w:rsidRPr="000C7549">
              <w:rPr>
                <w:rFonts w:ascii="Arial" w:hAnsi="Arial" w:cs="Arial"/>
                <w:i/>
                <w:color w:val="000000"/>
              </w:rPr>
              <w:t>exilis</w:t>
            </w:r>
            <w:proofErr w:type="spellEnd"/>
          </w:p>
        </w:tc>
        <w:tc>
          <w:tcPr>
            <w:tcW w:w="1933" w:type="dxa"/>
            <w:shd w:val="clear" w:color="auto" w:fill="auto"/>
            <w:vAlign w:val="bottom"/>
          </w:tcPr>
          <w:p w14:paraId="0AF63308" w14:textId="11AE38C2" w:rsidR="00454AC6" w:rsidRPr="000C7549" w:rsidRDefault="00454AC6" w:rsidP="00454AC6">
            <w:pPr>
              <w:rPr>
                <w:rFonts w:ascii="Arial" w:hAnsi="Arial" w:cs="Arial"/>
                <w:color w:val="000000"/>
              </w:rPr>
            </w:pPr>
            <w:r w:rsidRPr="000C7549">
              <w:rPr>
                <w:rFonts w:ascii="Arial" w:hAnsi="Arial" w:cs="Arial"/>
                <w:color w:val="000000"/>
              </w:rPr>
              <w:t>29</w:t>
            </w:r>
          </w:p>
        </w:tc>
      </w:tr>
      <w:tr w:rsidR="00454AC6" w:rsidRPr="000C7549" w14:paraId="4AA0AA5A" w14:textId="77777777" w:rsidTr="004D3280">
        <w:tc>
          <w:tcPr>
            <w:tcW w:w="2520" w:type="dxa"/>
            <w:shd w:val="clear" w:color="auto" w:fill="auto"/>
            <w:vAlign w:val="bottom"/>
          </w:tcPr>
          <w:p w14:paraId="6D15A531" w14:textId="77777777" w:rsidR="00454AC6" w:rsidRPr="000C7549" w:rsidRDefault="00454AC6" w:rsidP="00454AC6">
            <w:pPr>
              <w:rPr>
                <w:rFonts w:ascii="Arial" w:hAnsi="Arial" w:cs="Arial"/>
                <w:color w:val="000000"/>
              </w:rPr>
            </w:pPr>
          </w:p>
        </w:tc>
        <w:tc>
          <w:tcPr>
            <w:tcW w:w="2031" w:type="dxa"/>
            <w:vAlign w:val="bottom"/>
          </w:tcPr>
          <w:p w14:paraId="726F34FF" w14:textId="77777777" w:rsidR="00454AC6" w:rsidRPr="000C7549" w:rsidRDefault="00454AC6" w:rsidP="00454AC6">
            <w:pPr>
              <w:rPr>
                <w:rFonts w:ascii="Arial" w:hAnsi="Arial" w:cs="Arial"/>
                <w:i/>
                <w:color w:val="000000"/>
              </w:rPr>
            </w:pPr>
          </w:p>
        </w:tc>
        <w:tc>
          <w:tcPr>
            <w:tcW w:w="2017" w:type="dxa"/>
            <w:vAlign w:val="bottom"/>
          </w:tcPr>
          <w:p w14:paraId="2F50FF91" w14:textId="63C41748" w:rsidR="00454AC6" w:rsidRPr="000C7549" w:rsidRDefault="00454AC6" w:rsidP="00454AC6">
            <w:pPr>
              <w:rPr>
                <w:rFonts w:ascii="Arial" w:hAnsi="Arial" w:cs="Arial"/>
                <w:i/>
                <w:color w:val="000000"/>
              </w:rPr>
            </w:pPr>
            <w:proofErr w:type="spellStart"/>
            <w:r w:rsidRPr="000C7549">
              <w:rPr>
                <w:rFonts w:ascii="Arial" w:hAnsi="Arial" w:cs="Arial"/>
                <w:i/>
                <w:color w:val="000000"/>
              </w:rPr>
              <w:t>mendica</w:t>
            </w:r>
            <w:proofErr w:type="spellEnd"/>
          </w:p>
        </w:tc>
        <w:tc>
          <w:tcPr>
            <w:tcW w:w="1933" w:type="dxa"/>
            <w:shd w:val="clear" w:color="auto" w:fill="auto"/>
            <w:vAlign w:val="bottom"/>
          </w:tcPr>
          <w:p w14:paraId="51692AED" w14:textId="74BE16D2" w:rsidR="00454AC6" w:rsidRPr="000C7549" w:rsidRDefault="00454AC6" w:rsidP="00454AC6">
            <w:pPr>
              <w:rPr>
                <w:rFonts w:ascii="Arial" w:hAnsi="Arial" w:cs="Arial"/>
                <w:color w:val="000000"/>
              </w:rPr>
            </w:pPr>
            <w:r w:rsidRPr="000C7549">
              <w:rPr>
                <w:rFonts w:ascii="Arial" w:hAnsi="Arial" w:cs="Arial"/>
                <w:color w:val="000000"/>
              </w:rPr>
              <w:t>21</w:t>
            </w:r>
          </w:p>
        </w:tc>
      </w:tr>
      <w:tr w:rsidR="00454AC6" w:rsidRPr="000C7549" w14:paraId="392AF2F2" w14:textId="77777777" w:rsidTr="004D3280">
        <w:tc>
          <w:tcPr>
            <w:tcW w:w="2520" w:type="dxa"/>
            <w:shd w:val="clear" w:color="auto" w:fill="auto"/>
            <w:vAlign w:val="bottom"/>
          </w:tcPr>
          <w:p w14:paraId="5E2A9A30" w14:textId="77777777" w:rsidR="00454AC6" w:rsidRPr="000C7549" w:rsidRDefault="00454AC6" w:rsidP="00454AC6">
            <w:pPr>
              <w:rPr>
                <w:rFonts w:ascii="Arial" w:hAnsi="Arial" w:cs="Arial"/>
                <w:color w:val="000000"/>
              </w:rPr>
            </w:pPr>
          </w:p>
        </w:tc>
        <w:tc>
          <w:tcPr>
            <w:tcW w:w="2031" w:type="dxa"/>
            <w:vAlign w:val="bottom"/>
          </w:tcPr>
          <w:p w14:paraId="2369FC28" w14:textId="77777777" w:rsidR="00454AC6" w:rsidRPr="000C7549" w:rsidRDefault="00454AC6" w:rsidP="00454AC6">
            <w:pPr>
              <w:rPr>
                <w:rFonts w:ascii="Arial" w:hAnsi="Arial" w:cs="Arial"/>
                <w:i/>
                <w:color w:val="000000"/>
              </w:rPr>
            </w:pPr>
          </w:p>
        </w:tc>
        <w:tc>
          <w:tcPr>
            <w:tcW w:w="2017" w:type="dxa"/>
            <w:vAlign w:val="bottom"/>
          </w:tcPr>
          <w:p w14:paraId="33FB4068" w14:textId="3B7E652F" w:rsidR="00454AC6" w:rsidRPr="000C7549" w:rsidRDefault="00454AC6" w:rsidP="00454AC6">
            <w:pPr>
              <w:rPr>
                <w:rFonts w:ascii="Arial" w:hAnsi="Arial" w:cs="Arial"/>
                <w:i/>
                <w:color w:val="000000"/>
              </w:rPr>
            </w:pPr>
            <w:proofErr w:type="spellStart"/>
            <w:r w:rsidRPr="000C7549">
              <w:rPr>
                <w:rFonts w:ascii="Arial" w:hAnsi="Arial" w:cs="Arial"/>
                <w:i/>
                <w:color w:val="000000"/>
              </w:rPr>
              <w:t>petulans</w:t>
            </w:r>
            <w:proofErr w:type="spellEnd"/>
          </w:p>
        </w:tc>
        <w:tc>
          <w:tcPr>
            <w:tcW w:w="1933" w:type="dxa"/>
            <w:shd w:val="clear" w:color="auto" w:fill="auto"/>
            <w:vAlign w:val="bottom"/>
          </w:tcPr>
          <w:p w14:paraId="48E2A042" w14:textId="7AFC8F51" w:rsidR="00454AC6" w:rsidRPr="000C7549" w:rsidRDefault="00454AC6" w:rsidP="00454AC6">
            <w:pPr>
              <w:rPr>
                <w:rFonts w:ascii="Arial" w:hAnsi="Arial" w:cs="Arial"/>
                <w:color w:val="000000"/>
              </w:rPr>
            </w:pPr>
            <w:r w:rsidRPr="000C7549">
              <w:rPr>
                <w:rFonts w:ascii="Arial" w:hAnsi="Arial" w:cs="Arial"/>
                <w:color w:val="000000"/>
              </w:rPr>
              <w:t>17</w:t>
            </w:r>
          </w:p>
        </w:tc>
      </w:tr>
      <w:tr w:rsidR="00454AC6" w:rsidRPr="000C7549" w14:paraId="5AAA3ED9" w14:textId="77777777" w:rsidTr="004D3280">
        <w:tc>
          <w:tcPr>
            <w:tcW w:w="2520" w:type="dxa"/>
            <w:shd w:val="clear" w:color="auto" w:fill="auto"/>
            <w:vAlign w:val="bottom"/>
          </w:tcPr>
          <w:p w14:paraId="3FB70821" w14:textId="77777777" w:rsidR="00454AC6" w:rsidRPr="000C7549" w:rsidRDefault="00454AC6" w:rsidP="00454AC6">
            <w:pPr>
              <w:rPr>
                <w:rFonts w:ascii="Arial" w:hAnsi="Arial" w:cs="Arial"/>
                <w:color w:val="000000"/>
              </w:rPr>
            </w:pPr>
          </w:p>
        </w:tc>
        <w:tc>
          <w:tcPr>
            <w:tcW w:w="2031" w:type="dxa"/>
            <w:vAlign w:val="bottom"/>
          </w:tcPr>
          <w:p w14:paraId="6BBFA823" w14:textId="77777777" w:rsidR="00454AC6" w:rsidRPr="000C7549" w:rsidRDefault="00454AC6" w:rsidP="00454AC6">
            <w:pPr>
              <w:rPr>
                <w:rFonts w:ascii="Arial" w:hAnsi="Arial" w:cs="Arial"/>
                <w:i/>
                <w:color w:val="000000"/>
              </w:rPr>
            </w:pPr>
          </w:p>
        </w:tc>
        <w:tc>
          <w:tcPr>
            <w:tcW w:w="2017" w:type="dxa"/>
            <w:vAlign w:val="bottom"/>
          </w:tcPr>
          <w:p w14:paraId="32A231DD" w14:textId="46130F0F" w:rsidR="00454AC6" w:rsidRPr="000C7549" w:rsidRDefault="00454AC6" w:rsidP="00454AC6">
            <w:pPr>
              <w:rPr>
                <w:rFonts w:ascii="Arial" w:hAnsi="Arial" w:cs="Arial"/>
                <w:i/>
                <w:color w:val="000000"/>
              </w:rPr>
            </w:pPr>
            <w:proofErr w:type="spellStart"/>
            <w:r w:rsidRPr="000C7549">
              <w:rPr>
                <w:rFonts w:ascii="Arial" w:hAnsi="Arial" w:cs="Arial"/>
                <w:i/>
                <w:color w:val="000000"/>
              </w:rPr>
              <w:t>rotundata</w:t>
            </w:r>
            <w:proofErr w:type="spellEnd"/>
          </w:p>
        </w:tc>
        <w:tc>
          <w:tcPr>
            <w:tcW w:w="1933" w:type="dxa"/>
            <w:shd w:val="clear" w:color="auto" w:fill="auto"/>
            <w:vAlign w:val="bottom"/>
          </w:tcPr>
          <w:p w14:paraId="135FBB89" w14:textId="64359D5F" w:rsidR="00454AC6" w:rsidRPr="000C7549" w:rsidRDefault="00454AC6" w:rsidP="00454AC6">
            <w:pPr>
              <w:rPr>
                <w:rFonts w:ascii="Arial" w:hAnsi="Arial" w:cs="Arial"/>
                <w:color w:val="000000"/>
              </w:rPr>
            </w:pPr>
            <w:r w:rsidRPr="000C7549">
              <w:rPr>
                <w:rFonts w:ascii="Arial" w:hAnsi="Arial" w:cs="Arial"/>
                <w:color w:val="000000"/>
              </w:rPr>
              <w:t>13</w:t>
            </w:r>
          </w:p>
        </w:tc>
      </w:tr>
      <w:tr w:rsidR="00454AC6" w:rsidRPr="000C7549" w14:paraId="3F97349A" w14:textId="77777777" w:rsidTr="004D3280">
        <w:tc>
          <w:tcPr>
            <w:tcW w:w="2520" w:type="dxa"/>
            <w:shd w:val="clear" w:color="auto" w:fill="auto"/>
            <w:vAlign w:val="bottom"/>
          </w:tcPr>
          <w:p w14:paraId="503A00FE" w14:textId="77777777" w:rsidR="00454AC6" w:rsidRPr="000C7549" w:rsidRDefault="00454AC6" w:rsidP="00454AC6">
            <w:pPr>
              <w:rPr>
                <w:rFonts w:ascii="Arial" w:hAnsi="Arial" w:cs="Arial"/>
                <w:color w:val="000000"/>
              </w:rPr>
            </w:pPr>
          </w:p>
        </w:tc>
        <w:tc>
          <w:tcPr>
            <w:tcW w:w="2031" w:type="dxa"/>
            <w:vAlign w:val="bottom"/>
          </w:tcPr>
          <w:p w14:paraId="5C44FB45" w14:textId="77777777" w:rsidR="00454AC6" w:rsidRPr="000C7549" w:rsidRDefault="00454AC6" w:rsidP="00454AC6">
            <w:pPr>
              <w:rPr>
                <w:rFonts w:ascii="Arial" w:hAnsi="Arial" w:cs="Arial"/>
                <w:i/>
                <w:color w:val="000000"/>
              </w:rPr>
            </w:pPr>
          </w:p>
        </w:tc>
        <w:tc>
          <w:tcPr>
            <w:tcW w:w="2017" w:type="dxa"/>
            <w:vAlign w:val="bottom"/>
          </w:tcPr>
          <w:p w14:paraId="5D686E97" w14:textId="77E32711" w:rsidR="00454AC6" w:rsidRPr="000C7549" w:rsidRDefault="00454AC6" w:rsidP="00454AC6">
            <w:pPr>
              <w:rPr>
                <w:rFonts w:ascii="Arial" w:hAnsi="Arial" w:cs="Arial"/>
                <w:i/>
                <w:color w:val="000000"/>
              </w:rPr>
            </w:pPr>
            <w:proofErr w:type="spellStart"/>
            <w:r w:rsidRPr="000C7549">
              <w:rPr>
                <w:rFonts w:ascii="Arial" w:hAnsi="Arial" w:cs="Arial"/>
                <w:i/>
                <w:color w:val="000000"/>
              </w:rPr>
              <w:t>pusilla</w:t>
            </w:r>
            <w:proofErr w:type="spellEnd"/>
            <w:r w:rsidRPr="000C7549">
              <w:rPr>
                <w:rFonts w:ascii="Arial" w:hAnsi="Arial" w:cs="Arial"/>
                <w:i/>
                <w:color w:val="000000"/>
              </w:rPr>
              <w:t>*</w:t>
            </w:r>
          </w:p>
        </w:tc>
        <w:tc>
          <w:tcPr>
            <w:tcW w:w="1933" w:type="dxa"/>
            <w:shd w:val="clear" w:color="auto" w:fill="auto"/>
            <w:vAlign w:val="bottom"/>
          </w:tcPr>
          <w:p w14:paraId="0A677F9C" w14:textId="605EA40C" w:rsidR="00454AC6" w:rsidRPr="000C7549" w:rsidRDefault="00454AC6" w:rsidP="00454AC6">
            <w:pPr>
              <w:rPr>
                <w:rFonts w:ascii="Arial" w:hAnsi="Arial" w:cs="Arial"/>
                <w:color w:val="000000"/>
              </w:rPr>
            </w:pPr>
            <w:r w:rsidRPr="000C7549">
              <w:rPr>
                <w:rFonts w:ascii="Arial" w:hAnsi="Arial" w:cs="Arial"/>
                <w:color w:val="000000"/>
              </w:rPr>
              <w:t>12</w:t>
            </w:r>
          </w:p>
        </w:tc>
      </w:tr>
      <w:tr w:rsidR="00454AC6" w:rsidRPr="000C7549" w14:paraId="4D19085D" w14:textId="77777777" w:rsidTr="004D3280">
        <w:tc>
          <w:tcPr>
            <w:tcW w:w="2520" w:type="dxa"/>
            <w:shd w:val="clear" w:color="auto" w:fill="auto"/>
            <w:vAlign w:val="bottom"/>
          </w:tcPr>
          <w:p w14:paraId="26C9C2E0" w14:textId="77777777" w:rsidR="00454AC6" w:rsidRPr="000C7549" w:rsidRDefault="00454AC6" w:rsidP="00454AC6">
            <w:pPr>
              <w:rPr>
                <w:rFonts w:ascii="Arial" w:hAnsi="Arial" w:cs="Arial"/>
                <w:color w:val="000000"/>
              </w:rPr>
            </w:pPr>
          </w:p>
        </w:tc>
        <w:tc>
          <w:tcPr>
            <w:tcW w:w="2031" w:type="dxa"/>
            <w:vAlign w:val="bottom"/>
          </w:tcPr>
          <w:p w14:paraId="2545D76E" w14:textId="77777777" w:rsidR="00454AC6" w:rsidRPr="000C7549" w:rsidRDefault="00454AC6" w:rsidP="00454AC6">
            <w:pPr>
              <w:rPr>
                <w:rFonts w:ascii="Arial" w:hAnsi="Arial" w:cs="Arial"/>
                <w:i/>
                <w:color w:val="000000"/>
              </w:rPr>
            </w:pPr>
          </w:p>
        </w:tc>
        <w:tc>
          <w:tcPr>
            <w:tcW w:w="2017" w:type="dxa"/>
            <w:vAlign w:val="bottom"/>
          </w:tcPr>
          <w:p w14:paraId="03665874" w14:textId="29C8375A" w:rsidR="00454AC6" w:rsidRPr="000C7549" w:rsidRDefault="00454AC6" w:rsidP="00454AC6">
            <w:pPr>
              <w:rPr>
                <w:rFonts w:ascii="Arial" w:hAnsi="Arial" w:cs="Arial"/>
                <w:i/>
                <w:color w:val="000000"/>
              </w:rPr>
            </w:pPr>
            <w:proofErr w:type="spellStart"/>
            <w:r w:rsidRPr="000C7549">
              <w:rPr>
                <w:rFonts w:ascii="Arial" w:hAnsi="Arial" w:cs="Arial"/>
                <w:i/>
                <w:color w:val="000000"/>
              </w:rPr>
              <w:t>xylocopoides</w:t>
            </w:r>
            <w:proofErr w:type="spellEnd"/>
            <w:r w:rsidRPr="000C7549">
              <w:rPr>
                <w:rFonts w:ascii="Arial" w:hAnsi="Arial" w:cs="Arial"/>
                <w:i/>
                <w:color w:val="000000"/>
              </w:rPr>
              <w:t>*</w:t>
            </w:r>
          </w:p>
        </w:tc>
        <w:tc>
          <w:tcPr>
            <w:tcW w:w="1933" w:type="dxa"/>
            <w:shd w:val="clear" w:color="auto" w:fill="auto"/>
            <w:vAlign w:val="bottom"/>
          </w:tcPr>
          <w:p w14:paraId="085C042E" w14:textId="01004D1E" w:rsidR="00454AC6" w:rsidRPr="000C7549" w:rsidRDefault="00454AC6" w:rsidP="00454AC6">
            <w:pPr>
              <w:rPr>
                <w:rFonts w:ascii="Arial" w:hAnsi="Arial" w:cs="Arial"/>
                <w:color w:val="000000"/>
              </w:rPr>
            </w:pPr>
            <w:r w:rsidRPr="000C7549">
              <w:rPr>
                <w:rFonts w:ascii="Arial" w:hAnsi="Arial" w:cs="Arial"/>
                <w:color w:val="000000"/>
              </w:rPr>
              <w:t>1</w:t>
            </w:r>
          </w:p>
        </w:tc>
      </w:tr>
      <w:tr w:rsidR="00454AC6" w:rsidRPr="000C7549" w14:paraId="2EC30916" w14:textId="77777777" w:rsidTr="004D3280">
        <w:tc>
          <w:tcPr>
            <w:tcW w:w="2520" w:type="dxa"/>
            <w:shd w:val="clear" w:color="auto" w:fill="auto"/>
            <w:vAlign w:val="bottom"/>
          </w:tcPr>
          <w:p w14:paraId="5462C5B4" w14:textId="77777777" w:rsidR="00454AC6" w:rsidRPr="000C7549" w:rsidRDefault="00454AC6" w:rsidP="00454AC6">
            <w:pPr>
              <w:rPr>
                <w:rFonts w:ascii="Arial" w:hAnsi="Arial" w:cs="Arial"/>
                <w:color w:val="000000"/>
              </w:rPr>
            </w:pPr>
          </w:p>
        </w:tc>
        <w:tc>
          <w:tcPr>
            <w:tcW w:w="2031" w:type="dxa"/>
            <w:vAlign w:val="bottom"/>
          </w:tcPr>
          <w:p w14:paraId="6C477623" w14:textId="77777777" w:rsidR="00454AC6" w:rsidRPr="000C7549" w:rsidRDefault="00454AC6" w:rsidP="00454AC6">
            <w:pPr>
              <w:rPr>
                <w:rFonts w:ascii="Arial" w:hAnsi="Arial" w:cs="Arial"/>
                <w:i/>
                <w:color w:val="000000"/>
              </w:rPr>
            </w:pPr>
          </w:p>
        </w:tc>
        <w:tc>
          <w:tcPr>
            <w:tcW w:w="2017" w:type="dxa"/>
            <w:vAlign w:val="bottom"/>
          </w:tcPr>
          <w:p w14:paraId="0C8BFE33" w14:textId="039B2E13" w:rsidR="00454AC6" w:rsidRPr="000C7549" w:rsidRDefault="00454AC6" w:rsidP="00454AC6">
            <w:pPr>
              <w:rPr>
                <w:rFonts w:ascii="Arial" w:hAnsi="Arial" w:cs="Arial"/>
                <w:i/>
                <w:color w:val="000000"/>
              </w:rPr>
            </w:pPr>
            <w:r w:rsidRPr="000C7549">
              <w:rPr>
                <w:rFonts w:ascii="Arial" w:hAnsi="Arial" w:cs="Arial"/>
                <w:i/>
                <w:color w:val="000000"/>
              </w:rPr>
              <w:t>sp</w:t>
            </w:r>
          </w:p>
        </w:tc>
        <w:tc>
          <w:tcPr>
            <w:tcW w:w="1933" w:type="dxa"/>
            <w:shd w:val="clear" w:color="auto" w:fill="auto"/>
            <w:vAlign w:val="bottom"/>
          </w:tcPr>
          <w:p w14:paraId="71A3AA24" w14:textId="73434EE4" w:rsidR="00454AC6" w:rsidRPr="000C7549" w:rsidRDefault="00454AC6" w:rsidP="00454AC6">
            <w:pPr>
              <w:rPr>
                <w:rFonts w:ascii="Arial" w:hAnsi="Arial" w:cs="Arial"/>
                <w:color w:val="000000"/>
              </w:rPr>
            </w:pPr>
            <w:r w:rsidRPr="000C7549">
              <w:rPr>
                <w:rFonts w:ascii="Arial" w:hAnsi="Arial" w:cs="Arial"/>
                <w:color w:val="000000"/>
              </w:rPr>
              <w:t>1</w:t>
            </w:r>
          </w:p>
        </w:tc>
      </w:tr>
      <w:tr w:rsidR="00454AC6" w:rsidRPr="000C7549" w14:paraId="7AD4DF5D" w14:textId="77777777" w:rsidTr="004D3280">
        <w:tc>
          <w:tcPr>
            <w:tcW w:w="2520" w:type="dxa"/>
            <w:shd w:val="clear" w:color="auto" w:fill="auto"/>
            <w:vAlign w:val="bottom"/>
          </w:tcPr>
          <w:p w14:paraId="0B405AF3" w14:textId="77777777" w:rsidR="00454AC6" w:rsidRPr="000C7549" w:rsidRDefault="00454AC6" w:rsidP="00454AC6">
            <w:pPr>
              <w:rPr>
                <w:rFonts w:ascii="Arial" w:hAnsi="Arial" w:cs="Arial"/>
                <w:color w:val="000000"/>
              </w:rPr>
            </w:pPr>
          </w:p>
        </w:tc>
        <w:tc>
          <w:tcPr>
            <w:tcW w:w="2031" w:type="dxa"/>
            <w:vAlign w:val="bottom"/>
          </w:tcPr>
          <w:p w14:paraId="3EEDDA78" w14:textId="77777777" w:rsidR="00454AC6" w:rsidRPr="000C7549" w:rsidRDefault="00454AC6" w:rsidP="00454AC6">
            <w:pPr>
              <w:rPr>
                <w:rFonts w:ascii="Arial" w:hAnsi="Arial" w:cs="Arial"/>
                <w:i/>
                <w:color w:val="000000"/>
              </w:rPr>
            </w:pPr>
          </w:p>
        </w:tc>
        <w:tc>
          <w:tcPr>
            <w:tcW w:w="2017" w:type="dxa"/>
            <w:vAlign w:val="bottom"/>
          </w:tcPr>
          <w:p w14:paraId="45E2FE4B" w14:textId="78366ACE" w:rsidR="00454AC6" w:rsidRPr="000C7549" w:rsidRDefault="00454AC6" w:rsidP="00454AC6">
            <w:pPr>
              <w:rPr>
                <w:rFonts w:ascii="Arial" w:hAnsi="Arial" w:cs="Arial"/>
                <w:i/>
                <w:color w:val="000000"/>
              </w:rPr>
            </w:pPr>
            <w:proofErr w:type="spellStart"/>
            <w:r w:rsidRPr="000C7549">
              <w:rPr>
                <w:rFonts w:ascii="Arial" w:hAnsi="Arial" w:cs="Arial"/>
                <w:i/>
                <w:color w:val="000000"/>
              </w:rPr>
              <w:t>concinna</w:t>
            </w:r>
            <w:proofErr w:type="spellEnd"/>
            <w:r w:rsidRPr="000C7549">
              <w:rPr>
                <w:rFonts w:ascii="Arial" w:hAnsi="Arial" w:cs="Arial"/>
                <w:i/>
                <w:color w:val="000000"/>
              </w:rPr>
              <w:t>/</w:t>
            </w:r>
            <w:proofErr w:type="spellStart"/>
            <w:r w:rsidRPr="000C7549">
              <w:rPr>
                <w:rFonts w:ascii="Arial" w:hAnsi="Arial" w:cs="Arial"/>
                <w:i/>
                <w:color w:val="000000"/>
              </w:rPr>
              <w:t>pusilla</w:t>
            </w:r>
            <w:proofErr w:type="spellEnd"/>
          </w:p>
        </w:tc>
        <w:tc>
          <w:tcPr>
            <w:tcW w:w="1933" w:type="dxa"/>
            <w:shd w:val="clear" w:color="auto" w:fill="auto"/>
            <w:vAlign w:val="bottom"/>
          </w:tcPr>
          <w:p w14:paraId="30424EC6" w14:textId="5AAC6A07" w:rsidR="00454AC6" w:rsidRPr="000C7549" w:rsidRDefault="00454AC6" w:rsidP="00454AC6">
            <w:pPr>
              <w:rPr>
                <w:rFonts w:ascii="Arial" w:hAnsi="Arial" w:cs="Arial"/>
                <w:color w:val="000000"/>
              </w:rPr>
            </w:pPr>
            <w:r w:rsidRPr="000C7549">
              <w:rPr>
                <w:rFonts w:ascii="Arial" w:hAnsi="Arial" w:cs="Arial"/>
                <w:color w:val="000000"/>
              </w:rPr>
              <w:t>1</w:t>
            </w:r>
          </w:p>
        </w:tc>
      </w:tr>
      <w:tr w:rsidR="00454AC6" w:rsidRPr="000C7549" w14:paraId="6481020A" w14:textId="77777777" w:rsidTr="004D3280">
        <w:trPr>
          <w:trHeight w:val="161"/>
        </w:trPr>
        <w:tc>
          <w:tcPr>
            <w:tcW w:w="2520" w:type="dxa"/>
            <w:shd w:val="clear" w:color="auto" w:fill="auto"/>
            <w:vAlign w:val="bottom"/>
          </w:tcPr>
          <w:p w14:paraId="5389E008" w14:textId="77777777" w:rsidR="00454AC6" w:rsidRPr="000C7549" w:rsidRDefault="00454AC6" w:rsidP="00454AC6">
            <w:pPr>
              <w:rPr>
                <w:rFonts w:ascii="Arial" w:hAnsi="Arial" w:cs="Arial"/>
                <w:color w:val="000000"/>
              </w:rPr>
            </w:pPr>
          </w:p>
        </w:tc>
        <w:tc>
          <w:tcPr>
            <w:tcW w:w="2031" w:type="dxa"/>
            <w:vAlign w:val="bottom"/>
          </w:tcPr>
          <w:p w14:paraId="6B646673" w14:textId="77777777" w:rsidR="00454AC6" w:rsidRPr="000C7549" w:rsidRDefault="00454AC6" w:rsidP="00454AC6">
            <w:pPr>
              <w:rPr>
                <w:rFonts w:ascii="Arial" w:hAnsi="Arial" w:cs="Arial"/>
                <w:i/>
                <w:color w:val="000000"/>
              </w:rPr>
            </w:pPr>
          </w:p>
        </w:tc>
        <w:tc>
          <w:tcPr>
            <w:tcW w:w="2017" w:type="dxa"/>
            <w:vAlign w:val="bottom"/>
          </w:tcPr>
          <w:p w14:paraId="05BB37ED" w14:textId="236C7EDD" w:rsidR="00454AC6" w:rsidRPr="000C7549" w:rsidRDefault="00454AC6" w:rsidP="00454AC6">
            <w:pPr>
              <w:rPr>
                <w:rFonts w:ascii="Arial" w:hAnsi="Arial" w:cs="Arial"/>
                <w:i/>
                <w:color w:val="000000"/>
              </w:rPr>
            </w:pPr>
            <w:r w:rsidRPr="000C7549">
              <w:rPr>
                <w:rFonts w:ascii="Arial" w:hAnsi="Arial" w:cs="Arial"/>
                <w:i/>
                <w:color w:val="000000"/>
              </w:rPr>
              <w:t>brevis*</w:t>
            </w:r>
          </w:p>
        </w:tc>
        <w:tc>
          <w:tcPr>
            <w:tcW w:w="1933" w:type="dxa"/>
            <w:shd w:val="clear" w:color="auto" w:fill="auto"/>
            <w:vAlign w:val="bottom"/>
          </w:tcPr>
          <w:p w14:paraId="7A5D332B" w14:textId="144BA27B" w:rsidR="00454AC6" w:rsidRPr="000C7549" w:rsidRDefault="00454AC6" w:rsidP="00454AC6">
            <w:pPr>
              <w:rPr>
                <w:rFonts w:ascii="Arial" w:hAnsi="Arial" w:cs="Arial"/>
                <w:color w:val="000000"/>
              </w:rPr>
            </w:pPr>
            <w:r w:rsidRPr="000C7549">
              <w:rPr>
                <w:rFonts w:ascii="Arial" w:hAnsi="Arial" w:cs="Arial"/>
                <w:color w:val="000000"/>
              </w:rPr>
              <w:t>1</w:t>
            </w:r>
          </w:p>
        </w:tc>
      </w:tr>
      <w:tr w:rsidR="004D3280" w:rsidRPr="000C7549" w14:paraId="284B1894" w14:textId="77777777" w:rsidTr="004D3280">
        <w:tc>
          <w:tcPr>
            <w:tcW w:w="2520" w:type="dxa"/>
            <w:shd w:val="clear" w:color="auto" w:fill="auto"/>
            <w:vAlign w:val="bottom"/>
          </w:tcPr>
          <w:p w14:paraId="44381891" w14:textId="77777777" w:rsidR="004D3280" w:rsidRPr="000C7549" w:rsidRDefault="004D3280" w:rsidP="004D3280">
            <w:pPr>
              <w:rPr>
                <w:rFonts w:ascii="Arial" w:hAnsi="Arial" w:cs="Arial"/>
                <w:color w:val="000000"/>
              </w:rPr>
            </w:pPr>
          </w:p>
        </w:tc>
        <w:tc>
          <w:tcPr>
            <w:tcW w:w="2031" w:type="dxa"/>
            <w:vAlign w:val="bottom"/>
          </w:tcPr>
          <w:p w14:paraId="371351D6" w14:textId="21B32A93" w:rsidR="004D3280" w:rsidRPr="000C7549" w:rsidRDefault="004D3280" w:rsidP="004D3280">
            <w:pPr>
              <w:rPr>
                <w:rFonts w:ascii="Arial" w:hAnsi="Arial" w:cs="Arial"/>
                <w:i/>
                <w:color w:val="000000"/>
              </w:rPr>
            </w:pPr>
            <w:r w:rsidRPr="000C7549">
              <w:rPr>
                <w:rFonts w:ascii="Arial" w:hAnsi="Arial" w:cs="Arial"/>
                <w:i/>
                <w:color w:val="000000"/>
              </w:rPr>
              <w:t>Osmia*</w:t>
            </w:r>
          </w:p>
        </w:tc>
        <w:tc>
          <w:tcPr>
            <w:tcW w:w="2017" w:type="dxa"/>
            <w:vAlign w:val="bottom"/>
          </w:tcPr>
          <w:p w14:paraId="7B374C71" w14:textId="717503FE" w:rsidR="004D3280" w:rsidRPr="000C7549" w:rsidRDefault="004D3280" w:rsidP="004D3280">
            <w:pPr>
              <w:rPr>
                <w:rFonts w:ascii="Arial" w:hAnsi="Arial" w:cs="Arial"/>
                <w:i/>
                <w:color w:val="000000"/>
              </w:rPr>
            </w:pPr>
            <w:proofErr w:type="spellStart"/>
            <w:r w:rsidRPr="000C7549">
              <w:rPr>
                <w:rFonts w:ascii="Arial" w:hAnsi="Arial" w:cs="Arial"/>
                <w:i/>
                <w:color w:val="000000"/>
              </w:rPr>
              <w:t>georgica</w:t>
            </w:r>
            <w:proofErr w:type="spellEnd"/>
            <w:r w:rsidRPr="000C7549">
              <w:rPr>
                <w:rFonts w:ascii="Arial" w:hAnsi="Arial" w:cs="Arial"/>
                <w:i/>
                <w:color w:val="000000"/>
              </w:rPr>
              <w:t>*</w:t>
            </w:r>
          </w:p>
        </w:tc>
        <w:tc>
          <w:tcPr>
            <w:tcW w:w="1933" w:type="dxa"/>
            <w:shd w:val="clear" w:color="auto" w:fill="auto"/>
            <w:vAlign w:val="bottom"/>
          </w:tcPr>
          <w:p w14:paraId="137C72C1" w14:textId="31272920" w:rsidR="004D3280" w:rsidRPr="000C7549" w:rsidRDefault="004D3280" w:rsidP="004D3280">
            <w:pPr>
              <w:rPr>
                <w:rFonts w:ascii="Arial" w:hAnsi="Arial" w:cs="Arial"/>
                <w:color w:val="000000"/>
              </w:rPr>
            </w:pPr>
            <w:r w:rsidRPr="000C7549">
              <w:rPr>
                <w:rFonts w:ascii="Arial" w:hAnsi="Arial" w:cs="Arial"/>
                <w:color w:val="000000"/>
              </w:rPr>
              <w:t>1</w:t>
            </w:r>
          </w:p>
        </w:tc>
      </w:tr>
      <w:tr w:rsidR="004D3280" w:rsidRPr="000C7549" w14:paraId="627BFB2A" w14:textId="77777777" w:rsidTr="004D3280">
        <w:tc>
          <w:tcPr>
            <w:tcW w:w="2520" w:type="dxa"/>
            <w:shd w:val="clear" w:color="auto" w:fill="auto"/>
            <w:vAlign w:val="bottom"/>
          </w:tcPr>
          <w:p w14:paraId="44D5B599" w14:textId="77777777" w:rsidR="004D3280" w:rsidRPr="000C7549" w:rsidRDefault="004D3280" w:rsidP="004D3280">
            <w:pPr>
              <w:rPr>
                <w:rFonts w:ascii="Arial" w:hAnsi="Arial" w:cs="Arial"/>
                <w:color w:val="000000"/>
              </w:rPr>
            </w:pPr>
          </w:p>
        </w:tc>
        <w:tc>
          <w:tcPr>
            <w:tcW w:w="2031" w:type="dxa"/>
            <w:vAlign w:val="bottom"/>
          </w:tcPr>
          <w:p w14:paraId="55A48486" w14:textId="77777777" w:rsidR="004D3280" w:rsidRPr="000C7549" w:rsidRDefault="004D3280" w:rsidP="004D3280">
            <w:pPr>
              <w:rPr>
                <w:rFonts w:ascii="Arial" w:hAnsi="Arial" w:cs="Arial"/>
                <w:i/>
                <w:color w:val="000000"/>
              </w:rPr>
            </w:pPr>
          </w:p>
        </w:tc>
        <w:tc>
          <w:tcPr>
            <w:tcW w:w="2017" w:type="dxa"/>
            <w:vAlign w:val="bottom"/>
          </w:tcPr>
          <w:p w14:paraId="237CEFA2" w14:textId="46618239" w:rsidR="004D3280" w:rsidRPr="000C7549" w:rsidRDefault="004D3280" w:rsidP="004D3280">
            <w:pPr>
              <w:rPr>
                <w:rFonts w:ascii="Arial" w:hAnsi="Arial" w:cs="Arial"/>
                <w:i/>
                <w:color w:val="000000"/>
              </w:rPr>
            </w:pPr>
            <w:r w:rsidRPr="000C7549">
              <w:rPr>
                <w:rFonts w:ascii="Arial" w:hAnsi="Arial" w:cs="Arial"/>
                <w:i/>
                <w:color w:val="000000"/>
              </w:rPr>
              <w:t>sp*</w:t>
            </w:r>
          </w:p>
        </w:tc>
        <w:tc>
          <w:tcPr>
            <w:tcW w:w="1933" w:type="dxa"/>
            <w:shd w:val="clear" w:color="auto" w:fill="auto"/>
            <w:vAlign w:val="bottom"/>
          </w:tcPr>
          <w:p w14:paraId="0B01E35C" w14:textId="25CD9721" w:rsidR="004D3280" w:rsidRPr="000C7549" w:rsidRDefault="004D3280" w:rsidP="004D3280">
            <w:pPr>
              <w:rPr>
                <w:rFonts w:ascii="Arial" w:hAnsi="Arial" w:cs="Arial"/>
                <w:color w:val="000000"/>
              </w:rPr>
            </w:pPr>
            <w:r w:rsidRPr="000C7549">
              <w:rPr>
                <w:rFonts w:ascii="Arial" w:hAnsi="Arial" w:cs="Arial"/>
                <w:color w:val="000000"/>
              </w:rPr>
              <w:t>1</w:t>
            </w:r>
          </w:p>
        </w:tc>
      </w:tr>
      <w:tr w:rsidR="004D3280" w:rsidRPr="000C7549" w14:paraId="0208A346" w14:textId="77777777" w:rsidTr="004D3280">
        <w:tc>
          <w:tcPr>
            <w:tcW w:w="2520" w:type="dxa"/>
            <w:shd w:val="clear" w:color="auto" w:fill="auto"/>
            <w:vAlign w:val="bottom"/>
          </w:tcPr>
          <w:p w14:paraId="5985B913" w14:textId="77777777" w:rsidR="004D3280" w:rsidRPr="000C7549" w:rsidRDefault="004D3280" w:rsidP="004D3280">
            <w:pPr>
              <w:rPr>
                <w:rFonts w:ascii="Arial" w:hAnsi="Arial" w:cs="Arial"/>
                <w:color w:val="000000"/>
              </w:rPr>
            </w:pPr>
          </w:p>
        </w:tc>
        <w:tc>
          <w:tcPr>
            <w:tcW w:w="2031" w:type="dxa"/>
            <w:vAlign w:val="bottom"/>
          </w:tcPr>
          <w:p w14:paraId="7A19FFCA" w14:textId="5B2B9F55" w:rsidR="004D3280" w:rsidRPr="000C7549" w:rsidRDefault="004D3280" w:rsidP="004D3280">
            <w:pPr>
              <w:rPr>
                <w:rFonts w:ascii="Arial" w:hAnsi="Arial" w:cs="Arial"/>
                <w:i/>
                <w:color w:val="000000"/>
              </w:rPr>
            </w:pPr>
            <w:r w:rsidRPr="000C7549">
              <w:rPr>
                <w:rFonts w:ascii="Arial" w:hAnsi="Arial" w:cs="Arial"/>
                <w:i/>
                <w:color w:val="000000"/>
              </w:rPr>
              <w:t>Paranthidium</w:t>
            </w:r>
          </w:p>
        </w:tc>
        <w:tc>
          <w:tcPr>
            <w:tcW w:w="2017" w:type="dxa"/>
            <w:vAlign w:val="bottom"/>
          </w:tcPr>
          <w:p w14:paraId="5276EC2E" w14:textId="338C719F" w:rsidR="004D3280" w:rsidRPr="000C7549" w:rsidRDefault="004D3280" w:rsidP="004D3280">
            <w:pPr>
              <w:rPr>
                <w:rFonts w:ascii="Arial" w:hAnsi="Arial" w:cs="Arial"/>
                <w:i/>
                <w:color w:val="000000"/>
              </w:rPr>
            </w:pPr>
            <w:proofErr w:type="spellStart"/>
            <w:r w:rsidRPr="000C7549">
              <w:rPr>
                <w:rFonts w:ascii="Arial" w:hAnsi="Arial" w:cs="Arial"/>
                <w:i/>
                <w:color w:val="000000"/>
              </w:rPr>
              <w:t>jugatorium</w:t>
            </w:r>
            <w:proofErr w:type="spellEnd"/>
          </w:p>
        </w:tc>
        <w:tc>
          <w:tcPr>
            <w:tcW w:w="1933" w:type="dxa"/>
            <w:shd w:val="clear" w:color="auto" w:fill="auto"/>
            <w:vAlign w:val="bottom"/>
          </w:tcPr>
          <w:p w14:paraId="374F8E08" w14:textId="2DEFB043" w:rsidR="004D3280" w:rsidRPr="000C7549" w:rsidRDefault="004D3280" w:rsidP="004D3280">
            <w:pPr>
              <w:rPr>
                <w:rFonts w:ascii="Arial" w:hAnsi="Arial" w:cs="Arial"/>
                <w:color w:val="000000"/>
              </w:rPr>
            </w:pPr>
            <w:r w:rsidRPr="000C7549">
              <w:rPr>
                <w:rFonts w:ascii="Arial" w:hAnsi="Arial" w:cs="Arial"/>
                <w:color w:val="000000"/>
              </w:rPr>
              <w:t>3</w:t>
            </w:r>
          </w:p>
        </w:tc>
      </w:tr>
      <w:tr w:rsidR="004D3280" w:rsidRPr="000C7549" w14:paraId="6CF37459" w14:textId="77777777" w:rsidTr="004D3280">
        <w:tc>
          <w:tcPr>
            <w:tcW w:w="2520" w:type="dxa"/>
            <w:shd w:val="clear" w:color="auto" w:fill="auto"/>
            <w:vAlign w:val="bottom"/>
          </w:tcPr>
          <w:p w14:paraId="206C6A28" w14:textId="77777777" w:rsidR="004D3280" w:rsidRPr="000C7549" w:rsidRDefault="004D3280" w:rsidP="004D3280">
            <w:pPr>
              <w:rPr>
                <w:rFonts w:ascii="Arial" w:hAnsi="Arial" w:cs="Arial"/>
                <w:color w:val="000000"/>
              </w:rPr>
            </w:pPr>
          </w:p>
        </w:tc>
        <w:tc>
          <w:tcPr>
            <w:tcW w:w="2031" w:type="dxa"/>
            <w:vAlign w:val="bottom"/>
          </w:tcPr>
          <w:p w14:paraId="7A313D13" w14:textId="5F49C976" w:rsidR="004D3280" w:rsidRPr="000C7549" w:rsidRDefault="004D3280" w:rsidP="004D3280">
            <w:pPr>
              <w:rPr>
                <w:rFonts w:ascii="Arial" w:hAnsi="Arial" w:cs="Arial"/>
                <w:i/>
                <w:color w:val="000000"/>
              </w:rPr>
            </w:pPr>
            <w:r w:rsidRPr="000C7549">
              <w:rPr>
                <w:rFonts w:ascii="Arial" w:hAnsi="Arial" w:cs="Arial"/>
                <w:i/>
                <w:color w:val="000000"/>
              </w:rPr>
              <w:t>Stelis</w:t>
            </w:r>
          </w:p>
        </w:tc>
        <w:tc>
          <w:tcPr>
            <w:tcW w:w="2017" w:type="dxa"/>
            <w:vAlign w:val="bottom"/>
          </w:tcPr>
          <w:p w14:paraId="4E00E9C1" w14:textId="2CC2ACE1" w:rsidR="004D3280" w:rsidRPr="000C7549" w:rsidRDefault="004D3280" w:rsidP="004D3280">
            <w:pPr>
              <w:rPr>
                <w:rFonts w:ascii="Arial" w:hAnsi="Arial" w:cs="Arial"/>
                <w:i/>
                <w:color w:val="000000"/>
              </w:rPr>
            </w:pPr>
            <w:proofErr w:type="spellStart"/>
            <w:r w:rsidRPr="000C7549">
              <w:rPr>
                <w:rFonts w:ascii="Arial" w:hAnsi="Arial" w:cs="Arial"/>
                <w:i/>
                <w:color w:val="000000"/>
              </w:rPr>
              <w:t>louisae</w:t>
            </w:r>
            <w:proofErr w:type="spellEnd"/>
          </w:p>
        </w:tc>
        <w:tc>
          <w:tcPr>
            <w:tcW w:w="1933" w:type="dxa"/>
            <w:shd w:val="clear" w:color="auto" w:fill="auto"/>
            <w:vAlign w:val="bottom"/>
          </w:tcPr>
          <w:p w14:paraId="141461AA" w14:textId="436EF4A0" w:rsidR="004D3280" w:rsidRPr="000C7549" w:rsidRDefault="004D3280" w:rsidP="004D3280">
            <w:pPr>
              <w:rPr>
                <w:rFonts w:ascii="Arial" w:hAnsi="Arial" w:cs="Arial"/>
                <w:color w:val="000000"/>
              </w:rPr>
            </w:pPr>
            <w:r w:rsidRPr="000C7549">
              <w:rPr>
                <w:rFonts w:ascii="Arial" w:hAnsi="Arial" w:cs="Arial"/>
                <w:color w:val="000000"/>
              </w:rPr>
              <w:t>1</w:t>
            </w:r>
          </w:p>
        </w:tc>
      </w:tr>
      <w:tr w:rsidR="004D3280" w:rsidRPr="000C7549" w14:paraId="357A32EF" w14:textId="77777777" w:rsidTr="004D3280">
        <w:tc>
          <w:tcPr>
            <w:tcW w:w="2520" w:type="dxa"/>
            <w:shd w:val="clear" w:color="auto" w:fill="auto"/>
            <w:vAlign w:val="bottom"/>
          </w:tcPr>
          <w:p w14:paraId="21DAA21D" w14:textId="632A3A42" w:rsidR="004D3280" w:rsidRPr="000C7549" w:rsidRDefault="004D3280" w:rsidP="004D3280">
            <w:pPr>
              <w:rPr>
                <w:rFonts w:ascii="Arial" w:hAnsi="Arial" w:cs="Arial"/>
                <w:color w:val="000000"/>
              </w:rPr>
            </w:pPr>
            <w:r w:rsidRPr="000C7549">
              <w:rPr>
                <w:rFonts w:ascii="Arial" w:hAnsi="Arial" w:cs="Arial"/>
                <w:color w:val="000000"/>
              </w:rPr>
              <w:t>Halictidae, n=3475</w:t>
            </w:r>
          </w:p>
        </w:tc>
        <w:tc>
          <w:tcPr>
            <w:tcW w:w="2031" w:type="dxa"/>
            <w:vAlign w:val="bottom"/>
          </w:tcPr>
          <w:p w14:paraId="5B89F838" w14:textId="6609F055" w:rsidR="004D3280" w:rsidRPr="000C7549" w:rsidRDefault="004D3280" w:rsidP="004D3280">
            <w:pPr>
              <w:rPr>
                <w:rFonts w:ascii="Arial" w:hAnsi="Arial" w:cs="Arial"/>
                <w:i/>
                <w:color w:val="000000"/>
              </w:rPr>
            </w:pPr>
            <w:r w:rsidRPr="000C7549">
              <w:rPr>
                <w:rFonts w:ascii="Arial" w:hAnsi="Arial" w:cs="Arial"/>
                <w:i/>
                <w:color w:val="000000"/>
              </w:rPr>
              <w:t>Agapostemon</w:t>
            </w:r>
          </w:p>
        </w:tc>
        <w:tc>
          <w:tcPr>
            <w:tcW w:w="2017" w:type="dxa"/>
            <w:vAlign w:val="bottom"/>
          </w:tcPr>
          <w:p w14:paraId="57045356" w14:textId="2655DE79" w:rsidR="004D3280" w:rsidRPr="000C7549" w:rsidRDefault="004D3280" w:rsidP="004D3280">
            <w:pPr>
              <w:rPr>
                <w:rFonts w:ascii="Arial" w:hAnsi="Arial" w:cs="Arial"/>
                <w:i/>
                <w:color w:val="000000"/>
              </w:rPr>
            </w:pPr>
            <w:r w:rsidRPr="000C7549">
              <w:rPr>
                <w:rFonts w:ascii="Arial" w:hAnsi="Arial" w:cs="Arial"/>
                <w:i/>
                <w:color w:val="000000"/>
              </w:rPr>
              <w:t>virescens</w:t>
            </w:r>
          </w:p>
        </w:tc>
        <w:tc>
          <w:tcPr>
            <w:tcW w:w="1933" w:type="dxa"/>
            <w:shd w:val="clear" w:color="auto" w:fill="auto"/>
            <w:vAlign w:val="bottom"/>
          </w:tcPr>
          <w:p w14:paraId="5BFDDFA9" w14:textId="47448985" w:rsidR="004D3280" w:rsidRPr="000C7549" w:rsidRDefault="004D3280" w:rsidP="004D3280">
            <w:pPr>
              <w:rPr>
                <w:rFonts w:ascii="Arial" w:hAnsi="Arial" w:cs="Arial"/>
                <w:color w:val="000000"/>
              </w:rPr>
            </w:pPr>
            <w:r w:rsidRPr="000C7549">
              <w:rPr>
                <w:rFonts w:ascii="Arial" w:hAnsi="Arial" w:cs="Arial"/>
                <w:color w:val="000000"/>
              </w:rPr>
              <w:t>41</w:t>
            </w:r>
          </w:p>
        </w:tc>
      </w:tr>
      <w:tr w:rsidR="004D3280" w:rsidRPr="000C7549" w14:paraId="4E10152F" w14:textId="77777777" w:rsidTr="004D3280">
        <w:tc>
          <w:tcPr>
            <w:tcW w:w="2520" w:type="dxa"/>
            <w:shd w:val="clear" w:color="auto" w:fill="auto"/>
            <w:vAlign w:val="bottom"/>
          </w:tcPr>
          <w:p w14:paraId="2C00BAD1" w14:textId="77777777" w:rsidR="004D3280" w:rsidRPr="000C7549" w:rsidRDefault="004D3280" w:rsidP="004D3280">
            <w:pPr>
              <w:rPr>
                <w:rFonts w:ascii="Arial" w:hAnsi="Arial" w:cs="Arial"/>
                <w:color w:val="000000"/>
              </w:rPr>
            </w:pPr>
          </w:p>
        </w:tc>
        <w:tc>
          <w:tcPr>
            <w:tcW w:w="2031" w:type="dxa"/>
            <w:vAlign w:val="bottom"/>
          </w:tcPr>
          <w:p w14:paraId="330B9C0C" w14:textId="77777777" w:rsidR="004D3280" w:rsidRPr="000C7549" w:rsidRDefault="004D3280" w:rsidP="004D3280">
            <w:pPr>
              <w:rPr>
                <w:rFonts w:ascii="Arial" w:hAnsi="Arial" w:cs="Arial"/>
                <w:i/>
                <w:color w:val="000000"/>
              </w:rPr>
            </w:pPr>
          </w:p>
        </w:tc>
        <w:tc>
          <w:tcPr>
            <w:tcW w:w="2017" w:type="dxa"/>
            <w:vAlign w:val="bottom"/>
          </w:tcPr>
          <w:p w14:paraId="5F6E5412" w14:textId="2B5C8AAF" w:rsidR="004D3280" w:rsidRPr="000C7549" w:rsidRDefault="004D3280" w:rsidP="004D3280">
            <w:pPr>
              <w:rPr>
                <w:rFonts w:ascii="Arial" w:hAnsi="Arial" w:cs="Arial"/>
                <w:i/>
                <w:color w:val="000000"/>
              </w:rPr>
            </w:pPr>
            <w:r w:rsidRPr="000C7549">
              <w:rPr>
                <w:rFonts w:ascii="Arial" w:hAnsi="Arial" w:cs="Arial"/>
                <w:i/>
                <w:color w:val="000000"/>
              </w:rPr>
              <w:t>sericeus</w:t>
            </w:r>
          </w:p>
        </w:tc>
        <w:tc>
          <w:tcPr>
            <w:tcW w:w="1933" w:type="dxa"/>
            <w:shd w:val="clear" w:color="auto" w:fill="auto"/>
            <w:vAlign w:val="bottom"/>
          </w:tcPr>
          <w:p w14:paraId="269C1CF8" w14:textId="18412D79" w:rsidR="004D3280" w:rsidRPr="000C7549" w:rsidRDefault="004D3280" w:rsidP="004D3280">
            <w:pPr>
              <w:rPr>
                <w:rFonts w:ascii="Arial" w:hAnsi="Arial" w:cs="Arial"/>
                <w:color w:val="000000"/>
              </w:rPr>
            </w:pPr>
            <w:r w:rsidRPr="000C7549">
              <w:rPr>
                <w:rFonts w:ascii="Arial" w:hAnsi="Arial" w:cs="Arial"/>
                <w:color w:val="000000"/>
              </w:rPr>
              <w:t>2</w:t>
            </w:r>
          </w:p>
        </w:tc>
      </w:tr>
      <w:tr w:rsidR="004D3280" w:rsidRPr="000C7549" w14:paraId="69B4890A" w14:textId="77777777" w:rsidTr="004D3280">
        <w:tc>
          <w:tcPr>
            <w:tcW w:w="2520" w:type="dxa"/>
            <w:shd w:val="clear" w:color="auto" w:fill="auto"/>
            <w:vAlign w:val="bottom"/>
          </w:tcPr>
          <w:p w14:paraId="2994EF85" w14:textId="77777777" w:rsidR="004D3280" w:rsidRPr="000C7549" w:rsidRDefault="004D3280" w:rsidP="004D3280">
            <w:pPr>
              <w:rPr>
                <w:rFonts w:ascii="Arial" w:hAnsi="Arial" w:cs="Arial"/>
                <w:color w:val="000000"/>
              </w:rPr>
            </w:pPr>
          </w:p>
        </w:tc>
        <w:tc>
          <w:tcPr>
            <w:tcW w:w="2031" w:type="dxa"/>
            <w:vAlign w:val="bottom"/>
          </w:tcPr>
          <w:p w14:paraId="51B59755" w14:textId="77777777" w:rsidR="004D3280" w:rsidRPr="000C7549" w:rsidRDefault="004D3280" w:rsidP="004D3280">
            <w:pPr>
              <w:rPr>
                <w:rFonts w:ascii="Arial" w:hAnsi="Arial" w:cs="Arial"/>
                <w:i/>
                <w:color w:val="000000"/>
              </w:rPr>
            </w:pPr>
          </w:p>
        </w:tc>
        <w:tc>
          <w:tcPr>
            <w:tcW w:w="2017" w:type="dxa"/>
            <w:vAlign w:val="bottom"/>
          </w:tcPr>
          <w:p w14:paraId="3E7B85CD" w14:textId="77777777" w:rsidR="004D3280" w:rsidRPr="000C7549" w:rsidRDefault="004D3280" w:rsidP="004D3280">
            <w:pPr>
              <w:rPr>
                <w:rFonts w:ascii="Arial" w:hAnsi="Arial" w:cs="Arial"/>
                <w:i/>
                <w:color w:val="000000"/>
              </w:rPr>
            </w:pPr>
          </w:p>
        </w:tc>
        <w:tc>
          <w:tcPr>
            <w:tcW w:w="1933" w:type="dxa"/>
            <w:shd w:val="clear" w:color="auto" w:fill="auto"/>
            <w:vAlign w:val="bottom"/>
          </w:tcPr>
          <w:p w14:paraId="23C8CEDC" w14:textId="77777777" w:rsidR="004D3280" w:rsidRPr="000C7549" w:rsidRDefault="004D3280" w:rsidP="004D3280">
            <w:pPr>
              <w:rPr>
                <w:rFonts w:ascii="Arial" w:hAnsi="Arial" w:cs="Arial"/>
                <w:color w:val="000000"/>
              </w:rPr>
            </w:pPr>
          </w:p>
        </w:tc>
      </w:tr>
    </w:tbl>
    <w:p w14:paraId="6B469FB2" w14:textId="27FC9C42" w:rsidR="00E723C2" w:rsidRPr="000C7549" w:rsidRDefault="007A32D7" w:rsidP="00E723C2">
      <w:pPr>
        <w:rPr>
          <w:rFonts w:ascii="Arial" w:hAnsi="Arial" w:cs="Arial"/>
        </w:rPr>
      </w:pPr>
      <w:r w:rsidRPr="000C7549">
        <w:rPr>
          <w:rFonts w:ascii="Arial" w:hAnsi="Arial" w:cs="Arial"/>
          <w:b/>
          <w:bCs/>
        </w:rPr>
        <w:lastRenderedPageBreak/>
        <w:t xml:space="preserve">“Table </w:t>
      </w:r>
      <w:r>
        <w:rPr>
          <w:rFonts w:ascii="Arial" w:hAnsi="Arial" w:cs="Arial"/>
          <w:b/>
          <w:bCs/>
        </w:rPr>
        <w:t>2</w:t>
      </w:r>
      <w:r w:rsidRPr="000C7549">
        <w:rPr>
          <w:rFonts w:ascii="Arial" w:hAnsi="Arial" w:cs="Arial"/>
          <w:b/>
          <w:bCs/>
        </w:rPr>
        <w:t xml:space="preserve"> Continued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966"/>
        <w:gridCol w:w="1976"/>
        <w:gridCol w:w="2145"/>
      </w:tblGrid>
      <w:tr w:rsidR="00E723C2" w:rsidRPr="000C7549" w14:paraId="68282080" w14:textId="77777777" w:rsidTr="00C9273B">
        <w:tc>
          <w:tcPr>
            <w:tcW w:w="2340" w:type="dxa"/>
            <w:shd w:val="clear" w:color="auto" w:fill="auto"/>
          </w:tcPr>
          <w:p w14:paraId="0F696E85" w14:textId="77777777" w:rsidR="00E723C2" w:rsidRPr="000C7549" w:rsidRDefault="00E723C2" w:rsidP="00C9273B">
            <w:pPr>
              <w:rPr>
                <w:rFonts w:ascii="Arial" w:hAnsi="Arial" w:cs="Arial"/>
              </w:rPr>
            </w:pPr>
            <w:r w:rsidRPr="000C7549">
              <w:rPr>
                <w:rFonts w:ascii="Arial" w:hAnsi="Arial" w:cs="Arial"/>
              </w:rPr>
              <w:t>Family</w:t>
            </w:r>
          </w:p>
        </w:tc>
        <w:tc>
          <w:tcPr>
            <w:tcW w:w="1966" w:type="dxa"/>
          </w:tcPr>
          <w:p w14:paraId="5AC1ABB9" w14:textId="77777777" w:rsidR="00E723C2" w:rsidRPr="000C7549" w:rsidRDefault="00E723C2" w:rsidP="00C9273B">
            <w:pPr>
              <w:rPr>
                <w:rFonts w:ascii="Arial" w:hAnsi="Arial" w:cs="Arial"/>
                <w:i/>
                <w:color w:val="000000"/>
              </w:rPr>
            </w:pPr>
            <w:r w:rsidRPr="000C7549">
              <w:rPr>
                <w:rFonts w:ascii="Arial" w:hAnsi="Arial" w:cs="Arial"/>
              </w:rPr>
              <w:t>Genus</w:t>
            </w:r>
          </w:p>
        </w:tc>
        <w:tc>
          <w:tcPr>
            <w:tcW w:w="1976" w:type="dxa"/>
          </w:tcPr>
          <w:p w14:paraId="52E5B604" w14:textId="77777777" w:rsidR="00E723C2" w:rsidRPr="000C7549" w:rsidRDefault="00E723C2" w:rsidP="00C9273B">
            <w:pPr>
              <w:rPr>
                <w:rFonts w:ascii="Arial" w:hAnsi="Arial" w:cs="Arial"/>
                <w:i/>
                <w:color w:val="000000"/>
              </w:rPr>
            </w:pPr>
            <w:r w:rsidRPr="000C7549">
              <w:rPr>
                <w:rFonts w:ascii="Arial" w:hAnsi="Arial" w:cs="Arial"/>
              </w:rPr>
              <w:t>Species</w:t>
            </w:r>
          </w:p>
        </w:tc>
        <w:tc>
          <w:tcPr>
            <w:tcW w:w="2145" w:type="dxa"/>
            <w:shd w:val="clear" w:color="auto" w:fill="auto"/>
          </w:tcPr>
          <w:p w14:paraId="5184A12D" w14:textId="77777777" w:rsidR="00E723C2" w:rsidRPr="000C7549" w:rsidRDefault="00E723C2" w:rsidP="00C9273B">
            <w:pPr>
              <w:rPr>
                <w:rFonts w:ascii="Arial" w:hAnsi="Arial" w:cs="Arial"/>
                <w:color w:val="000000"/>
              </w:rPr>
            </w:pPr>
            <w:r w:rsidRPr="000C7549">
              <w:rPr>
                <w:rFonts w:ascii="Arial" w:hAnsi="Arial" w:cs="Arial"/>
              </w:rPr>
              <w:t>Count of Species</w:t>
            </w:r>
          </w:p>
        </w:tc>
      </w:tr>
      <w:tr w:rsidR="007A32D7" w:rsidRPr="000C7549" w14:paraId="04FB2930" w14:textId="77777777" w:rsidTr="00C9273B">
        <w:tc>
          <w:tcPr>
            <w:tcW w:w="2340" w:type="dxa"/>
            <w:shd w:val="clear" w:color="auto" w:fill="auto"/>
            <w:vAlign w:val="bottom"/>
          </w:tcPr>
          <w:p w14:paraId="6673B094" w14:textId="26A90B43" w:rsidR="007A32D7" w:rsidRPr="000C7549" w:rsidRDefault="007A32D7" w:rsidP="007A32D7">
            <w:pPr>
              <w:rPr>
                <w:rFonts w:ascii="Arial" w:hAnsi="Arial" w:cs="Arial"/>
              </w:rPr>
            </w:pPr>
            <w:r w:rsidRPr="000C7549">
              <w:rPr>
                <w:rFonts w:ascii="Arial" w:hAnsi="Arial" w:cs="Arial"/>
                <w:color w:val="000000"/>
              </w:rPr>
              <w:t>Halictidae, n=3475</w:t>
            </w:r>
          </w:p>
        </w:tc>
        <w:tc>
          <w:tcPr>
            <w:tcW w:w="1966" w:type="dxa"/>
            <w:vAlign w:val="bottom"/>
          </w:tcPr>
          <w:p w14:paraId="7F4A150C" w14:textId="3E21C762" w:rsidR="007A32D7" w:rsidRPr="000C7549" w:rsidRDefault="007A32D7" w:rsidP="007A32D7">
            <w:pPr>
              <w:rPr>
                <w:rFonts w:ascii="Arial" w:hAnsi="Arial" w:cs="Arial"/>
                <w:i/>
                <w:color w:val="000000"/>
              </w:rPr>
            </w:pPr>
            <w:r w:rsidRPr="000C7549">
              <w:rPr>
                <w:rFonts w:ascii="Arial" w:hAnsi="Arial" w:cs="Arial"/>
                <w:i/>
                <w:color w:val="000000"/>
              </w:rPr>
              <w:t>Agapostemon</w:t>
            </w:r>
          </w:p>
        </w:tc>
        <w:tc>
          <w:tcPr>
            <w:tcW w:w="1976" w:type="dxa"/>
            <w:vAlign w:val="bottom"/>
          </w:tcPr>
          <w:p w14:paraId="58167427" w14:textId="735AB839" w:rsidR="007A32D7" w:rsidRPr="000C7549" w:rsidRDefault="007A32D7" w:rsidP="007A32D7">
            <w:pPr>
              <w:rPr>
                <w:rFonts w:ascii="Arial" w:hAnsi="Arial" w:cs="Arial"/>
                <w:i/>
                <w:color w:val="000000"/>
              </w:rPr>
            </w:pPr>
            <w:r w:rsidRPr="000C7549">
              <w:rPr>
                <w:rFonts w:ascii="Arial" w:hAnsi="Arial" w:cs="Arial"/>
                <w:i/>
                <w:color w:val="000000"/>
              </w:rPr>
              <w:t>texanus*</w:t>
            </w:r>
          </w:p>
        </w:tc>
        <w:tc>
          <w:tcPr>
            <w:tcW w:w="2145" w:type="dxa"/>
            <w:shd w:val="clear" w:color="auto" w:fill="auto"/>
            <w:vAlign w:val="bottom"/>
          </w:tcPr>
          <w:p w14:paraId="7072F3AD" w14:textId="7A5A598A" w:rsidR="007A32D7" w:rsidRPr="000C7549" w:rsidRDefault="007A32D7" w:rsidP="007A32D7">
            <w:pPr>
              <w:rPr>
                <w:rFonts w:ascii="Arial" w:hAnsi="Arial" w:cs="Arial"/>
                <w:color w:val="000000"/>
              </w:rPr>
            </w:pPr>
            <w:r w:rsidRPr="000C7549">
              <w:rPr>
                <w:rFonts w:ascii="Arial" w:hAnsi="Arial" w:cs="Arial"/>
                <w:color w:val="000000"/>
              </w:rPr>
              <w:t>1</w:t>
            </w:r>
          </w:p>
        </w:tc>
      </w:tr>
      <w:tr w:rsidR="007A32D7" w:rsidRPr="000C7549" w14:paraId="2D507A58" w14:textId="77777777" w:rsidTr="00C9273B">
        <w:tc>
          <w:tcPr>
            <w:tcW w:w="2340" w:type="dxa"/>
            <w:shd w:val="clear" w:color="auto" w:fill="auto"/>
            <w:vAlign w:val="bottom"/>
          </w:tcPr>
          <w:p w14:paraId="3267DB4C" w14:textId="77777777" w:rsidR="007A32D7" w:rsidRPr="000C7549" w:rsidRDefault="007A32D7" w:rsidP="007A32D7">
            <w:pPr>
              <w:rPr>
                <w:rFonts w:ascii="Arial" w:hAnsi="Arial" w:cs="Arial"/>
              </w:rPr>
            </w:pPr>
          </w:p>
        </w:tc>
        <w:tc>
          <w:tcPr>
            <w:tcW w:w="1966" w:type="dxa"/>
            <w:vAlign w:val="bottom"/>
          </w:tcPr>
          <w:p w14:paraId="5554C9AD" w14:textId="56E1F35A" w:rsidR="007A32D7" w:rsidRPr="000C7549" w:rsidRDefault="007A32D7" w:rsidP="007A32D7">
            <w:pPr>
              <w:rPr>
                <w:rFonts w:ascii="Arial" w:hAnsi="Arial" w:cs="Arial"/>
                <w:i/>
                <w:color w:val="000000"/>
              </w:rPr>
            </w:pPr>
            <w:r w:rsidRPr="000C7549">
              <w:rPr>
                <w:rFonts w:ascii="Arial" w:hAnsi="Arial" w:cs="Arial"/>
                <w:i/>
                <w:color w:val="000000"/>
              </w:rPr>
              <w:t>Augochlora</w:t>
            </w:r>
          </w:p>
        </w:tc>
        <w:tc>
          <w:tcPr>
            <w:tcW w:w="1976" w:type="dxa"/>
            <w:vAlign w:val="bottom"/>
          </w:tcPr>
          <w:p w14:paraId="30C9CE3C" w14:textId="772A06A1" w:rsidR="007A32D7" w:rsidRPr="000C7549" w:rsidRDefault="007A32D7" w:rsidP="007A32D7">
            <w:pPr>
              <w:rPr>
                <w:rFonts w:ascii="Arial" w:hAnsi="Arial" w:cs="Arial"/>
                <w:i/>
                <w:color w:val="000000"/>
              </w:rPr>
            </w:pPr>
            <w:r w:rsidRPr="000C7549">
              <w:rPr>
                <w:rFonts w:ascii="Arial" w:hAnsi="Arial" w:cs="Arial"/>
                <w:i/>
                <w:color w:val="000000"/>
              </w:rPr>
              <w:t>pura</w:t>
            </w:r>
          </w:p>
        </w:tc>
        <w:tc>
          <w:tcPr>
            <w:tcW w:w="2145" w:type="dxa"/>
            <w:shd w:val="clear" w:color="auto" w:fill="auto"/>
            <w:vAlign w:val="bottom"/>
          </w:tcPr>
          <w:p w14:paraId="48F9AC36" w14:textId="224D464D" w:rsidR="007A32D7" w:rsidRPr="000C7549" w:rsidRDefault="007A32D7" w:rsidP="007A32D7">
            <w:pPr>
              <w:rPr>
                <w:rFonts w:ascii="Arial" w:hAnsi="Arial" w:cs="Arial"/>
                <w:color w:val="000000"/>
              </w:rPr>
            </w:pPr>
            <w:r w:rsidRPr="000C7549">
              <w:rPr>
                <w:rFonts w:ascii="Arial" w:hAnsi="Arial" w:cs="Arial"/>
                <w:color w:val="000000"/>
              </w:rPr>
              <w:t>12</w:t>
            </w:r>
          </w:p>
        </w:tc>
      </w:tr>
      <w:tr w:rsidR="007A32D7" w:rsidRPr="000C7549" w14:paraId="206E2A4E" w14:textId="77777777" w:rsidTr="00C9273B">
        <w:tc>
          <w:tcPr>
            <w:tcW w:w="2340" w:type="dxa"/>
            <w:shd w:val="clear" w:color="auto" w:fill="auto"/>
            <w:vAlign w:val="bottom"/>
          </w:tcPr>
          <w:p w14:paraId="03725CF0" w14:textId="77777777" w:rsidR="007A32D7" w:rsidRPr="000C7549" w:rsidRDefault="007A32D7" w:rsidP="007A32D7">
            <w:pPr>
              <w:rPr>
                <w:rFonts w:ascii="Arial" w:hAnsi="Arial" w:cs="Arial"/>
              </w:rPr>
            </w:pPr>
          </w:p>
        </w:tc>
        <w:tc>
          <w:tcPr>
            <w:tcW w:w="1966" w:type="dxa"/>
            <w:vAlign w:val="bottom"/>
          </w:tcPr>
          <w:p w14:paraId="556403EE" w14:textId="3541B49D" w:rsidR="007A32D7" w:rsidRPr="000C7549" w:rsidRDefault="007A32D7" w:rsidP="007A32D7">
            <w:pPr>
              <w:rPr>
                <w:rFonts w:ascii="Arial" w:hAnsi="Arial" w:cs="Arial"/>
                <w:i/>
                <w:color w:val="000000"/>
              </w:rPr>
            </w:pPr>
            <w:r w:rsidRPr="000C7549">
              <w:rPr>
                <w:rFonts w:ascii="Arial" w:hAnsi="Arial" w:cs="Arial"/>
                <w:i/>
                <w:color w:val="000000"/>
              </w:rPr>
              <w:t>Augochlorella</w:t>
            </w:r>
          </w:p>
        </w:tc>
        <w:tc>
          <w:tcPr>
            <w:tcW w:w="1976" w:type="dxa"/>
            <w:vAlign w:val="bottom"/>
          </w:tcPr>
          <w:p w14:paraId="78F7A9C2" w14:textId="098EBC89" w:rsidR="007A32D7" w:rsidRPr="000C7549" w:rsidRDefault="007A32D7" w:rsidP="007A32D7">
            <w:pPr>
              <w:rPr>
                <w:rFonts w:ascii="Arial" w:hAnsi="Arial" w:cs="Arial"/>
                <w:i/>
                <w:color w:val="000000"/>
              </w:rPr>
            </w:pPr>
            <w:r w:rsidRPr="000C7549">
              <w:rPr>
                <w:rFonts w:ascii="Arial" w:hAnsi="Arial" w:cs="Arial"/>
                <w:i/>
                <w:color w:val="000000"/>
              </w:rPr>
              <w:t>aurata</w:t>
            </w:r>
          </w:p>
        </w:tc>
        <w:tc>
          <w:tcPr>
            <w:tcW w:w="2145" w:type="dxa"/>
            <w:shd w:val="clear" w:color="auto" w:fill="auto"/>
            <w:vAlign w:val="bottom"/>
          </w:tcPr>
          <w:p w14:paraId="503871AF" w14:textId="43E38EF7" w:rsidR="007A32D7" w:rsidRPr="000C7549" w:rsidRDefault="007A32D7" w:rsidP="007A32D7">
            <w:pPr>
              <w:rPr>
                <w:rFonts w:ascii="Arial" w:hAnsi="Arial" w:cs="Arial"/>
                <w:color w:val="000000"/>
              </w:rPr>
            </w:pPr>
            <w:r w:rsidRPr="000C7549">
              <w:rPr>
                <w:rFonts w:ascii="Arial" w:hAnsi="Arial" w:cs="Arial"/>
                <w:color w:val="000000"/>
              </w:rPr>
              <w:t>375</w:t>
            </w:r>
          </w:p>
        </w:tc>
      </w:tr>
      <w:tr w:rsidR="007A32D7" w:rsidRPr="000C7549" w14:paraId="09E44ECB" w14:textId="77777777" w:rsidTr="00C9273B">
        <w:tc>
          <w:tcPr>
            <w:tcW w:w="2340" w:type="dxa"/>
            <w:shd w:val="clear" w:color="auto" w:fill="auto"/>
            <w:vAlign w:val="bottom"/>
          </w:tcPr>
          <w:p w14:paraId="3D59C31C" w14:textId="77777777" w:rsidR="007A32D7" w:rsidRPr="000C7549" w:rsidRDefault="007A32D7" w:rsidP="007A32D7">
            <w:pPr>
              <w:rPr>
                <w:rFonts w:ascii="Arial" w:hAnsi="Arial" w:cs="Arial"/>
              </w:rPr>
            </w:pPr>
          </w:p>
        </w:tc>
        <w:tc>
          <w:tcPr>
            <w:tcW w:w="1966" w:type="dxa"/>
            <w:vAlign w:val="bottom"/>
          </w:tcPr>
          <w:p w14:paraId="379EDBAB" w14:textId="6B6D39D0" w:rsidR="007A32D7" w:rsidRPr="000C7549" w:rsidRDefault="007A32D7" w:rsidP="007A32D7">
            <w:pPr>
              <w:rPr>
                <w:rFonts w:ascii="Arial" w:hAnsi="Arial" w:cs="Arial"/>
                <w:i/>
                <w:color w:val="000000"/>
              </w:rPr>
            </w:pPr>
          </w:p>
        </w:tc>
        <w:tc>
          <w:tcPr>
            <w:tcW w:w="1976" w:type="dxa"/>
            <w:vAlign w:val="bottom"/>
          </w:tcPr>
          <w:p w14:paraId="645E086F" w14:textId="0BF0603E" w:rsidR="007A32D7" w:rsidRPr="000C7549" w:rsidRDefault="007A32D7" w:rsidP="007A32D7">
            <w:pPr>
              <w:rPr>
                <w:rFonts w:ascii="Arial" w:hAnsi="Arial" w:cs="Arial"/>
                <w:i/>
                <w:color w:val="000000"/>
              </w:rPr>
            </w:pPr>
            <w:r w:rsidRPr="000C7549">
              <w:rPr>
                <w:rFonts w:ascii="Arial" w:hAnsi="Arial" w:cs="Arial"/>
                <w:i/>
                <w:color w:val="000000"/>
              </w:rPr>
              <w:t>persimilis</w:t>
            </w:r>
          </w:p>
        </w:tc>
        <w:tc>
          <w:tcPr>
            <w:tcW w:w="2145" w:type="dxa"/>
            <w:shd w:val="clear" w:color="auto" w:fill="auto"/>
            <w:vAlign w:val="bottom"/>
          </w:tcPr>
          <w:p w14:paraId="067677F3" w14:textId="1FA8DB14" w:rsidR="007A32D7" w:rsidRPr="000C7549" w:rsidRDefault="007A32D7" w:rsidP="007A32D7">
            <w:pPr>
              <w:rPr>
                <w:rFonts w:ascii="Arial" w:hAnsi="Arial" w:cs="Arial"/>
                <w:color w:val="000000"/>
              </w:rPr>
            </w:pPr>
            <w:r w:rsidRPr="000C7549">
              <w:rPr>
                <w:rFonts w:ascii="Arial" w:hAnsi="Arial" w:cs="Arial"/>
                <w:color w:val="000000"/>
              </w:rPr>
              <w:t>116</w:t>
            </w:r>
          </w:p>
        </w:tc>
      </w:tr>
      <w:tr w:rsidR="007A32D7" w:rsidRPr="000C7549" w14:paraId="6DFD191F" w14:textId="77777777" w:rsidTr="00C9273B">
        <w:tc>
          <w:tcPr>
            <w:tcW w:w="2340" w:type="dxa"/>
            <w:shd w:val="clear" w:color="auto" w:fill="auto"/>
            <w:vAlign w:val="bottom"/>
          </w:tcPr>
          <w:p w14:paraId="16AF66FD" w14:textId="77777777" w:rsidR="007A32D7" w:rsidRPr="000C7549" w:rsidRDefault="007A32D7" w:rsidP="007A32D7">
            <w:pPr>
              <w:rPr>
                <w:rFonts w:ascii="Arial" w:hAnsi="Arial" w:cs="Arial"/>
              </w:rPr>
            </w:pPr>
          </w:p>
        </w:tc>
        <w:tc>
          <w:tcPr>
            <w:tcW w:w="1966" w:type="dxa"/>
            <w:vAlign w:val="bottom"/>
          </w:tcPr>
          <w:p w14:paraId="620EB5F3" w14:textId="254D7062" w:rsidR="007A32D7" w:rsidRPr="000C7549" w:rsidRDefault="007A32D7" w:rsidP="007A32D7">
            <w:pPr>
              <w:rPr>
                <w:rFonts w:ascii="Arial" w:hAnsi="Arial" w:cs="Arial"/>
                <w:i/>
                <w:color w:val="000000"/>
              </w:rPr>
            </w:pPr>
          </w:p>
        </w:tc>
        <w:tc>
          <w:tcPr>
            <w:tcW w:w="1976" w:type="dxa"/>
            <w:vAlign w:val="bottom"/>
          </w:tcPr>
          <w:p w14:paraId="69671466" w14:textId="2BE95CB8" w:rsidR="007A32D7" w:rsidRPr="000C7549" w:rsidRDefault="007A32D7" w:rsidP="007A32D7">
            <w:pPr>
              <w:rPr>
                <w:rFonts w:ascii="Arial" w:hAnsi="Arial" w:cs="Arial"/>
                <w:i/>
                <w:color w:val="000000"/>
              </w:rPr>
            </w:pPr>
            <w:r w:rsidRPr="000C7549">
              <w:rPr>
                <w:rFonts w:ascii="Arial" w:hAnsi="Arial" w:cs="Arial"/>
                <w:i/>
                <w:color w:val="000000"/>
              </w:rPr>
              <w:t>sp</w:t>
            </w:r>
          </w:p>
        </w:tc>
        <w:tc>
          <w:tcPr>
            <w:tcW w:w="2145" w:type="dxa"/>
            <w:shd w:val="clear" w:color="auto" w:fill="auto"/>
            <w:vAlign w:val="bottom"/>
          </w:tcPr>
          <w:p w14:paraId="32868730" w14:textId="3296B924" w:rsidR="007A32D7" w:rsidRPr="000C7549" w:rsidRDefault="007A32D7" w:rsidP="007A32D7">
            <w:pPr>
              <w:rPr>
                <w:rFonts w:ascii="Arial" w:hAnsi="Arial" w:cs="Arial"/>
                <w:color w:val="000000"/>
              </w:rPr>
            </w:pPr>
            <w:r w:rsidRPr="000C7549">
              <w:rPr>
                <w:rFonts w:ascii="Arial" w:hAnsi="Arial" w:cs="Arial"/>
                <w:color w:val="000000"/>
              </w:rPr>
              <w:t>2</w:t>
            </w:r>
          </w:p>
        </w:tc>
      </w:tr>
      <w:tr w:rsidR="007A32D7" w:rsidRPr="000C7549" w14:paraId="777B66EB" w14:textId="77777777" w:rsidTr="00C9273B">
        <w:tc>
          <w:tcPr>
            <w:tcW w:w="2340" w:type="dxa"/>
            <w:shd w:val="clear" w:color="auto" w:fill="auto"/>
            <w:vAlign w:val="bottom"/>
          </w:tcPr>
          <w:p w14:paraId="21B9AE8D" w14:textId="77777777" w:rsidR="007A32D7" w:rsidRPr="000C7549" w:rsidRDefault="007A32D7" w:rsidP="007A32D7">
            <w:pPr>
              <w:rPr>
                <w:rFonts w:ascii="Arial" w:hAnsi="Arial" w:cs="Arial"/>
              </w:rPr>
            </w:pPr>
          </w:p>
        </w:tc>
        <w:tc>
          <w:tcPr>
            <w:tcW w:w="1966" w:type="dxa"/>
            <w:vAlign w:val="bottom"/>
          </w:tcPr>
          <w:p w14:paraId="6B6A2D76" w14:textId="34BABA9C" w:rsidR="007A32D7" w:rsidRPr="000C7549" w:rsidRDefault="007A32D7" w:rsidP="007A32D7">
            <w:pPr>
              <w:rPr>
                <w:rFonts w:ascii="Arial" w:hAnsi="Arial" w:cs="Arial"/>
                <w:i/>
                <w:color w:val="000000"/>
              </w:rPr>
            </w:pPr>
            <w:r w:rsidRPr="000C7549">
              <w:rPr>
                <w:rFonts w:ascii="Arial" w:hAnsi="Arial" w:cs="Arial"/>
                <w:i/>
                <w:color w:val="000000"/>
              </w:rPr>
              <w:t>Augochloropsis</w:t>
            </w:r>
          </w:p>
        </w:tc>
        <w:tc>
          <w:tcPr>
            <w:tcW w:w="1976" w:type="dxa"/>
            <w:vAlign w:val="bottom"/>
          </w:tcPr>
          <w:p w14:paraId="635F0AB1" w14:textId="5B4959B1" w:rsidR="007A32D7" w:rsidRPr="000C7549" w:rsidRDefault="007A32D7" w:rsidP="007A32D7">
            <w:pPr>
              <w:rPr>
                <w:rFonts w:ascii="Arial" w:hAnsi="Arial" w:cs="Arial"/>
                <w:i/>
                <w:color w:val="000000"/>
              </w:rPr>
            </w:pPr>
            <w:r w:rsidRPr="000C7549">
              <w:rPr>
                <w:rFonts w:ascii="Arial" w:hAnsi="Arial" w:cs="Arial"/>
                <w:i/>
                <w:color w:val="000000"/>
              </w:rPr>
              <w:t>metallica</w:t>
            </w:r>
          </w:p>
        </w:tc>
        <w:tc>
          <w:tcPr>
            <w:tcW w:w="2145" w:type="dxa"/>
            <w:shd w:val="clear" w:color="auto" w:fill="auto"/>
            <w:vAlign w:val="bottom"/>
          </w:tcPr>
          <w:p w14:paraId="502A07D5" w14:textId="2802BD4F" w:rsidR="007A32D7" w:rsidRPr="000C7549" w:rsidRDefault="007A32D7" w:rsidP="007A32D7">
            <w:pPr>
              <w:rPr>
                <w:rFonts w:ascii="Arial" w:hAnsi="Arial" w:cs="Arial"/>
                <w:color w:val="000000"/>
              </w:rPr>
            </w:pPr>
            <w:r w:rsidRPr="000C7549">
              <w:rPr>
                <w:rFonts w:ascii="Arial" w:hAnsi="Arial" w:cs="Arial"/>
                <w:color w:val="000000"/>
              </w:rPr>
              <w:t>185</w:t>
            </w:r>
          </w:p>
        </w:tc>
      </w:tr>
      <w:tr w:rsidR="007A32D7" w:rsidRPr="000C7549" w14:paraId="7BD3D9B3" w14:textId="77777777" w:rsidTr="00C9273B">
        <w:tc>
          <w:tcPr>
            <w:tcW w:w="2340" w:type="dxa"/>
            <w:shd w:val="clear" w:color="auto" w:fill="auto"/>
            <w:vAlign w:val="bottom"/>
          </w:tcPr>
          <w:p w14:paraId="54283ED4" w14:textId="77777777" w:rsidR="007A32D7" w:rsidRPr="000C7549" w:rsidRDefault="007A32D7" w:rsidP="007A32D7">
            <w:pPr>
              <w:rPr>
                <w:rFonts w:ascii="Arial" w:hAnsi="Arial" w:cs="Arial"/>
              </w:rPr>
            </w:pPr>
          </w:p>
        </w:tc>
        <w:tc>
          <w:tcPr>
            <w:tcW w:w="1966" w:type="dxa"/>
            <w:vAlign w:val="bottom"/>
          </w:tcPr>
          <w:p w14:paraId="26FF35CA" w14:textId="7A95C8C3" w:rsidR="007A32D7" w:rsidRPr="000C7549" w:rsidRDefault="007A32D7" w:rsidP="007A32D7">
            <w:pPr>
              <w:rPr>
                <w:rFonts w:ascii="Arial" w:hAnsi="Arial" w:cs="Arial"/>
                <w:i/>
                <w:color w:val="000000"/>
              </w:rPr>
            </w:pPr>
            <w:r w:rsidRPr="000C7549">
              <w:rPr>
                <w:rFonts w:ascii="Arial" w:hAnsi="Arial" w:cs="Arial"/>
                <w:i/>
                <w:color w:val="000000"/>
              </w:rPr>
              <w:t>Halictus</w:t>
            </w:r>
          </w:p>
        </w:tc>
        <w:tc>
          <w:tcPr>
            <w:tcW w:w="1976" w:type="dxa"/>
            <w:vAlign w:val="bottom"/>
          </w:tcPr>
          <w:p w14:paraId="27BF5A01" w14:textId="0C2549A8" w:rsidR="007A32D7" w:rsidRPr="000C7549" w:rsidRDefault="007A32D7" w:rsidP="007A32D7">
            <w:pPr>
              <w:rPr>
                <w:rFonts w:ascii="Arial" w:hAnsi="Arial" w:cs="Arial"/>
                <w:i/>
                <w:color w:val="000000"/>
              </w:rPr>
            </w:pPr>
            <w:r w:rsidRPr="000C7549">
              <w:rPr>
                <w:rFonts w:ascii="Arial" w:hAnsi="Arial" w:cs="Arial"/>
                <w:i/>
                <w:color w:val="000000"/>
              </w:rPr>
              <w:t>ligatus/poeyi</w:t>
            </w:r>
          </w:p>
        </w:tc>
        <w:tc>
          <w:tcPr>
            <w:tcW w:w="2145" w:type="dxa"/>
            <w:shd w:val="clear" w:color="auto" w:fill="auto"/>
            <w:vAlign w:val="bottom"/>
          </w:tcPr>
          <w:p w14:paraId="72ECA71C" w14:textId="0D87703A" w:rsidR="007A32D7" w:rsidRPr="000C7549" w:rsidRDefault="007A32D7" w:rsidP="007A32D7">
            <w:pPr>
              <w:rPr>
                <w:rFonts w:ascii="Arial" w:hAnsi="Arial" w:cs="Arial"/>
                <w:color w:val="000000"/>
              </w:rPr>
            </w:pPr>
            <w:r w:rsidRPr="000C7549">
              <w:rPr>
                <w:rFonts w:ascii="Arial" w:hAnsi="Arial" w:cs="Arial"/>
                <w:color w:val="000000"/>
              </w:rPr>
              <w:t>921</w:t>
            </w:r>
          </w:p>
        </w:tc>
      </w:tr>
      <w:tr w:rsidR="007A32D7" w:rsidRPr="000C7549" w14:paraId="234D977B" w14:textId="77777777" w:rsidTr="00C9273B">
        <w:tc>
          <w:tcPr>
            <w:tcW w:w="2340" w:type="dxa"/>
            <w:shd w:val="clear" w:color="auto" w:fill="auto"/>
            <w:vAlign w:val="bottom"/>
          </w:tcPr>
          <w:p w14:paraId="0953A40A" w14:textId="77777777" w:rsidR="007A32D7" w:rsidRPr="000C7549" w:rsidRDefault="007A32D7" w:rsidP="007A32D7">
            <w:pPr>
              <w:rPr>
                <w:rFonts w:ascii="Arial" w:hAnsi="Arial" w:cs="Arial"/>
              </w:rPr>
            </w:pPr>
          </w:p>
        </w:tc>
        <w:tc>
          <w:tcPr>
            <w:tcW w:w="1966" w:type="dxa"/>
            <w:vAlign w:val="bottom"/>
          </w:tcPr>
          <w:p w14:paraId="68C8B86C" w14:textId="0ADED76B" w:rsidR="007A32D7" w:rsidRPr="000C7549" w:rsidRDefault="007A32D7" w:rsidP="007A32D7">
            <w:pPr>
              <w:rPr>
                <w:rFonts w:ascii="Arial" w:hAnsi="Arial" w:cs="Arial"/>
                <w:i/>
                <w:color w:val="000000"/>
              </w:rPr>
            </w:pPr>
          </w:p>
        </w:tc>
        <w:tc>
          <w:tcPr>
            <w:tcW w:w="1976" w:type="dxa"/>
            <w:vAlign w:val="bottom"/>
          </w:tcPr>
          <w:p w14:paraId="7757E830" w14:textId="1FE90B68" w:rsidR="007A32D7" w:rsidRPr="000C7549" w:rsidRDefault="007A32D7" w:rsidP="007A32D7">
            <w:pPr>
              <w:rPr>
                <w:rFonts w:ascii="Arial" w:hAnsi="Arial" w:cs="Arial"/>
                <w:i/>
                <w:color w:val="000000"/>
              </w:rPr>
            </w:pPr>
            <w:r w:rsidRPr="000C7549">
              <w:rPr>
                <w:rFonts w:ascii="Arial" w:hAnsi="Arial" w:cs="Arial"/>
                <w:i/>
                <w:color w:val="000000"/>
              </w:rPr>
              <w:t>confusus</w:t>
            </w:r>
          </w:p>
        </w:tc>
        <w:tc>
          <w:tcPr>
            <w:tcW w:w="2145" w:type="dxa"/>
            <w:shd w:val="clear" w:color="auto" w:fill="auto"/>
            <w:vAlign w:val="bottom"/>
          </w:tcPr>
          <w:p w14:paraId="02737B4B" w14:textId="4A67604F" w:rsidR="007A32D7" w:rsidRPr="000C7549" w:rsidRDefault="007A32D7" w:rsidP="007A32D7">
            <w:pPr>
              <w:rPr>
                <w:rFonts w:ascii="Arial" w:hAnsi="Arial" w:cs="Arial"/>
                <w:color w:val="000000"/>
              </w:rPr>
            </w:pPr>
            <w:r w:rsidRPr="000C7549">
              <w:rPr>
                <w:rFonts w:ascii="Arial" w:hAnsi="Arial" w:cs="Arial"/>
                <w:color w:val="000000"/>
              </w:rPr>
              <w:t>165</w:t>
            </w:r>
          </w:p>
        </w:tc>
      </w:tr>
      <w:tr w:rsidR="007A32D7" w:rsidRPr="000C7549" w14:paraId="4B62F199" w14:textId="77777777" w:rsidTr="00C9273B">
        <w:tc>
          <w:tcPr>
            <w:tcW w:w="2340" w:type="dxa"/>
            <w:shd w:val="clear" w:color="auto" w:fill="auto"/>
            <w:vAlign w:val="bottom"/>
          </w:tcPr>
          <w:p w14:paraId="72B91C1B" w14:textId="77777777" w:rsidR="007A32D7" w:rsidRPr="000C7549" w:rsidRDefault="007A32D7" w:rsidP="007A32D7">
            <w:pPr>
              <w:rPr>
                <w:rFonts w:ascii="Arial" w:hAnsi="Arial" w:cs="Arial"/>
              </w:rPr>
            </w:pPr>
          </w:p>
        </w:tc>
        <w:tc>
          <w:tcPr>
            <w:tcW w:w="1966" w:type="dxa"/>
            <w:vAlign w:val="bottom"/>
          </w:tcPr>
          <w:p w14:paraId="42782128" w14:textId="77777777" w:rsidR="007A32D7" w:rsidRPr="000C7549" w:rsidRDefault="007A32D7" w:rsidP="007A32D7">
            <w:pPr>
              <w:rPr>
                <w:rFonts w:ascii="Arial" w:hAnsi="Arial" w:cs="Arial"/>
                <w:i/>
                <w:color w:val="000000"/>
              </w:rPr>
            </w:pPr>
          </w:p>
        </w:tc>
        <w:tc>
          <w:tcPr>
            <w:tcW w:w="1976" w:type="dxa"/>
            <w:vAlign w:val="bottom"/>
          </w:tcPr>
          <w:p w14:paraId="159CE45C" w14:textId="7AE69422" w:rsidR="007A32D7" w:rsidRPr="000C7549" w:rsidRDefault="007A32D7" w:rsidP="007A32D7">
            <w:pPr>
              <w:rPr>
                <w:rFonts w:ascii="Arial" w:hAnsi="Arial" w:cs="Arial"/>
                <w:i/>
                <w:color w:val="000000"/>
              </w:rPr>
            </w:pPr>
            <w:r w:rsidRPr="000C7549">
              <w:rPr>
                <w:rFonts w:ascii="Arial" w:hAnsi="Arial" w:cs="Arial"/>
                <w:i/>
                <w:color w:val="000000"/>
              </w:rPr>
              <w:t>paralellus*</w:t>
            </w:r>
          </w:p>
        </w:tc>
        <w:tc>
          <w:tcPr>
            <w:tcW w:w="2145" w:type="dxa"/>
            <w:shd w:val="clear" w:color="auto" w:fill="auto"/>
            <w:vAlign w:val="bottom"/>
          </w:tcPr>
          <w:p w14:paraId="3EF15552" w14:textId="7ACDC998" w:rsidR="007A32D7" w:rsidRPr="000C7549" w:rsidRDefault="007A32D7" w:rsidP="007A32D7">
            <w:pPr>
              <w:rPr>
                <w:rFonts w:ascii="Arial" w:hAnsi="Arial" w:cs="Arial"/>
                <w:color w:val="000000"/>
              </w:rPr>
            </w:pPr>
            <w:r w:rsidRPr="000C7549">
              <w:rPr>
                <w:rFonts w:ascii="Arial" w:hAnsi="Arial" w:cs="Arial"/>
                <w:color w:val="000000"/>
              </w:rPr>
              <w:t>6</w:t>
            </w:r>
          </w:p>
        </w:tc>
      </w:tr>
      <w:tr w:rsidR="007A32D7" w:rsidRPr="000C7549" w14:paraId="106517D3" w14:textId="77777777" w:rsidTr="00C9273B">
        <w:tc>
          <w:tcPr>
            <w:tcW w:w="2340" w:type="dxa"/>
            <w:shd w:val="clear" w:color="auto" w:fill="auto"/>
            <w:vAlign w:val="bottom"/>
          </w:tcPr>
          <w:p w14:paraId="2DDB4703" w14:textId="77777777" w:rsidR="007A32D7" w:rsidRPr="000C7549" w:rsidRDefault="007A32D7" w:rsidP="007A32D7">
            <w:pPr>
              <w:rPr>
                <w:rFonts w:ascii="Arial" w:hAnsi="Arial" w:cs="Arial"/>
              </w:rPr>
            </w:pPr>
          </w:p>
        </w:tc>
        <w:tc>
          <w:tcPr>
            <w:tcW w:w="1966" w:type="dxa"/>
            <w:vAlign w:val="bottom"/>
          </w:tcPr>
          <w:p w14:paraId="503FFC0E" w14:textId="77777777" w:rsidR="007A32D7" w:rsidRPr="000C7549" w:rsidRDefault="007A32D7" w:rsidP="007A32D7">
            <w:pPr>
              <w:rPr>
                <w:rFonts w:ascii="Arial" w:hAnsi="Arial" w:cs="Arial"/>
                <w:i/>
                <w:color w:val="000000"/>
              </w:rPr>
            </w:pPr>
          </w:p>
        </w:tc>
        <w:tc>
          <w:tcPr>
            <w:tcW w:w="1976" w:type="dxa"/>
            <w:vAlign w:val="bottom"/>
          </w:tcPr>
          <w:p w14:paraId="41B5873E" w14:textId="43BBC621" w:rsidR="007A32D7" w:rsidRPr="000C7549" w:rsidRDefault="007A32D7" w:rsidP="007A32D7">
            <w:pPr>
              <w:rPr>
                <w:rFonts w:ascii="Arial" w:hAnsi="Arial" w:cs="Arial"/>
                <w:i/>
                <w:color w:val="000000"/>
              </w:rPr>
            </w:pPr>
            <w:r w:rsidRPr="000C7549">
              <w:rPr>
                <w:rFonts w:ascii="Arial" w:hAnsi="Arial" w:cs="Arial"/>
                <w:i/>
                <w:iCs/>
                <w:color w:val="000000"/>
              </w:rPr>
              <w:t>sp</w:t>
            </w:r>
          </w:p>
        </w:tc>
        <w:tc>
          <w:tcPr>
            <w:tcW w:w="2145" w:type="dxa"/>
            <w:shd w:val="clear" w:color="auto" w:fill="auto"/>
            <w:vAlign w:val="bottom"/>
          </w:tcPr>
          <w:p w14:paraId="6C122D69" w14:textId="15ACA7D9" w:rsidR="007A32D7" w:rsidRPr="000C7549" w:rsidRDefault="007A32D7" w:rsidP="007A32D7">
            <w:pPr>
              <w:rPr>
                <w:rFonts w:ascii="Arial" w:hAnsi="Arial" w:cs="Arial"/>
                <w:color w:val="000000"/>
              </w:rPr>
            </w:pPr>
            <w:r w:rsidRPr="000C7549">
              <w:rPr>
                <w:rFonts w:ascii="Arial" w:hAnsi="Arial" w:cs="Arial"/>
                <w:color w:val="000000"/>
              </w:rPr>
              <w:t>2</w:t>
            </w:r>
          </w:p>
        </w:tc>
      </w:tr>
      <w:tr w:rsidR="007A32D7" w:rsidRPr="000C7549" w14:paraId="374AB450" w14:textId="77777777" w:rsidTr="00C9273B">
        <w:tc>
          <w:tcPr>
            <w:tcW w:w="2340" w:type="dxa"/>
            <w:shd w:val="clear" w:color="auto" w:fill="auto"/>
            <w:vAlign w:val="bottom"/>
          </w:tcPr>
          <w:p w14:paraId="114FA4BD" w14:textId="77777777" w:rsidR="007A32D7" w:rsidRPr="000C7549" w:rsidRDefault="007A32D7" w:rsidP="007A32D7">
            <w:pPr>
              <w:rPr>
                <w:rFonts w:ascii="Arial" w:hAnsi="Arial" w:cs="Arial"/>
              </w:rPr>
            </w:pPr>
          </w:p>
        </w:tc>
        <w:tc>
          <w:tcPr>
            <w:tcW w:w="1966" w:type="dxa"/>
            <w:vAlign w:val="bottom"/>
          </w:tcPr>
          <w:p w14:paraId="376FAB25" w14:textId="77777777" w:rsidR="007A32D7" w:rsidRPr="000C7549" w:rsidRDefault="007A32D7" w:rsidP="007A32D7">
            <w:pPr>
              <w:rPr>
                <w:rFonts w:ascii="Arial" w:hAnsi="Arial" w:cs="Arial"/>
                <w:i/>
                <w:color w:val="000000"/>
              </w:rPr>
            </w:pPr>
          </w:p>
        </w:tc>
        <w:tc>
          <w:tcPr>
            <w:tcW w:w="1976" w:type="dxa"/>
            <w:vAlign w:val="bottom"/>
          </w:tcPr>
          <w:p w14:paraId="52058507" w14:textId="1BAFEABA" w:rsidR="007A32D7" w:rsidRPr="000C7549" w:rsidRDefault="007A32D7" w:rsidP="007A32D7">
            <w:pPr>
              <w:rPr>
                <w:rFonts w:ascii="Arial" w:hAnsi="Arial" w:cs="Arial"/>
                <w:i/>
                <w:color w:val="000000"/>
              </w:rPr>
            </w:pPr>
            <w:r w:rsidRPr="000C7549">
              <w:rPr>
                <w:rFonts w:ascii="Arial" w:hAnsi="Arial" w:cs="Arial"/>
                <w:i/>
                <w:color w:val="000000"/>
              </w:rPr>
              <w:t>rubicundus*</w:t>
            </w:r>
          </w:p>
        </w:tc>
        <w:tc>
          <w:tcPr>
            <w:tcW w:w="2145" w:type="dxa"/>
            <w:shd w:val="clear" w:color="auto" w:fill="auto"/>
            <w:vAlign w:val="bottom"/>
          </w:tcPr>
          <w:p w14:paraId="38CD4E89" w14:textId="46CCB291" w:rsidR="007A32D7" w:rsidRPr="000C7549" w:rsidRDefault="007A32D7" w:rsidP="007A32D7">
            <w:pPr>
              <w:rPr>
                <w:rFonts w:ascii="Arial" w:hAnsi="Arial" w:cs="Arial"/>
                <w:color w:val="000000"/>
              </w:rPr>
            </w:pPr>
            <w:r w:rsidRPr="000C7549">
              <w:rPr>
                <w:rFonts w:ascii="Arial" w:hAnsi="Arial" w:cs="Arial"/>
                <w:color w:val="000000"/>
              </w:rPr>
              <w:t>2</w:t>
            </w:r>
          </w:p>
        </w:tc>
      </w:tr>
      <w:tr w:rsidR="007A32D7" w:rsidRPr="000C7549" w14:paraId="62D3008B" w14:textId="77777777" w:rsidTr="00C9273B">
        <w:tc>
          <w:tcPr>
            <w:tcW w:w="2340" w:type="dxa"/>
            <w:shd w:val="clear" w:color="auto" w:fill="auto"/>
            <w:vAlign w:val="bottom"/>
          </w:tcPr>
          <w:p w14:paraId="47F43309" w14:textId="77777777" w:rsidR="007A32D7" w:rsidRPr="000C7549" w:rsidRDefault="007A32D7" w:rsidP="007A32D7">
            <w:pPr>
              <w:rPr>
                <w:rFonts w:ascii="Arial" w:hAnsi="Arial" w:cs="Arial"/>
              </w:rPr>
            </w:pPr>
          </w:p>
        </w:tc>
        <w:tc>
          <w:tcPr>
            <w:tcW w:w="1966" w:type="dxa"/>
            <w:vAlign w:val="bottom"/>
          </w:tcPr>
          <w:p w14:paraId="7E56AF2A" w14:textId="5F43D5BA" w:rsidR="007A32D7" w:rsidRPr="000C7549" w:rsidRDefault="007A32D7" w:rsidP="007A32D7">
            <w:pPr>
              <w:rPr>
                <w:rFonts w:ascii="Arial" w:hAnsi="Arial" w:cs="Arial"/>
                <w:i/>
                <w:color w:val="000000"/>
              </w:rPr>
            </w:pPr>
            <w:r w:rsidRPr="000C7549">
              <w:rPr>
                <w:rFonts w:ascii="Arial" w:hAnsi="Arial" w:cs="Arial"/>
                <w:i/>
                <w:color w:val="000000"/>
              </w:rPr>
              <w:t>Lasioglossum</w:t>
            </w:r>
          </w:p>
        </w:tc>
        <w:tc>
          <w:tcPr>
            <w:tcW w:w="1976" w:type="dxa"/>
            <w:vAlign w:val="bottom"/>
          </w:tcPr>
          <w:p w14:paraId="5E8AE8B9" w14:textId="35EB4C14" w:rsidR="007A32D7" w:rsidRPr="000C7549" w:rsidRDefault="007A32D7" w:rsidP="007A32D7">
            <w:pPr>
              <w:rPr>
                <w:rFonts w:ascii="Arial" w:hAnsi="Arial" w:cs="Arial"/>
                <w:i/>
                <w:color w:val="000000"/>
              </w:rPr>
            </w:pPr>
            <w:r w:rsidRPr="000C7549">
              <w:rPr>
                <w:rFonts w:ascii="Arial" w:hAnsi="Arial" w:cs="Arial"/>
                <w:i/>
                <w:color w:val="000000"/>
              </w:rPr>
              <w:t>sp</w:t>
            </w:r>
          </w:p>
        </w:tc>
        <w:tc>
          <w:tcPr>
            <w:tcW w:w="2145" w:type="dxa"/>
            <w:shd w:val="clear" w:color="auto" w:fill="auto"/>
            <w:vAlign w:val="bottom"/>
          </w:tcPr>
          <w:p w14:paraId="120EF4D3" w14:textId="1ED26838" w:rsidR="007A32D7" w:rsidRPr="000C7549" w:rsidRDefault="007A32D7" w:rsidP="007A32D7">
            <w:pPr>
              <w:rPr>
                <w:rFonts w:ascii="Arial" w:hAnsi="Arial" w:cs="Arial"/>
                <w:color w:val="000000"/>
              </w:rPr>
            </w:pPr>
            <w:r w:rsidRPr="000C7549">
              <w:rPr>
                <w:rFonts w:ascii="Arial" w:hAnsi="Arial" w:cs="Arial"/>
                <w:color w:val="000000"/>
              </w:rPr>
              <w:t>947</w:t>
            </w:r>
          </w:p>
        </w:tc>
      </w:tr>
      <w:tr w:rsidR="007A32D7" w:rsidRPr="000C7549" w14:paraId="425E618D" w14:textId="77777777" w:rsidTr="00C9273B">
        <w:tc>
          <w:tcPr>
            <w:tcW w:w="2340" w:type="dxa"/>
            <w:shd w:val="clear" w:color="auto" w:fill="auto"/>
            <w:vAlign w:val="bottom"/>
          </w:tcPr>
          <w:p w14:paraId="53C8AFAF" w14:textId="77777777" w:rsidR="007A32D7" w:rsidRPr="000C7549" w:rsidRDefault="007A32D7" w:rsidP="007A32D7">
            <w:pPr>
              <w:rPr>
                <w:rFonts w:ascii="Arial" w:hAnsi="Arial" w:cs="Arial"/>
              </w:rPr>
            </w:pPr>
          </w:p>
        </w:tc>
        <w:tc>
          <w:tcPr>
            <w:tcW w:w="1966" w:type="dxa"/>
            <w:vAlign w:val="bottom"/>
          </w:tcPr>
          <w:p w14:paraId="5508A896" w14:textId="21FAEC1B" w:rsidR="007A32D7" w:rsidRPr="000C7549" w:rsidRDefault="007A32D7" w:rsidP="007A32D7">
            <w:pPr>
              <w:rPr>
                <w:rFonts w:ascii="Arial" w:hAnsi="Arial" w:cs="Arial"/>
                <w:i/>
                <w:color w:val="000000"/>
              </w:rPr>
            </w:pPr>
          </w:p>
        </w:tc>
        <w:tc>
          <w:tcPr>
            <w:tcW w:w="1976" w:type="dxa"/>
            <w:vAlign w:val="bottom"/>
          </w:tcPr>
          <w:p w14:paraId="48385E6E" w14:textId="08F4F4BA" w:rsidR="007A32D7" w:rsidRPr="000C7549" w:rsidRDefault="007A32D7" w:rsidP="007A32D7">
            <w:pPr>
              <w:rPr>
                <w:rFonts w:ascii="Arial" w:hAnsi="Arial" w:cs="Arial"/>
                <w:i/>
                <w:color w:val="000000"/>
              </w:rPr>
            </w:pPr>
            <w:proofErr w:type="spellStart"/>
            <w:r w:rsidRPr="000C7549">
              <w:rPr>
                <w:rFonts w:ascii="Arial" w:hAnsi="Arial" w:cs="Arial"/>
                <w:i/>
                <w:color w:val="000000"/>
              </w:rPr>
              <w:t>apocyni</w:t>
            </w:r>
            <w:proofErr w:type="spellEnd"/>
          </w:p>
        </w:tc>
        <w:tc>
          <w:tcPr>
            <w:tcW w:w="2145" w:type="dxa"/>
            <w:shd w:val="clear" w:color="auto" w:fill="auto"/>
            <w:vAlign w:val="bottom"/>
          </w:tcPr>
          <w:p w14:paraId="358B76EE" w14:textId="385D48E1" w:rsidR="007A32D7" w:rsidRPr="000C7549" w:rsidRDefault="007A32D7" w:rsidP="007A32D7">
            <w:pPr>
              <w:rPr>
                <w:rFonts w:ascii="Arial" w:hAnsi="Arial" w:cs="Arial"/>
                <w:color w:val="000000"/>
              </w:rPr>
            </w:pPr>
            <w:r w:rsidRPr="000C7549">
              <w:rPr>
                <w:rFonts w:ascii="Arial" w:hAnsi="Arial" w:cs="Arial"/>
                <w:color w:val="000000"/>
              </w:rPr>
              <w:t>154</w:t>
            </w:r>
          </w:p>
        </w:tc>
      </w:tr>
      <w:tr w:rsidR="007A32D7" w:rsidRPr="000C7549" w14:paraId="2844E53A" w14:textId="77777777" w:rsidTr="00C9273B">
        <w:tc>
          <w:tcPr>
            <w:tcW w:w="2340" w:type="dxa"/>
            <w:shd w:val="clear" w:color="auto" w:fill="auto"/>
            <w:vAlign w:val="bottom"/>
          </w:tcPr>
          <w:p w14:paraId="39D136F0" w14:textId="77777777" w:rsidR="007A32D7" w:rsidRPr="000C7549" w:rsidRDefault="007A32D7" w:rsidP="007A32D7">
            <w:pPr>
              <w:rPr>
                <w:rFonts w:ascii="Arial" w:hAnsi="Arial" w:cs="Arial"/>
              </w:rPr>
            </w:pPr>
          </w:p>
        </w:tc>
        <w:tc>
          <w:tcPr>
            <w:tcW w:w="1966" w:type="dxa"/>
            <w:vAlign w:val="bottom"/>
          </w:tcPr>
          <w:p w14:paraId="2A35716D" w14:textId="77777777" w:rsidR="007A32D7" w:rsidRPr="000C7549" w:rsidRDefault="007A32D7" w:rsidP="007A32D7">
            <w:pPr>
              <w:rPr>
                <w:rFonts w:ascii="Arial" w:hAnsi="Arial" w:cs="Arial"/>
                <w:i/>
                <w:color w:val="000000"/>
              </w:rPr>
            </w:pPr>
          </w:p>
        </w:tc>
        <w:tc>
          <w:tcPr>
            <w:tcW w:w="1976" w:type="dxa"/>
            <w:vAlign w:val="bottom"/>
          </w:tcPr>
          <w:p w14:paraId="5F4D2D13" w14:textId="6DC1BA40" w:rsidR="007A32D7" w:rsidRPr="000C7549" w:rsidRDefault="007A32D7" w:rsidP="007A32D7">
            <w:pPr>
              <w:rPr>
                <w:rFonts w:ascii="Arial" w:hAnsi="Arial" w:cs="Arial"/>
                <w:i/>
                <w:color w:val="000000"/>
              </w:rPr>
            </w:pPr>
            <w:r w:rsidRPr="000C7549">
              <w:rPr>
                <w:rFonts w:ascii="Arial" w:hAnsi="Arial" w:cs="Arial"/>
                <w:i/>
                <w:color w:val="000000"/>
              </w:rPr>
              <w:t>imitatum</w:t>
            </w:r>
          </w:p>
        </w:tc>
        <w:tc>
          <w:tcPr>
            <w:tcW w:w="2145" w:type="dxa"/>
            <w:shd w:val="clear" w:color="auto" w:fill="auto"/>
            <w:vAlign w:val="bottom"/>
          </w:tcPr>
          <w:p w14:paraId="2EC720DF" w14:textId="3C131346" w:rsidR="007A32D7" w:rsidRPr="000C7549" w:rsidRDefault="007A32D7" w:rsidP="007A32D7">
            <w:pPr>
              <w:rPr>
                <w:rFonts w:ascii="Arial" w:hAnsi="Arial" w:cs="Arial"/>
                <w:color w:val="000000"/>
              </w:rPr>
            </w:pPr>
            <w:r w:rsidRPr="000C7549">
              <w:rPr>
                <w:rFonts w:ascii="Arial" w:hAnsi="Arial" w:cs="Arial"/>
                <w:color w:val="000000"/>
              </w:rPr>
              <w:t>149</w:t>
            </w:r>
          </w:p>
        </w:tc>
      </w:tr>
      <w:tr w:rsidR="007A32D7" w:rsidRPr="000C7549" w14:paraId="69EEED02" w14:textId="77777777" w:rsidTr="00C9273B">
        <w:tc>
          <w:tcPr>
            <w:tcW w:w="2340" w:type="dxa"/>
            <w:shd w:val="clear" w:color="auto" w:fill="auto"/>
            <w:vAlign w:val="bottom"/>
          </w:tcPr>
          <w:p w14:paraId="761AB038" w14:textId="77777777" w:rsidR="007A32D7" w:rsidRPr="000C7549" w:rsidRDefault="007A32D7" w:rsidP="007A32D7">
            <w:pPr>
              <w:rPr>
                <w:rFonts w:ascii="Arial" w:hAnsi="Arial" w:cs="Arial"/>
              </w:rPr>
            </w:pPr>
          </w:p>
        </w:tc>
        <w:tc>
          <w:tcPr>
            <w:tcW w:w="1966" w:type="dxa"/>
            <w:vAlign w:val="bottom"/>
          </w:tcPr>
          <w:p w14:paraId="78E73F7D" w14:textId="77777777" w:rsidR="007A32D7" w:rsidRPr="000C7549" w:rsidRDefault="007A32D7" w:rsidP="007A32D7">
            <w:pPr>
              <w:rPr>
                <w:rFonts w:ascii="Arial" w:hAnsi="Arial" w:cs="Arial"/>
                <w:i/>
                <w:color w:val="000000"/>
              </w:rPr>
            </w:pPr>
          </w:p>
        </w:tc>
        <w:tc>
          <w:tcPr>
            <w:tcW w:w="1976" w:type="dxa"/>
            <w:vAlign w:val="bottom"/>
          </w:tcPr>
          <w:p w14:paraId="5A7B9505" w14:textId="42D73F2B" w:rsidR="007A32D7" w:rsidRPr="000C7549" w:rsidRDefault="007A32D7" w:rsidP="007A32D7">
            <w:pPr>
              <w:rPr>
                <w:rFonts w:ascii="Arial" w:hAnsi="Arial" w:cs="Arial"/>
                <w:i/>
                <w:color w:val="000000"/>
              </w:rPr>
            </w:pPr>
            <w:r w:rsidRPr="000C7549">
              <w:rPr>
                <w:rFonts w:ascii="Arial" w:hAnsi="Arial" w:cs="Arial"/>
                <w:i/>
                <w:color w:val="000000"/>
              </w:rPr>
              <w:t>callidum</w:t>
            </w:r>
          </w:p>
        </w:tc>
        <w:tc>
          <w:tcPr>
            <w:tcW w:w="2145" w:type="dxa"/>
            <w:shd w:val="clear" w:color="auto" w:fill="auto"/>
            <w:vAlign w:val="bottom"/>
          </w:tcPr>
          <w:p w14:paraId="5210CF56" w14:textId="569F2D2F" w:rsidR="007A32D7" w:rsidRPr="000C7549" w:rsidRDefault="007A32D7" w:rsidP="007A32D7">
            <w:pPr>
              <w:rPr>
                <w:rFonts w:ascii="Arial" w:hAnsi="Arial" w:cs="Arial"/>
                <w:color w:val="000000"/>
              </w:rPr>
            </w:pPr>
            <w:r w:rsidRPr="000C7549">
              <w:rPr>
                <w:rFonts w:ascii="Arial" w:hAnsi="Arial" w:cs="Arial"/>
                <w:color w:val="000000"/>
              </w:rPr>
              <w:t>125</w:t>
            </w:r>
          </w:p>
        </w:tc>
      </w:tr>
      <w:tr w:rsidR="007A32D7" w:rsidRPr="000C7549" w14:paraId="52C4ED48" w14:textId="77777777" w:rsidTr="004D3280">
        <w:trPr>
          <w:trHeight w:val="90"/>
        </w:trPr>
        <w:tc>
          <w:tcPr>
            <w:tcW w:w="2340" w:type="dxa"/>
            <w:shd w:val="clear" w:color="auto" w:fill="auto"/>
            <w:vAlign w:val="bottom"/>
          </w:tcPr>
          <w:p w14:paraId="0E074C9B" w14:textId="77777777" w:rsidR="007A32D7" w:rsidRPr="000C7549" w:rsidRDefault="007A32D7" w:rsidP="007A32D7">
            <w:pPr>
              <w:rPr>
                <w:rFonts w:ascii="Arial" w:hAnsi="Arial" w:cs="Arial"/>
              </w:rPr>
            </w:pPr>
          </w:p>
        </w:tc>
        <w:tc>
          <w:tcPr>
            <w:tcW w:w="1966" w:type="dxa"/>
            <w:vAlign w:val="bottom"/>
          </w:tcPr>
          <w:p w14:paraId="491298D8" w14:textId="5B49A1D3" w:rsidR="007A32D7" w:rsidRPr="000C7549" w:rsidRDefault="007A32D7" w:rsidP="007A32D7">
            <w:pPr>
              <w:rPr>
                <w:rFonts w:ascii="Arial" w:hAnsi="Arial" w:cs="Arial"/>
                <w:i/>
                <w:color w:val="000000"/>
              </w:rPr>
            </w:pPr>
          </w:p>
        </w:tc>
        <w:tc>
          <w:tcPr>
            <w:tcW w:w="1976" w:type="dxa"/>
            <w:vAlign w:val="bottom"/>
          </w:tcPr>
          <w:p w14:paraId="697E7BB2" w14:textId="339558BD" w:rsidR="007A32D7" w:rsidRPr="000C7549" w:rsidRDefault="007A32D7" w:rsidP="007A32D7">
            <w:pPr>
              <w:rPr>
                <w:rFonts w:ascii="Arial" w:hAnsi="Arial" w:cs="Arial"/>
                <w:i/>
                <w:color w:val="000000"/>
              </w:rPr>
            </w:pPr>
            <w:r w:rsidRPr="000C7549">
              <w:rPr>
                <w:rFonts w:ascii="Arial" w:hAnsi="Arial" w:cs="Arial"/>
                <w:i/>
                <w:color w:val="000000"/>
              </w:rPr>
              <w:t>leucocomum</w:t>
            </w:r>
          </w:p>
        </w:tc>
        <w:tc>
          <w:tcPr>
            <w:tcW w:w="2145" w:type="dxa"/>
            <w:shd w:val="clear" w:color="auto" w:fill="auto"/>
            <w:vAlign w:val="bottom"/>
          </w:tcPr>
          <w:p w14:paraId="345C44B7" w14:textId="037A1D63" w:rsidR="007A32D7" w:rsidRPr="000C7549" w:rsidRDefault="007A32D7" w:rsidP="007A32D7">
            <w:pPr>
              <w:rPr>
                <w:rFonts w:ascii="Arial" w:hAnsi="Arial" w:cs="Arial"/>
                <w:color w:val="000000"/>
              </w:rPr>
            </w:pPr>
            <w:r w:rsidRPr="000C7549">
              <w:rPr>
                <w:rFonts w:ascii="Arial" w:hAnsi="Arial" w:cs="Arial"/>
                <w:color w:val="000000"/>
              </w:rPr>
              <w:t>74</w:t>
            </w:r>
          </w:p>
        </w:tc>
      </w:tr>
      <w:tr w:rsidR="007A32D7" w:rsidRPr="000C7549" w14:paraId="65C67132" w14:textId="77777777" w:rsidTr="00C9273B">
        <w:tc>
          <w:tcPr>
            <w:tcW w:w="2340" w:type="dxa"/>
            <w:shd w:val="clear" w:color="auto" w:fill="auto"/>
            <w:vAlign w:val="bottom"/>
          </w:tcPr>
          <w:p w14:paraId="67CFC3F6" w14:textId="77777777" w:rsidR="007A32D7" w:rsidRPr="000C7549" w:rsidRDefault="007A32D7" w:rsidP="007A32D7">
            <w:pPr>
              <w:rPr>
                <w:rFonts w:ascii="Arial" w:hAnsi="Arial" w:cs="Arial"/>
              </w:rPr>
            </w:pPr>
          </w:p>
        </w:tc>
        <w:tc>
          <w:tcPr>
            <w:tcW w:w="1966" w:type="dxa"/>
            <w:vAlign w:val="bottom"/>
          </w:tcPr>
          <w:p w14:paraId="289DA848" w14:textId="77777777" w:rsidR="007A32D7" w:rsidRPr="000C7549" w:rsidRDefault="007A32D7" w:rsidP="007A32D7">
            <w:pPr>
              <w:rPr>
                <w:rFonts w:ascii="Arial" w:hAnsi="Arial" w:cs="Arial"/>
                <w:i/>
                <w:color w:val="000000"/>
              </w:rPr>
            </w:pPr>
          </w:p>
        </w:tc>
        <w:tc>
          <w:tcPr>
            <w:tcW w:w="1976" w:type="dxa"/>
            <w:vAlign w:val="bottom"/>
          </w:tcPr>
          <w:p w14:paraId="434DABEC" w14:textId="7EC60074" w:rsidR="007A32D7" w:rsidRPr="000C7549" w:rsidRDefault="007A32D7" w:rsidP="007A32D7">
            <w:pPr>
              <w:rPr>
                <w:rFonts w:ascii="Arial" w:hAnsi="Arial" w:cs="Arial"/>
                <w:i/>
                <w:color w:val="000000"/>
              </w:rPr>
            </w:pPr>
            <w:r w:rsidRPr="000C7549">
              <w:rPr>
                <w:rFonts w:ascii="Arial" w:hAnsi="Arial" w:cs="Arial"/>
                <w:i/>
                <w:color w:val="000000"/>
              </w:rPr>
              <w:t>hitchensi</w:t>
            </w:r>
          </w:p>
        </w:tc>
        <w:tc>
          <w:tcPr>
            <w:tcW w:w="2145" w:type="dxa"/>
            <w:shd w:val="clear" w:color="auto" w:fill="auto"/>
            <w:vAlign w:val="bottom"/>
          </w:tcPr>
          <w:p w14:paraId="15C94771" w14:textId="0D0C69C4" w:rsidR="007A32D7" w:rsidRPr="000C7549" w:rsidRDefault="007A32D7" w:rsidP="007A32D7">
            <w:pPr>
              <w:rPr>
                <w:rFonts w:ascii="Arial" w:hAnsi="Arial" w:cs="Arial"/>
                <w:color w:val="000000"/>
              </w:rPr>
            </w:pPr>
            <w:r w:rsidRPr="000C7549">
              <w:rPr>
                <w:rFonts w:ascii="Arial" w:hAnsi="Arial" w:cs="Arial"/>
                <w:color w:val="000000"/>
              </w:rPr>
              <w:t>56</w:t>
            </w:r>
          </w:p>
        </w:tc>
      </w:tr>
      <w:tr w:rsidR="007A32D7" w:rsidRPr="000C7549" w14:paraId="62D34D66" w14:textId="77777777" w:rsidTr="00C9273B">
        <w:tc>
          <w:tcPr>
            <w:tcW w:w="2340" w:type="dxa"/>
            <w:shd w:val="clear" w:color="auto" w:fill="auto"/>
            <w:vAlign w:val="bottom"/>
          </w:tcPr>
          <w:p w14:paraId="08F17F62" w14:textId="77777777" w:rsidR="007A32D7" w:rsidRPr="000C7549" w:rsidRDefault="007A32D7" w:rsidP="007A32D7">
            <w:pPr>
              <w:rPr>
                <w:rFonts w:ascii="Arial" w:hAnsi="Arial" w:cs="Arial"/>
              </w:rPr>
            </w:pPr>
          </w:p>
        </w:tc>
        <w:tc>
          <w:tcPr>
            <w:tcW w:w="1966" w:type="dxa"/>
            <w:vAlign w:val="bottom"/>
          </w:tcPr>
          <w:p w14:paraId="33B07B83" w14:textId="64D77D82" w:rsidR="007A32D7" w:rsidRPr="000C7549" w:rsidRDefault="007A32D7" w:rsidP="007A32D7">
            <w:pPr>
              <w:rPr>
                <w:rFonts w:ascii="Arial" w:hAnsi="Arial" w:cs="Arial"/>
                <w:i/>
                <w:color w:val="000000"/>
              </w:rPr>
            </w:pPr>
          </w:p>
        </w:tc>
        <w:tc>
          <w:tcPr>
            <w:tcW w:w="1976" w:type="dxa"/>
            <w:vAlign w:val="bottom"/>
          </w:tcPr>
          <w:p w14:paraId="147F312D" w14:textId="30422EFD" w:rsidR="007A32D7" w:rsidRPr="000C7549" w:rsidRDefault="007A32D7" w:rsidP="007A32D7">
            <w:pPr>
              <w:rPr>
                <w:rFonts w:ascii="Arial" w:hAnsi="Arial" w:cs="Arial"/>
                <w:i/>
                <w:color w:val="000000"/>
              </w:rPr>
            </w:pPr>
            <w:proofErr w:type="spellStart"/>
            <w:r w:rsidRPr="000C7549">
              <w:rPr>
                <w:rFonts w:ascii="Arial" w:hAnsi="Arial" w:cs="Arial"/>
                <w:i/>
                <w:color w:val="000000"/>
              </w:rPr>
              <w:t>trigeminum</w:t>
            </w:r>
            <w:proofErr w:type="spellEnd"/>
          </w:p>
        </w:tc>
        <w:tc>
          <w:tcPr>
            <w:tcW w:w="2145" w:type="dxa"/>
            <w:shd w:val="clear" w:color="auto" w:fill="auto"/>
            <w:vAlign w:val="bottom"/>
          </w:tcPr>
          <w:p w14:paraId="6E8E43FE" w14:textId="76116EE2" w:rsidR="007A32D7" w:rsidRPr="000C7549" w:rsidRDefault="007A32D7" w:rsidP="007A32D7">
            <w:pPr>
              <w:rPr>
                <w:rFonts w:ascii="Arial" w:hAnsi="Arial" w:cs="Arial"/>
                <w:color w:val="000000"/>
              </w:rPr>
            </w:pPr>
            <w:r w:rsidRPr="000C7549">
              <w:rPr>
                <w:rFonts w:ascii="Arial" w:hAnsi="Arial" w:cs="Arial"/>
                <w:color w:val="000000"/>
              </w:rPr>
              <w:t>45</w:t>
            </w:r>
          </w:p>
        </w:tc>
      </w:tr>
      <w:tr w:rsidR="007A32D7" w:rsidRPr="000C7549" w14:paraId="059A3CE2" w14:textId="77777777" w:rsidTr="00C9273B">
        <w:tc>
          <w:tcPr>
            <w:tcW w:w="2340" w:type="dxa"/>
            <w:shd w:val="clear" w:color="auto" w:fill="auto"/>
            <w:vAlign w:val="bottom"/>
          </w:tcPr>
          <w:p w14:paraId="5F4D3212" w14:textId="77777777" w:rsidR="007A32D7" w:rsidRPr="000C7549" w:rsidRDefault="007A32D7" w:rsidP="007A32D7">
            <w:pPr>
              <w:rPr>
                <w:rFonts w:ascii="Arial" w:hAnsi="Arial" w:cs="Arial"/>
              </w:rPr>
            </w:pPr>
          </w:p>
        </w:tc>
        <w:tc>
          <w:tcPr>
            <w:tcW w:w="1966" w:type="dxa"/>
            <w:vAlign w:val="bottom"/>
          </w:tcPr>
          <w:p w14:paraId="2F86CB96" w14:textId="57B21535" w:rsidR="007A32D7" w:rsidRPr="000C7549" w:rsidRDefault="007A32D7" w:rsidP="007A32D7">
            <w:pPr>
              <w:rPr>
                <w:rFonts w:ascii="Arial" w:hAnsi="Arial" w:cs="Arial"/>
                <w:i/>
                <w:color w:val="000000"/>
              </w:rPr>
            </w:pPr>
          </w:p>
        </w:tc>
        <w:tc>
          <w:tcPr>
            <w:tcW w:w="1976" w:type="dxa"/>
            <w:vAlign w:val="bottom"/>
          </w:tcPr>
          <w:p w14:paraId="613CF44F" w14:textId="15D7BF2D" w:rsidR="007A32D7" w:rsidRPr="000C7549" w:rsidRDefault="007A32D7" w:rsidP="007A32D7">
            <w:pPr>
              <w:rPr>
                <w:rFonts w:ascii="Arial" w:hAnsi="Arial" w:cs="Arial"/>
                <w:i/>
                <w:color w:val="000000"/>
              </w:rPr>
            </w:pPr>
            <w:proofErr w:type="spellStart"/>
            <w:r w:rsidRPr="000C7549">
              <w:rPr>
                <w:rFonts w:ascii="Arial" w:hAnsi="Arial" w:cs="Arial"/>
                <w:i/>
                <w:color w:val="000000"/>
              </w:rPr>
              <w:t>tegulare</w:t>
            </w:r>
            <w:proofErr w:type="spellEnd"/>
          </w:p>
        </w:tc>
        <w:tc>
          <w:tcPr>
            <w:tcW w:w="2145" w:type="dxa"/>
            <w:shd w:val="clear" w:color="auto" w:fill="auto"/>
            <w:vAlign w:val="bottom"/>
          </w:tcPr>
          <w:p w14:paraId="7A756B17" w14:textId="10CDEA8E" w:rsidR="007A32D7" w:rsidRPr="000C7549" w:rsidRDefault="007A32D7" w:rsidP="007A32D7">
            <w:pPr>
              <w:rPr>
                <w:rFonts w:ascii="Arial" w:hAnsi="Arial" w:cs="Arial"/>
                <w:color w:val="000000"/>
              </w:rPr>
            </w:pPr>
            <w:r w:rsidRPr="000C7549">
              <w:rPr>
                <w:rFonts w:ascii="Arial" w:hAnsi="Arial" w:cs="Arial"/>
                <w:color w:val="000000"/>
              </w:rPr>
              <w:t>17</w:t>
            </w:r>
          </w:p>
        </w:tc>
      </w:tr>
      <w:tr w:rsidR="007A32D7" w:rsidRPr="000C7549" w14:paraId="17B40F75" w14:textId="77777777" w:rsidTr="00C9273B">
        <w:tc>
          <w:tcPr>
            <w:tcW w:w="2340" w:type="dxa"/>
            <w:shd w:val="clear" w:color="auto" w:fill="auto"/>
            <w:vAlign w:val="bottom"/>
          </w:tcPr>
          <w:p w14:paraId="091E5065" w14:textId="0FF9E506" w:rsidR="007A32D7" w:rsidRPr="000C7549" w:rsidRDefault="007A32D7" w:rsidP="007A32D7">
            <w:pPr>
              <w:rPr>
                <w:rFonts w:ascii="Arial" w:hAnsi="Arial" w:cs="Arial"/>
              </w:rPr>
            </w:pPr>
          </w:p>
        </w:tc>
        <w:tc>
          <w:tcPr>
            <w:tcW w:w="1966" w:type="dxa"/>
            <w:vAlign w:val="bottom"/>
          </w:tcPr>
          <w:p w14:paraId="6AFEDF32" w14:textId="27EED1F8" w:rsidR="007A32D7" w:rsidRPr="000C7549" w:rsidRDefault="007A32D7" w:rsidP="007A32D7">
            <w:pPr>
              <w:rPr>
                <w:rFonts w:ascii="Arial" w:hAnsi="Arial" w:cs="Arial"/>
                <w:i/>
                <w:color w:val="000000"/>
              </w:rPr>
            </w:pPr>
          </w:p>
        </w:tc>
        <w:tc>
          <w:tcPr>
            <w:tcW w:w="1976" w:type="dxa"/>
            <w:vAlign w:val="bottom"/>
          </w:tcPr>
          <w:p w14:paraId="4EC57D52" w14:textId="46AC0ED2" w:rsidR="007A32D7" w:rsidRPr="000C7549" w:rsidRDefault="007A32D7" w:rsidP="007A32D7">
            <w:pPr>
              <w:rPr>
                <w:rFonts w:ascii="Arial" w:hAnsi="Arial" w:cs="Arial"/>
                <w:i/>
                <w:color w:val="000000"/>
              </w:rPr>
            </w:pPr>
            <w:proofErr w:type="spellStart"/>
            <w:r w:rsidRPr="000C7549">
              <w:rPr>
                <w:rFonts w:ascii="Arial" w:hAnsi="Arial" w:cs="Arial"/>
                <w:i/>
                <w:color w:val="000000"/>
              </w:rPr>
              <w:t>pilosum</w:t>
            </w:r>
            <w:proofErr w:type="spellEnd"/>
          </w:p>
        </w:tc>
        <w:tc>
          <w:tcPr>
            <w:tcW w:w="2145" w:type="dxa"/>
            <w:shd w:val="clear" w:color="auto" w:fill="auto"/>
            <w:vAlign w:val="bottom"/>
          </w:tcPr>
          <w:p w14:paraId="09658BE2" w14:textId="51C161D5" w:rsidR="007A32D7" w:rsidRPr="000C7549" w:rsidRDefault="007A32D7" w:rsidP="007A32D7">
            <w:pPr>
              <w:rPr>
                <w:rFonts w:ascii="Arial" w:hAnsi="Arial" w:cs="Arial"/>
                <w:color w:val="000000"/>
              </w:rPr>
            </w:pPr>
            <w:r w:rsidRPr="000C7549">
              <w:rPr>
                <w:rFonts w:ascii="Arial" w:hAnsi="Arial" w:cs="Arial"/>
                <w:color w:val="000000"/>
              </w:rPr>
              <w:t>16</w:t>
            </w:r>
          </w:p>
        </w:tc>
      </w:tr>
      <w:tr w:rsidR="007A32D7" w:rsidRPr="000C7549" w14:paraId="0262E636" w14:textId="77777777" w:rsidTr="00C9273B">
        <w:tc>
          <w:tcPr>
            <w:tcW w:w="2340" w:type="dxa"/>
            <w:shd w:val="clear" w:color="auto" w:fill="auto"/>
            <w:vAlign w:val="bottom"/>
          </w:tcPr>
          <w:p w14:paraId="71C1B160" w14:textId="5841389C" w:rsidR="007A32D7" w:rsidRPr="000C7549" w:rsidRDefault="007A32D7" w:rsidP="007A32D7">
            <w:pPr>
              <w:rPr>
                <w:rFonts w:ascii="Arial" w:hAnsi="Arial" w:cs="Arial"/>
              </w:rPr>
            </w:pPr>
            <w:r w:rsidRPr="000C7549">
              <w:rPr>
                <w:rFonts w:ascii="Arial" w:hAnsi="Arial" w:cs="Arial"/>
              </w:rPr>
              <w:t>Halictidae</w:t>
            </w:r>
          </w:p>
        </w:tc>
        <w:tc>
          <w:tcPr>
            <w:tcW w:w="1966" w:type="dxa"/>
            <w:vAlign w:val="bottom"/>
          </w:tcPr>
          <w:p w14:paraId="2EBEA0B8" w14:textId="592594D5" w:rsidR="007A32D7" w:rsidRPr="000C7549" w:rsidRDefault="007A32D7" w:rsidP="007A32D7">
            <w:pPr>
              <w:rPr>
                <w:rFonts w:ascii="Arial" w:hAnsi="Arial" w:cs="Arial"/>
                <w:i/>
                <w:color w:val="000000"/>
              </w:rPr>
            </w:pPr>
            <w:r w:rsidRPr="000C7549">
              <w:rPr>
                <w:rFonts w:ascii="Arial" w:hAnsi="Arial" w:cs="Arial"/>
                <w:i/>
                <w:color w:val="000000"/>
              </w:rPr>
              <w:t>Lasioglossum</w:t>
            </w:r>
          </w:p>
        </w:tc>
        <w:tc>
          <w:tcPr>
            <w:tcW w:w="1976" w:type="dxa"/>
            <w:vAlign w:val="bottom"/>
          </w:tcPr>
          <w:p w14:paraId="62287B99" w14:textId="11CB9941" w:rsidR="007A32D7" w:rsidRPr="000C7549" w:rsidRDefault="007A32D7" w:rsidP="007A32D7">
            <w:pPr>
              <w:rPr>
                <w:rFonts w:ascii="Arial" w:hAnsi="Arial" w:cs="Arial"/>
                <w:i/>
                <w:color w:val="000000"/>
              </w:rPr>
            </w:pPr>
            <w:r w:rsidRPr="000C7549">
              <w:rPr>
                <w:rFonts w:ascii="Arial" w:hAnsi="Arial" w:cs="Arial"/>
                <w:i/>
                <w:color w:val="000000"/>
              </w:rPr>
              <w:t>admirandum*</w:t>
            </w:r>
          </w:p>
        </w:tc>
        <w:tc>
          <w:tcPr>
            <w:tcW w:w="2145" w:type="dxa"/>
            <w:shd w:val="clear" w:color="auto" w:fill="auto"/>
            <w:vAlign w:val="bottom"/>
          </w:tcPr>
          <w:p w14:paraId="461A84BB" w14:textId="4AC31F57" w:rsidR="007A32D7" w:rsidRPr="000C7549" w:rsidRDefault="007A32D7" w:rsidP="007A32D7">
            <w:pPr>
              <w:rPr>
                <w:rFonts w:ascii="Arial" w:hAnsi="Arial" w:cs="Arial"/>
                <w:color w:val="000000"/>
              </w:rPr>
            </w:pPr>
            <w:r w:rsidRPr="000C7549">
              <w:rPr>
                <w:rFonts w:ascii="Arial" w:hAnsi="Arial" w:cs="Arial"/>
                <w:color w:val="000000"/>
              </w:rPr>
              <w:t>16</w:t>
            </w:r>
          </w:p>
        </w:tc>
      </w:tr>
      <w:tr w:rsidR="007A32D7" w:rsidRPr="000C7549" w14:paraId="2DA8C9BB" w14:textId="77777777" w:rsidTr="00C9273B">
        <w:tc>
          <w:tcPr>
            <w:tcW w:w="2340" w:type="dxa"/>
            <w:shd w:val="clear" w:color="auto" w:fill="auto"/>
            <w:vAlign w:val="bottom"/>
          </w:tcPr>
          <w:p w14:paraId="272644CA" w14:textId="77777777" w:rsidR="007A32D7" w:rsidRPr="000C7549" w:rsidRDefault="007A32D7" w:rsidP="007A32D7">
            <w:pPr>
              <w:rPr>
                <w:rFonts w:ascii="Arial" w:hAnsi="Arial" w:cs="Arial"/>
              </w:rPr>
            </w:pPr>
          </w:p>
        </w:tc>
        <w:tc>
          <w:tcPr>
            <w:tcW w:w="1966" w:type="dxa"/>
            <w:vAlign w:val="bottom"/>
          </w:tcPr>
          <w:p w14:paraId="0229C272" w14:textId="77777777" w:rsidR="007A32D7" w:rsidRPr="000C7549" w:rsidRDefault="007A32D7" w:rsidP="007A32D7">
            <w:pPr>
              <w:rPr>
                <w:rFonts w:ascii="Arial" w:hAnsi="Arial" w:cs="Arial"/>
                <w:i/>
                <w:color w:val="000000"/>
              </w:rPr>
            </w:pPr>
          </w:p>
        </w:tc>
        <w:tc>
          <w:tcPr>
            <w:tcW w:w="1976" w:type="dxa"/>
            <w:vAlign w:val="bottom"/>
          </w:tcPr>
          <w:p w14:paraId="1715375B" w14:textId="3A962672" w:rsidR="007A32D7" w:rsidRPr="000C7549" w:rsidRDefault="007A32D7" w:rsidP="007A32D7">
            <w:pPr>
              <w:rPr>
                <w:rFonts w:ascii="Arial" w:hAnsi="Arial" w:cs="Arial"/>
                <w:i/>
                <w:color w:val="000000"/>
              </w:rPr>
            </w:pPr>
            <w:proofErr w:type="spellStart"/>
            <w:r w:rsidRPr="000C7549">
              <w:rPr>
                <w:rFonts w:ascii="Arial" w:hAnsi="Arial" w:cs="Arial"/>
                <w:i/>
                <w:color w:val="000000"/>
              </w:rPr>
              <w:t>pectorale</w:t>
            </w:r>
            <w:proofErr w:type="spellEnd"/>
          </w:p>
        </w:tc>
        <w:tc>
          <w:tcPr>
            <w:tcW w:w="2145" w:type="dxa"/>
            <w:shd w:val="clear" w:color="auto" w:fill="auto"/>
            <w:vAlign w:val="bottom"/>
          </w:tcPr>
          <w:p w14:paraId="23F94A6C" w14:textId="2D4DB516" w:rsidR="007A32D7" w:rsidRPr="000C7549" w:rsidRDefault="007A32D7" w:rsidP="007A32D7">
            <w:pPr>
              <w:rPr>
                <w:rFonts w:ascii="Arial" w:hAnsi="Arial" w:cs="Arial"/>
                <w:color w:val="000000"/>
              </w:rPr>
            </w:pPr>
            <w:r w:rsidRPr="000C7549">
              <w:rPr>
                <w:rFonts w:ascii="Arial" w:hAnsi="Arial" w:cs="Arial"/>
                <w:color w:val="000000"/>
              </w:rPr>
              <w:t>8</w:t>
            </w:r>
          </w:p>
        </w:tc>
      </w:tr>
      <w:tr w:rsidR="007A32D7" w:rsidRPr="000C7549" w14:paraId="6F8A1C19" w14:textId="77777777" w:rsidTr="00C9273B">
        <w:tc>
          <w:tcPr>
            <w:tcW w:w="2340" w:type="dxa"/>
            <w:shd w:val="clear" w:color="auto" w:fill="auto"/>
            <w:vAlign w:val="bottom"/>
          </w:tcPr>
          <w:p w14:paraId="3F4FE320" w14:textId="77777777" w:rsidR="007A32D7" w:rsidRPr="000C7549" w:rsidRDefault="007A32D7" w:rsidP="007A32D7">
            <w:pPr>
              <w:rPr>
                <w:rFonts w:ascii="Arial" w:hAnsi="Arial" w:cs="Arial"/>
              </w:rPr>
            </w:pPr>
          </w:p>
        </w:tc>
        <w:tc>
          <w:tcPr>
            <w:tcW w:w="1966" w:type="dxa"/>
            <w:vAlign w:val="bottom"/>
          </w:tcPr>
          <w:p w14:paraId="76C91472" w14:textId="7B746BA7" w:rsidR="007A32D7" w:rsidRPr="000C7549" w:rsidRDefault="007A32D7" w:rsidP="007A32D7">
            <w:pPr>
              <w:rPr>
                <w:rFonts w:ascii="Arial" w:hAnsi="Arial" w:cs="Arial"/>
                <w:i/>
                <w:color w:val="000000"/>
              </w:rPr>
            </w:pPr>
          </w:p>
        </w:tc>
        <w:tc>
          <w:tcPr>
            <w:tcW w:w="1976" w:type="dxa"/>
            <w:vAlign w:val="bottom"/>
          </w:tcPr>
          <w:p w14:paraId="1B2240BE" w14:textId="1928E662" w:rsidR="007A32D7" w:rsidRPr="000C7549" w:rsidRDefault="007A32D7" w:rsidP="007A32D7">
            <w:pPr>
              <w:rPr>
                <w:rFonts w:ascii="Arial" w:hAnsi="Arial" w:cs="Arial"/>
                <w:i/>
                <w:color w:val="000000"/>
              </w:rPr>
            </w:pPr>
            <w:proofErr w:type="spellStart"/>
            <w:r w:rsidRPr="000C7549">
              <w:rPr>
                <w:rFonts w:ascii="Arial" w:hAnsi="Arial" w:cs="Arial"/>
                <w:i/>
                <w:color w:val="000000"/>
              </w:rPr>
              <w:t>pruinosum</w:t>
            </w:r>
            <w:proofErr w:type="spellEnd"/>
          </w:p>
        </w:tc>
        <w:tc>
          <w:tcPr>
            <w:tcW w:w="2145" w:type="dxa"/>
            <w:shd w:val="clear" w:color="auto" w:fill="auto"/>
            <w:vAlign w:val="bottom"/>
          </w:tcPr>
          <w:p w14:paraId="0C1A7F16" w14:textId="511B0BD3" w:rsidR="007A32D7" w:rsidRPr="000C7549" w:rsidRDefault="007A32D7" w:rsidP="007A32D7">
            <w:pPr>
              <w:rPr>
                <w:rFonts w:ascii="Arial" w:hAnsi="Arial" w:cs="Arial"/>
                <w:color w:val="000000"/>
              </w:rPr>
            </w:pPr>
            <w:r w:rsidRPr="000C7549">
              <w:rPr>
                <w:rFonts w:ascii="Arial" w:hAnsi="Arial" w:cs="Arial"/>
                <w:color w:val="000000"/>
              </w:rPr>
              <w:t>6</w:t>
            </w:r>
          </w:p>
        </w:tc>
      </w:tr>
      <w:tr w:rsidR="007A32D7" w:rsidRPr="000C7549" w14:paraId="70761740" w14:textId="77777777" w:rsidTr="00C9273B">
        <w:tc>
          <w:tcPr>
            <w:tcW w:w="2340" w:type="dxa"/>
            <w:shd w:val="clear" w:color="auto" w:fill="auto"/>
            <w:vAlign w:val="bottom"/>
          </w:tcPr>
          <w:p w14:paraId="2064D243" w14:textId="77777777" w:rsidR="007A32D7" w:rsidRPr="000C7549" w:rsidRDefault="007A32D7" w:rsidP="007A32D7">
            <w:pPr>
              <w:rPr>
                <w:rFonts w:ascii="Arial" w:hAnsi="Arial" w:cs="Arial"/>
              </w:rPr>
            </w:pPr>
          </w:p>
        </w:tc>
        <w:tc>
          <w:tcPr>
            <w:tcW w:w="1966" w:type="dxa"/>
            <w:vAlign w:val="bottom"/>
          </w:tcPr>
          <w:p w14:paraId="56E30C76" w14:textId="68425EE1" w:rsidR="007A32D7" w:rsidRPr="000C7549" w:rsidRDefault="007A32D7" w:rsidP="007A32D7">
            <w:pPr>
              <w:rPr>
                <w:rFonts w:ascii="Arial" w:hAnsi="Arial" w:cs="Arial"/>
                <w:i/>
                <w:color w:val="000000"/>
              </w:rPr>
            </w:pPr>
          </w:p>
        </w:tc>
        <w:tc>
          <w:tcPr>
            <w:tcW w:w="1976" w:type="dxa"/>
            <w:vAlign w:val="bottom"/>
          </w:tcPr>
          <w:p w14:paraId="5F61E694" w14:textId="15A18FC5" w:rsidR="007A32D7" w:rsidRPr="000C7549" w:rsidRDefault="007A32D7" w:rsidP="007A32D7">
            <w:pPr>
              <w:rPr>
                <w:rFonts w:ascii="Arial" w:hAnsi="Arial" w:cs="Arial"/>
                <w:i/>
                <w:color w:val="000000"/>
              </w:rPr>
            </w:pPr>
            <w:proofErr w:type="spellStart"/>
            <w:r w:rsidRPr="000C7549">
              <w:rPr>
                <w:rFonts w:ascii="Arial" w:hAnsi="Arial" w:cs="Arial"/>
                <w:i/>
                <w:color w:val="000000"/>
              </w:rPr>
              <w:t>platyparium</w:t>
            </w:r>
            <w:proofErr w:type="spellEnd"/>
            <w:r w:rsidRPr="000C7549">
              <w:rPr>
                <w:rFonts w:ascii="Arial" w:hAnsi="Arial" w:cs="Arial"/>
                <w:i/>
                <w:color w:val="000000"/>
              </w:rPr>
              <w:t>*</w:t>
            </w:r>
          </w:p>
        </w:tc>
        <w:tc>
          <w:tcPr>
            <w:tcW w:w="2145" w:type="dxa"/>
            <w:shd w:val="clear" w:color="auto" w:fill="auto"/>
            <w:vAlign w:val="bottom"/>
          </w:tcPr>
          <w:p w14:paraId="49D7A231" w14:textId="7215448A" w:rsidR="007A32D7" w:rsidRPr="000C7549" w:rsidRDefault="007A32D7" w:rsidP="007A32D7">
            <w:pPr>
              <w:rPr>
                <w:rFonts w:ascii="Arial" w:hAnsi="Arial" w:cs="Arial"/>
                <w:color w:val="000000"/>
              </w:rPr>
            </w:pPr>
            <w:r w:rsidRPr="000C7549">
              <w:rPr>
                <w:rFonts w:ascii="Arial" w:hAnsi="Arial" w:cs="Arial"/>
                <w:color w:val="000000"/>
              </w:rPr>
              <w:t>5</w:t>
            </w:r>
          </w:p>
        </w:tc>
      </w:tr>
      <w:tr w:rsidR="007A32D7" w:rsidRPr="000C7549" w14:paraId="0029484D" w14:textId="77777777" w:rsidTr="00C9273B">
        <w:tc>
          <w:tcPr>
            <w:tcW w:w="2340" w:type="dxa"/>
            <w:shd w:val="clear" w:color="auto" w:fill="auto"/>
            <w:vAlign w:val="bottom"/>
          </w:tcPr>
          <w:p w14:paraId="7D66F033" w14:textId="77777777" w:rsidR="007A32D7" w:rsidRPr="000C7549" w:rsidRDefault="007A32D7" w:rsidP="007A32D7">
            <w:pPr>
              <w:rPr>
                <w:rFonts w:ascii="Arial" w:hAnsi="Arial" w:cs="Arial"/>
              </w:rPr>
            </w:pPr>
          </w:p>
        </w:tc>
        <w:tc>
          <w:tcPr>
            <w:tcW w:w="1966" w:type="dxa"/>
            <w:vAlign w:val="bottom"/>
          </w:tcPr>
          <w:p w14:paraId="7119E1C4" w14:textId="77777777" w:rsidR="007A32D7" w:rsidRPr="000C7549" w:rsidRDefault="007A32D7" w:rsidP="007A32D7">
            <w:pPr>
              <w:rPr>
                <w:rFonts w:ascii="Arial" w:hAnsi="Arial" w:cs="Arial"/>
                <w:i/>
                <w:color w:val="000000"/>
              </w:rPr>
            </w:pPr>
          </w:p>
        </w:tc>
        <w:tc>
          <w:tcPr>
            <w:tcW w:w="1976" w:type="dxa"/>
            <w:vAlign w:val="bottom"/>
          </w:tcPr>
          <w:p w14:paraId="08F7052E" w14:textId="34F36961" w:rsidR="007A32D7" w:rsidRPr="000C7549" w:rsidRDefault="007A32D7" w:rsidP="007A32D7">
            <w:pPr>
              <w:rPr>
                <w:rFonts w:ascii="Arial" w:hAnsi="Arial" w:cs="Arial"/>
                <w:i/>
                <w:color w:val="000000"/>
              </w:rPr>
            </w:pPr>
            <w:r w:rsidRPr="000C7549">
              <w:rPr>
                <w:rFonts w:ascii="Arial" w:hAnsi="Arial" w:cs="Arial"/>
                <w:i/>
                <w:color w:val="000000"/>
              </w:rPr>
              <w:t>gotham*</w:t>
            </w:r>
          </w:p>
        </w:tc>
        <w:tc>
          <w:tcPr>
            <w:tcW w:w="2145" w:type="dxa"/>
            <w:shd w:val="clear" w:color="auto" w:fill="auto"/>
            <w:vAlign w:val="bottom"/>
          </w:tcPr>
          <w:p w14:paraId="078E7B9F" w14:textId="791E82D4" w:rsidR="007A32D7" w:rsidRPr="000C7549" w:rsidRDefault="007A32D7" w:rsidP="007A32D7">
            <w:pPr>
              <w:rPr>
                <w:rFonts w:ascii="Arial" w:hAnsi="Arial" w:cs="Arial"/>
                <w:color w:val="000000"/>
              </w:rPr>
            </w:pPr>
            <w:r w:rsidRPr="000C7549">
              <w:rPr>
                <w:rFonts w:ascii="Arial" w:hAnsi="Arial" w:cs="Arial"/>
                <w:color w:val="000000"/>
              </w:rPr>
              <w:t>5</w:t>
            </w:r>
          </w:p>
        </w:tc>
      </w:tr>
      <w:tr w:rsidR="007A32D7" w:rsidRPr="000C7549" w14:paraId="7EE25EEF" w14:textId="77777777" w:rsidTr="00C9273B">
        <w:tc>
          <w:tcPr>
            <w:tcW w:w="2340" w:type="dxa"/>
            <w:shd w:val="clear" w:color="auto" w:fill="auto"/>
            <w:vAlign w:val="bottom"/>
          </w:tcPr>
          <w:p w14:paraId="4AC754AA" w14:textId="77777777" w:rsidR="007A32D7" w:rsidRPr="000C7549" w:rsidRDefault="007A32D7" w:rsidP="007A32D7">
            <w:pPr>
              <w:rPr>
                <w:rFonts w:ascii="Arial" w:hAnsi="Arial" w:cs="Arial"/>
              </w:rPr>
            </w:pPr>
          </w:p>
        </w:tc>
        <w:tc>
          <w:tcPr>
            <w:tcW w:w="1966" w:type="dxa"/>
            <w:vAlign w:val="bottom"/>
          </w:tcPr>
          <w:p w14:paraId="5C07DB6B" w14:textId="77777777" w:rsidR="007A32D7" w:rsidRPr="000C7549" w:rsidRDefault="007A32D7" w:rsidP="007A32D7">
            <w:pPr>
              <w:rPr>
                <w:rFonts w:ascii="Arial" w:hAnsi="Arial" w:cs="Arial"/>
                <w:i/>
                <w:color w:val="000000"/>
              </w:rPr>
            </w:pPr>
          </w:p>
        </w:tc>
        <w:tc>
          <w:tcPr>
            <w:tcW w:w="1976" w:type="dxa"/>
            <w:vAlign w:val="bottom"/>
          </w:tcPr>
          <w:p w14:paraId="3479820C" w14:textId="228E01FE" w:rsidR="007A32D7" w:rsidRPr="000C7549" w:rsidRDefault="007A32D7" w:rsidP="007A32D7">
            <w:pPr>
              <w:rPr>
                <w:rFonts w:ascii="Arial" w:hAnsi="Arial" w:cs="Arial"/>
                <w:i/>
                <w:color w:val="000000"/>
              </w:rPr>
            </w:pPr>
            <w:r w:rsidRPr="000C7549">
              <w:rPr>
                <w:rFonts w:ascii="Arial" w:hAnsi="Arial" w:cs="Arial"/>
                <w:i/>
                <w:color w:val="000000"/>
              </w:rPr>
              <w:t>coriaceum</w:t>
            </w:r>
          </w:p>
        </w:tc>
        <w:tc>
          <w:tcPr>
            <w:tcW w:w="2145" w:type="dxa"/>
            <w:shd w:val="clear" w:color="auto" w:fill="auto"/>
            <w:vAlign w:val="bottom"/>
          </w:tcPr>
          <w:p w14:paraId="347EC899" w14:textId="3CEF343B" w:rsidR="007A32D7" w:rsidRPr="000C7549" w:rsidRDefault="007A32D7" w:rsidP="007A32D7">
            <w:pPr>
              <w:rPr>
                <w:rFonts w:ascii="Arial" w:hAnsi="Arial" w:cs="Arial"/>
                <w:color w:val="000000"/>
              </w:rPr>
            </w:pPr>
            <w:r w:rsidRPr="000C7549">
              <w:rPr>
                <w:rFonts w:ascii="Arial" w:hAnsi="Arial" w:cs="Arial"/>
                <w:color w:val="000000"/>
              </w:rPr>
              <w:t>4</w:t>
            </w:r>
          </w:p>
        </w:tc>
      </w:tr>
      <w:tr w:rsidR="007A32D7" w:rsidRPr="000C7549" w14:paraId="14EF8CFB" w14:textId="77777777" w:rsidTr="00C9273B">
        <w:tc>
          <w:tcPr>
            <w:tcW w:w="2340" w:type="dxa"/>
            <w:shd w:val="clear" w:color="auto" w:fill="auto"/>
            <w:vAlign w:val="bottom"/>
          </w:tcPr>
          <w:p w14:paraId="4D60F05C" w14:textId="77777777" w:rsidR="007A32D7" w:rsidRPr="000C7549" w:rsidRDefault="007A32D7" w:rsidP="007A32D7">
            <w:pPr>
              <w:rPr>
                <w:rFonts w:ascii="Arial" w:hAnsi="Arial" w:cs="Arial"/>
              </w:rPr>
            </w:pPr>
          </w:p>
        </w:tc>
        <w:tc>
          <w:tcPr>
            <w:tcW w:w="1966" w:type="dxa"/>
            <w:vAlign w:val="bottom"/>
          </w:tcPr>
          <w:p w14:paraId="1AF1C4E1" w14:textId="5ACBC064" w:rsidR="007A32D7" w:rsidRPr="000C7549" w:rsidRDefault="007A32D7" w:rsidP="007A32D7">
            <w:pPr>
              <w:rPr>
                <w:rFonts w:ascii="Arial" w:hAnsi="Arial" w:cs="Arial"/>
                <w:i/>
                <w:color w:val="000000"/>
              </w:rPr>
            </w:pPr>
          </w:p>
        </w:tc>
        <w:tc>
          <w:tcPr>
            <w:tcW w:w="1976" w:type="dxa"/>
            <w:vAlign w:val="bottom"/>
          </w:tcPr>
          <w:p w14:paraId="481A9BD8" w14:textId="3FB395CC" w:rsidR="007A32D7" w:rsidRPr="000C7549" w:rsidRDefault="007A32D7" w:rsidP="007A32D7">
            <w:pPr>
              <w:rPr>
                <w:rFonts w:ascii="Arial" w:hAnsi="Arial" w:cs="Arial"/>
                <w:i/>
                <w:color w:val="000000"/>
              </w:rPr>
            </w:pPr>
            <w:proofErr w:type="spellStart"/>
            <w:r w:rsidRPr="000C7549">
              <w:rPr>
                <w:rFonts w:ascii="Arial" w:hAnsi="Arial" w:cs="Arial"/>
                <w:i/>
                <w:color w:val="000000"/>
              </w:rPr>
              <w:t>zephyrum</w:t>
            </w:r>
            <w:proofErr w:type="spellEnd"/>
            <w:r w:rsidRPr="000C7549">
              <w:rPr>
                <w:rFonts w:ascii="Arial" w:hAnsi="Arial" w:cs="Arial"/>
                <w:i/>
                <w:color w:val="000000"/>
              </w:rPr>
              <w:t>*</w:t>
            </w:r>
          </w:p>
        </w:tc>
        <w:tc>
          <w:tcPr>
            <w:tcW w:w="2145" w:type="dxa"/>
            <w:shd w:val="clear" w:color="auto" w:fill="auto"/>
            <w:vAlign w:val="bottom"/>
          </w:tcPr>
          <w:p w14:paraId="3FD97879" w14:textId="67868F32" w:rsidR="007A32D7" w:rsidRPr="000C7549" w:rsidRDefault="007A32D7" w:rsidP="007A32D7">
            <w:pPr>
              <w:rPr>
                <w:rFonts w:ascii="Arial" w:hAnsi="Arial" w:cs="Arial"/>
                <w:color w:val="000000"/>
              </w:rPr>
            </w:pPr>
            <w:r w:rsidRPr="000C7549">
              <w:rPr>
                <w:rFonts w:ascii="Arial" w:hAnsi="Arial" w:cs="Arial"/>
                <w:color w:val="000000"/>
              </w:rPr>
              <w:t>3</w:t>
            </w:r>
          </w:p>
        </w:tc>
      </w:tr>
      <w:tr w:rsidR="007A32D7" w:rsidRPr="000C7549" w14:paraId="33FFD061" w14:textId="77777777" w:rsidTr="00C9273B">
        <w:tc>
          <w:tcPr>
            <w:tcW w:w="2340" w:type="dxa"/>
            <w:shd w:val="clear" w:color="auto" w:fill="auto"/>
            <w:vAlign w:val="bottom"/>
          </w:tcPr>
          <w:p w14:paraId="4500368D" w14:textId="77777777" w:rsidR="007A32D7" w:rsidRPr="000C7549" w:rsidRDefault="007A32D7" w:rsidP="007A32D7">
            <w:pPr>
              <w:rPr>
                <w:rFonts w:ascii="Arial" w:hAnsi="Arial" w:cs="Arial"/>
              </w:rPr>
            </w:pPr>
          </w:p>
        </w:tc>
        <w:tc>
          <w:tcPr>
            <w:tcW w:w="1966" w:type="dxa"/>
            <w:vAlign w:val="bottom"/>
          </w:tcPr>
          <w:p w14:paraId="34398FFF" w14:textId="41351422" w:rsidR="007A32D7" w:rsidRPr="000C7549" w:rsidRDefault="007A32D7" w:rsidP="007A32D7">
            <w:pPr>
              <w:rPr>
                <w:rFonts w:ascii="Arial" w:hAnsi="Arial" w:cs="Arial"/>
                <w:i/>
                <w:color w:val="000000"/>
              </w:rPr>
            </w:pPr>
          </w:p>
        </w:tc>
        <w:tc>
          <w:tcPr>
            <w:tcW w:w="1976" w:type="dxa"/>
            <w:vAlign w:val="bottom"/>
          </w:tcPr>
          <w:p w14:paraId="1F55FC23" w14:textId="30305412" w:rsidR="007A32D7" w:rsidRPr="000C7549" w:rsidRDefault="007A32D7" w:rsidP="007A32D7">
            <w:pPr>
              <w:rPr>
                <w:rFonts w:ascii="Arial" w:hAnsi="Arial" w:cs="Arial"/>
                <w:i/>
                <w:color w:val="000000"/>
              </w:rPr>
            </w:pPr>
            <w:proofErr w:type="spellStart"/>
            <w:r w:rsidRPr="000C7549">
              <w:rPr>
                <w:rFonts w:ascii="Arial" w:hAnsi="Arial" w:cs="Arial"/>
                <w:i/>
                <w:color w:val="000000"/>
              </w:rPr>
              <w:t>versatum</w:t>
            </w:r>
            <w:proofErr w:type="spellEnd"/>
          </w:p>
        </w:tc>
        <w:tc>
          <w:tcPr>
            <w:tcW w:w="2145" w:type="dxa"/>
            <w:shd w:val="clear" w:color="auto" w:fill="auto"/>
            <w:vAlign w:val="bottom"/>
          </w:tcPr>
          <w:p w14:paraId="40B67DAB" w14:textId="49160763" w:rsidR="007A32D7" w:rsidRPr="000C7549" w:rsidRDefault="007A32D7" w:rsidP="007A32D7">
            <w:pPr>
              <w:rPr>
                <w:rFonts w:ascii="Arial" w:hAnsi="Arial" w:cs="Arial"/>
                <w:color w:val="000000"/>
              </w:rPr>
            </w:pPr>
            <w:r w:rsidRPr="000C7549">
              <w:rPr>
                <w:rFonts w:ascii="Arial" w:hAnsi="Arial" w:cs="Arial"/>
                <w:color w:val="000000"/>
              </w:rPr>
              <w:t>2</w:t>
            </w:r>
          </w:p>
        </w:tc>
      </w:tr>
      <w:tr w:rsidR="007A32D7" w:rsidRPr="000C7549" w14:paraId="705753D6" w14:textId="77777777" w:rsidTr="00C9273B">
        <w:tc>
          <w:tcPr>
            <w:tcW w:w="2340" w:type="dxa"/>
            <w:shd w:val="clear" w:color="auto" w:fill="auto"/>
            <w:vAlign w:val="bottom"/>
          </w:tcPr>
          <w:p w14:paraId="77E9E91C" w14:textId="77777777" w:rsidR="007A32D7" w:rsidRPr="000C7549" w:rsidRDefault="007A32D7" w:rsidP="007A32D7">
            <w:pPr>
              <w:rPr>
                <w:rFonts w:ascii="Arial" w:hAnsi="Arial" w:cs="Arial"/>
              </w:rPr>
            </w:pPr>
          </w:p>
        </w:tc>
        <w:tc>
          <w:tcPr>
            <w:tcW w:w="1966" w:type="dxa"/>
            <w:vAlign w:val="bottom"/>
          </w:tcPr>
          <w:p w14:paraId="63A0C923" w14:textId="77777777" w:rsidR="007A32D7" w:rsidRPr="000C7549" w:rsidRDefault="007A32D7" w:rsidP="007A32D7">
            <w:pPr>
              <w:rPr>
                <w:rFonts w:ascii="Arial" w:hAnsi="Arial" w:cs="Arial"/>
                <w:i/>
                <w:color w:val="000000"/>
              </w:rPr>
            </w:pPr>
          </w:p>
        </w:tc>
        <w:tc>
          <w:tcPr>
            <w:tcW w:w="1976" w:type="dxa"/>
            <w:vAlign w:val="bottom"/>
          </w:tcPr>
          <w:p w14:paraId="2A512832" w14:textId="6D263A6D" w:rsidR="007A32D7" w:rsidRPr="000C7549" w:rsidRDefault="007A32D7" w:rsidP="007A32D7">
            <w:pPr>
              <w:rPr>
                <w:rFonts w:ascii="Arial" w:hAnsi="Arial" w:cs="Arial"/>
                <w:i/>
                <w:color w:val="000000"/>
              </w:rPr>
            </w:pPr>
            <w:r w:rsidRPr="000C7549">
              <w:rPr>
                <w:rFonts w:ascii="Arial" w:hAnsi="Arial" w:cs="Arial"/>
                <w:i/>
                <w:color w:val="000000"/>
              </w:rPr>
              <w:t>lustrans</w:t>
            </w:r>
          </w:p>
        </w:tc>
        <w:tc>
          <w:tcPr>
            <w:tcW w:w="2145" w:type="dxa"/>
            <w:shd w:val="clear" w:color="auto" w:fill="auto"/>
            <w:vAlign w:val="bottom"/>
          </w:tcPr>
          <w:p w14:paraId="067FCFE6" w14:textId="6E9C6327" w:rsidR="007A32D7" w:rsidRPr="000C7549" w:rsidRDefault="007A32D7" w:rsidP="007A32D7">
            <w:pPr>
              <w:rPr>
                <w:rFonts w:ascii="Arial" w:hAnsi="Arial" w:cs="Arial"/>
                <w:color w:val="000000"/>
              </w:rPr>
            </w:pPr>
            <w:r w:rsidRPr="000C7549">
              <w:rPr>
                <w:rFonts w:ascii="Arial" w:hAnsi="Arial" w:cs="Arial"/>
                <w:color w:val="000000"/>
              </w:rPr>
              <w:t>2</w:t>
            </w:r>
          </w:p>
        </w:tc>
      </w:tr>
      <w:tr w:rsidR="007A32D7" w:rsidRPr="000C7549" w14:paraId="0900F78B" w14:textId="77777777" w:rsidTr="00C9273B">
        <w:tc>
          <w:tcPr>
            <w:tcW w:w="2340" w:type="dxa"/>
            <w:shd w:val="clear" w:color="auto" w:fill="auto"/>
            <w:vAlign w:val="bottom"/>
          </w:tcPr>
          <w:p w14:paraId="61383C2A" w14:textId="77777777" w:rsidR="007A32D7" w:rsidRPr="000C7549" w:rsidRDefault="007A32D7" w:rsidP="007A32D7">
            <w:pPr>
              <w:rPr>
                <w:rFonts w:ascii="Arial" w:hAnsi="Arial" w:cs="Arial"/>
              </w:rPr>
            </w:pPr>
          </w:p>
        </w:tc>
        <w:tc>
          <w:tcPr>
            <w:tcW w:w="1966" w:type="dxa"/>
            <w:vAlign w:val="bottom"/>
          </w:tcPr>
          <w:p w14:paraId="4569082D" w14:textId="77777777" w:rsidR="007A32D7" w:rsidRPr="000C7549" w:rsidRDefault="007A32D7" w:rsidP="007A32D7">
            <w:pPr>
              <w:rPr>
                <w:rFonts w:ascii="Arial" w:hAnsi="Arial" w:cs="Arial"/>
                <w:i/>
                <w:color w:val="000000"/>
              </w:rPr>
            </w:pPr>
          </w:p>
        </w:tc>
        <w:tc>
          <w:tcPr>
            <w:tcW w:w="1976" w:type="dxa"/>
            <w:vAlign w:val="bottom"/>
          </w:tcPr>
          <w:p w14:paraId="696B75EB" w14:textId="0094BD3E" w:rsidR="007A32D7" w:rsidRPr="000C7549" w:rsidRDefault="007A32D7" w:rsidP="007A32D7">
            <w:pPr>
              <w:rPr>
                <w:rFonts w:ascii="Arial" w:hAnsi="Arial" w:cs="Arial"/>
                <w:i/>
                <w:color w:val="000000"/>
              </w:rPr>
            </w:pPr>
            <w:r w:rsidRPr="000C7549">
              <w:rPr>
                <w:rFonts w:ascii="Arial" w:hAnsi="Arial" w:cs="Arial"/>
                <w:i/>
                <w:color w:val="000000"/>
              </w:rPr>
              <w:t>illinoense*</w:t>
            </w:r>
          </w:p>
        </w:tc>
        <w:tc>
          <w:tcPr>
            <w:tcW w:w="2145" w:type="dxa"/>
            <w:shd w:val="clear" w:color="auto" w:fill="auto"/>
            <w:vAlign w:val="bottom"/>
          </w:tcPr>
          <w:p w14:paraId="5A97B4D3" w14:textId="652CA08E" w:rsidR="007A32D7" w:rsidRPr="000C7549" w:rsidRDefault="007A32D7" w:rsidP="007A32D7">
            <w:pPr>
              <w:rPr>
                <w:rFonts w:ascii="Arial" w:hAnsi="Arial" w:cs="Arial"/>
                <w:color w:val="000000"/>
              </w:rPr>
            </w:pPr>
            <w:r w:rsidRPr="000C7549">
              <w:rPr>
                <w:rFonts w:ascii="Arial" w:hAnsi="Arial" w:cs="Arial"/>
                <w:color w:val="000000"/>
              </w:rPr>
              <w:t>2</w:t>
            </w:r>
          </w:p>
        </w:tc>
      </w:tr>
      <w:tr w:rsidR="007A32D7" w:rsidRPr="000C7549" w14:paraId="48ECF6E1" w14:textId="77777777" w:rsidTr="00C9273B">
        <w:tc>
          <w:tcPr>
            <w:tcW w:w="2340" w:type="dxa"/>
            <w:shd w:val="clear" w:color="auto" w:fill="auto"/>
            <w:vAlign w:val="bottom"/>
          </w:tcPr>
          <w:p w14:paraId="052550C3" w14:textId="77777777" w:rsidR="007A32D7" w:rsidRPr="000C7549" w:rsidRDefault="007A32D7" w:rsidP="007A32D7">
            <w:pPr>
              <w:rPr>
                <w:rFonts w:ascii="Arial" w:hAnsi="Arial" w:cs="Arial"/>
              </w:rPr>
            </w:pPr>
          </w:p>
        </w:tc>
        <w:tc>
          <w:tcPr>
            <w:tcW w:w="1966" w:type="dxa"/>
            <w:vAlign w:val="bottom"/>
          </w:tcPr>
          <w:p w14:paraId="03980456" w14:textId="77777777" w:rsidR="007A32D7" w:rsidRPr="000C7549" w:rsidRDefault="007A32D7" w:rsidP="007A32D7">
            <w:pPr>
              <w:rPr>
                <w:rFonts w:ascii="Arial" w:hAnsi="Arial" w:cs="Arial"/>
                <w:color w:val="000000"/>
              </w:rPr>
            </w:pPr>
          </w:p>
        </w:tc>
        <w:tc>
          <w:tcPr>
            <w:tcW w:w="1976" w:type="dxa"/>
            <w:vAlign w:val="bottom"/>
          </w:tcPr>
          <w:p w14:paraId="79EB1342" w14:textId="7C1847CB" w:rsidR="007A32D7" w:rsidRPr="000C7549" w:rsidRDefault="007A32D7" w:rsidP="007A32D7">
            <w:pPr>
              <w:rPr>
                <w:rFonts w:ascii="Arial" w:hAnsi="Arial" w:cs="Arial"/>
                <w:i/>
                <w:iCs/>
                <w:color w:val="000000"/>
              </w:rPr>
            </w:pPr>
            <w:proofErr w:type="spellStart"/>
            <w:r w:rsidRPr="000C7549">
              <w:rPr>
                <w:rFonts w:ascii="Arial" w:hAnsi="Arial" w:cs="Arial"/>
                <w:i/>
                <w:color w:val="000000"/>
              </w:rPr>
              <w:t>rozeni</w:t>
            </w:r>
            <w:proofErr w:type="spellEnd"/>
          </w:p>
        </w:tc>
        <w:tc>
          <w:tcPr>
            <w:tcW w:w="2145" w:type="dxa"/>
            <w:shd w:val="clear" w:color="auto" w:fill="auto"/>
            <w:vAlign w:val="bottom"/>
          </w:tcPr>
          <w:p w14:paraId="4A4EB7C6" w14:textId="4A8724BE" w:rsidR="007A32D7" w:rsidRPr="000C7549" w:rsidRDefault="007A32D7" w:rsidP="007A32D7">
            <w:pPr>
              <w:rPr>
                <w:rFonts w:ascii="Arial" w:hAnsi="Arial" w:cs="Arial"/>
                <w:color w:val="000000"/>
              </w:rPr>
            </w:pPr>
            <w:r w:rsidRPr="000C7549">
              <w:rPr>
                <w:rFonts w:ascii="Arial" w:hAnsi="Arial" w:cs="Arial"/>
                <w:color w:val="000000"/>
              </w:rPr>
              <w:t>1</w:t>
            </w:r>
          </w:p>
        </w:tc>
      </w:tr>
      <w:tr w:rsidR="007A32D7" w:rsidRPr="000C7549" w14:paraId="2381D7BC" w14:textId="77777777" w:rsidTr="00C9273B">
        <w:tc>
          <w:tcPr>
            <w:tcW w:w="2340" w:type="dxa"/>
            <w:shd w:val="clear" w:color="auto" w:fill="auto"/>
            <w:vAlign w:val="bottom"/>
          </w:tcPr>
          <w:p w14:paraId="45C7E84F" w14:textId="77777777" w:rsidR="007A32D7" w:rsidRPr="000C7549" w:rsidRDefault="007A32D7" w:rsidP="007A32D7">
            <w:pPr>
              <w:rPr>
                <w:rFonts w:ascii="Arial" w:hAnsi="Arial" w:cs="Arial"/>
              </w:rPr>
            </w:pPr>
          </w:p>
        </w:tc>
        <w:tc>
          <w:tcPr>
            <w:tcW w:w="1966" w:type="dxa"/>
            <w:vAlign w:val="bottom"/>
          </w:tcPr>
          <w:p w14:paraId="2127FEFC" w14:textId="77777777" w:rsidR="007A32D7" w:rsidRPr="000C7549" w:rsidRDefault="007A32D7" w:rsidP="007A32D7">
            <w:pPr>
              <w:rPr>
                <w:rFonts w:ascii="Arial" w:hAnsi="Arial" w:cs="Arial"/>
                <w:i/>
                <w:color w:val="000000"/>
              </w:rPr>
            </w:pPr>
          </w:p>
        </w:tc>
        <w:tc>
          <w:tcPr>
            <w:tcW w:w="1976" w:type="dxa"/>
            <w:vAlign w:val="bottom"/>
          </w:tcPr>
          <w:p w14:paraId="166DCCAF" w14:textId="3D995960" w:rsidR="007A32D7" w:rsidRPr="000C7549" w:rsidRDefault="007A32D7" w:rsidP="007A32D7">
            <w:pPr>
              <w:rPr>
                <w:rFonts w:ascii="Arial" w:hAnsi="Arial" w:cs="Arial"/>
                <w:i/>
                <w:color w:val="000000"/>
              </w:rPr>
            </w:pPr>
            <w:proofErr w:type="spellStart"/>
            <w:r w:rsidRPr="000C7549">
              <w:rPr>
                <w:rFonts w:ascii="Arial" w:hAnsi="Arial" w:cs="Arial"/>
                <w:i/>
                <w:color w:val="000000"/>
              </w:rPr>
              <w:t>paradmirandum</w:t>
            </w:r>
            <w:proofErr w:type="spellEnd"/>
          </w:p>
        </w:tc>
        <w:tc>
          <w:tcPr>
            <w:tcW w:w="2145" w:type="dxa"/>
            <w:shd w:val="clear" w:color="auto" w:fill="auto"/>
            <w:vAlign w:val="bottom"/>
          </w:tcPr>
          <w:p w14:paraId="0D5225D3" w14:textId="3F06953C" w:rsidR="007A32D7" w:rsidRPr="000C7549" w:rsidRDefault="007A32D7" w:rsidP="007A32D7">
            <w:pPr>
              <w:rPr>
                <w:rFonts w:ascii="Arial" w:hAnsi="Arial" w:cs="Arial"/>
                <w:color w:val="000000"/>
              </w:rPr>
            </w:pPr>
            <w:r w:rsidRPr="000C7549">
              <w:rPr>
                <w:rFonts w:ascii="Arial" w:hAnsi="Arial" w:cs="Arial"/>
                <w:color w:val="000000"/>
              </w:rPr>
              <w:t>1</w:t>
            </w:r>
          </w:p>
        </w:tc>
      </w:tr>
      <w:tr w:rsidR="007A32D7" w:rsidRPr="000C7549" w14:paraId="4F11B5D3" w14:textId="77777777" w:rsidTr="00C9273B">
        <w:tc>
          <w:tcPr>
            <w:tcW w:w="2340" w:type="dxa"/>
            <w:shd w:val="clear" w:color="auto" w:fill="auto"/>
            <w:vAlign w:val="bottom"/>
          </w:tcPr>
          <w:p w14:paraId="473E1718" w14:textId="77777777" w:rsidR="007A32D7" w:rsidRPr="000C7549" w:rsidRDefault="007A32D7" w:rsidP="007A32D7">
            <w:pPr>
              <w:rPr>
                <w:rFonts w:ascii="Arial" w:hAnsi="Arial" w:cs="Arial"/>
              </w:rPr>
            </w:pPr>
          </w:p>
        </w:tc>
        <w:tc>
          <w:tcPr>
            <w:tcW w:w="1966" w:type="dxa"/>
            <w:vAlign w:val="bottom"/>
          </w:tcPr>
          <w:p w14:paraId="3408DEB8" w14:textId="01F60ED3" w:rsidR="007A32D7" w:rsidRPr="000C7549" w:rsidRDefault="007A32D7" w:rsidP="007A32D7">
            <w:pPr>
              <w:rPr>
                <w:rFonts w:ascii="Arial" w:hAnsi="Arial" w:cs="Arial"/>
                <w:i/>
                <w:color w:val="000000"/>
              </w:rPr>
            </w:pPr>
          </w:p>
        </w:tc>
        <w:tc>
          <w:tcPr>
            <w:tcW w:w="1976" w:type="dxa"/>
            <w:vAlign w:val="bottom"/>
          </w:tcPr>
          <w:p w14:paraId="5354FB01" w14:textId="7A980512" w:rsidR="007A32D7" w:rsidRPr="000C7549" w:rsidRDefault="007A32D7" w:rsidP="007A32D7">
            <w:pPr>
              <w:rPr>
                <w:rFonts w:ascii="Arial" w:hAnsi="Arial" w:cs="Arial"/>
                <w:i/>
                <w:color w:val="000000"/>
              </w:rPr>
            </w:pPr>
            <w:r w:rsidRPr="000C7549">
              <w:rPr>
                <w:rFonts w:ascii="Arial" w:hAnsi="Arial" w:cs="Arial"/>
                <w:i/>
                <w:color w:val="000000"/>
              </w:rPr>
              <w:t>lionotum*</w:t>
            </w:r>
          </w:p>
        </w:tc>
        <w:tc>
          <w:tcPr>
            <w:tcW w:w="2145" w:type="dxa"/>
            <w:shd w:val="clear" w:color="auto" w:fill="auto"/>
            <w:vAlign w:val="bottom"/>
          </w:tcPr>
          <w:p w14:paraId="7E2E3E1C" w14:textId="3507816B" w:rsidR="007A32D7" w:rsidRPr="000C7549" w:rsidRDefault="007A32D7" w:rsidP="007A32D7">
            <w:pPr>
              <w:rPr>
                <w:rFonts w:ascii="Arial" w:hAnsi="Arial" w:cs="Arial"/>
                <w:color w:val="000000"/>
              </w:rPr>
            </w:pPr>
            <w:r w:rsidRPr="000C7549">
              <w:rPr>
                <w:rFonts w:ascii="Arial" w:hAnsi="Arial" w:cs="Arial"/>
                <w:color w:val="000000"/>
              </w:rPr>
              <w:t>1</w:t>
            </w:r>
          </w:p>
        </w:tc>
      </w:tr>
      <w:tr w:rsidR="007A32D7" w:rsidRPr="000C7549" w14:paraId="2E761A6E" w14:textId="77777777" w:rsidTr="00C9273B">
        <w:tc>
          <w:tcPr>
            <w:tcW w:w="2340" w:type="dxa"/>
            <w:shd w:val="clear" w:color="auto" w:fill="auto"/>
            <w:vAlign w:val="bottom"/>
          </w:tcPr>
          <w:p w14:paraId="75795104" w14:textId="77777777" w:rsidR="007A32D7" w:rsidRPr="000C7549" w:rsidRDefault="007A32D7" w:rsidP="007A32D7">
            <w:pPr>
              <w:rPr>
                <w:rFonts w:ascii="Arial" w:hAnsi="Arial" w:cs="Arial"/>
              </w:rPr>
            </w:pPr>
          </w:p>
        </w:tc>
        <w:tc>
          <w:tcPr>
            <w:tcW w:w="1966" w:type="dxa"/>
            <w:vAlign w:val="bottom"/>
          </w:tcPr>
          <w:p w14:paraId="4A25FFD6" w14:textId="77777777" w:rsidR="007A32D7" w:rsidRPr="000C7549" w:rsidRDefault="007A32D7" w:rsidP="007A32D7">
            <w:pPr>
              <w:rPr>
                <w:rFonts w:ascii="Arial" w:hAnsi="Arial" w:cs="Arial"/>
                <w:i/>
                <w:color w:val="000000"/>
              </w:rPr>
            </w:pPr>
          </w:p>
        </w:tc>
        <w:tc>
          <w:tcPr>
            <w:tcW w:w="1976" w:type="dxa"/>
            <w:vAlign w:val="bottom"/>
          </w:tcPr>
          <w:p w14:paraId="2ED49879" w14:textId="7BFCC5B3" w:rsidR="007A32D7" w:rsidRPr="000C7549" w:rsidRDefault="007A32D7" w:rsidP="007A32D7">
            <w:pPr>
              <w:rPr>
                <w:rFonts w:ascii="Arial" w:hAnsi="Arial" w:cs="Arial"/>
                <w:i/>
                <w:color w:val="000000"/>
              </w:rPr>
            </w:pPr>
            <w:r w:rsidRPr="000C7549">
              <w:rPr>
                <w:rFonts w:ascii="Arial" w:hAnsi="Arial" w:cs="Arial"/>
                <w:i/>
                <w:color w:val="000000"/>
              </w:rPr>
              <w:t>leucozonium*</w:t>
            </w:r>
          </w:p>
        </w:tc>
        <w:tc>
          <w:tcPr>
            <w:tcW w:w="2145" w:type="dxa"/>
            <w:shd w:val="clear" w:color="auto" w:fill="auto"/>
            <w:vAlign w:val="bottom"/>
          </w:tcPr>
          <w:p w14:paraId="2CEA2ABB" w14:textId="2B397072" w:rsidR="007A32D7" w:rsidRPr="000C7549" w:rsidRDefault="007A32D7" w:rsidP="007A32D7">
            <w:pPr>
              <w:rPr>
                <w:rFonts w:ascii="Arial" w:hAnsi="Arial" w:cs="Arial"/>
                <w:color w:val="000000"/>
              </w:rPr>
            </w:pPr>
            <w:r w:rsidRPr="000C7549">
              <w:rPr>
                <w:rFonts w:ascii="Arial" w:hAnsi="Arial" w:cs="Arial"/>
                <w:color w:val="000000"/>
              </w:rPr>
              <w:t>1</w:t>
            </w:r>
          </w:p>
        </w:tc>
      </w:tr>
      <w:tr w:rsidR="007A32D7" w:rsidRPr="000C7549" w14:paraId="24F5047B" w14:textId="77777777" w:rsidTr="00C9273B">
        <w:tc>
          <w:tcPr>
            <w:tcW w:w="2340" w:type="dxa"/>
            <w:shd w:val="clear" w:color="auto" w:fill="auto"/>
            <w:vAlign w:val="bottom"/>
          </w:tcPr>
          <w:p w14:paraId="03E0C748" w14:textId="77777777" w:rsidR="007A32D7" w:rsidRPr="000C7549" w:rsidRDefault="007A32D7" w:rsidP="007A32D7">
            <w:pPr>
              <w:rPr>
                <w:rFonts w:ascii="Arial" w:hAnsi="Arial" w:cs="Arial"/>
              </w:rPr>
            </w:pPr>
          </w:p>
        </w:tc>
        <w:tc>
          <w:tcPr>
            <w:tcW w:w="1966" w:type="dxa"/>
            <w:vAlign w:val="bottom"/>
          </w:tcPr>
          <w:p w14:paraId="6149B60C" w14:textId="77777777" w:rsidR="007A32D7" w:rsidRPr="000C7549" w:rsidRDefault="007A32D7" w:rsidP="007A32D7">
            <w:pPr>
              <w:rPr>
                <w:rFonts w:ascii="Arial" w:hAnsi="Arial" w:cs="Arial"/>
                <w:i/>
                <w:color w:val="000000"/>
              </w:rPr>
            </w:pPr>
          </w:p>
        </w:tc>
        <w:tc>
          <w:tcPr>
            <w:tcW w:w="1976" w:type="dxa"/>
            <w:vAlign w:val="bottom"/>
          </w:tcPr>
          <w:p w14:paraId="63D9E098" w14:textId="559B882D" w:rsidR="007A32D7" w:rsidRPr="000C7549" w:rsidRDefault="007A32D7" w:rsidP="007A32D7">
            <w:pPr>
              <w:rPr>
                <w:rFonts w:ascii="Arial" w:hAnsi="Arial" w:cs="Arial"/>
                <w:i/>
                <w:color w:val="000000"/>
              </w:rPr>
            </w:pPr>
            <w:r w:rsidRPr="000C7549">
              <w:rPr>
                <w:rFonts w:ascii="Arial" w:hAnsi="Arial" w:cs="Arial"/>
                <w:i/>
                <w:color w:val="000000"/>
              </w:rPr>
              <w:t>fuscipenne*</w:t>
            </w:r>
          </w:p>
        </w:tc>
        <w:tc>
          <w:tcPr>
            <w:tcW w:w="2145" w:type="dxa"/>
            <w:shd w:val="clear" w:color="auto" w:fill="auto"/>
            <w:vAlign w:val="bottom"/>
          </w:tcPr>
          <w:p w14:paraId="388A192F" w14:textId="4AC3FA1E" w:rsidR="007A32D7" w:rsidRPr="000C7549" w:rsidRDefault="007A32D7" w:rsidP="007A32D7">
            <w:pPr>
              <w:rPr>
                <w:rFonts w:ascii="Arial" w:hAnsi="Arial" w:cs="Arial"/>
                <w:color w:val="000000"/>
              </w:rPr>
            </w:pPr>
            <w:r w:rsidRPr="000C7549">
              <w:rPr>
                <w:rFonts w:ascii="Arial" w:hAnsi="Arial" w:cs="Arial"/>
                <w:color w:val="000000"/>
              </w:rPr>
              <w:t>1</w:t>
            </w:r>
          </w:p>
        </w:tc>
      </w:tr>
      <w:tr w:rsidR="007A32D7" w:rsidRPr="000C7549" w14:paraId="2310E451" w14:textId="77777777" w:rsidTr="00C9273B">
        <w:tc>
          <w:tcPr>
            <w:tcW w:w="2340" w:type="dxa"/>
            <w:shd w:val="clear" w:color="auto" w:fill="auto"/>
            <w:vAlign w:val="bottom"/>
          </w:tcPr>
          <w:p w14:paraId="66B9A571" w14:textId="77777777" w:rsidR="007A32D7" w:rsidRPr="000C7549" w:rsidRDefault="007A32D7" w:rsidP="007A32D7">
            <w:pPr>
              <w:rPr>
                <w:rFonts w:ascii="Arial" w:hAnsi="Arial" w:cs="Arial"/>
              </w:rPr>
            </w:pPr>
          </w:p>
        </w:tc>
        <w:tc>
          <w:tcPr>
            <w:tcW w:w="1966" w:type="dxa"/>
            <w:vAlign w:val="bottom"/>
          </w:tcPr>
          <w:p w14:paraId="7B0CDA2E" w14:textId="77777777" w:rsidR="007A32D7" w:rsidRPr="000C7549" w:rsidRDefault="007A32D7" w:rsidP="007A32D7">
            <w:pPr>
              <w:rPr>
                <w:rFonts w:ascii="Arial" w:hAnsi="Arial" w:cs="Arial"/>
                <w:i/>
                <w:color w:val="000000"/>
              </w:rPr>
            </w:pPr>
          </w:p>
        </w:tc>
        <w:tc>
          <w:tcPr>
            <w:tcW w:w="1976" w:type="dxa"/>
            <w:vAlign w:val="bottom"/>
          </w:tcPr>
          <w:p w14:paraId="371B19C3" w14:textId="5B5F2D95" w:rsidR="007A32D7" w:rsidRPr="000C7549" w:rsidRDefault="007A32D7" w:rsidP="007A32D7">
            <w:pPr>
              <w:rPr>
                <w:rFonts w:ascii="Arial" w:hAnsi="Arial" w:cs="Arial"/>
                <w:i/>
                <w:color w:val="000000"/>
              </w:rPr>
            </w:pPr>
            <w:r w:rsidRPr="000C7549">
              <w:rPr>
                <w:rFonts w:ascii="Arial" w:hAnsi="Arial" w:cs="Arial"/>
                <w:i/>
                <w:color w:val="000000"/>
              </w:rPr>
              <w:t>coreopsis*</w:t>
            </w:r>
          </w:p>
        </w:tc>
        <w:tc>
          <w:tcPr>
            <w:tcW w:w="2145" w:type="dxa"/>
            <w:shd w:val="clear" w:color="auto" w:fill="auto"/>
            <w:vAlign w:val="bottom"/>
          </w:tcPr>
          <w:p w14:paraId="25B81BD8" w14:textId="6D64A16A" w:rsidR="007A32D7" w:rsidRPr="000C7549" w:rsidRDefault="007A32D7" w:rsidP="007A32D7">
            <w:pPr>
              <w:rPr>
                <w:rFonts w:ascii="Arial" w:hAnsi="Arial" w:cs="Arial"/>
                <w:color w:val="000000"/>
              </w:rPr>
            </w:pPr>
            <w:r w:rsidRPr="000C7549">
              <w:rPr>
                <w:rFonts w:ascii="Arial" w:hAnsi="Arial" w:cs="Arial"/>
                <w:color w:val="000000"/>
              </w:rPr>
              <w:t>1</w:t>
            </w:r>
          </w:p>
        </w:tc>
      </w:tr>
      <w:tr w:rsidR="007A32D7" w:rsidRPr="000C7549" w14:paraId="49A3AFD5" w14:textId="77777777" w:rsidTr="00C9273B">
        <w:tc>
          <w:tcPr>
            <w:tcW w:w="2340" w:type="dxa"/>
            <w:shd w:val="clear" w:color="auto" w:fill="auto"/>
            <w:vAlign w:val="bottom"/>
          </w:tcPr>
          <w:p w14:paraId="5A13CFC4" w14:textId="77777777" w:rsidR="007A32D7" w:rsidRPr="000C7549" w:rsidRDefault="007A32D7" w:rsidP="007A32D7">
            <w:pPr>
              <w:rPr>
                <w:rFonts w:ascii="Arial" w:hAnsi="Arial" w:cs="Arial"/>
              </w:rPr>
            </w:pPr>
          </w:p>
        </w:tc>
        <w:tc>
          <w:tcPr>
            <w:tcW w:w="1966" w:type="dxa"/>
            <w:vAlign w:val="bottom"/>
          </w:tcPr>
          <w:p w14:paraId="451671F6" w14:textId="77777777" w:rsidR="007A32D7" w:rsidRPr="000C7549" w:rsidRDefault="007A32D7" w:rsidP="007A32D7">
            <w:pPr>
              <w:rPr>
                <w:rFonts w:ascii="Arial" w:hAnsi="Arial" w:cs="Arial"/>
                <w:i/>
                <w:color w:val="000000"/>
              </w:rPr>
            </w:pPr>
          </w:p>
        </w:tc>
        <w:tc>
          <w:tcPr>
            <w:tcW w:w="1976" w:type="dxa"/>
            <w:vAlign w:val="bottom"/>
          </w:tcPr>
          <w:p w14:paraId="091EC974" w14:textId="48915C1D" w:rsidR="007A32D7" w:rsidRPr="000C7549" w:rsidRDefault="007A32D7" w:rsidP="007A32D7">
            <w:pPr>
              <w:rPr>
                <w:rFonts w:ascii="Arial" w:hAnsi="Arial" w:cs="Arial"/>
                <w:i/>
                <w:color w:val="000000"/>
              </w:rPr>
            </w:pPr>
            <w:r w:rsidRPr="000C7549">
              <w:rPr>
                <w:rFonts w:ascii="Arial" w:hAnsi="Arial" w:cs="Arial"/>
                <w:i/>
                <w:color w:val="000000"/>
              </w:rPr>
              <w:t>cinctipes*</w:t>
            </w:r>
          </w:p>
        </w:tc>
        <w:tc>
          <w:tcPr>
            <w:tcW w:w="2145" w:type="dxa"/>
            <w:shd w:val="clear" w:color="auto" w:fill="auto"/>
            <w:vAlign w:val="bottom"/>
          </w:tcPr>
          <w:p w14:paraId="7D232DDF" w14:textId="0B87A113" w:rsidR="007A32D7" w:rsidRPr="000C7549" w:rsidRDefault="007A32D7" w:rsidP="007A32D7">
            <w:pPr>
              <w:rPr>
                <w:rFonts w:ascii="Arial" w:hAnsi="Arial" w:cs="Arial"/>
                <w:color w:val="000000"/>
              </w:rPr>
            </w:pPr>
            <w:r w:rsidRPr="000C7549">
              <w:rPr>
                <w:rFonts w:ascii="Arial" w:hAnsi="Arial" w:cs="Arial"/>
                <w:color w:val="000000"/>
              </w:rPr>
              <w:t>1</w:t>
            </w:r>
          </w:p>
        </w:tc>
      </w:tr>
      <w:tr w:rsidR="0012108F" w:rsidRPr="000C7549" w14:paraId="3C6CC0BE" w14:textId="77777777" w:rsidTr="00C9273B">
        <w:tc>
          <w:tcPr>
            <w:tcW w:w="2340" w:type="dxa"/>
            <w:shd w:val="clear" w:color="auto" w:fill="auto"/>
            <w:vAlign w:val="bottom"/>
          </w:tcPr>
          <w:p w14:paraId="279D66E8" w14:textId="77777777" w:rsidR="0012108F" w:rsidRPr="000C7549" w:rsidRDefault="0012108F" w:rsidP="0012108F">
            <w:pPr>
              <w:rPr>
                <w:rFonts w:ascii="Arial" w:hAnsi="Arial" w:cs="Arial"/>
              </w:rPr>
            </w:pPr>
          </w:p>
        </w:tc>
        <w:tc>
          <w:tcPr>
            <w:tcW w:w="1966" w:type="dxa"/>
            <w:vAlign w:val="bottom"/>
          </w:tcPr>
          <w:p w14:paraId="5C8194AB" w14:textId="519C4C85" w:rsidR="0012108F" w:rsidRPr="000C7549" w:rsidRDefault="0012108F" w:rsidP="0012108F">
            <w:pPr>
              <w:rPr>
                <w:rFonts w:ascii="Arial" w:hAnsi="Arial" w:cs="Arial"/>
                <w:i/>
                <w:color w:val="000000"/>
              </w:rPr>
            </w:pPr>
            <w:r w:rsidRPr="000C7549">
              <w:rPr>
                <w:rFonts w:ascii="Arial" w:hAnsi="Arial" w:cs="Arial"/>
                <w:i/>
                <w:color w:val="000000"/>
              </w:rPr>
              <w:t>Sphecodes</w:t>
            </w:r>
          </w:p>
        </w:tc>
        <w:tc>
          <w:tcPr>
            <w:tcW w:w="1976" w:type="dxa"/>
            <w:vAlign w:val="bottom"/>
          </w:tcPr>
          <w:p w14:paraId="72313B69" w14:textId="74307217" w:rsidR="0012108F" w:rsidRPr="000C7549" w:rsidRDefault="0012108F" w:rsidP="0012108F">
            <w:pPr>
              <w:rPr>
                <w:rFonts w:ascii="Arial" w:hAnsi="Arial" w:cs="Arial"/>
                <w:i/>
                <w:color w:val="000000"/>
              </w:rPr>
            </w:pPr>
            <w:proofErr w:type="spellStart"/>
            <w:r w:rsidRPr="000C7549">
              <w:rPr>
                <w:rFonts w:ascii="Arial" w:hAnsi="Arial" w:cs="Arial"/>
                <w:i/>
                <w:color w:val="000000"/>
              </w:rPr>
              <w:t>carolinus</w:t>
            </w:r>
            <w:proofErr w:type="spellEnd"/>
          </w:p>
        </w:tc>
        <w:tc>
          <w:tcPr>
            <w:tcW w:w="2145" w:type="dxa"/>
            <w:shd w:val="clear" w:color="auto" w:fill="auto"/>
            <w:vAlign w:val="bottom"/>
          </w:tcPr>
          <w:p w14:paraId="65C11C6F" w14:textId="0195CC27" w:rsidR="0012108F" w:rsidRPr="000C7549" w:rsidRDefault="0012108F" w:rsidP="0012108F">
            <w:pPr>
              <w:rPr>
                <w:rFonts w:ascii="Arial" w:hAnsi="Arial" w:cs="Arial"/>
                <w:color w:val="000000"/>
              </w:rPr>
            </w:pPr>
            <w:r w:rsidRPr="000C7549">
              <w:rPr>
                <w:rFonts w:ascii="Arial" w:hAnsi="Arial" w:cs="Arial"/>
                <w:color w:val="000000"/>
              </w:rPr>
              <w:t>1</w:t>
            </w:r>
          </w:p>
        </w:tc>
      </w:tr>
      <w:tr w:rsidR="0012108F" w:rsidRPr="000C7549" w14:paraId="53043533" w14:textId="77777777" w:rsidTr="00C9273B">
        <w:tc>
          <w:tcPr>
            <w:tcW w:w="2340" w:type="dxa"/>
            <w:shd w:val="clear" w:color="auto" w:fill="auto"/>
            <w:vAlign w:val="bottom"/>
          </w:tcPr>
          <w:p w14:paraId="332AFA83" w14:textId="77777777" w:rsidR="0012108F" w:rsidRPr="000C7549" w:rsidRDefault="0012108F" w:rsidP="0012108F">
            <w:pPr>
              <w:rPr>
                <w:rFonts w:ascii="Arial" w:hAnsi="Arial" w:cs="Arial"/>
              </w:rPr>
            </w:pPr>
          </w:p>
        </w:tc>
        <w:tc>
          <w:tcPr>
            <w:tcW w:w="1966" w:type="dxa"/>
            <w:vAlign w:val="bottom"/>
          </w:tcPr>
          <w:p w14:paraId="12D943FE" w14:textId="77777777" w:rsidR="0012108F" w:rsidRPr="000C7549" w:rsidRDefault="0012108F" w:rsidP="0012108F">
            <w:pPr>
              <w:rPr>
                <w:rFonts w:ascii="Arial" w:hAnsi="Arial" w:cs="Arial"/>
                <w:i/>
                <w:color w:val="000000"/>
              </w:rPr>
            </w:pPr>
          </w:p>
        </w:tc>
        <w:tc>
          <w:tcPr>
            <w:tcW w:w="1976" w:type="dxa"/>
            <w:vAlign w:val="bottom"/>
          </w:tcPr>
          <w:p w14:paraId="341216EE" w14:textId="6AC5A7F1" w:rsidR="0012108F" w:rsidRPr="000C7549" w:rsidRDefault="0012108F" w:rsidP="0012108F">
            <w:pPr>
              <w:rPr>
                <w:rFonts w:ascii="Arial" w:hAnsi="Arial" w:cs="Arial"/>
                <w:i/>
                <w:color w:val="000000"/>
              </w:rPr>
            </w:pPr>
            <w:proofErr w:type="spellStart"/>
            <w:r w:rsidRPr="000C7549">
              <w:rPr>
                <w:rFonts w:ascii="Arial" w:hAnsi="Arial" w:cs="Arial"/>
                <w:i/>
                <w:color w:val="000000"/>
              </w:rPr>
              <w:t>heraclei</w:t>
            </w:r>
            <w:proofErr w:type="spellEnd"/>
          </w:p>
        </w:tc>
        <w:tc>
          <w:tcPr>
            <w:tcW w:w="2145" w:type="dxa"/>
            <w:shd w:val="clear" w:color="auto" w:fill="auto"/>
            <w:vAlign w:val="bottom"/>
          </w:tcPr>
          <w:p w14:paraId="35067005" w14:textId="3BC8B619" w:rsidR="0012108F" w:rsidRPr="000C7549" w:rsidRDefault="0012108F" w:rsidP="0012108F">
            <w:pPr>
              <w:rPr>
                <w:rFonts w:ascii="Arial" w:hAnsi="Arial" w:cs="Arial"/>
                <w:color w:val="000000"/>
              </w:rPr>
            </w:pPr>
            <w:r w:rsidRPr="000C7549">
              <w:rPr>
                <w:rFonts w:ascii="Arial" w:hAnsi="Arial" w:cs="Arial"/>
                <w:color w:val="000000"/>
              </w:rPr>
              <w:t>1</w:t>
            </w:r>
          </w:p>
        </w:tc>
      </w:tr>
    </w:tbl>
    <w:p w14:paraId="3A6F2658" w14:textId="472227A2" w:rsidR="00E723C2" w:rsidRPr="000C7549" w:rsidRDefault="0012108F" w:rsidP="00351A7F">
      <w:pPr>
        <w:rPr>
          <w:rFonts w:ascii="Arial" w:hAnsi="Arial" w:cs="Arial"/>
        </w:rPr>
      </w:pPr>
      <w:r w:rsidRPr="000C7549">
        <w:rPr>
          <w:rFonts w:ascii="Arial" w:hAnsi="Arial" w:cs="Arial"/>
          <w:sz w:val="20"/>
          <w:szCs w:val="20"/>
        </w:rPr>
        <w:t>All bee specimens collected in 2019 and 2020. Asterisks (*) denote genera or species collected in 2020, not collected in 2019. This totals 99 bee species, represent</w:t>
      </w:r>
      <w:r w:rsidR="00825C0D">
        <w:rPr>
          <w:rFonts w:ascii="Arial" w:hAnsi="Arial" w:cs="Arial"/>
          <w:sz w:val="20"/>
          <w:szCs w:val="20"/>
        </w:rPr>
        <w:t>ing</w:t>
      </w:r>
      <w:r w:rsidRPr="000C7549">
        <w:rPr>
          <w:rFonts w:ascii="Arial" w:hAnsi="Arial" w:cs="Arial"/>
          <w:sz w:val="20"/>
          <w:szCs w:val="20"/>
        </w:rPr>
        <w:t xml:space="preserve"> 5 families</w:t>
      </w:r>
      <w:r w:rsidR="00825C0D">
        <w:rPr>
          <w:rFonts w:ascii="Arial" w:hAnsi="Arial" w:cs="Arial"/>
          <w:sz w:val="20"/>
          <w:szCs w:val="20"/>
        </w:rPr>
        <w:t>.</w:t>
      </w:r>
    </w:p>
    <w:p w14:paraId="551ECC7E" w14:textId="14696223" w:rsidR="00E723C2" w:rsidRPr="000C7549" w:rsidRDefault="00E723C2" w:rsidP="0012108F">
      <w:pPr>
        <w:pStyle w:val="Caption"/>
        <w:spacing w:before="0" w:after="0"/>
        <w:rPr>
          <w:sz w:val="20"/>
          <w:szCs w:val="20"/>
        </w:rPr>
      </w:pPr>
      <w:r w:rsidRPr="000C7549">
        <w:br w:type="page"/>
      </w:r>
      <w:bookmarkStart w:id="51" w:name="_Toc76799604"/>
      <w:r w:rsidRPr="000C7549">
        <w:lastRenderedPageBreak/>
        <w:t xml:space="preserve">Table </w:t>
      </w:r>
      <w:fldSimple w:instr=" SEQ Table \* ARABIC ">
        <w:r w:rsidR="00123848">
          <w:rPr>
            <w:noProof/>
          </w:rPr>
          <w:t>3</w:t>
        </w:r>
      </w:fldSimple>
      <w:r w:rsidRPr="000C7549">
        <w:t xml:space="preserve">.  </w:t>
      </w:r>
      <w:r w:rsidRPr="00B80ED0">
        <w:t>Non-Bee Specimens 2019, Order, Family, Percentage and Count</w:t>
      </w:r>
      <w:bookmarkEnd w:id="51"/>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250"/>
        <w:gridCol w:w="1444"/>
        <w:gridCol w:w="1541"/>
      </w:tblGrid>
      <w:tr w:rsidR="00E723C2" w:rsidRPr="000C7549" w14:paraId="5AC92CA3" w14:textId="77777777" w:rsidTr="00C9273B">
        <w:tc>
          <w:tcPr>
            <w:tcW w:w="2610" w:type="dxa"/>
            <w:shd w:val="clear" w:color="auto" w:fill="auto"/>
            <w:vAlign w:val="bottom"/>
          </w:tcPr>
          <w:p w14:paraId="1997E567" w14:textId="77777777" w:rsidR="00E723C2" w:rsidRPr="000C7549" w:rsidRDefault="00E723C2" w:rsidP="0012108F">
            <w:pPr>
              <w:rPr>
                <w:rFonts w:ascii="Arial" w:hAnsi="Arial" w:cs="Arial"/>
              </w:rPr>
            </w:pPr>
            <w:r w:rsidRPr="000C7549">
              <w:rPr>
                <w:rFonts w:ascii="Arial" w:hAnsi="Arial" w:cs="Arial"/>
                <w:color w:val="000000"/>
              </w:rPr>
              <w:t>Order</w:t>
            </w:r>
          </w:p>
        </w:tc>
        <w:tc>
          <w:tcPr>
            <w:tcW w:w="2250" w:type="dxa"/>
            <w:vAlign w:val="bottom"/>
          </w:tcPr>
          <w:p w14:paraId="73485BE9" w14:textId="77777777" w:rsidR="00E723C2" w:rsidRPr="000C7549" w:rsidRDefault="00E723C2" w:rsidP="0012108F">
            <w:pPr>
              <w:rPr>
                <w:rFonts w:ascii="Arial" w:hAnsi="Arial" w:cs="Arial"/>
              </w:rPr>
            </w:pPr>
            <w:r w:rsidRPr="000C7549">
              <w:rPr>
                <w:rFonts w:ascii="Arial" w:hAnsi="Arial" w:cs="Arial"/>
                <w:color w:val="000000"/>
              </w:rPr>
              <w:t>Family</w:t>
            </w:r>
          </w:p>
        </w:tc>
        <w:tc>
          <w:tcPr>
            <w:tcW w:w="1444" w:type="dxa"/>
            <w:vAlign w:val="bottom"/>
          </w:tcPr>
          <w:p w14:paraId="39FADC07" w14:textId="77777777" w:rsidR="00E723C2" w:rsidRPr="000C7549" w:rsidRDefault="00E723C2" w:rsidP="0012108F">
            <w:pPr>
              <w:rPr>
                <w:rFonts w:ascii="Arial" w:hAnsi="Arial" w:cs="Arial"/>
              </w:rPr>
            </w:pPr>
            <w:r w:rsidRPr="000C7549">
              <w:rPr>
                <w:rFonts w:ascii="Arial" w:hAnsi="Arial" w:cs="Arial"/>
                <w:color w:val="000000"/>
              </w:rPr>
              <w:t>Percentage</w:t>
            </w:r>
          </w:p>
        </w:tc>
        <w:tc>
          <w:tcPr>
            <w:tcW w:w="1541" w:type="dxa"/>
            <w:shd w:val="clear" w:color="auto" w:fill="auto"/>
            <w:vAlign w:val="bottom"/>
          </w:tcPr>
          <w:p w14:paraId="67D7BF0C" w14:textId="77777777" w:rsidR="00E723C2" w:rsidRPr="000C7549" w:rsidRDefault="00E723C2" w:rsidP="0012108F">
            <w:pPr>
              <w:rPr>
                <w:rFonts w:ascii="Arial" w:hAnsi="Arial" w:cs="Arial"/>
              </w:rPr>
            </w:pPr>
            <w:r w:rsidRPr="000C7549">
              <w:rPr>
                <w:rFonts w:ascii="Arial" w:hAnsi="Arial" w:cs="Arial"/>
                <w:color w:val="000000"/>
              </w:rPr>
              <w:t>Count</w:t>
            </w:r>
          </w:p>
        </w:tc>
      </w:tr>
      <w:tr w:rsidR="00E723C2" w:rsidRPr="000C7549" w14:paraId="61635FBF" w14:textId="77777777" w:rsidTr="00C9273B">
        <w:tc>
          <w:tcPr>
            <w:tcW w:w="2610" w:type="dxa"/>
            <w:shd w:val="clear" w:color="auto" w:fill="auto"/>
            <w:vAlign w:val="bottom"/>
          </w:tcPr>
          <w:p w14:paraId="72C25E06" w14:textId="77777777" w:rsidR="00E723C2" w:rsidRPr="000C7549" w:rsidRDefault="00E723C2" w:rsidP="0012108F">
            <w:pPr>
              <w:rPr>
                <w:rFonts w:ascii="Arial" w:hAnsi="Arial" w:cs="Arial"/>
              </w:rPr>
            </w:pPr>
            <w:r w:rsidRPr="000C7549">
              <w:rPr>
                <w:rFonts w:ascii="Arial" w:hAnsi="Arial" w:cs="Arial"/>
                <w:color w:val="000000"/>
              </w:rPr>
              <w:t>Coleoptera, n=162</w:t>
            </w:r>
          </w:p>
        </w:tc>
        <w:tc>
          <w:tcPr>
            <w:tcW w:w="2250" w:type="dxa"/>
            <w:vAlign w:val="bottom"/>
          </w:tcPr>
          <w:p w14:paraId="259E1334" w14:textId="77777777" w:rsidR="00E723C2" w:rsidRPr="000C7549" w:rsidRDefault="00E723C2" w:rsidP="0012108F">
            <w:pPr>
              <w:rPr>
                <w:rFonts w:ascii="Arial" w:hAnsi="Arial" w:cs="Arial"/>
              </w:rPr>
            </w:pPr>
            <w:r w:rsidRPr="000C7549">
              <w:rPr>
                <w:rFonts w:ascii="Arial" w:hAnsi="Arial" w:cs="Arial"/>
                <w:color w:val="000000"/>
              </w:rPr>
              <w:t>Cantharidae</w:t>
            </w:r>
          </w:p>
        </w:tc>
        <w:tc>
          <w:tcPr>
            <w:tcW w:w="1444" w:type="dxa"/>
            <w:vAlign w:val="bottom"/>
          </w:tcPr>
          <w:p w14:paraId="3C5371A8" w14:textId="77777777" w:rsidR="00E723C2" w:rsidRPr="000C7549" w:rsidRDefault="00E723C2" w:rsidP="0012108F">
            <w:pPr>
              <w:rPr>
                <w:rFonts w:ascii="Arial" w:hAnsi="Arial" w:cs="Arial"/>
              </w:rPr>
            </w:pPr>
            <w:r w:rsidRPr="000C7549">
              <w:rPr>
                <w:rFonts w:ascii="Arial" w:hAnsi="Arial" w:cs="Arial"/>
                <w:color w:val="000000"/>
              </w:rPr>
              <w:t>89.5%</w:t>
            </w:r>
          </w:p>
        </w:tc>
        <w:tc>
          <w:tcPr>
            <w:tcW w:w="1541" w:type="dxa"/>
            <w:shd w:val="clear" w:color="auto" w:fill="auto"/>
            <w:vAlign w:val="bottom"/>
          </w:tcPr>
          <w:p w14:paraId="683C039C" w14:textId="77777777" w:rsidR="00E723C2" w:rsidRPr="000C7549" w:rsidRDefault="00E723C2" w:rsidP="0012108F">
            <w:pPr>
              <w:rPr>
                <w:rFonts w:ascii="Arial" w:hAnsi="Arial" w:cs="Arial"/>
              </w:rPr>
            </w:pPr>
            <w:r w:rsidRPr="000C7549">
              <w:rPr>
                <w:rFonts w:ascii="Arial" w:hAnsi="Arial" w:cs="Arial"/>
                <w:color w:val="000000"/>
              </w:rPr>
              <w:t>145</w:t>
            </w:r>
          </w:p>
        </w:tc>
      </w:tr>
      <w:tr w:rsidR="00E723C2" w:rsidRPr="000C7549" w14:paraId="5C1A4781" w14:textId="77777777" w:rsidTr="00C9273B">
        <w:tc>
          <w:tcPr>
            <w:tcW w:w="2610" w:type="dxa"/>
            <w:shd w:val="clear" w:color="auto" w:fill="auto"/>
            <w:vAlign w:val="bottom"/>
          </w:tcPr>
          <w:p w14:paraId="3C5D07B1" w14:textId="77777777" w:rsidR="00E723C2" w:rsidRPr="000C7549" w:rsidRDefault="00E723C2" w:rsidP="0012108F">
            <w:pPr>
              <w:rPr>
                <w:rFonts w:ascii="Arial" w:hAnsi="Arial" w:cs="Arial"/>
              </w:rPr>
            </w:pPr>
          </w:p>
        </w:tc>
        <w:tc>
          <w:tcPr>
            <w:tcW w:w="2250" w:type="dxa"/>
            <w:vAlign w:val="bottom"/>
          </w:tcPr>
          <w:p w14:paraId="57FCDAF4" w14:textId="77777777" w:rsidR="00E723C2" w:rsidRPr="000C7549" w:rsidRDefault="00E723C2" w:rsidP="0012108F">
            <w:pPr>
              <w:rPr>
                <w:rFonts w:ascii="Arial" w:hAnsi="Arial" w:cs="Arial"/>
              </w:rPr>
            </w:pPr>
            <w:r w:rsidRPr="000C7549">
              <w:rPr>
                <w:rFonts w:ascii="Arial" w:hAnsi="Arial" w:cs="Arial"/>
                <w:color w:val="000000"/>
              </w:rPr>
              <w:t>Chrysomelidae</w:t>
            </w:r>
          </w:p>
        </w:tc>
        <w:tc>
          <w:tcPr>
            <w:tcW w:w="1444" w:type="dxa"/>
            <w:vAlign w:val="bottom"/>
          </w:tcPr>
          <w:p w14:paraId="1A68B1B0" w14:textId="77777777" w:rsidR="00E723C2" w:rsidRPr="000C7549" w:rsidRDefault="00E723C2" w:rsidP="0012108F">
            <w:pPr>
              <w:rPr>
                <w:rFonts w:ascii="Arial" w:hAnsi="Arial" w:cs="Arial"/>
              </w:rPr>
            </w:pPr>
            <w:r w:rsidRPr="000C7549">
              <w:rPr>
                <w:rFonts w:ascii="Arial" w:hAnsi="Arial" w:cs="Arial"/>
                <w:color w:val="000000"/>
              </w:rPr>
              <w:t>3.7%</w:t>
            </w:r>
          </w:p>
        </w:tc>
        <w:tc>
          <w:tcPr>
            <w:tcW w:w="1541" w:type="dxa"/>
            <w:shd w:val="clear" w:color="auto" w:fill="auto"/>
            <w:vAlign w:val="bottom"/>
          </w:tcPr>
          <w:p w14:paraId="3D7567C2" w14:textId="77777777" w:rsidR="00E723C2" w:rsidRPr="000C7549" w:rsidRDefault="00E723C2" w:rsidP="0012108F">
            <w:pPr>
              <w:rPr>
                <w:rFonts w:ascii="Arial" w:hAnsi="Arial" w:cs="Arial"/>
              </w:rPr>
            </w:pPr>
            <w:r w:rsidRPr="000C7549">
              <w:rPr>
                <w:rFonts w:ascii="Arial" w:hAnsi="Arial" w:cs="Arial"/>
                <w:color w:val="000000"/>
              </w:rPr>
              <w:t>6</w:t>
            </w:r>
          </w:p>
        </w:tc>
      </w:tr>
      <w:tr w:rsidR="00E723C2" w:rsidRPr="000C7549" w14:paraId="1432D564" w14:textId="77777777" w:rsidTr="00C9273B">
        <w:tc>
          <w:tcPr>
            <w:tcW w:w="2610" w:type="dxa"/>
            <w:shd w:val="clear" w:color="auto" w:fill="auto"/>
            <w:vAlign w:val="bottom"/>
          </w:tcPr>
          <w:p w14:paraId="77360B62" w14:textId="77777777" w:rsidR="00E723C2" w:rsidRPr="000C7549" w:rsidRDefault="00E723C2" w:rsidP="0012108F">
            <w:pPr>
              <w:rPr>
                <w:rFonts w:ascii="Arial" w:hAnsi="Arial" w:cs="Arial"/>
              </w:rPr>
            </w:pPr>
          </w:p>
        </w:tc>
        <w:tc>
          <w:tcPr>
            <w:tcW w:w="2250" w:type="dxa"/>
            <w:vAlign w:val="bottom"/>
          </w:tcPr>
          <w:p w14:paraId="6F5FA18A" w14:textId="77777777" w:rsidR="00E723C2" w:rsidRPr="000C7549" w:rsidRDefault="00E723C2" w:rsidP="0012108F">
            <w:pPr>
              <w:rPr>
                <w:rFonts w:ascii="Arial" w:hAnsi="Arial" w:cs="Arial"/>
              </w:rPr>
            </w:pPr>
            <w:r w:rsidRPr="000C7549">
              <w:rPr>
                <w:rFonts w:ascii="Arial" w:hAnsi="Arial" w:cs="Arial"/>
                <w:color w:val="000000"/>
              </w:rPr>
              <w:t>Curculionidae</w:t>
            </w:r>
          </w:p>
        </w:tc>
        <w:tc>
          <w:tcPr>
            <w:tcW w:w="1444" w:type="dxa"/>
            <w:vAlign w:val="bottom"/>
          </w:tcPr>
          <w:p w14:paraId="42C51D8C" w14:textId="77777777" w:rsidR="00E723C2" w:rsidRPr="000C7549" w:rsidRDefault="00E723C2" w:rsidP="0012108F">
            <w:pPr>
              <w:rPr>
                <w:rFonts w:ascii="Arial" w:hAnsi="Arial" w:cs="Arial"/>
              </w:rPr>
            </w:pPr>
            <w:r w:rsidRPr="000C7549">
              <w:rPr>
                <w:rFonts w:ascii="Arial" w:hAnsi="Arial" w:cs="Arial"/>
                <w:color w:val="000000"/>
              </w:rPr>
              <w:t>3.1%</w:t>
            </w:r>
          </w:p>
        </w:tc>
        <w:tc>
          <w:tcPr>
            <w:tcW w:w="1541" w:type="dxa"/>
            <w:shd w:val="clear" w:color="auto" w:fill="auto"/>
            <w:vAlign w:val="bottom"/>
          </w:tcPr>
          <w:p w14:paraId="1F0B6BCA" w14:textId="77777777" w:rsidR="00E723C2" w:rsidRPr="000C7549" w:rsidRDefault="00E723C2" w:rsidP="0012108F">
            <w:pPr>
              <w:rPr>
                <w:rFonts w:ascii="Arial" w:hAnsi="Arial" w:cs="Arial"/>
              </w:rPr>
            </w:pPr>
            <w:r w:rsidRPr="000C7549">
              <w:rPr>
                <w:rFonts w:ascii="Arial" w:hAnsi="Arial" w:cs="Arial"/>
                <w:color w:val="000000"/>
              </w:rPr>
              <w:t>5</w:t>
            </w:r>
          </w:p>
        </w:tc>
      </w:tr>
      <w:tr w:rsidR="00E723C2" w:rsidRPr="000C7549" w14:paraId="254CBBC4" w14:textId="77777777" w:rsidTr="00C9273B">
        <w:tc>
          <w:tcPr>
            <w:tcW w:w="2610" w:type="dxa"/>
            <w:shd w:val="clear" w:color="auto" w:fill="auto"/>
            <w:vAlign w:val="bottom"/>
          </w:tcPr>
          <w:p w14:paraId="7D3108DC" w14:textId="77777777" w:rsidR="00E723C2" w:rsidRPr="000C7549" w:rsidRDefault="00E723C2" w:rsidP="0012108F">
            <w:pPr>
              <w:rPr>
                <w:rFonts w:ascii="Arial" w:hAnsi="Arial" w:cs="Arial"/>
              </w:rPr>
            </w:pPr>
          </w:p>
        </w:tc>
        <w:tc>
          <w:tcPr>
            <w:tcW w:w="2250" w:type="dxa"/>
            <w:vAlign w:val="bottom"/>
          </w:tcPr>
          <w:p w14:paraId="5D2DCE37" w14:textId="77777777" w:rsidR="00E723C2" w:rsidRPr="000C7549" w:rsidRDefault="00E723C2" w:rsidP="0012108F">
            <w:pPr>
              <w:rPr>
                <w:rFonts w:ascii="Arial" w:hAnsi="Arial" w:cs="Arial"/>
              </w:rPr>
            </w:pPr>
            <w:r w:rsidRPr="000C7549">
              <w:rPr>
                <w:rFonts w:ascii="Arial" w:hAnsi="Arial" w:cs="Arial"/>
                <w:color w:val="000000"/>
              </w:rPr>
              <w:t>Coccinellidae</w:t>
            </w:r>
          </w:p>
        </w:tc>
        <w:tc>
          <w:tcPr>
            <w:tcW w:w="1444" w:type="dxa"/>
            <w:vAlign w:val="bottom"/>
          </w:tcPr>
          <w:p w14:paraId="414CFC35" w14:textId="77777777" w:rsidR="00E723C2" w:rsidRPr="000C7549" w:rsidRDefault="00E723C2" w:rsidP="0012108F">
            <w:pPr>
              <w:rPr>
                <w:rFonts w:ascii="Arial" w:hAnsi="Arial" w:cs="Arial"/>
              </w:rPr>
            </w:pPr>
            <w:r w:rsidRPr="000C7549">
              <w:rPr>
                <w:rFonts w:ascii="Arial" w:hAnsi="Arial" w:cs="Arial"/>
                <w:color w:val="000000"/>
              </w:rPr>
              <w:t>1.2%</w:t>
            </w:r>
          </w:p>
        </w:tc>
        <w:tc>
          <w:tcPr>
            <w:tcW w:w="1541" w:type="dxa"/>
            <w:shd w:val="clear" w:color="auto" w:fill="auto"/>
            <w:vAlign w:val="bottom"/>
          </w:tcPr>
          <w:p w14:paraId="41744A21"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49652EDE" w14:textId="77777777" w:rsidTr="00C9273B">
        <w:tc>
          <w:tcPr>
            <w:tcW w:w="2610" w:type="dxa"/>
            <w:shd w:val="clear" w:color="auto" w:fill="auto"/>
            <w:vAlign w:val="bottom"/>
          </w:tcPr>
          <w:p w14:paraId="0BCC17A3" w14:textId="77777777" w:rsidR="00E723C2" w:rsidRPr="000C7549" w:rsidRDefault="00E723C2" w:rsidP="0012108F">
            <w:pPr>
              <w:rPr>
                <w:rFonts w:ascii="Arial" w:hAnsi="Arial" w:cs="Arial"/>
              </w:rPr>
            </w:pPr>
          </w:p>
        </w:tc>
        <w:tc>
          <w:tcPr>
            <w:tcW w:w="2250" w:type="dxa"/>
            <w:vAlign w:val="bottom"/>
          </w:tcPr>
          <w:p w14:paraId="2FB37BFE" w14:textId="77777777" w:rsidR="00E723C2" w:rsidRPr="000C7549" w:rsidRDefault="00E723C2" w:rsidP="0012108F">
            <w:pPr>
              <w:rPr>
                <w:rFonts w:ascii="Arial" w:hAnsi="Arial" w:cs="Arial"/>
              </w:rPr>
            </w:pPr>
            <w:r w:rsidRPr="000C7549">
              <w:rPr>
                <w:rFonts w:ascii="Arial" w:hAnsi="Arial" w:cs="Arial"/>
                <w:color w:val="000000"/>
              </w:rPr>
              <w:t>Mordellidae</w:t>
            </w:r>
          </w:p>
        </w:tc>
        <w:tc>
          <w:tcPr>
            <w:tcW w:w="1444" w:type="dxa"/>
            <w:vAlign w:val="bottom"/>
          </w:tcPr>
          <w:p w14:paraId="13A88675" w14:textId="77777777" w:rsidR="00E723C2" w:rsidRPr="000C7549" w:rsidRDefault="00E723C2" w:rsidP="0012108F">
            <w:pPr>
              <w:rPr>
                <w:rFonts w:ascii="Arial" w:hAnsi="Arial" w:cs="Arial"/>
              </w:rPr>
            </w:pPr>
            <w:r w:rsidRPr="000C7549">
              <w:rPr>
                <w:rFonts w:ascii="Arial" w:hAnsi="Arial" w:cs="Arial"/>
                <w:color w:val="000000"/>
              </w:rPr>
              <w:t>1.2%</w:t>
            </w:r>
          </w:p>
        </w:tc>
        <w:tc>
          <w:tcPr>
            <w:tcW w:w="1541" w:type="dxa"/>
            <w:shd w:val="clear" w:color="auto" w:fill="auto"/>
            <w:vAlign w:val="bottom"/>
          </w:tcPr>
          <w:p w14:paraId="433AFF69"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2F485DCE" w14:textId="77777777" w:rsidTr="00C9273B">
        <w:tc>
          <w:tcPr>
            <w:tcW w:w="2610" w:type="dxa"/>
            <w:shd w:val="clear" w:color="auto" w:fill="auto"/>
            <w:vAlign w:val="bottom"/>
          </w:tcPr>
          <w:p w14:paraId="49C3DEAD" w14:textId="77777777" w:rsidR="00E723C2" w:rsidRPr="000C7549" w:rsidRDefault="00E723C2" w:rsidP="0012108F">
            <w:pPr>
              <w:rPr>
                <w:rFonts w:ascii="Arial" w:hAnsi="Arial" w:cs="Arial"/>
              </w:rPr>
            </w:pPr>
          </w:p>
        </w:tc>
        <w:tc>
          <w:tcPr>
            <w:tcW w:w="2250" w:type="dxa"/>
            <w:vAlign w:val="bottom"/>
          </w:tcPr>
          <w:p w14:paraId="7A427F7E" w14:textId="77777777" w:rsidR="00E723C2" w:rsidRPr="000C7549" w:rsidRDefault="00E723C2" w:rsidP="0012108F">
            <w:pPr>
              <w:rPr>
                <w:rFonts w:ascii="Arial" w:hAnsi="Arial" w:cs="Arial"/>
              </w:rPr>
            </w:pPr>
            <w:r w:rsidRPr="000C7549">
              <w:rPr>
                <w:rFonts w:ascii="Arial" w:hAnsi="Arial" w:cs="Arial"/>
                <w:color w:val="000000"/>
              </w:rPr>
              <w:t>Lampyridae</w:t>
            </w:r>
          </w:p>
        </w:tc>
        <w:tc>
          <w:tcPr>
            <w:tcW w:w="1444" w:type="dxa"/>
            <w:vAlign w:val="bottom"/>
          </w:tcPr>
          <w:p w14:paraId="6421ED26" w14:textId="77777777" w:rsidR="00E723C2" w:rsidRPr="000C7549" w:rsidRDefault="00E723C2" w:rsidP="0012108F">
            <w:pPr>
              <w:rPr>
                <w:rFonts w:ascii="Arial" w:hAnsi="Arial" w:cs="Arial"/>
              </w:rPr>
            </w:pPr>
            <w:r w:rsidRPr="000C7549">
              <w:rPr>
                <w:rFonts w:ascii="Arial" w:hAnsi="Arial" w:cs="Arial"/>
                <w:color w:val="000000"/>
              </w:rPr>
              <w:t>0.6%</w:t>
            </w:r>
          </w:p>
        </w:tc>
        <w:tc>
          <w:tcPr>
            <w:tcW w:w="1541" w:type="dxa"/>
            <w:shd w:val="clear" w:color="auto" w:fill="auto"/>
            <w:vAlign w:val="bottom"/>
          </w:tcPr>
          <w:p w14:paraId="0493A5B2"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54DFAE86" w14:textId="77777777" w:rsidTr="00C9273B">
        <w:tc>
          <w:tcPr>
            <w:tcW w:w="2610" w:type="dxa"/>
            <w:shd w:val="clear" w:color="auto" w:fill="auto"/>
            <w:vAlign w:val="bottom"/>
          </w:tcPr>
          <w:p w14:paraId="06436DE6" w14:textId="77777777" w:rsidR="00E723C2" w:rsidRPr="000C7549" w:rsidRDefault="00E723C2" w:rsidP="0012108F">
            <w:pPr>
              <w:rPr>
                <w:rFonts w:ascii="Arial" w:hAnsi="Arial" w:cs="Arial"/>
              </w:rPr>
            </w:pPr>
          </w:p>
        </w:tc>
        <w:tc>
          <w:tcPr>
            <w:tcW w:w="2250" w:type="dxa"/>
            <w:vAlign w:val="bottom"/>
          </w:tcPr>
          <w:p w14:paraId="63DBBDA9" w14:textId="77777777" w:rsidR="00E723C2" w:rsidRPr="000C7549" w:rsidRDefault="00E723C2" w:rsidP="0012108F">
            <w:pPr>
              <w:rPr>
                <w:rFonts w:ascii="Arial" w:hAnsi="Arial" w:cs="Arial"/>
              </w:rPr>
            </w:pPr>
            <w:r w:rsidRPr="000C7549">
              <w:rPr>
                <w:rFonts w:ascii="Arial" w:hAnsi="Arial" w:cs="Arial"/>
                <w:color w:val="000000"/>
              </w:rPr>
              <w:t>Scarabaeidae</w:t>
            </w:r>
          </w:p>
        </w:tc>
        <w:tc>
          <w:tcPr>
            <w:tcW w:w="1444" w:type="dxa"/>
            <w:vAlign w:val="bottom"/>
          </w:tcPr>
          <w:p w14:paraId="0007E393" w14:textId="77777777" w:rsidR="00E723C2" w:rsidRPr="000C7549" w:rsidRDefault="00E723C2" w:rsidP="0012108F">
            <w:pPr>
              <w:rPr>
                <w:rFonts w:ascii="Arial" w:hAnsi="Arial" w:cs="Arial"/>
              </w:rPr>
            </w:pPr>
            <w:r w:rsidRPr="000C7549">
              <w:rPr>
                <w:rFonts w:ascii="Arial" w:hAnsi="Arial" w:cs="Arial"/>
                <w:color w:val="000000"/>
              </w:rPr>
              <w:t>0.6%</w:t>
            </w:r>
          </w:p>
        </w:tc>
        <w:tc>
          <w:tcPr>
            <w:tcW w:w="1541" w:type="dxa"/>
            <w:shd w:val="clear" w:color="auto" w:fill="auto"/>
            <w:vAlign w:val="bottom"/>
          </w:tcPr>
          <w:p w14:paraId="49B23673"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66F65D89" w14:textId="77777777" w:rsidTr="00C9273B">
        <w:tc>
          <w:tcPr>
            <w:tcW w:w="2610" w:type="dxa"/>
            <w:shd w:val="clear" w:color="auto" w:fill="auto"/>
            <w:vAlign w:val="bottom"/>
          </w:tcPr>
          <w:p w14:paraId="24371C81" w14:textId="77777777" w:rsidR="00E723C2" w:rsidRPr="000C7549" w:rsidRDefault="00E723C2" w:rsidP="0012108F">
            <w:pPr>
              <w:rPr>
                <w:rFonts w:ascii="Arial" w:hAnsi="Arial" w:cs="Arial"/>
              </w:rPr>
            </w:pPr>
            <w:r w:rsidRPr="000C7549">
              <w:rPr>
                <w:rFonts w:ascii="Arial" w:hAnsi="Arial" w:cs="Arial"/>
                <w:color w:val="000000"/>
              </w:rPr>
              <w:t>Diptera, n=78</w:t>
            </w:r>
          </w:p>
        </w:tc>
        <w:tc>
          <w:tcPr>
            <w:tcW w:w="2250" w:type="dxa"/>
            <w:vAlign w:val="bottom"/>
          </w:tcPr>
          <w:p w14:paraId="714D41D3" w14:textId="77777777" w:rsidR="00E723C2" w:rsidRPr="000C7549" w:rsidRDefault="00E723C2" w:rsidP="0012108F">
            <w:pPr>
              <w:rPr>
                <w:rFonts w:ascii="Arial" w:hAnsi="Arial" w:cs="Arial"/>
              </w:rPr>
            </w:pPr>
            <w:r w:rsidRPr="000C7549">
              <w:rPr>
                <w:rFonts w:ascii="Arial" w:hAnsi="Arial" w:cs="Arial"/>
                <w:color w:val="000000"/>
              </w:rPr>
              <w:t>Syrphidae</w:t>
            </w:r>
          </w:p>
        </w:tc>
        <w:tc>
          <w:tcPr>
            <w:tcW w:w="1444" w:type="dxa"/>
            <w:vAlign w:val="bottom"/>
          </w:tcPr>
          <w:p w14:paraId="3BE32800" w14:textId="77777777" w:rsidR="00E723C2" w:rsidRPr="000C7549" w:rsidRDefault="00E723C2" w:rsidP="0012108F">
            <w:pPr>
              <w:rPr>
                <w:rFonts w:ascii="Arial" w:hAnsi="Arial" w:cs="Arial"/>
              </w:rPr>
            </w:pPr>
            <w:r w:rsidRPr="000C7549">
              <w:rPr>
                <w:rFonts w:ascii="Arial" w:hAnsi="Arial" w:cs="Arial"/>
                <w:color w:val="000000"/>
              </w:rPr>
              <w:t>59%</w:t>
            </w:r>
          </w:p>
        </w:tc>
        <w:tc>
          <w:tcPr>
            <w:tcW w:w="1541" w:type="dxa"/>
            <w:shd w:val="clear" w:color="auto" w:fill="auto"/>
            <w:vAlign w:val="bottom"/>
          </w:tcPr>
          <w:p w14:paraId="148254A8" w14:textId="77777777" w:rsidR="00E723C2" w:rsidRPr="000C7549" w:rsidRDefault="00E723C2" w:rsidP="0012108F">
            <w:pPr>
              <w:rPr>
                <w:rFonts w:ascii="Arial" w:hAnsi="Arial" w:cs="Arial"/>
              </w:rPr>
            </w:pPr>
            <w:r w:rsidRPr="000C7549">
              <w:rPr>
                <w:rFonts w:ascii="Arial" w:hAnsi="Arial" w:cs="Arial"/>
                <w:color w:val="000000"/>
              </w:rPr>
              <w:t>46</w:t>
            </w:r>
          </w:p>
        </w:tc>
      </w:tr>
      <w:tr w:rsidR="00E723C2" w:rsidRPr="000C7549" w14:paraId="267C2B0F" w14:textId="77777777" w:rsidTr="00C9273B">
        <w:tc>
          <w:tcPr>
            <w:tcW w:w="2610" w:type="dxa"/>
            <w:shd w:val="clear" w:color="auto" w:fill="auto"/>
            <w:vAlign w:val="bottom"/>
          </w:tcPr>
          <w:p w14:paraId="146F4CEE" w14:textId="77777777" w:rsidR="00E723C2" w:rsidRPr="000C7549" w:rsidRDefault="00E723C2" w:rsidP="0012108F">
            <w:pPr>
              <w:rPr>
                <w:rFonts w:ascii="Arial" w:hAnsi="Arial" w:cs="Arial"/>
              </w:rPr>
            </w:pPr>
          </w:p>
        </w:tc>
        <w:tc>
          <w:tcPr>
            <w:tcW w:w="2250" w:type="dxa"/>
            <w:vAlign w:val="bottom"/>
          </w:tcPr>
          <w:p w14:paraId="0CE6F91E" w14:textId="77777777" w:rsidR="00E723C2" w:rsidRPr="000C7549" w:rsidRDefault="00E723C2" w:rsidP="0012108F">
            <w:pPr>
              <w:rPr>
                <w:rFonts w:ascii="Arial" w:hAnsi="Arial" w:cs="Arial"/>
              </w:rPr>
            </w:pPr>
            <w:r w:rsidRPr="000C7549">
              <w:rPr>
                <w:rFonts w:ascii="Arial" w:hAnsi="Arial" w:cs="Arial"/>
                <w:color w:val="000000"/>
              </w:rPr>
              <w:t>Tachinidae</w:t>
            </w:r>
          </w:p>
        </w:tc>
        <w:tc>
          <w:tcPr>
            <w:tcW w:w="1444" w:type="dxa"/>
            <w:vAlign w:val="bottom"/>
          </w:tcPr>
          <w:p w14:paraId="13EF9F49" w14:textId="77777777" w:rsidR="00E723C2" w:rsidRPr="000C7549" w:rsidRDefault="00E723C2" w:rsidP="0012108F">
            <w:pPr>
              <w:rPr>
                <w:rFonts w:ascii="Arial" w:hAnsi="Arial" w:cs="Arial"/>
              </w:rPr>
            </w:pPr>
            <w:r w:rsidRPr="000C7549">
              <w:rPr>
                <w:rFonts w:ascii="Arial" w:hAnsi="Arial" w:cs="Arial"/>
                <w:color w:val="000000"/>
              </w:rPr>
              <w:t>10.9%</w:t>
            </w:r>
          </w:p>
        </w:tc>
        <w:tc>
          <w:tcPr>
            <w:tcW w:w="1541" w:type="dxa"/>
            <w:shd w:val="clear" w:color="auto" w:fill="auto"/>
            <w:vAlign w:val="bottom"/>
          </w:tcPr>
          <w:p w14:paraId="6ABE6D83" w14:textId="77777777" w:rsidR="00E723C2" w:rsidRPr="000C7549" w:rsidRDefault="00E723C2" w:rsidP="0012108F">
            <w:pPr>
              <w:rPr>
                <w:rFonts w:ascii="Arial" w:hAnsi="Arial" w:cs="Arial"/>
              </w:rPr>
            </w:pPr>
            <w:r w:rsidRPr="000C7549">
              <w:rPr>
                <w:rFonts w:ascii="Arial" w:hAnsi="Arial" w:cs="Arial"/>
                <w:color w:val="000000"/>
              </w:rPr>
              <w:t>8</w:t>
            </w:r>
          </w:p>
        </w:tc>
      </w:tr>
      <w:tr w:rsidR="00E723C2" w:rsidRPr="000C7549" w14:paraId="56A29496" w14:textId="77777777" w:rsidTr="00C9273B">
        <w:tc>
          <w:tcPr>
            <w:tcW w:w="2610" w:type="dxa"/>
            <w:shd w:val="clear" w:color="auto" w:fill="auto"/>
            <w:vAlign w:val="bottom"/>
          </w:tcPr>
          <w:p w14:paraId="048CAA95" w14:textId="77777777" w:rsidR="00E723C2" w:rsidRPr="000C7549" w:rsidRDefault="00E723C2" w:rsidP="0012108F">
            <w:pPr>
              <w:rPr>
                <w:rFonts w:ascii="Arial" w:hAnsi="Arial" w:cs="Arial"/>
              </w:rPr>
            </w:pPr>
          </w:p>
        </w:tc>
        <w:tc>
          <w:tcPr>
            <w:tcW w:w="2250" w:type="dxa"/>
            <w:vAlign w:val="bottom"/>
          </w:tcPr>
          <w:p w14:paraId="2378B839" w14:textId="77777777" w:rsidR="00E723C2" w:rsidRPr="000C7549" w:rsidRDefault="00E723C2" w:rsidP="0012108F">
            <w:pPr>
              <w:rPr>
                <w:rFonts w:ascii="Arial" w:hAnsi="Arial" w:cs="Arial"/>
              </w:rPr>
            </w:pPr>
            <w:r w:rsidRPr="000C7549">
              <w:rPr>
                <w:rFonts w:ascii="Arial" w:hAnsi="Arial" w:cs="Arial"/>
                <w:color w:val="000000"/>
              </w:rPr>
              <w:t>Dolichopodidae</w:t>
            </w:r>
          </w:p>
        </w:tc>
        <w:tc>
          <w:tcPr>
            <w:tcW w:w="1444" w:type="dxa"/>
            <w:vAlign w:val="bottom"/>
          </w:tcPr>
          <w:p w14:paraId="69402EFB" w14:textId="77777777" w:rsidR="00E723C2" w:rsidRPr="000C7549" w:rsidRDefault="00E723C2" w:rsidP="0012108F">
            <w:pPr>
              <w:rPr>
                <w:rFonts w:ascii="Arial" w:hAnsi="Arial" w:cs="Arial"/>
              </w:rPr>
            </w:pPr>
            <w:r w:rsidRPr="000C7549">
              <w:rPr>
                <w:rFonts w:ascii="Arial" w:hAnsi="Arial" w:cs="Arial"/>
                <w:color w:val="000000"/>
              </w:rPr>
              <w:t>9%</w:t>
            </w:r>
          </w:p>
        </w:tc>
        <w:tc>
          <w:tcPr>
            <w:tcW w:w="1541" w:type="dxa"/>
            <w:shd w:val="clear" w:color="auto" w:fill="auto"/>
            <w:vAlign w:val="bottom"/>
          </w:tcPr>
          <w:p w14:paraId="5E574FF0" w14:textId="77777777" w:rsidR="00E723C2" w:rsidRPr="000C7549" w:rsidRDefault="00E723C2" w:rsidP="0012108F">
            <w:pPr>
              <w:rPr>
                <w:rFonts w:ascii="Arial" w:hAnsi="Arial" w:cs="Arial"/>
              </w:rPr>
            </w:pPr>
            <w:r w:rsidRPr="000C7549">
              <w:rPr>
                <w:rFonts w:ascii="Arial" w:hAnsi="Arial" w:cs="Arial"/>
                <w:color w:val="000000"/>
              </w:rPr>
              <w:t>7</w:t>
            </w:r>
          </w:p>
        </w:tc>
      </w:tr>
      <w:tr w:rsidR="00E723C2" w:rsidRPr="000C7549" w14:paraId="6ECF15CE" w14:textId="77777777" w:rsidTr="00C9273B">
        <w:tc>
          <w:tcPr>
            <w:tcW w:w="2610" w:type="dxa"/>
            <w:shd w:val="clear" w:color="auto" w:fill="auto"/>
            <w:vAlign w:val="bottom"/>
          </w:tcPr>
          <w:p w14:paraId="362B15A2" w14:textId="77777777" w:rsidR="00E723C2" w:rsidRPr="000C7549" w:rsidRDefault="00E723C2" w:rsidP="0012108F">
            <w:pPr>
              <w:rPr>
                <w:rFonts w:ascii="Arial" w:hAnsi="Arial" w:cs="Arial"/>
              </w:rPr>
            </w:pPr>
          </w:p>
        </w:tc>
        <w:tc>
          <w:tcPr>
            <w:tcW w:w="2250" w:type="dxa"/>
            <w:vAlign w:val="bottom"/>
          </w:tcPr>
          <w:p w14:paraId="2DE9CB35" w14:textId="77777777" w:rsidR="00E723C2" w:rsidRPr="000C7549" w:rsidRDefault="00E723C2" w:rsidP="0012108F">
            <w:pPr>
              <w:rPr>
                <w:rFonts w:ascii="Arial" w:hAnsi="Arial" w:cs="Arial"/>
              </w:rPr>
            </w:pPr>
            <w:r w:rsidRPr="000C7549">
              <w:rPr>
                <w:rFonts w:ascii="Arial" w:hAnsi="Arial" w:cs="Arial"/>
                <w:color w:val="000000"/>
              </w:rPr>
              <w:t xml:space="preserve">Unidentified </w:t>
            </w:r>
          </w:p>
        </w:tc>
        <w:tc>
          <w:tcPr>
            <w:tcW w:w="1444" w:type="dxa"/>
            <w:vAlign w:val="bottom"/>
          </w:tcPr>
          <w:p w14:paraId="7D25848B" w14:textId="77777777" w:rsidR="00E723C2" w:rsidRPr="000C7549" w:rsidRDefault="00E723C2" w:rsidP="0012108F">
            <w:pPr>
              <w:rPr>
                <w:rFonts w:ascii="Arial" w:hAnsi="Arial" w:cs="Arial"/>
              </w:rPr>
            </w:pPr>
            <w:r w:rsidRPr="000C7549">
              <w:rPr>
                <w:rFonts w:ascii="Arial" w:hAnsi="Arial" w:cs="Arial"/>
                <w:color w:val="000000"/>
              </w:rPr>
              <w:t>7.7%</w:t>
            </w:r>
          </w:p>
        </w:tc>
        <w:tc>
          <w:tcPr>
            <w:tcW w:w="1541" w:type="dxa"/>
            <w:shd w:val="clear" w:color="auto" w:fill="auto"/>
            <w:vAlign w:val="bottom"/>
          </w:tcPr>
          <w:p w14:paraId="235AD5F6" w14:textId="77777777" w:rsidR="00E723C2" w:rsidRPr="000C7549" w:rsidRDefault="00E723C2" w:rsidP="0012108F">
            <w:pPr>
              <w:rPr>
                <w:rFonts w:ascii="Arial" w:hAnsi="Arial" w:cs="Arial"/>
              </w:rPr>
            </w:pPr>
            <w:r w:rsidRPr="000C7549">
              <w:rPr>
                <w:rFonts w:ascii="Arial" w:hAnsi="Arial" w:cs="Arial"/>
                <w:color w:val="000000"/>
              </w:rPr>
              <w:t>6</w:t>
            </w:r>
          </w:p>
        </w:tc>
      </w:tr>
      <w:tr w:rsidR="00E723C2" w:rsidRPr="000C7549" w14:paraId="6BB28D78" w14:textId="77777777" w:rsidTr="00C9273B">
        <w:trPr>
          <w:trHeight w:val="179"/>
        </w:trPr>
        <w:tc>
          <w:tcPr>
            <w:tcW w:w="2610" w:type="dxa"/>
            <w:shd w:val="clear" w:color="auto" w:fill="auto"/>
            <w:vAlign w:val="bottom"/>
          </w:tcPr>
          <w:p w14:paraId="19847F11" w14:textId="77777777" w:rsidR="00E723C2" w:rsidRPr="000C7549" w:rsidRDefault="00E723C2" w:rsidP="0012108F">
            <w:pPr>
              <w:rPr>
                <w:rFonts w:ascii="Arial" w:hAnsi="Arial" w:cs="Arial"/>
              </w:rPr>
            </w:pPr>
          </w:p>
        </w:tc>
        <w:tc>
          <w:tcPr>
            <w:tcW w:w="2250" w:type="dxa"/>
            <w:vAlign w:val="bottom"/>
          </w:tcPr>
          <w:p w14:paraId="0B0B7324" w14:textId="77777777" w:rsidR="00E723C2" w:rsidRPr="000C7549" w:rsidRDefault="00E723C2" w:rsidP="0012108F">
            <w:pPr>
              <w:rPr>
                <w:rFonts w:ascii="Arial" w:hAnsi="Arial" w:cs="Arial"/>
              </w:rPr>
            </w:pPr>
            <w:r w:rsidRPr="000C7549">
              <w:rPr>
                <w:rFonts w:ascii="Arial" w:hAnsi="Arial" w:cs="Arial"/>
                <w:color w:val="000000"/>
              </w:rPr>
              <w:t>Conopidae</w:t>
            </w:r>
          </w:p>
        </w:tc>
        <w:tc>
          <w:tcPr>
            <w:tcW w:w="1444" w:type="dxa"/>
            <w:vAlign w:val="bottom"/>
          </w:tcPr>
          <w:p w14:paraId="514CD5E3" w14:textId="77777777" w:rsidR="00E723C2" w:rsidRPr="000C7549" w:rsidRDefault="00E723C2" w:rsidP="0012108F">
            <w:pPr>
              <w:rPr>
                <w:rFonts w:ascii="Arial" w:hAnsi="Arial" w:cs="Arial"/>
              </w:rPr>
            </w:pPr>
            <w:r w:rsidRPr="000C7549">
              <w:rPr>
                <w:rFonts w:ascii="Arial" w:hAnsi="Arial" w:cs="Arial"/>
                <w:color w:val="000000"/>
              </w:rPr>
              <w:t>3.8%</w:t>
            </w:r>
          </w:p>
        </w:tc>
        <w:tc>
          <w:tcPr>
            <w:tcW w:w="1541" w:type="dxa"/>
            <w:shd w:val="clear" w:color="auto" w:fill="auto"/>
            <w:vAlign w:val="bottom"/>
          </w:tcPr>
          <w:p w14:paraId="0BB64CF2" w14:textId="77777777" w:rsidR="00E723C2" w:rsidRPr="000C7549" w:rsidRDefault="00E723C2" w:rsidP="0012108F">
            <w:pPr>
              <w:rPr>
                <w:rFonts w:ascii="Arial" w:hAnsi="Arial" w:cs="Arial"/>
              </w:rPr>
            </w:pPr>
            <w:r w:rsidRPr="000C7549">
              <w:rPr>
                <w:rFonts w:ascii="Arial" w:hAnsi="Arial" w:cs="Arial"/>
                <w:color w:val="000000"/>
              </w:rPr>
              <w:t>3</w:t>
            </w:r>
          </w:p>
        </w:tc>
      </w:tr>
      <w:tr w:rsidR="00E723C2" w:rsidRPr="000C7549" w14:paraId="73A1832D" w14:textId="77777777" w:rsidTr="00C9273B">
        <w:tc>
          <w:tcPr>
            <w:tcW w:w="2610" w:type="dxa"/>
            <w:shd w:val="clear" w:color="auto" w:fill="auto"/>
            <w:vAlign w:val="bottom"/>
          </w:tcPr>
          <w:p w14:paraId="3BEA1F38" w14:textId="77777777" w:rsidR="00E723C2" w:rsidRPr="000C7549" w:rsidRDefault="00E723C2" w:rsidP="0012108F">
            <w:pPr>
              <w:rPr>
                <w:rFonts w:ascii="Arial" w:hAnsi="Arial" w:cs="Arial"/>
              </w:rPr>
            </w:pPr>
          </w:p>
        </w:tc>
        <w:tc>
          <w:tcPr>
            <w:tcW w:w="2250" w:type="dxa"/>
            <w:vAlign w:val="bottom"/>
          </w:tcPr>
          <w:p w14:paraId="1FBC6D1B" w14:textId="77777777" w:rsidR="00E723C2" w:rsidRPr="000C7549" w:rsidRDefault="00E723C2" w:rsidP="0012108F">
            <w:pPr>
              <w:rPr>
                <w:rFonts w:ascii="Arial" w:hAnsi="Arial" w:cs="Arial"/>
              </w:rPr>
            </w:pPr>
            <w:r w:rsidRPr="000C7549">
              <w:rPr>
                <w:rFonts w:ascii="Arial" w:hAnsi="Arial" w:cs="Arial"/>
                <w:color w:val="000000"/>
              </w:rPr>
              <w:t>Sarcophagidae</w:t>
            </w:r>
          </w:p>
        </w:tc>
        <w:tc>
          <w:tcPr>
            <w:tcW w:w="1444" w:type="dxa"/>
            <w:vAlign w:val="bottom"/>
          </w:tcPr>
          <w:p w14:paraId="1AB25C68" w14:textId="77777777" w:rsidR="00E723C2" w:rsidRPr="000C7549" w:rsidRDefault="00E723C2" w:rsidP="0012108F">
            <w:pPr>
              <w:rPr>
                <w:rFonts w:ascii="Arial" w:hAnsi="Arial" w:cs="Arial"/>
              </w:rPr>
            </w:pPr>
            <w:r w:rsidRPr="000C7549">
              <w:rPr>
                <w:rFonts w:ascii="Arial" w:hAnsi="Arial" w:cs="Arial"/>
                <w:color w:val="000000"/>
              </w:rPr>
              <w:t>2.6%</w:t>
            </w:r>
          </w:p>
        </w:tc>
        <w:tc>
          <w:tcPr>
            <w:tcW w:w="1541" w:type="dxa"/>
            <w:shd w:val="clear" w:color="auto" w:fill="auto"/>
            <w:vAlign w:val="bottom"/>
          </w:tcPr>
          <w:p w14:paraId="478FD314"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0CFA695F" w14:textId="77777777" w:rsidTr="00C9273B">
        <w:tc>
          <w:tcPr>
            <w:tcW w:w="2610" w:type="dxa"/>
            <w:shd w:val="clear" w:color="auto" w:fill="auto"/>
            <w:vAlign w:val="bottom"/>
          </w:tcPr>
          <w:p w14:paraId="1632382E" w14:textId="77777777" w:rsidR="00E723C2" w:rsidRPr="000C7549" w:rsidRDefault="00E723C2" w:rsidP="0012108F">
            <w:pPr>
              <w:rPr>
                <w:rFonts w:ascii="Arial" w:hAnsi="Arial" w:cs="Arial"/>
              </w:rPr>
            </w:pPr>
          </w:p>
        </w:tc>
        <w:tc>
          <w:tcPr>
            <w:tcW w:w="2250" w:type="dxa"/>
            <w:vAlign w:val="bottom"/>
          </w:tcPr>
          <w:p w14:paraId="1FA206AB" w14:textId="77777777" w:rsidR="00E723C2" w:rsidRPr="000C7549" w:rsidRDefault="00E723C2" w:rsidP="0012108F">
            <w:pPr>
              <w:rPr>
                <w:rFonts w:ascii="Arial" w:hAnsi="Arial" w:cs="Arial"/>
              </w:rPr>
            </w:pPr>
            <w:r w:rsidRPr="000C7549">
              <w:rPr>
                <w:rFonts w:ascii="Arial" w:hAnsi="Arial" w:cs="Arial"/>
                <w:color w:val="000000"/>
              </w:rPr>
              <w:t>Agromyzidae</w:t>
            </w:r>
          </w:p>
        </w:tc>
        <w:tc>
          <w:tcPr>
            <w:tcW w:w="1444" w:type="dxa"/>
            <w:vAlign w:val="bottom"/>
          </w:tcPr>
          <w:p w14:paraId="25E68C50" w14:textId="77777777" w:rsidR="00E723C2" w:rsidRPr="000C7549" w:rsidRDefault="00E723C2" w:rsidP="0012108F">
            <w:pPr>
              <w:rPr>
                <w:rFonts w:ascii="Arial" w:hAnsi="Arial" w:cs="Arial"/>
              </w:rPr>
            </w:pPr>
            <w:r w:rsidRPr="000C7549">
              <w:rPr>
                <w:rFonts w:ascii="Arial" w:hAnsi="Arial" w:cs="Arial"/>
                <w:color w:val="000000"/>
              </w:rPr>
              <w:t>2.3%</w:t>
            </w:r>
          </w:p>
        </w:tc>
        <w:tc>
          <w:tcPr>
            <w:tcW w:w="1541" w:type="dxa"/>
            <w:shd w:val="clear" w:color="auto" w:fill="auto"/>
            <w:vAlign w:val="bottom"/>
          </w:tcPr>
          <w:p w14:paraId="18A1A9C3"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2FA571BE" w14:textId="77777777" w:rsidTr="00C9273B">
        <w:tc>
          <w:tcPr>
            <w:tcW w:w="2610" w:type="dxa"/>
            <w:shd w:val="clear" w:color="auto" w:fill="auto"/>
            <w:vAlign w:val="bottom"/>
          </w:tcPr>
          <w:p w14:paraId="7DA91895" w14:textId="77777777" w:rsidR="00E723C2" w:rsidRPr="000C7549" w:rsidRDefault="00E723C2" w:rsidP="0012108F">
            <w:pPr>
              <w:rPr>
                <w:rFonts w:ascii="Arial" w:hAnsi="Arial" w:cs="Arial"/>
              </w:rPr>
            </w:pPr>
          </w:p>
        </w:tc>
        <w:tc>
          <w:tcPr>
            <w:tcW w:w="2250" w:type="dxa"/>
            <w:vAlign w:val="bottom"/>
          </w:tcPr>
          <w:p w14:paraId="5B20F95F" w14:textId="77777777" w:rsidR="00E723C2" w:rsidRPr="000C7549" w:rsidRDefault="00E723C2" w:rsidP="0012108F">
            <w:pPr>
              <w:rPr>
                <w:rFonts w:ascii="Arial" w:hAnsi="Arial" w:cs="Arial"/>
              </w:rPr>
            </w:pPr>
            <w:r w:rsidRPr="000C7549">
              <w:rPr>
                <w:rFonts w:ascii="Arial" w:hAnsi="Arial" w:cs="Arial"/>
                <w:color w:val="000000"/>
              </w:rPr>
              <w:t>Bombyliidae</w:t>
            </w:r>
          </w:p>
        </w:tc>
        <w:tc>
          <w:tcPr>
            <w:tcW w:w="1444" w:type="dxa"/>
            <w:vAlign w:val="bottom"/>
          </w:tcPr>
          <w:p w14:paraId="1B0BAB6C" w14:textId="77777777" w:rsidR="00E723C2" w:rsidRPr="000C7549" w:rsidRDefault="00E723C2" w:rsidP="0012108F">
            <w:pPr>
              <w:rPr>
                <w:rFonts w:ascii="Arial" w:hAnsi="Arial" w:cs="Arial"/>
              </w:rPr>
            </w:pPr>
            <w:r w:rsidRPr="000C7549">
              <w:rPr>
                <w:rFonts w:ascii="Arial" w:hAnsi="Arial" w:cs="Arial"/>
                <w:color w:val="000000"/>
              </w:rPr>
              <w:t>1.3%</w:t>
            </w:r>
          </w:p>
        </w:tc>
        <w:tc>
          <w:tcPr>
            <w:tcW w:w="1541" w:type="dxa"/>
            <w:shd w:val="clear" w:color="auto" w:fill="auto"/>
            <w:vAlign w:val="bottom"/>
          </w:tcPr>
          <w:p w14:paraId="29BC1604"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2561C6B7" w14:textId="77777777" w:rsidTr="00C9273B">
        <w:tc>
          <w:tcPr>
            <w:tcW w:w="2610" w:type="dxa"/>
            <w:shd w:val="clear" w:color="auto" w:fill="auto"/>
            <w:vAlign w:val="bottom"/>
          </w:tcPr>
          <w:p w14:paraId="79095B24" w14:textId="77777777" w:rsidR="00E723C2" w:rsidRPr="000C7549" w:rsidRDefault="00E723C2" w:rsidP="0012108F">
            <w:pPr>
              <w:rPr>
                <w:rFonts w:ascii="Arial" w:hAnsi="Arial" w:cs="Arial"/>
              </w:rPr>
            </w:pPr>
          </w:p>
        </w:tc>
        <w:tc>
          <w:tcPr>
            <w:tcW w:w="2250" w:type="dxa"/>
            <w:vAlign w:val="bottom"/>
          </w:tcPr>
          <w:p w14:paraId="76FA5B1A" w14:textId="77777777" w:rsidR="00E723C2" w:rsidRPr="000C7549" w:rsidRDefault="00E723C2" w:rsidP="0012108F">
            <w:pPr>
              <w:rPr>
                <w:rFonts w:ascii="Arial" w:hAnsi="Arial" w:cs="Arial"/>
              </w:rPr>
            </w:pPr>
            <w:r w:rsidRPr="000C7549">
              <w:rPr>
                <w:rFonts w:ascii="Arial" w:hAnsi="Arial" w:cs="Arial"/>
                <w:color w:val="000000"/>
              </w:rPr>
              <w:t>Chironomidae</w:t>
            </w:r>
          </w:p>
        </w:tc>
        <w:tc>
          <w:tcPr>
            <w:tcW w:w="1444" w:type="dxa"/>
            <w:vAlign w:val="bottom"/>
          </w:tcPr>
          <w:p w14:paraId="7D85EB5A" w14:textId="77777777" w:rsidR="00E723C2" w:rsidRPr="000C7549" w:rsidRDefault="00E723C2" w:rsidP="0012108F">
            <w:pPr>
              <w:rPr>
                <w:rFonts w:ascii="Arial" w:hAnsi="Arial" w:cs="Arial"/>
              </w:rPr>
            </w:pPr>
            <w:r w:rsidRPr="000C7549">
              <w:rPr>
                <w:rFonts w:ascii="Arial" w:hAnsi="Arial" w:cs="Arial"/>
                <w:color w:val="000000"/>
              </w:rPr>
              <w:t>1.3%</w:t>
            </w:r>
          </w:p>
        </w:tc>
        <w:tc>
          <w:tcPr>
            <w:tcW w:w="1541" w:type="dxa"/>
            <w:shd w:val="clear" w:color="auto" w:fill="auto"/>
            <w:vAlign w:val="bottom"/>
          </w:tcPr>
          <w:p w14:paraId="15A2E617"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4D4FB99E" w14:textId="77777777" w:rsidTr="00C9273B">
        <w:tc>
          <w:tcPr>
            <w:tcW w:w="2610" w:type="dxa"/>
            <w:shd w:val="clear" w:color="auto" w:fill="auto"/>
            <w:vAlign w:val="bottom"/>
          </w:tcPr>
          <w:p w14:paraId="33112376" w14:textId="77777777" w:rsidR="00E723C2" w:rsidRPr="000C7549" w:rsidRDefault="00E723C2" w:rsidP="0012108F">
            <w:pPr>
              <w:rPr>
                <w:rFonts w:ascii="Arial" w:hAnsi="Arial" w:cs="Arial"/>
              </w:rPr>
            </w:pPr>
          </w:p>
        </w:tc>
        <w:tc>
          <w:tcPr>
            <w:tcW w:w="2250" w:type="dxa"/>
            <w:vAlign w:val="bottom"/>
          </w:tcPr>
          <w:p w14:paraId="338A3C8F" w14:textId="77777777" w:rsidR="00E723C2" w:rsidRPr="000C7549" w:rsidRDefault="00E723C2" w:rsidP="0012108F">
            <w:pPr>
              <w:rPr>
                <w:rFonts w:ascii="Arial" w:hAnsi="Arial" w:cs="Arial"/>
              </w:rPr>
            </w:pPr>
            <w:r w:rsidRPr="000C7549">
              <w:rPr>
                <w:rFonts w:ascii="Arial" w:hAnsi="Arial" w:cs="Arial"/>
                <w:color w:val="000000"/>
              </w:rPr>
              <w:t>Chloropidae</w:t>
            </w:r>
          </w:p>
        </w:tc>
        <w:tc>
          <w:tcPr>
            <w:tcW w:w="1444" w:type="dxa"/>
            <w:vAlign w:val="bottom"/>
          </w:tcPr>
          <w:p w14:paraId="594219DB" w14:textId="77777777" w:rsidR="00E723C2" w:rsidRPr="000C7549" w:rsidRDefault="00E723C2" w:rsidP="0012108F">
            <w:pPr>
              <w:rPr>
                <w:rFonts w:ascii="Arial" w:hAnsi="Arial" w:cs="Arial"/>
              </w:rPr>
            </w:pPr>
            <w:r w:rsidRPr="000C7549">
              <w:rPr>
                <w:rFonts w:ascii="Arial" w:hAnsi="Arial" w:cs="Arial"/>
                <w:color w:val="000000"/>
              </w:rPr>
              <w:t>1.3%</w:t>
            </w:r>
          </w:p>
        </w:tc>
        <w:tc>
          <w:tcPr>
            <w:tcW w:w="1541" w:type="dxa"/>
            <w:shd w:val="clear" w:color="auto" w:fill="auto"/>
            <w:vAlign w:val="bottom"/>
          </w:tcPr>
          <w:p w14:paraId="57E6D394"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0F6FB99F" w14:textId="77777777" w:rsidTr="00C9273B">
        <w:tc>
          <w:tcPr>
            <w:tcW w:w="2610" w:type="dxa"/>
            <w:shd w:val="clear" w:color="auto" w:fill="auto"/>
            <w:vAlign w:val="bottom"/>
          </w:tcPr>
          <w:p w14:paraId="0690CEF9" w14:textId="77777777" w:rsidR="00E723C2" w:rsidRPr="000C7549" w:rsidRDefault="00E723C2" w:rsidP="0012108F">
            <w:pPr>
              <w:rPr>
                <w:rFonts w:ascii="Arial" w:hAnsi="Arial" w:cs="Arial"/>
              </w:rPr>
            </w:pPr>
          </w:p>
        </w:tc>
        <w:tc>
          <w:tcPr>
            <w:tcW w:w="2250" w:type="dxa"/>
            <w:vAlign w:val="bottom"/>
          </w:tcPr>
          <w:p w14:paraId="7C60E17F" w14:textId="77777777" w:rsidR="00E723C2" w:rsidRPr="000C7549" w:rsidRDefault="00E723C2" w:rsidP="0012108F">
            <w:pPr>
              <w:rPr>
                <w:rFonts w:ascii="Arial" w:hAnsi="Arial" w:cs="Arial"/>
              </w:rPr>
            </w:pPr>
            <w:r w:rsidRPr="000C7549">
              <w:rPr>
                <w:rFonts w:ascii="Arial" w:hAnsi="Arial" w:cs="Arial"/>
                <w:color w:val="000000"/>
              </w:rPr>
              <w:t>Mycetophilidae</w:t>
            </w:r>
          </w:p>
        </w:tc>
        <w:tc>
          <w:tcPr>
            <w:tcW w:w="1444" w:type="dxa"/>
            <w:vAlign w:val="bottom"/>
          </w:tcPr>
          <w:p w14:paraId="2BB7CA70" w14:textId="77777777" w:rsidR="00E723C2" w:rsidRPr="000C7549" w:rsidRDefault="00E723C2" w:rsidP="0012108F">
            <w:pPr>
              <w:rPr>
                <w:rFonts w:ascii="Arial" w:hAnsi="Arial" w:cs="Arial"/>
              </w:rPr>
            </w:pPr>
            <w:r w:rsidRPr="000C7549">
              <w:rPr>
                <w:rFonts w:ascii="Arial" w:hAnsi="Arial" w:cs="Arial"/>
                <w:color w:val="000000"/>
              </w:rPr>
              <w:t>1.3%</w:t>
            </w:r>
          </w:p>
        </w:tc>
        <w:tc>
          <w:tcPr>
            <w:tcW w:w="1541" w:type="dxa"/>
            <w:shd w:val="clear" w:color="auto" w:fill="auto"/>
            <w:vAlign w:val="bottom"/>
          </w:tcPr>
          <w:p w14:paraId="44DDE38F"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2BA7E578" w14:textId="77777777" w:rsidTr="00C9273B">
        <w:tc>
          <w:tcPr>
            <w:tcW w:w="2610" w:type="dxa"/>
            <w:shd w:val="clear" w:color="auto" w:fill="auto"/>
            <w:vAlign w:val="bottom"/>
          </w:tcPr>
          <w:p w14:paraId="4C30C5FA" w14:textId="77777777" w:rsidR="00E723C2" w:rsidRPr="000C7549" w:rsidRDefault="00E723C2" w:rsidP="0012108F">
            <w:pPr>
              <w:rPr>
                <w:rFonts w:ascii="Arial" w:hAnsi="Arial" w:cs="Arial"/>
              </w:rPr>
            </w:pPr>
            <w:r w:rsidRPr="000C7549">
              <w:rPr>
                <w:rFonts w:ascii="Arial" w:hAnsi="Arial" w:cs="Arial"/>
                <w:color w:val="000000"/>
              </w:rPr>
              <w:t>Hemiptera, n= 86</w:t>
            </w:r>
          </w:p>
        </w:tc>
        <w:tc>
          <w:tcPr>
            <w:tcW w:w="2250" w:type="dxa"/>
            <w:vAlign w:val="bottom"/>
          </w:tcPr>
          <w:p w14:paraId="0627F106" w14:textId="77777777" w:rsidR="00E723C2" w:rsidRPr="000C7549" w:rsidRDefault="00E723C2" w:rsidP="0012108F">
            <w:pPr>
              <w:rPr>
                <w:rFonts w:ascii="Arial" w:hAnsi="Arial" w:cs="Arial"/>
              </w:rPr>
            </w:pPr>
            <w:r w:rsidRPr="000C7549">
              <w:rPr>
                <w:rFonts w:ascii="Arial" w:hAnsi="Arial" w:cs="Arial"/>
                <w:color w:val="000000"/>
              </w:rPr>
              <w:t>Miridae</w:t>
            </w:r>
          </w:p>
        </w:tc>
        <w:tc>
          <w:tcPr>
            <w:tcW w:w="1444" w:type="dxa"/>
            <w:vAlign w:val="bottom"/>
          </w:tcPr>
          <w:p w14:paraId="4556278E" w14:textId="77777777" w:rsidR="00E723C2" w:rsidRPr="000C7549" w:rsidRDefault="00E723C2" w:rsidP="0012108F">
            <w:pPr>
              <w:rPr>
                <w:rFonts w:ascii="Arial" w:hAnsi="Arial" w:cs="Arial"/>
              </w:rPr>
            </w:pPr>
            <w:r w:rsidRPr="000C7549">
              <w:rPr>
                <w:rFonts w:ascii="Arial" w:hAnsi="Arial" w:cs="Arial"/>
                <w:color w:val="000000"/>
              </w:rPr>
              <w:t>33.7%</w:t>
            </w:r>
          </w:p>
        </w:tc>
        <w:tc>
          <w:tcPr>
            <w:tcW w:w="1541" w:type="dxa"/>
            <w:shd w:val="clear" w:color="auto" w:fill="auto"/>
            <w:vAlign w:val="bottom"/>
          </w:tcPr>
          <w:p w14:paraId="15384B27" w14:textId="77777777" w:rsidR="00E723C2" w:rsidRPr="000C7549" w:rsidRDefault="00E723C2" w:rsidP="0012108F">
            <w:pPr>
              <w:rPr>
                <w:rFonts w:ascii="Arial" w:hAnsi="Arial" w:cs="Arial"/>
              </w:rPr>
            </w:pPr>
            <w:r w:rsidRPr="000C7549">
              <w:rPr>
                <w:rFonts w:ascii="Arial" w:hAnsi="Arial" w:cs="Arial"/>
                <w:color w:val="000000"/>
              </w:rPr>
              <w:t>29</w:t>
            </w:r>
          </w:p>
        </w:tc>
      </w:tr>
      <w:tr w:rsidR="00E723C2" w:rsidRPr="000C7549" w14:paraId="60AB4C43" w14:textId="77777777" w:rsidTr="00C9273B">
        <w:tc>
          <w:tcPr>
            <w:tcW w:w="2610" w:type="dxa"/>
            <w:shd w:val="clear" w:color="auto" w:fill="auto"/>
            <w:vAlign w:val="bottom"/>
          </w:tcPr>
          <w:p w14:paraId="631AFF50" w14:textId="77777777" w:rsidR="00E723C2" w:rsidRPr="000C7549" w:rsidRDefault="00E723C2" w:rsidP="0012108F">
            <w:pPr>
              <w:rPr>
                <w:rFonts w:ascii="Arial" w:hAnsi="Arial" w:cs="Arial"/>
              </w:rPr>
            </w:pPr>
          </w:p>
        </w:tc>
        <w:tc>
          <w:tcPr>
            <w:tcW w:w="2250" w:type="dxa"/>
            <w:vAlign w:val="bottom"/>
          </w:tcPr>
          <w:p w14:paraId="1DC18E49" w14:textId="77777777" w:rsidR="00E723C2" w:rsidRPr="000C7549" w:rsidRDefault="00E723C2" w:rsidP="0012108F">
            <w:pPr>
              <w:rPr>
                <w:rFonts w:ascii="Arial" w:hAnsi="Arial" w:cs="Arial"/>
              </w:rPr>
            </w:pPr>
            <w:r w:rsidRPr="000C7549">
              <w:rPr>
                <w:rFonts w:ascii="Arial" w:hAnsi="Arial" w:cs="Arial"/>
                <w:color w:val="000000"/>
              </w:rPr>
              <w:t>Cicadellidae</w:t>
            </w:r>
          </w:p>
        </w:tc>
        <w:tc>
          <w:tcPr>
            <w:tcW w:w="1444" w:type="dxa"/>
            <w:vAlign w:val="bottom"/>
          </w:tcPr>
          <w:p w14:paraId="257C416A" w14:textId="77777777" w:rsidR="00E723C2" w:rsidRPr="000C7549" w:rsidRDefault="00E723C2" w:rsidP="0012108F">
            <w:pPr>
              <w:rPr>
                <w:rFonts w:ascii="Arial" w:hAnsi="Arial" w:cs="Arial"/>
              </w:rPr>
            </w:pPr>
            <w:r w:rsidRPr="000C7549">
              <w:rPr>
                <w:rFonts w:ascii="Arial" w:hAnsi="Arial" w:cs="Arial"/>
                <w:color w:val="000000"/>
              </w:rPr>
              <w:t>23.3%</w:t>
            </w:r>
          </w:p>
        </w:tc>
        <w:tc>
          <w:tcPr>
            <w:tcW w:w="1541" w:type="dxa"/>
            <w:shd w:val="clear" w:color="auto" w:fill="auto"/>
            <w:vAlign w:val="bottom"/>
          </w:tcPr>
          <w:p w14:paraId="2AE65082" w14:textId="77777777" w:rsidR="00E723C2" w:rsidRPr="000C7549" w:rsidRDefault="00E723C2" w:rsidP="0012108F">
            <w:pPr>
              <w:rPr>
                <w:rFonts w:ascii="Arial" w:hAnsi="Arial" w:cs="Arial"/>
              </w:rPr>
            </w:pPr>
            <w:r w:rsidRPr="000C7549">
              <w:rPr>
                <w:rFonts w:ascii="Arial" w:hAnsi="Arial" w:cs="Arial"/>
                <w:color w:val="000000"/>
              </w:rPr>
              <w:t>20</w:t>
            </w:r>
          </w:p>
        </w:tc>
      </w:tr>
      <w:tr w:rsidR="00E723C2" w:rsidRPr="000C7549" w14:paraId="20995FA9" w14:textId="77777777" w:rsidTr="00C9273B">
        <w:tc>
          <w:tcPr>
            <w:tcW w:w="2610" w:type="dxa"/>
            <w:shd w:val="clear" w:color="auto" w:fill="auto"/>
            <w:vAlign w:val="bottom"/>
          </w:tcPr>
          <w:p w14:paraId="269999A8" w14:textId="77777777" w:rsidR="00E723C2" w:rsidRPr="000C7549" w:rsidRDefault="00E723C2" w:rsidP="0012108F">
            <w:pPr>
              <w:rPr>
                <w:rFonts w:ascii="Arial" w:hAnsi="Arial" w:cs="Arial"/>
              </w:rPr>
            </w:pPr>
          </w:p>
        </w:tc>
        <w:tc>
          <w:tcPr>
            <w:tcW w:w="2250" w:type="dxa"/>
            <w:vAlign w:val="bottom"/>
          </w:tcPr>
          <w:p w14:paraId="6DA88A69" w14:textId="77777777" w:rsidR="00E723C2" w:rsidRPr="000C7549" w:rsidRDefault="00E723C2" w:rsidP="0012108F">
            <w:pPr>
              <w:rPr>
                <w:rFonts w:ascii="Arial" w:hAnsi="Arial" w:cs="Arial"/>
              </w:rPr>
            </w:pPr>
            <w:r w:rsidRPr="000C7549">
              <w:rPr>
                <w:rFonts w:ascii="Arial" w:hAnsi="Arial" w:cs="Arial"/>
                <w:color w:val="000000"/>
              </w:rPr>
              <w:t>Pentatomidae</w:t>
            </w:r>
          </w:p>
        </w:tc>
        <w:tc>
          <w:tcPr>
            <w:tcW w:w="1444" w:type="dxa"/>
            <w:vAlign w:val="bottom"/>
          </w:tcPr>
          <w:p w14:paraId="75D2C9D0" w14:textId="77777777" w:rsidR="00E723C2" w:rsidRPr="000C7549" w:rsidRDefault="00E723C2" w:rsidP="0012108F">
            <w:pPr>
              <w:rPr>
                <w:rFonts w:ascii="Arial" w:hAnsi="Arial" w:cs="Arial"/>
              </w:rPr>
            </w:pPr>
            <w:r w:rsidRPr="000C7549">
              <w:rPr>
                <w:rFonts w:ascii="Arial" w:hAnsi="Arial" w:cs="Arial"/>
                <w:color w:val="000000"/>
              </w:rPr>
              <w:t>9.3%</w:t>
            </w:r>
          </w:p>
        </w:tc>
        <w:tc>
          <w:tcPr>
            <w:tcW w:w="1541" w:type="dxa"/>
            <w:shd w:val="clear" w:color="auto" w:fill="auto"/>
            <w:vAlign w:val="bottom"/>
          </w:tcPr>
          <w:p w14:paraId="32953184" w14:textId="77777777" w:rsidR="00E723C2" w:rsidRPr="000C7549" w:rsidRDefault="00E723C2" w:rsidP="0012108F">
            <w:pPr>
              <w:rPr>
                <w:rFonts w:ascii="Arial" w:hAnsi="Arial" w:cs="Arial"/>
              </w:rPr>
            </w:pPr>
            <w:r w:rsidRPr="000C7549">
              <w:rPr>
                <w:rFonts w:ascii="Arial" w:hAnsi="Arial" w:cs="Arial"/>
                <w:color w:val="000000"/>
              </w:rPr>
              <w:t>8</w:t>
            </w:r>
          </w:p>
        </w:tc>
      </w:tr>
      <w:tr w:rsidR="00E723C2" w:rsidRPr="000C7549" w14:paraId="710DCFD6" w14:textId="77777777" w:rsidTr="00C9273B">
        <w:tc>
          <w:tcPr>
            <w:tcW w:w="2610" w:type="dxa"/>
            <w:shd w:val="clear" w:color="auto" w:fill="auto"/>
            <w:vAlign w:val="bottom"/>
          </w:tcPr>
          <w:p w14:paraId="36F78D8B" w14:textId="77777777" w:rsidR="00E723C2" w:rsidRPr="000C7549" w:rsidRDefault="00E723C2" w:rsidP="0012108F">
            <w:pPr>
              <w:rPr>
                <w:rFonts w:ascii="Arial" w:hAnsi="Arial" w:cs="Arial"/>
              </w:rPr>
            </w:pPr>
          </w:p>
        </w:tc>
        <w:tc>
          <w:tcPr>
            <w:tcW w:w="2250" w:type="dxa"/>
            <w:vAlign w:val="bottom"/>
          </w:tcPr>
          <w:p w14:paraId="51FDDB59" w14:textId="77777777" w:rsidR="00E723C2" w:rsidRPr="000C7549" w:rsidRDefault="00E723C2" w:rsidP="0012108F">
            <w:pPr>
              <w:rPr>
                <w:rFonts w:ascii="Arial" w:hAnsi="Arial" w:cs="Arial"/>
              </w:rPr>
            </w:pPr>
            <w:r w:rsidRPr="000C7549">
              <w:rPr>
                <w:rFonts w:ascii="Arial" w:hAnsi="Arial" w:cs="Arial"/>
                <w:color w:val="000000"/>
              </w:rPr>
              <w:t xml:space="preserve">Unidentified </w:t>
            </w:r>
          </w:p>
        </w:tc>
        <w:tc>
          <w:tcPr>
            <w:tcW w:w="1444" w:type="dxa"/>
            <w:vAlign w:val="bottom"/>
          </w:tcPr>
          <w:p w14:paraId="12D4B49C" w14:textId="77777777" w:rsidR="00E723C2" w:rsidRPr="000C7549" w:rsidRDefault="00E723C2" w:rsidP="0012108F">
            <w:pPr>
              <w:rPr>
                <w:rFonts w:ascii="Arial" w:hAnsi="Arial" w:cs="Arial"/>
              </w:rPr>
            </w:pPr>
            <w:r w:rsidRPr="000C7549">
              <w:rPr>
                <w:rFonts w:ascii="Arial" w:hAnsi="Arial" w:cs="Arial"/>
                <w:color w:val="000000"/>
              </w:rPr>
              <w:t>5.8%</w:t>
            </w:r>
          </w:p>
        </w:tc>
        <w:tc>
          <w:tcPr>
            <w:tcW w:w="1541" w:type="dxa"/>
            <w:shd w:val="clear" w:color="auto" w:fill="auto"/>
            <w:vAlign w:val="bottom"/>
          </w:tcPr>
          <w:p w14:paraId="05217EE5" w14:textId="77777777" w:rsidR="00E723C2" w:rsidRPr="000C7549" w:rsidRDefault="00E723C2" w:rsidP="0012108F">
            <w:pPr>
              <w:rPr>
                <w:rFonts w:ascii="Arial" w:hAnsi="Arial" w:cs="Arial"/>
              </w:rPr>
            </w:pPr>
            <w:r w:rsidRPr="000C7549">
              <w:rPr>
                <w:rFonts w:ascii="Arial" w:hAnsi="Arial" w:cs="Arial"/>
                <w:color w:val="000000"/>
              </w:rPr>
              <w:t>5</w:t>
            </w:r>
          </w:p>
        </w:tc>
      </w:tr>
      <w:tr w:rsidR="00E723C2" w:rsidRPr="000C7549" w14:paraId="5A0C820F" w14:textId="77777777" w:rsidTr="00C9273B">
        <w:tc>
          <w:tcPr>
            <w:tcW w:w="2610" w:type="dxa"/>
            <w:shd w:val="clear" w:color="auto" w:fill="auto"/>
            <w:vAlign w:val="bottom"/>
          </w:tcPr>
          <w:p w14:paraId="39EB2ADF" w14:textId="77777777" w:rsidR="00E723C2" w:rsidRPr="000C7549" w:rsidRDefault="00E723C2" w:rsidP="0012108F">
            <w:pPr>
              <w:rPr>
                <w:rFonts w:ascii="Arial" w:hAnsi="Arial" w:cs="Arial"/>
              </w:rPr>
            </w:pPr>
          </w:p>
        </w:tc>
        <w:tc>
          <w:tcPr>
            <w:tcW w:w="2250" w:type="dxa"/>
            <w:vAlign w:val="bottom"/>
          </w:tcPr>
          <w:p w14:paraId="0DD876AB" w14:textId="77777777" w:rsidR="00E723C2" w:rsidRPr="000C7549" w:rsidRDefault="00E723C2" w:rsidP="0012108F">
            <w:pPr>
              <w:rPr>
                <w:rFonts w:ascii="Arial" w:hAnsi="Arial" w:cs="Arial"/>
              </w:rPr>
            </w:pPr>
            <w:r w:rsidRPr="000C7549">
              <w:rPr>
                <w:rFonts w:ascii="Arial" w:hAnsi="Arial" w:cs="Arial"/>
                <w:color w:val="000000"/>
              </w:rPr>
              <w:t>Rhopalidae</w:t>
            </w:r>
          </w:p>
        </w:tc>
        <w:tc>
          <w:tcPr>
            <w:tcW w:w="1444" w:type="dxa"/>
            <w:vAlign w:val="bottom"/>
          </w:tcPr>
          <w:p w14:paraId="444D46CD" w14:textId="77777777" w:rsidR="00E723C2" w:rsidRPr="000C7549" w:rsidRDefault="00E723C2" w:rsidP="0012108F">
            <w:pPr>
              <w:rPr>
                <w:rFonts w:ascii="Arial" w:hAnsi="Arial" w:cs="Arial"/>
              </w:rPr>
            </w:pPr>
            <w:r w:rsidRPr="000C7549">
              <w:rPr>
                <w:rFonts w:ascii="Arial" w:hAnsi="Arial" w:cs="Arial"/>
                <w:color w:val="000000"/>
              </w:rPr>
              <w:t>5.8%</w:t>
            </w:r>
          </w:p>
        </w:tc>
        <w:tc>
          <w:tcPr>
            <w:tcW w:w="1541" w:type="dxa"/>
            <w:shd w:val="clear" w:color="auto" w:fill="auto"/>
            <w:vAlign w:val="bottom"/>
          </w:tcPr>
          <w:p w14:paraId="63A207A7" w14:textId="77777777" w:rsidR="00E723C2" w:rsidRPr="000C7549" w:rsidRDefault="00E723C2" w:rsidP="0012108F">
            <w:pPr>
              <w:rPr>
                <w:rFonts w:ascii="Arial" w:hAnsi="Arial" w:cs="Arial"/>
              </w:rPr>
            </w:pPr>
            <w:r w:rsidRPr="000C7549">
              <w:rPr>
                <w:rFonts w:ascii="Arial" w:hAnsi="Arial" w:cs="Arial"/>
                <w:color w:val="000000"/>
              </w:rPr>
              <w:t>5</w:t>
            </w:r>
          </w:p>
        </w:tc>
      </w:tr>
      <w:tr w:rsidR="00E723C2" w:rsidRPr="000C7549" w14:paraId="0E679F33" w14:textId="77777777" w:rsidTr="00C9273B">
        <w:tc>
          <w:tcPr>
            <w:tcW w:w="2610" w:type="dxa"/>
            <w:shd w:val="clear" w:color="auto" w:fill="auto"/>
            <w:vAlign w:val="bottom"/>
          </w:tcPr>
          <w:p w14:paraId="2CE664F9" w14:textId="77777777" w:rsidR="00E723C2" w:rsidRPr="000C7549" w:rsidRDefault="00E723C2" w:rsidP="0012108F">
            <w:pPr>
              <w:rPr>
                <w:rFonts w:ascii="Arial" w:hAnsi="Arial" w:cs="Arial"/>
              </w:rPr>
            </w:pPr>
          </w:p>
        </w:tc>
        <w:tc>
          <w:tcPr>
            <w:tcW w:w="2250" w:type="dxa"/>
            <w:vAlign w:val="bottom"/>
          </w:tcPr>
          <w:p w14:paraId="1DBC7109" w14:textId="77777777" w:rsidR="00E723C2" w:rsidRPr="000C7549" w:rsidRDefault="00E723C2" w:rsidP="0012108F">
            <w:pPr>
              <w:rPr>
                <w:rFonts w:ascii="Arial" w:hAnsi="Arial" w:cs="Arial"/>
              </w:rPr>
            </w:pPr>
            <w:r w:rsidRPr="000C7549">
              <w:rPr>
                <w:rFonts w:ascii="Arial" w:hAnsi="Arial" w:cs="Arial"/>
                <w:color w:val="000000"/>
              </w:rPr>
              <w:t>Geocoridae</w:t>
            </w:r>
          </w:p>
        </w:tc>
        <w:tc>
          <w:tcPr>
            <w:tcW w:w="1444" w:type="dxa"/>
            <w:vAlign w:val="bottom"/>
          </w:tcPr>
          <w:p w14:paraId="6149322C" w14:textId="77777777" w:rsidR="00E723C2" w:rsidRPr="000C7549" w:rsidRDefault="00E723C2" w:rsidP="0012108F">
            <w:pPr>
              <w:rPr>
                <w:rFonts w:ascii="Arial" w:hAnsi="Arial" w:cs="Arial"/>
              </w:rPr>
            </w:pPr>
            <w:r w:rsidRPr="000C7549">
              <w:rPr>
                <w:rFonts w:ascii="Arial" w:hAnsi="Arial" w:cs="Arial"/>
                <w:color w:val="000000"/>
              </w:rPr>
              <w:t>4.7%</w:t>
            </w:r>
          </w:p>
        </w:tc>
        <w:tc>
          <w:tcPr>
            <w:tcW w:w="1541" w:type="dxa"/>
            <w:shd w:val="clear" w:color="auto" w:fill="auto"/>
            <w:vAlign w:val="bottom"/>
          </w:tcPr>
          <w:p w14:paraId="50169BE6" w14:textId="77777777" w:rsidR="00E723C2" w:rsidRPr="000C7549" w:rsidRDefault="00E723C2" w:rsidP="0012108F">
            <w:pPr>
              <w:rPr>
                <w:rFonts w:ascii="Arial" w:hAnsi="Arial" w:cs="Arial"/>
              </w:rPr>
            </w:pPr>
            <w:r w:rsidRPr="000C7549">
              <w:rPr>
                <w:rFonts w:ascii="Arial" w:hAnsi="Arial" w:cs="Arial"/>
                <w:color w:val="000000"/>
              </w:rPr>
              <w:t>4</w:t>
            </w:r>
          </w:p>
        </w:tc>
      </w:tr>
      <w:tr w:rsidR="00E723C2" w:rsidRPr="000C7549" w14:paraId="70577001" w14:textId="77777777" w:rsidTr="00C9273B">
        <w:trPr>
          <w:trHeight w:val="67"/>
        </w:trPr>
        <w:tc>
          <w:tcPr>
            <w:tcW w:w="2610" w:type="dxa"/>
            <w:shd w:val="clear" w:color="auto" w:fill="auto"/>
            <w:vAlign w:val="bottom"/>
          </w:tcPr>
          <w:p w14:paraId="3853166F" w14:textId="77777777" w:rsidR="00E723C2" w:rsidRPr="000C7549" w:rsidRDefault="00E723C2" w:rsidP="0012108F">
            <w:pPr>
              <w:rPr>
                <w:rFonts w:ascii="Arial" w:hAnsi="Arial" w:cs="Arial"/>
              </w:rPr>
            </w:pPr>
          </w:p>
        </w:tc>
        <w:tc>
          <w:tcPr>
            <w:tcW w:w="2250" w:type="dxa"/>
            <w:vAlign w:val="bottom"/>
          </w:tcPr>
          <w:p w14:paraId="66906EEC" w14:textId="77777777" w:rsidR="00E723C2" w:rsidRPr="000C7549" w:rsidRDefault="00E723C2" w:rsidP="0012108F">
            <w:pPr>
              <w:rPr>
                <w:rFonts w:ascii="Arial" w:hAnsi="Arial" w:cs="Arial"/>
              </w:rPr>
            </w:pPr>
            <w:r w:rsidRPr="000C7549">
              <w:rPr>
                <w:rFonts w:ascii="Arial" w:hAnsi="Arial" w:cs="Arial"/>
                <w:color w:val="000000"/>
              </w:rPr>
              <w:t>Phymatinae</w:t>
            </w:r>
          </w:p>
        </w:tc>
        <w:tc>
          <w:tcPr>
            <w:tcW w:w="1444" w:type="dxa"/>
            <w:vAlign w:val="bottom"/>
          </w:tcPr>
          <w:p w14:paraId="4DFC4254" w14:textId="77777777" w:rsidR="00E723C2" w:rsidRPr="000C7549" w:rsidRDefault="00E723C2" w:rsidP="0012108F">
            <w:pPr>
              <w:rPr>
                <w:rFonts w:ascii="Arial" w:hAnsi="Arial" w:cs="Arial"/>
              </w:rPr>
            </w:pPr>
            <w:r w:rsidRPr="000C7549">
              <w:rPr>
                <w:rFonts w:ascii="Arial" w:hAnsi="Arial" w:cs="Arial"/>
                <w:color w:val="000000"/>
              </w:rPr>
              <w:t>4.7%</w:t>
            </w:r>
          </w:p>
        </w:tc>
        <w:tc>
          <w:tcPr>
            <w:tcW w:w="1541" w:type="dxa"/>
            <w:shd w:val="clear" w:color="auto" w:fill="auto"/>
            <w:vAlign w:val="bottom"/>
          </w:tcPr>
          <w:p w14:paraId="61896E40" w14:textId="77777777" w:rsidR="00E723C2" w:rsidRPr="000C7549" w:rsidRDefault="00E723C2" w:rsidP="0012108F">
            <w:pPr>
              <w:rPr>
                <w:rFonts w:ascii="Arial" w:hAnsi="Arial" w:cs="Arial"/>
              </w:rPr>
            </w:pPr>
            <w:r w:rsidRPr="000C7549">
              <w:rPr>
                <w:rFonts w:ascii="Arial" w:hAnsi="Arial" w:cs="Arial"/>
                <w:color w:val="000000"/>
              </w:rPr>
              <w:t>4</w:t>
            </w:r>
          </w:p>
        </w:tc>
      </w:tr>
      <w:tr w:rsidR="00E723C2" w:rsidRPr="000C7549" w14:paraId="2172B35E" w14:textId="77777777" w:rsidTr="00C9273B">
        <w:tc>
          <w:tcPr>
            <w:tcW w:w="2610" w:type="dxa"/>
            <w:shd w:val="clear" w:color="auto" w:fill="auto"/>
            <w:vAlign w:val="bottom"/>
          </w:tcPr>
          <w:p w14:paraId="6570BFA3" w14:textId="77777777" w:rsidR="00E723C2" w:rsidRPr="000C7549" w:rsidRDefault="00E723C2" w:rsidP="0012108F">
            <w:pPr>
              <w:rPr>
                <w:rFonts w:ascii="Arial" w:hAnsi="Arial" w:cs="Arial"/>
              </w:rPr>
            </w:pPr>
          </w:p>
        </w:tc>
        <w:tc>
          <w:tcPr>
            <w:tcW w:w="2250" w:type="dxa"/>
            <w:vAlign w:val="bottom"/>
          </w:tcPr>
          <w:p w14:paraId="3174B1FF" w14:textId="77777777" w:rsidR="00E723C2" w:rsidRPr="000C7549" w:rsidRDefault="00E723C2" w:rsidP="0012108F">
            <w:pPr>
              <w:rPr>
                <w:rFonts w:ascii="Arial" w:hAnsi="Arial" w:cs="Arial"/>
              </w:rPr>
            </w:pPr>
            <w:r w:rsidRPr="000C7549">
              <w:rPr>
                <w:rFonts w:ascii="Arial" w:hAnsi="Arial" w:cs="Arial"/>
                <w:color w:val="000000"/>
              </w:rPr>
              <w:t>Thyreocoridae</w:t>
            </w:r>
          </w:p>
        </w:tc>
        <w:tc>
          <w:tcPr>
            <w:tcW w:w="1444" w:type="dxa"/>
            <w:vAlign w:val="bottom"/>
          </w:tcPr>
          <w:p w14:paraId="64DD5F0C" w14:textId="77777777" w:rsidR="00E723C2" w:rsidRPr="000C7549" w:rsidRDefault="00E723C2" w:rsidP="0012108F">
            <w:pPr>
              <w:rPr>
                <w:rFonts w:ascii="Arial" w:hAnsi="Arial" w:cs="Arial"/>
              </w:rPr>
            </w:pPr>
            <w:r w:rsidRPr="000C7549">
              <w:rPr>
                <w:rFonts w:ascii="Arial" w:hAnsi="Arial" w:cs="Arial"/>
                <w:color w:val="000000"/>
              </w:rPr>
              <w:t>4.7%</w:t>
            </w:r>
          </w:p>
        </w:tc>
        <w:tc>
          <w:tcPr>
            <w:tcW w:w="1541" w:type="dxa"/>
            <w:shd w:val="clear" w:color="auto" w:fill="auto"/>
            <w:vAlign w:val="bottom"/>
          </w:tcPr>
          <w:p w14:paraId="1B944047" w14:textId="77777777" w:rsidR="00E723C2" w:rsidRPr="000C7549" w:rsidRDefault="00E723C2" w:rsidP="0012108F">
            <w:pPr>
              <w:rPr>
                <w:rFonts w:ascii="Arial" w:hAnsi="Arial" w:cs="Arial"/>
              </w:rPr>
            </w:pPr>
            <w:r w:rsidRPr="000C7549">
              <w:rPr>
                <w:rFonts w:ascii="Arial" w:hAnsi="Arial" w:cs="Arial"/>
                <w:color w:val="000000"/>
              </w:rPr>
              <w:t>4</w:t>
            </w:r>
          </w:p>
        </w:tc>
      </w:tr>
      <w:tr w:rsidR="00E723C2" w:rsidRPr="000C7549" w14:paraId="5F3D8DAB" w14:textId="77777777" w:rsidTr="00C9273B">
        <w:tc>
          <w:tcPr>
            <w:tcW w:w="2610" w:type="dxa"/>
            <w:shd w:val="clear" w:color="auto" w:fill="auto"/>
            <w:vAlign w:val="bottom"/>
          </w:tcPr>
          <w:p w14:paraId="4857F33E" w14:textId="77777777" w:rsidR="00E723C2" w:rsidRPr="000C7549" w:rsidRDefault="00E723C2" w:rsidP="0012108F">
            <w:pPr>
              <w:rPr>
                <w:rFonts w:ascii="Arial" w:hAnsi="Arial" w:cs="Arial"/>
              </w:rPr>
            </w:pPr>
          </w:p>
        </w:tc>
        <w:tc>
          <w:tcPr>
            <w:tcW w:w="2250" w:type="dxa"/>
            <w:vAlign w:val="bottom"/>
          </w:tcPr>
          <w:p w14:paraId="711B600C" w14:textId="77777777" w:rsidR="00E723C2" w:rsidRPr="000C7549" w:rsidRDefault="00E723C2" w:rsidP="0012108F">
            <w:pPr>
              <w:rPr>
                <w:rFonts w:ascii="Arial" w:hAnsi="Arial" w:cs="Arial"/>
              </w:rPr>
            </w:pPr>
            <w:r w:rsidRPr="000C7549">
              <w:rPr>
                <w:rFonts w:ascii="Arial" w:hAnsi="Arial" w:cs="Arial"/>
                <w:color w:val="000000"/>
              </w:rPr>
              <w:t>Cydnidae</w:t>
            </w:r>
          </w:p>
        </w:tc>
        <w:tc>
          <w:tcPr>
            <w:tcW w:w="1444" w:type="dxa"/>
            <w:vAlign w:val="bottom"/>
          </w:tcPr>
          <w:p w14:paraId="424093FC" w14:textId="77777777" w:rsidR="00E723C2" w:rsidRPr="000C7549" w:rsidRDefault="00E723C2" w:rsidP="0012108F">
            <w:pPr>
              <w:rPr>
                <w:rFonts w:ascii="Arial" w:hAnsi="Arial" w:cs="Arial"/>
              </w:rPr>
            </w:pPr>
            <w:r w:rsidRPr="000C7549">
              <w:rPr>
                <w:rFonts w:ascii="Arial" w:hAnsi="Arial" w:cs="Arial"/>
                <w:color w:val="000000"/>
              </w:rPr>
              <w:t>2.3%</w:t>
            </w:r>
          </w:p>
        </w:tc>
        <w:tc>
          <w:tcPr>
            <w:tcW w:w="1541" w:type="dxa"/>
            <w:shd w:val="clear" w:color="auto" w:fill="auto"/>
            <w:vAlign w:val="bottom"/>
          </w:tcPr>
          <w:p w14:paraId="427A0C7A"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657DF698" w14:textId="77777777" w:rsidTr="00C9273B">
        <w:tc>
          <w:tcPr>
            <w:tcW w:w="2610" w:type="dxa"/>
            <w:shd w:val="clear" w:color="auto" w:fill="auto"/>
            <w:vAlign w:val="bottom"/>
          </w:tcPr>
          <w:p w14:paraId="5770C1CB" w14:textId="77777777" w:rsidR="00E723C2" w:rsidRPr="000C7549" w:rsidRDefault="00E723C2" w:rsidP="0012108F">
            <w:pPr>
              <w:rPr>
                <w:rFonts w:ascii="Arial" w:hAnsi="Arial" w:cs="Arial"/>
              </w:rPr>
            </w:pPr>
          </w:p>
        </w:tc>
        <w:tc>
          <w:tcPr>
            <w:tcW w:w="2250" w:type="dxa"/>
            <w:vAlign w:val="bottom"/>
          </w:tcPr>
          <w:p w14:paraId="1BC77F6F" w14:textId="77777777" w:rsidR="00E723C2" w:rsidRPr="000C7549" w:rsidRDefault="00E723C2" w:rsidP="0012108F">
            <w:pPr>
              <w:rPr>
                <w:rFonts w:ascii="Arial" w:hAnsi="Arial" w:cs="Arial"/>
              </w:rPr>
            </w:pPr>
            <w:r w:rsidRPr="000C7549">
              <w:rPr>
                <w:rFonts w:ascii="Arial" w:hAnsi="Arial" w:cs="Arial"/>
                <w:color w:val="000000"/>
              </w:rPr>
              <w:t>Rhyparochromidae</w:t>
            </w:r>
          </w:p>
        </w:tc>
        <w:tc>
          <w:tcPr>
            <w:tcW w:w="1444" w:type="dxa"/>
            <w:vAlign w:val="bottom"/>
          </w:tcPr>
          <w:p w14:paraId="4F70945F" w14:textId="77777777" w:rsidR="00E723C2" w:rsidRPr="000C7549" w:rsidRDefault="00E723C2" w:rsidP="0012108F">
            <w:pPr>
              <w:rPr>
                <w:rFonts w:ascii="Arial" w:hAnsi="Arial" w:cs="Arial"/>
              </w:rPr>
            </w:pPr>
            <w:r w:rsidRPr="000C7549">
              <w:rPr>
                <w:rFonts w:ascii="Arial" w:hAnsi="Arial" w:cs="Arial"/>
                <w:color w:val="000000"/>
              </w:rPr>
              <w:t>2.3%</w:t>
            </w:r>
          </w:p>
        </w:tc>
        <w:tc>
          <w:tcPr>
            <w:tcW w:w="1541" w:type="dxa"/>
            <w:shd w:val="clear" w:color="auto" w:fill="auto"/>
            <w:vAlign w:val="bottom"/>
          </w:tcPr>
          <w:p w14:paraId="2CF8F28E"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357FACAB" w14:textId="77777777" w:rsidTr="00C9273B">
        <w:tc>
          <w:tcPr>
            <w:tcW w:w="2610" w:type="dxa"/>
            <w:shd w:val="clear" w:color="auto" w:fill="auto"/>
            <w:vAlign w:val="bottom"/>
          </w:tcPr>
          <w:p w14:paraId="2C6A0A39" w14:textId="77777777" w:rsidR="00E723C2" w:rsidRPr="000C7549" w:rsidRDefault="00E723C2" w:rsidP="0012108F">
            <w:pPr>
              <w:rPr>
                <w:rFonts w:ascii="Arial" w:hAnsi="Arial" w:cs="Arial"/>
              </w:rPr>
            </w:pPr>
          </w:p>
        </w:tc>
        <w:tc>
          <w:tcPr>
            <w:tcW w:w="2250" w:type="dxa"/>
            <w:vAlign w:val="bottom"/>
          </w:tcPr>
          <w:p w14:paraId="7B1700D9" w14:textId="77777777" w:rsidR="00E723C2" w:rsidRPr="000C7549" w:rsidRDefault="00E723C2" w:rsidP="0012108F">
            <w:pPr>
              <w:rPr>
                <w:rFonts w:ascii="Arial" w:hAnsi="Arial" w:cs="Arial"/>
              </w:rPr>
            </w:pPr>
            <w:r w:rsidRPr="000C7549">
              <w:rPr>
                <w:rFonts w:ascii="Arial" w:hAnsi="Arial" w:cs="Arial"/>
                <w:color w:val="000000"/>
              </w:rPr>
              <w:t>Acanaloniidae</w:t>
            </w:r>
          </w:p>
        </w:tc>
        <w:tc>
          <w:tcPr>
            <w:tcW w:w="1444" w:type="dxa"/>
            <w:vAlign w:val="bottom"/>
          </w:tcPr>
          <w:p w14:paraId="3C88845C" w14:textId="77777777" w:rsidR="00E723C2" w:rsidRPr="000C7549" w:rsidRDefault="00E723C2" w:rsidP="0012108F">
            <w:pPr>
              <w:rPr>
                <w:rFonts w:ascii="Arial" w:hAnsi="Arial" w:cs="Arial"/>
              </w:rPr>
            </w:pPr>
            <w:r w:rsidRPr="000C7549">
              <w:rPr>
                <w:rFonts w:ascii="Arial" w:hAnsi="Arial" w:cs="Arial"/>
                <w:color w:val="000000"/>
              </w:rPr>
              <w:t>1.2%</w:t>
            </w:r>
          </w:p>
        </w:tc>
        <w:tc>
          <w:tcPr>
            <w:tcW w:w="1541" w:type="dxa"/>
            <w:shd w:val="clear" w:color="auto" w:fill="auto"/>
            <w:vAlign w:val="bottom"/>
          </w:tcPr>
          <w:p w14:paraId="5C4A9D41"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3A4D4A25" w14:textId="77777777" w:rsidTr="00C9273B">
        <w:tc>
          <w:tcPr>
            <w:tcW w:w="2610" w:type="dxa"/>
            <w:shd w:val="clear" w:color="auto" w:fill="auto"/>
            <w:vAlign w:val="bottom"/>
          </w:tcPr>
          <w:p w14:paraId="7E0FDEBB" w14:textId="77777777" w:rsidR="00E723C2" w:rsidRPr="000C7549" w:rsidRDefault="00E723C2" w:rsidP="0012108F">
            <w:pPr>
              <w:rPr>
                <w:rFonts w:ascii="Arial" w:hAnsi="Arial" w:cs="Arial"/>
              </w:rPr>
            </w:pPr>
          </w:p>
        </w:tc>
        <w:tc>
          <w:tcPr>
            <w:tcW w:w="2250" w:type="dxa"/>
            <w:vAlign w:val="bottom"/>
          </w:tcPr>
          <w:p w14:paraId="41E09821" w14:textId="77777777" w:rsidR="00E723C2" w:rsidRPr="000C7549" w:rsidRDefault="00E723C2" w:rsidP="0012108F">
            <w:pPr>
              <w:rPr>
                <w:rFonts w:ascii="Arial" w:hAnsi="Arial" w:cs="Arial"/>
              </w:rPr>
            </w:pPr>
            <w:r w:rsidRPr="000C7549">
              <w:rPr>
                <w:rFonts w:ascii="Arial" w:hAnsi="Arial" w:cs="Arial"/>
                <w:color w:val="000000"/>
              </w:rPr>
              <w:t>Cercopidae</w:t>
            </w:r>
          </w:p>
        </w:tc>
        <w:tc>
          <w:tcPr>
            <w:tcW w:w="1444" w:type="dxa"/>
            <w:vAlign w:val="bottom"/>
          </w:tcPr>
          <w:p w14:paraId="60390EEA" w14:textId="77777777" w:rsidR="00E723C2" w:rsidRPr="000C7549" w:rsidRDefault="00E723C2" w:rsidP="0012108F">
            <w:pPr>
              <w:rPr>
                <w:rFonts w:ascii="Arial" w:hAnsi="Arial" w:cs="Arial"/>
              </w:rPr>
            </w:pPr>
            <w:r w:rsidRPr="000C7549">
              <w:rPr>
                <w:rFonts w:ascii="Arial" w:hAnsi="Arial" w:cs="Arial"/>
                <w:color w:val="000000"/>
              </w:rPr>
              <w:t>1.2%</w:t>
            </w:r>
          </w:p>
        </w:tc>
        <w:tc>
          <w:tcPr>
            <w:tcW w:w="1541" w:type="dxa"/>
            <w:shd w:val="clear" w:color="auto" w:fill="auto"/>
            <w:vAlign w:val="bottom"/>
          </w:tcPr>
          <w:p w14:paraId="07FE1A8D"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19DBE26B" w14:textId="77777777" w:rsidTr="00C9273B">
        <w:tc>
          <w:tcPr>
            <w:tcW w:w="2610" w:type="dxa"/>
            <w:shd w:val="clear" w:color="auto" w:fill="auto"/>
            <w:vAlign w:val="bottom"/>
          </w:tcPr>
          <w:p w14:paraId="42224CC0" w14:textId="77777777" w:rsidR="00E723C2" w:rsidRPr="000C7549" w:rsidRDefault="00E723C2" w:rsidP="0012108F">
            <w:pPr>
              <w:rPr>
                <w:rFonts w:ascii="Arial" w:hAnsi="Arial" w:cs="Arial"/>
              </w:rPr>
            </w:pPr>
          </w:p>
        </w:tc>
        <w:tc>
          <w:tcPr>
            <w:tcW w:w="2250" w:type="dxa"/>
            <w:vAlign w:val="bottom"/>
          </w:tcPr>
          <w:p w14:paraId="38E73D63" w14:textId="77777777" w:rsidR="00E723C2" w:rsidRPr="000C7549" w:rsidRDefault="00E723C2" w:rsidP="0012108F">
            <w:pPr>
              <w:rPr>
                <w:rFonts w:ascii="Arial" w:hAnsi="Arial" w:cs="Arial"/>
              </w:rPr>
            </w:pPr>
            <w:r w:rsidRPr="000C7549">
              <w:rPr>
                <w:rFonts w:ascii="Arial" w:hAnsi="Arial" w:cs="Arial"/>
                <w:color w:val="000000"/>
              </w:rPr>
              <w:t>Tingidae</w:t>
            </w:r>
          </w:p>
        </w:tc>
        <w:tc>
          <w:tcPr>
            <w:tcW w:w="1444" w:type="dxa"/>
            <w:vAlign w:val="bottom"/>
          </w:tcPr>
          <w:p w14:paraId="1A2ADE6D" w14:textId="77777777" w:rsidR="00E723C2" w:rsidRPr="000C7549" w:rsidRDefault="00E723C2" w:rsidP="0012108F">
            <w:pPr>
              <w:rPr>
                <w:rFonts w:ascii="Arial" w:hAnsi="Arial" w:cs="Arial"/>
              </w:rPr>
            </w:pPr>
            <w:r w:rsidRPr="000C7549">
              <w:rPr>
                <w:rFonts w:ascii="Arial" w:hAnsi="Arial" w:cs="Arial"/>
                <w:color w:val="000000"/>
              </w:rPr>
              <w:t>1.2%</w:t>
            </w:r>
          </w:p>
        </w:tc>
        <w:tc>
          <w:tcPr>
            <w:tcW w:w="1541" w:type="dxa"/>
            <w:shd w:val="clear" w:color="auto" w:fill="auto"/>
            <w:vAlign w:val="bottom"/>
          </w:tcPr>
          <w:p w14:paraId="79A3BECE"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1AF6117C" w14:textId="77777777" w:rsidTr="00C9273B">
        <w:tc>
          <w:tcPr>
            <w:tcW w:w="2610" w:type="dxa"/>
            <w:shd w:val="clear" w:color="auto" w:fill="auto"/>
            <w:vAlign w:val="bottom"/>
          </w:tcPr>
          <w:p w14:paraId="2389E6D5" w14:textId="77777777" w:rsidR="00E723C2" w:rsidRPr="000C7549" w:rsidRDefault="00E723C2" w:rsidP="0012108F">
            <w:pPr>
              <w:rPr>
                <w:rFonts w:ascii="Arial" w:hAnsi="Arial" w:cs="Arial"/>
              </w:rPr>
            </w:pPr>
            <w:r w:rsidRPr="000C7549">
              <w:rPr>
                <w:rFonts w:ascii="Arial" w:hAnsi="Arial" w:cs="Arial"/>
                <w:color w:val="000000"/>
              </w:rPr>
              <w:t>Hymenoptera, n= 68</w:t>
            </w:r>
          </w:p>
        </w:tc>
        <w:tc>
          <w:tcPr>
            <w:tcW w:w="2250" w:type="dxa"/>
            <w:vAlign w:val="bottom"/>
          </w:tcPr>
          <w:p w14:paraId="7C69498C" w14:textId="77777777" w:rsidR="00E723C2" w:rsidRPr="000C7549" w:rsidRDefault="00E723C2" w:rsidP="0012108F">
            <w:pPr>
              <w:rPr>
                <w:rFonts w:ascii="Arial" w:hAnsi="Arial" w:cs="Arial"/>
              </w:rPr>
            </w:pPr>
            <w:r w:rsidRPr="000C7549">
              <w:rPr>
                <w:rFonts w:ascii="Arial" w:hAnsi="Arial" w:cs="Arial"/>
                <w:color w:val="000000"/>
              </w:rPr>
              <w:t>Vespidae</w:t>
            </w:r>
          </w:p>
        </w:tc>
        <w:tc>
          <w:tcPr>
            <w:tcW w:w="1444" w:type="dxa"/>
            <w:vAlign w:val="bottom"/>
          </w:tcPr>
          <w:p w14:paraId="6E378DB2" w14:textId="77777777" w:rsidR="00E723C2" w:rsidRPr="000C7549" w:rsidRDefault="00E723C2" w:rsidP="0012108F">
            <w:pPr>
              <w:rPr>
                <w:rFonts w:ascii="Arial" w:hAnsi="Arial" w:cs="Arial"/>
              </w:rPr>
            </w:pPr>
            <w:r w:rsidRPr="000C7549">
              <w:rPr>
                <w:rFonts w:ascii="Arial" w:hAnsi="Arial" w:cs="Arial"/>
                <w:color w:val="000000"/>
              </w:rPr>
              <w:t>45.6%</w:t>
            </w:r>
          </w:p>
        </w:tc>
        <w:tc>
          <w:tcPr>
            <w:tcW w:w="1541" w:type="dxa"/>
            <w:shd w:val="clear" w:color="auto" w:fill="auto"/>
            <w:vAlign w:val="bottom"/>
          </w:tcPr>
          <w:p w14:paraId="6443E005" w14:textId="77777777" w:rsidR="00E723C2" w:rsidRPr="000C7549" w:rsidRDefault="00E723C2" w:rsidP="0012108F">
            <w:pPr>
              <w:rPr>
                <w:rFonts w:ascii="Arial" w:hAnsi="Arial" w:cs="Arial"/>
              </w:rPr>
            </w:pPr>
            <w:r w:rsidRPr="000C7549">
              <w:rPr>
                <w:rFonts w:ascii="Arial" w:hAnsi="Arial" w:cs="Arial"/>
                <w:color w:val="000000"/>
              </w:rPr>
              <w:t>31</w:t>
            </w:r>
          </w:p>
        </w:tc>
      </w:tr>
      <w:tr w:rsidR="00E723C2" w:rsidRPr="000C7549" w14:paraId="2BE8FBAD" w14:textId="77777777" w:rsidTr="00C9273B">
        <w:tc>
          <w:tcPr>
            <w:tcW w:w="2610" w:type="dxa"/>
            <w:shd w:val="clear" w:color="auto" w:fill="auto"/>
            <w:vAlign w:val="bottom"/>
          </w:tcPr>
          <w:p w14:paraId="6D098A93" w14:textId="77777777" w:rsidR="00E723C2" w:rsidRPr="000C7549" w:rsidRDefault="00E723C2" w:rsidP="0012108F">
            <w:pPr>
              <w:rPr>
                <w:rFonts w:ascii="Arial" w:hAnsi="Arial" w:cs="Arial"/>
              </w:rPr>
            </w:pPr>
          </w:p>
        </w:tc>
        <w:tc>
          <w:tcPr>
            <w:tcW w:w="2250" w:type="dxa"/>
            <w:vAlign w:val="bottom"/>
          </w:tcPr>
          <w:p w14:paraId="22162303" w14:textId="77777777" w:rsidR="00E723C2" w:rsidRPr="000C7549" w:rsidRDefault="00E723C2" w:rsidP="0012108F">
            <w:pPr>
              <w:rPr>
                <w:rFonts w:ascii="Arial" w:hAnsi="Arial" w:cs="Arial"/>
              </w:rPr>
            </w:pPr>
            <w:r w:rsidRPr="000C7549">
              <w:rPr>
                <w:rFonts w:ascii="Arial" w:hAnsi="Arial" w:cs="Arial"/>
                <w:color w:val="000000"/>
              </w:rPr>
              <w:t>Scoliidae</w:t>
            </w:r>
          </w:p>
        </w:tc>
        <w:tc>
          <w:tcPr>
            <w:tcW w:w="1444" w:type="dxa"/>
            <w:vAlign w:val="bottom"/>
          </w:tcPr>
          <w:p w14:paraId="4649FC70" w14:textId="77777777" w:rsidR="00E723C2" w:rsidRPr="000C7549" w:rsidRDefault="00E723C2" w:rsidP="0012108F">
            <w:pPr>
              <w:rPr>
                <w:rFonts w:ascii="Arial" w:hAnsi="Arial" w:cs="Arial"/>
              </w:rPr>
            </w:pPr>
            <w:r w:rsidRPr="000C7549">
              <w:rPr>
                <w:rFonts w:ascii="Arial" w:hAnsi="Arial" w:cs="Arial"/>
                <w:color w:val="000000"/>
              </w:rPr>
              <w:t>22.1%</w:t>
            </w:r>
          </w:p>
        </w:tc>
        <w:tc>
          <w:tcPr>
            <w:tcW w:w="1541" w:type="dxa"/>
            <w:shd w:val="clear" w:color="auto" w:fill="auto"/>
            <w:vAlign w:val="bottom"/>
          </w:tcPr>
          <w:p w14:paraId="1F662011" w14:textId="77777777" w:rsidR="00E723C2" w:rsidRPr="000C7549" w:rsidRDefault="00E723C2" w:rsidP="0012108F">
            <w:pPr>
              <w:rPr>
                <w:rFonts w:ascii="Arial" w:hAnsi="Arial" w:cs="Arial"/>
              </w:rPr>
            </w:pPr>
            <w:r w:rsidRPr="000C7549">
              <w:rPr>
                <w:rFonts w:ascii="Arial" w:hAnsi="Arial" w:cs="Arial"/>
                <w:color w:val="000000"/>
              </w:rPr>
              <w:t>15</w:t>
            </w:r>
          </w:p>
        </w:tc>
      </w:tr>
      <w:tr w:rsidR="00E723C2" w:rsidRPr="000C7549" w14:paraId="381F255C" w14:textId="77777777" w:rsidTr="00C9273B">
        <w:tc>
          <w:tcPr>
            <w:tcW w:w="2610" w:type="dxa"/>
            <w:shd w:val="clear" w:color="auto" w:fill="auto"/>
            <w:vAlign w:val="bottom"/>
          </w:tcPr>
          <w:p w14:paraId="240BEAF9" w14:textId="77777777" w:rsidR="00E723C2" w:rsidRPr="000C7549" w:rsidRDefault="00E723C2" w:rsidP="0012108F">
            <w:pPr>
              <w:rPr>
                <w:rFonts w:ascii="Arial" w:hAnsi="Arial" w:cs="Arial"/>
              </w:rPr>
            </w:pPr>
          </w:p>
        </w:tc>
        <w:tc>
          <w:tcPr>
            <w:tcW w:w="2250" w:type="dxa"/>
            <w:vAlign w:val="bottom"/>
          </w:tcPr>
          <w:p w14:paraId="7842251A" w14:textId="77777777" w:rsidR="00E723C2" w:rsidRPr="000C7549" w:rsidRDefault="00E723C2" w:rsidP="0012108F">
            <w:pPr>
              <w:rPr>
                <w:rFonts w:ascii="Arial" w:hAnsi="Arial" w:cs="Arial"/>
              </w:rPr>
            </w:pPr>
            <w:r w:rsidRPr="000C7549">
              <w:rPr>
                <w:rFonts w:ascii="Arial" w:hAnsi="Arial" w:cs="Arial"/>
                <w:color w:val="000000"/>
              </w:rPr>
              <w:t>Sphecidae</w:t>
            </w:r>
          </w:p>
        </w:tc>
        <w:tc>
          <w:tcPr>
            <w:tcW w:w="1444" w:type="dxa"/>
            <w:vAlign w:val="bottom"/>
          </w:tcPr>
          <w:p w14:paraId="1C963DB3" w14:textId="77777777" w:rsidR="00E723C2" w:rsidRPr="000C7549" w:rsidRDefault="00E723C2" w:rsidP="0012108F">
            <w:pPr>
              <w:rPr>
                <w:rFonts w:ascii="Arial" w:hAnsi="Arial" w:cs="Arial"/>
              </w:rPr>
            </w:pPr>
            <w:r w:rsidRPr="000C7549">
              <w:rPr>
                <w:rFonts w:ascii="Arial" w:hAnsi="Arial" w:cs="Arial"/>
                <w:color w:val="000000"/>
              </w:rPr>
              <w:t>17.6%</w:t>
            </w:r>
          </w:p>
        </w:tc>
        <w:tc>
          <w:tcPr>
            <w:tcW w:w="1541" w:type="dxa"/>
            <w:shd w:val="clear" w:color="auto" w:fill="auto"/>
            <w:vAlign w:val="bottom"/>
          </w:tcPr>
          <w:p w14:paraId="4AC9BB31" w14:textId="77777777" w:rsidR="00E723C2" w:rsidRPr="000C7549" w:rsidRDefault="00E723C2" w:rsidP="0012108F">
            <w:pPr>
              <w:rPr>
                <w:rFonts w:ascii="Arial" w:hAnsi="Arial" w:cs="Arial"/>
              </w:rPr>
            </w:pPr>
            <w:r w:rsidRPr="000C7549">
              <w:rPr>
                <w:rFonts w:ascii="Arial" w:hAnsi="Arial" w:cs="Arial"/>
                <w:color w:val="000000"/>
              </w:rPr>
              <w:t>12</w:t>
            </w:r>
          </w:p>
        </w:tc>
      </w:tr>
      <w:tr w:rsidR="00E723C2" w:rsidRPr="000C7549" w14:paraId="52C813F0" w14:textId="77777777" w:rsidTr="00C9273B">
        <w:tc>
          <w:tcPr>
            <w:tcW w:w="2610" w:type="dxa"/>
            <w:shd w:val="clear" w:color="auto" w:fill="auto"/>
            <w:vAlign w:val="bottom"/>
          </w:tcPr>
          <w:p w14:paraId="1DE91D1B" w14:textId="77777777" w:rsidR="00E723C2" w:rsidRPr="000C7549" w:rsidRDefault="00E723C2" w:rsidP="0012108F">
            <w:pPr>
              <w:rPr>
                <w:rFonts w:ascii="Arial" w:hAnsi="Arial" w:cs="Arial"/>
              </w:rPr>
            </w:pPr>
          </w:p>
        </w:tc>
        <w:tc>
          <w:tcPr>
            <w:tcW w:w="2250" w:type="dxa"/>
            <w:vAlign w:val="bottom"/>
          </w:tcPr>
          <w:p w14:paraId="130E50C1" w14:textId="77777777" w:rsidR="00E723C2" w:rsidRPr="000C7549" w:rsidRDefault="00E723C2" w:rsidP="0012108F">
            <w:pPr>
              <w:rPr>
                <w:rFonts w:ascii="Arial" w:hAnsi="Arial" w:cs="Arial"/>
              </w:rPr>
            </w:pPr>
            <w:r w:rsidRPr="000C7549">
              <w:rPr>
                <w:rFonts w:ascii="Arial" w:hAnsi="Arial" w:cs="Arial"/>
                <w:color w:val="000000"/>
              </w:rPr>
              <w:t>Braconidae</w:t>
            </w:r>
          </w:p>
        </w:tc>
        <w:tc>
          <w:tcPr>
            <w:tcW w:w="1444" w:type="dxa"/>
            <w:vAlign w:val="bottom"/>
          </w:tcPr>
          <w:p w14:paraId="273CBB94" w14:textId="77777777" w:rsidR="00E723C2" w:rsidRPr="000C7549" w:rsidRDefault="00E723C2" w:rsidP="0012108F">
            <w:pPr>
              <w:rPr>
                <w:rFonts w:ascii="Arial" w:hAnsi="Arial" w:cs="Arial"/>
              </w:rPr>
            </w:pPr>
            <w:r w:rsidRPr="000C7549">
              <w:rPr>
                <w:rFonts w:ascii="Arial" w:hAnsi="Arial" w:cs="Arial"/>
                <w:color w:val="000000"/>
              </w:rPr>
              <w:t>2.9%</w:t>
            </w:r>
          </w:p>
        </w:tc>
        <w:tc>
          <w:tcPr>
            <w:tcW w:w="1541" w:type="dxa"/>
            <w:shd w:val="clear" w:color="auto" w:fill="auto"/>
            <w:vAlign w:val="bottom"/>
          </w:tcPr>
          <w:p w14:paraId="5FF4F0D5"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3066417E" w14:textId="77777777" w:rsidTr="00C9273B">
        <w:tc>
          <w:tcPr>
            <w:tcW w:w="2610" w:type="dxa"/>
            <w:shd w:val="clear" w:color="auto" w:fill="auto"/>
            <w:vAlign w:val="bottom"/>
          </w:tcPr>
          <w:p w14:paraId="60B1C1FE" w14:textId="77777777" w:rsidR="00E723C2" w:rsidRPr="000C7549" w:rsidRDefault="00E723C2" w:rsidP="0012108F">
            <w:pPr>
              <w:rPr>
                <w:rFonts w:ascii="Arial" w:hAnsi="Arial" w:cs="Arial"/>
              </w:rPr>
            </w:pPr>
          </w:p>
        </w:tc>
        <w:tc>
          <w:tcPr>
            <w:tcW w:w="2250" w:type="dxa"/>
            <w:vAlign w:val="bottom"/>
          </w:tcPr>
          <w:p w14:paraId="1E6C0504" w14:textId="77777777" w:rsidR="00E723C2" w:rsidRPr="000C7549" w:rsidRDefault="00E723C2" w:rsidP="0012108F">
            <w:pPr>
              <w:rPr>
                <w:rFonts w:ascii="Arial" w:hAnsi="Arial" w:cs="Arial"/>
              </w:rPr>
            </w:pPr>
            <w:r w:rsidRPr="000C7549">
              <w:rPr>
                <w:rFonts w:ascii="Arial" w:hAnsi="Arial" w:cs="Arial"/>
                <w:color w:val="000000"/>
              </w:rPr>
              <w:t>Chalcidoidea</w:t>
            </w:r>
          </w:p>
        </w:tc>
        <w:tc>
          <w:tcPr>
            <w:tcW w:w="1444" w:type="dxa"/>
            <w:vAlign w:val="bottom"/>
          </w:tcPr>
          <w:p w14:paraId="310938D4" w14:textId="77777777" w:rsidR="00E723C2" w:rsidRPr="000C7549" w:rsidRDefault="00E723C2" w:rsidP="0012108F">
            <w:pPr>
              <w:rPr>
                <w:rFonts w:ascii="Arial" w:hAnsi="Arial" w:cs="Arial"/>
              </w:rPr>
            </w:pPr>
            <w:r w:rsidRPr="000C7549">
              <w:rPr>
                <w:rFonts w:ascii="Arial" w:hAnsi="Arial" w:cs="Arial"/>
                <w:color w:val="000000"/>
              </w:rPr>
              <w:t>2.9%</w:t>
            </w:r>
          </w:p>
        </w:tc>
        <w:tc>
          <w:tcPr>
            <w:tcW w:w="1541" w:type="dxa"/>
            <w:shd w:val="clear" w:color="auto" w:fill="auto"/>
            <w:vAlign w:val="bottom"/>
          </w:tcPr>
          <w:p w14:paraId="49D5F6B4"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07E79354" w14:textId="77777777" w:rsidTr="00C9273B">
        <w:tc>
          <w:tcPr>
            <w:tcW w:w="2610" w:type="dxa"/>
            <w:shd w:val="clear" w:color="auto" w:fill="auto"/>
            <w:vAlign w:val="bottom"/>
          </w:tcPr>
          <w:p w14:paraId="5DEB3A0A" w14:textId="77777777" w:rsidR="00E723C2" w:rsidRPr="000C7549" w:rsidRDefault="00E723C2" w:rsidP="0012108F">
            <w:pPr>
              <w:rPr>
                <w:rFonts w:ascii="Arial" w:hAnsi="Arial" w:cs="Arial"/>
              </w:rPr>
            </w:pPr>
          </w:p>
        </w:tc>
        <w:tc>
          <w:tcPr>
            <w:tcW w:w="2250" w:type="dxa"/>
            <w:vAlign w:val="bottom"/>
          </w:tcPr>
          <w:p w14:paraId="241E8579" w14:textId="77777777" w:rsidR="00E723C2" w:rsidRPr="000C7549" w:rsidRDefault="00E723C2" w:rsidP="0012108F">
            <w:pPr>
              <w:rPr>
                <w:rFonts w:ascii="Arial" w:hAnsi="Arial" w:cs="Arial"/>
              </w:rPr>
            </w:pPr>
            <w:r w:rsidRPr="000C7549">
              <w:rPr>
                <w:rFonts w:ascii="Arial" w:hAnsi="Arial" w:cs="Arial"/>
                <w:color w:val="000000"/>
              </w:rPr>
              <w:t>Crabronidae</w:t>
            </w:r>
          </w:p>
        </w:tc>
        <w:tc>
          <w:tcPr>
            <w:tcW w:w="1444" w:type="dxa"/>
            <w:vAlign w:val="bottom"/>
          </w:tcPr>
          <w:p w14:paraId="41F345C1" w14:textId="77777777" w:rsidR="00E723C2" w:rsidRPr="000C7549" w:rsidRDefault="00E723C2" w:rsidP="0012108F">
            <w:pPr>
              <w:rPr>
                <w:rFonts w:ascii="Arial" w:hAnsi="Arial" w:cs="Arial"/>
              </w:rPr>
            </w:pPr>
            <w:r w:rsidRPr="000C7549">
              <w:rPr>
                <w:rFonts w:ascii="Arial" w:hAnsi="Arial" w:cs="Arial"/>
                <w:color w:val="000000"/>
              </w:rPr>
              <w:t>2.9%</w:t>
            </w:r>
          </w:p>
        </w:tc>
        <w:tc>
          <w:tcPr>
            <w:tcW w:w="1541" w:type="dxa"/>
            <w:shd w:val="clear" w:color="auto" w:fill="auto"/>
            <w:vAlign w:val="bottom"/>
          </w:tcPr>
          <w:p w14:paraId="2CC7CBF0"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59D6EF5E" w14:textId="77777777" w:rsidTr="00C9273B">
        <w:tc>
          <w:tcPr>
            <w:tcW w:w="2610" w:type="dxa"/>
            <w:shd w:val="clear" w:color="auto" w:fill="auto"/>
            <w:vAlign w:val="bottom"/>
          </w:tcPr>
          <w:p w14:paraId="5A0BA886" w14:textId="77777777" w:rsidR="00E723C2" w:rsidRPr="000C7549" w:rsidRDefault="00E723C2" w:rsidP="0012108F">
            <w:pPr>
              <w:rPr>
                <w:rFonts w:ascii="Arial" w:hAnsi="Arial" w:cs="Arial"/>
              </w:rPr>
            </w:pPr>
          </w:p>
        </w:tc>
        <w:tc>
          <w:tcPr>
            <w:tcW w:w="2250" w:type="dxa"/>
            <w:vAlign w:val="bottom"/>
          </w:tcPr>
          <w:p w14:paraId="0C4D0090" w14:textId="77777777" w:rsidR="00E723C2" w:rsidRPr="000C7549" w:rsidRDefault="00E723C2" w:rsidP="0012108F">
            <w:pPr>
              <w:rPr>
                <w:rFonts w:ascii="Arial" w:hAnsi="Arial" w:cs="Arial"/>
              </w:rPr>
            </w:pPr>
            <w:r w:rsidRPr="000C7549">
              <w:rPr>
                <w:rFonts w:ascii="Arial" w:hAnsi="Arial" w:cs="Arial"/>
                <w:color w:val="000000"/>
              </w:rPr>
              <w:t xml:space="preserve">Unidentified </w:t>
            </w:r>
          </w:p>
        </w:tc>
        <w:tc>
          <w:tcPr>
            <w:tcW w:w="1444" w:type="dxa"/>
            <w:vAlign w:val="bottom"/>
          </w:tcPr>
          <w:p w14:paraId="011B4CAA" w14:textId="77777777" w:rsidR="00E723C2" w:rsidRPr="000C7549" w:rsidRDefault="00E723C2" w:rsidP="0012108F">
            <w:pPr>
              <w:rPr>
                <w:rFonts w:ascii="Arial" w:hAnsi="Arial" w:cs="Arial"/>
              </w:rPr>
            </w:pPr>
            <w:r w:rsidRPr="000C7549">
              <w:rPr>
                <w:rFonts w:ascii="Arial" w:hAnsi="Arial" w:cs="Arial"/>
                <w:color w:val="000000"/>
              </w:rPr>
              <w:t>2.9%</w:t>
            </w:r>
          </w:p>
        </w:tc>
        <w:tc>
          <w:tcPr>
            <w:tcW w:w="1541" w:type="dxa"/>
            <w:shd w:val="clear" w:color="auto" w:fill="auto"/>
            <w:vAlign w:val="bottom"/>
          </w:tcPr>
          <w:p w14:paraId="0F58B9A7" w14:textId="77777777" w:rsidR="00E723C2" w:rsidRPr="000C7549" w:rsidRDefault="00E723C2" w:rsidP="0012108F">
            <w:pPr>
              <w:rPr>
                <w:rFonts w:ascii="Arial" w:hAnsi="Arial" w:cs="Arial"/>
              </w:rPr>
            </w:pPr>
            <w:r w:rsidRPr="000C7549">
              <w:rPr>
                <w:rFonts w:ascii="Arial" w:hAnsi="Arial" w:cs="Arial"/>
                <w:color w:val="000000"/>
              </w:rPr>
              <w:t>2</w:t>
            </w:r>
          </w:p>
        </w:tc>
      </w:tr>
      <w:tr w:rsidR="00E723C2" w:rsidRPr="000C7549" w14:paraId="6566A898" w14:textId="77777777" w:rsidTr="00C9273B">
        <w:tc>
          <w:tcPr>
            <w:tcW w:w="2610" w:type="dxa"/>
            <w:shd w:val="clear" w:color="auto" w:fill="auto"/>
            <w:vAlign w:val="bottom"/>
          </w:tcPr>
          <w:p w14:paraId="25A9DB3B" w14:textId="77777777" w:rsidR="00E723C2" w:rsidRPr="000C7549" w:rsidRDefault="00E723C2" w:rsidP="0012108F">
            <w:pPr>
              <w:rPr>
                <w:rFonts w:ascii="Arial" w:hAnsi="Arial" w:cs="Arial"/>
              </w:rPr>
            </w:pPr>
          </w:p>
        </w:tc>
        <w:tc>
          <w:tcPr>
            <w:tcW w:w="2250" w:type="dxa"/>
            <w:vAlign w:val="bottom"/>
          </w:tcPr>
          <w:p w14:paraId="004C1BC9" w14:textId="77777777" w:rsidR="00E723C2" w:rsidRPr="000C7549" w:rsidRDefault="00E723C2" w:rsidP="0012108F">
            <w:pPr>
              <w:rPr>
                <w:rFonts w:ascii="Arial" w:hAnsi="Arial" w:cs="Arial"/>
              </w:rPr>
            </w:pPr>
            <w:r w:rsidRPr="000C7549">
              <w:rPr>
                <w:rFonts w:ascii="Arial" w:hAnsi="Arial" w:cs="Arial"/>
                <w:color w:val="000000"/>
              </w:rPr>
              <w:t>Ichneumonidae</w:t>
            </w:r>
          </w:p>
        </w:tc>
        <w:tc>
          <w:tcPr>
            <w:tcW w:w="1444" w:type="dxa"/>
            <w:vAlign w:val="bottom"/>
          </w:tcPr>
          <w:p w14:paraId="02D2AE16" w14:textId="77777777" w:rsidR="00E723C2" w:rsidRPr="000C7549" w:rsidRDefault="00E723C2" w:rsidP="0012108F">
            <w:pPr>
              <w:rPr>
                <w:rFonts w:ascii="Arial" w:hAnsi="Arial" w:cs="Arial"/>
              </w:rPr>
            </w:pPr>
            <w:r w:rsidRPr="000C7549">
              <w:rPr>
                <w:rFonts w:ascii="Arial" w:hAnsi="Arial" w:cs="Arial"/>
                <w:color w:val="000000"/>
              </w:rPr>
              <w:t>1.5%</w:t>
            </w:r>
          </w:p>
        </w:tc>
        <w:tc>
          <w:tcPr>
            <w:tcW w:w="1541" w:type="dxa"/>
            <w:shd w:val="clear" w:color="auto" w:fill="auto"/>
            <w:vAlign w:val="bottom"/>
          </w:tcPr>
          <w:p w14:paraId="676D4115"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7C1DFE9C" w14:textId="77777777" w:rsidTr="00C9273B">
        <w:tc>
          <w:tcPr>
            <w:tcW w:w="2610" w:type="dxa"/>
            <w:shd w:val="clear" w:color="auto" w:fill="auto"/>
            <w:vAlign w:val="bottom"/>
          </w:tcPr>
          <w:p w14:paraId="2E5EB14D" w14:textId="77777777" w:rsidR="00E723C2" w:rsidRPr="000C7549" w:rsidRDefault="00E723C2" w:rsidP="0012108F">
            <w:pPr>
              <w:rPr>
                <w:rFonts w:ascii="Arial" w:hAnsi="Arial" w:cs="Arial"/>
              </w:rPr>
            </w:pPr>
          </w:p>
        </w:tc>
        <w:tc>
          <w:tcPr>
            <w:tcW w:w="2250" w:type="dxa"/>
            <w:vAlign w:val="bottom"/>
          </w:tcPr>
          <w:p w14:paraId="01C4A7E6" w14:textId="77777777" w:rsidR="00E723C2" w:rsidRPr="000C7549" w:rsidRDefault="00E723C2" w:rsidP="0012108F">
            <w:pPr>
              <w:rPr>
                <w:rFonts w:ascii="Arial" w:hAnsi="Arial" w:cs="Arial"/>
              </w:rPr>
            </w:pPr>
            <w:r w:rsidRPr="000C7549">
              <w:rPr>
                <w:rFonts w:ascii="Arial" w:hAnsi="Arial" w:cs="Arial"/>
                <w:color w:val="000000"/>
              </w:rPr>
              <w:t>Pompilidae</w:t>
            </w:r>
          </w:p>
        </w:tc>
        <w:tc>
          <w:tcPr>
            <w:tcW w:w="1444" w:type="dxa"/>
            <w:vAlign w:val="bottom"/>
          </w:tcPr>
          <w:p w14:paraId="7069DC9F" w14:textId="77777777" w:rsidR="00E723C2" w:rsidRPr="000C7549" w:rsidRDefault="00E723C2" w:rsidP="0012108F">
            <w:pPr>
              <w:rPr>
                <w:rFonts w:ascii="Arial" w:hAnsi="Arial" w:cs="Arial"/>
              </w:rPr>
            </w:pPr>
            <w:r w:rsidRPr="000C7549">
              <w:rPr>
                <w:rFonts w:ascii="Arial" w:hAnsi="Arial" w:cs="Arial"/>
                <w:color w:val="000000"/>
              </w:rPr>
              <w:t>1.5%</w:t>
            </w:r>
          </w:p>
        </w:tc>
        <w:tc>
          <w:tcPr>
            <w:tcW w:w="1541" w:type="dxa"/>
            <w:shd w:val="clear" w:color="auto" w:fill="auto"/>
            <w:vAlign w:val="bottom"/>
          </w:tcPr>
          <w:p w14:paraId="2841B734" w14:textId="77777777" w:rsidR="00E723C2" w:rsidRPr="000C7549" w:rsidRDefault="00E723C2" w:rsidP="0012108F">
            <w:pPr>
              <w:rPr>
                <w:rFonts w:ascii="Arial" w:hAnsi="Arial" w:cs="Arial"/>
              </w:rPr>
            </w:pPr>
            <w:r w:rsidRPr="000C7549">
              <w:rPr>
                <w:rFonts w:ascii="Arial" w:hAnsi="Arial" w:cs="Arial"/>
                <w:color w:val="000000"/>
              </w:rPr>
              <w:t>1</w:t>
            </w:r>
          </w:p>
        </w:tc>
      </w:tr>
      <w:tr w:rsidR="00E723C2" w:rsidRPr="000C7549" w14:paraId="701CE438" w14:textId="77777777" w:rsidTr="00C9273B">
        <w:tc>
          <w:tcPr>
            <w:tcW w:w="2610" w:type="dxa"/>
            <w:shd w:val="clear" w:color="auto" w:fill="auto"/>
            <w:vAlign w:val="bottom"/>
          </w:tcPr>
          <w:p w14:paraId="25BD93C5" w14:textId="77777777" w:rsidR="00E723C2" w:rsidRPr="000C7549" w:rsidRDefault="00E723C2" w:rsidP="0012108F">
            <w:pPr>
              <w:rPr>
                <w:rFonts w:ascii="Arial" w:hAnsi="Arial" w:cs="Arial"/>
                <w:color w:val="000000"/>
              </w:rPr>
            </w:pPr>
            <w:r w:rsidRPr="000C7549">
              <w:rPr>
                <w:rFonts w:ascii="Arial" w:hAnsi="Arial" w:cs="Arial"/>
                <w:color w:val="000000"/>
              </w:rPr>
              <w:t>Lepidoptera, n= 72</w:t>
            </w:r>
          </w:p>
        </w:tc>
        <w:tc>
          <w:tcPr>
            <w:tcW w:w="2250" w:type="dxa"/>
            <w:vAlign w:val="bottom"/>
          </w:tcPr>
          <w:p w14:paraId="74DAB206" w14:textId="77777777" w:rsidR="00E723C2" w:rsidRPr="000C7549" w:rsidRDefault="00E723C2" w:rsidP="0012108F">
            <w:pPr>
              <w:rPr>
                <w:rFonts w:ascii="Arial" w:hAnsi="Arial" w:cs="Arial"/>
              </w:rPr>
            </w:pPr>
            <w:r w:rsidRPr="000C7549">
              <w:rPr>
                <w:rFonts w:ascii="Arial" w:hAnsi="Arial" w:cs="Arial"/>
                <w:color w:val="000000"/>
              </w:rPr>
              <w:t>Hesperiidae</w:t>
            </w:r>
          </w:p>
        </w:tc>
        <w:tc>
          <w:tcPr>
            <w:tcW w:w="1444" w:type="dxa"/>
            <w:vAlign w:val="bottom"/>
          </w:tcPr>
          <w:p w14:paraId="04EC78A2" w14:textId="77777777" w:rsidR="00E723C2" w:rsidRPr="000C7549" w:rsidRDefault="00E723C2" w:rsidP="0012108F">
            <w:pPr>
              <w:rPr>
                <w:rFonts w:ascii="Arial" w:hAnsi="Arial" w:cs="Arial"/>
              </w:rPr>
            </w:pPr>
            <w:r w:rsidRPr="000C7549">
              <w:rPr>
                <w:rFonts w:ascii="Arial" w:hAnsi="Arial" w:cs="Arial"/>
                <w:color w:val="000000"/>
              </w:rPr>
              <w:t>45.8%</w:t>
            </w:r>
          </w:p>
        </w:tc>
        <w:tc>
          <w:tcPr>
            <w:tcW w:w="1541" w:type="dxa"/>
            <w:shd w:val="clear" w:color="auto" w:fill="auto"/>
            <w:vAlign w:val="bottom"/>
          </w:tcPr>
          <w:p w14:paraId="7EDC9A6B" w14:textId="77777777" w:rsidR="00E723C2" w:rsidRPr="000C7549" w:rsidRDefault="00E723C2" w:rsidP="0012108F">
            <w:pPr>
              <w:rPr>
                <w:rFonts w:ascii="Arial" w:hAnsi="Arial" w:cs="Arial"/>
              </w:rPr>
            </w:pPr>
            <w:r w:rsidRPr="000C7549">
              <w:rPr>
                <w:rFonts w:ascii="Arial" w:hAnsi="Arial" w:cs="Arial"/>
                <w:color w:val="000000"/>
              </w:rPr>
              <w:t>33</w:t>
            </w:r>
          </w:p>
        </w:tc>
      </w:tr>
    </w:tbl>
    <w:p w14:paraId="1F6C212C" w14:textId="0D8BA63E" w:rsidR="00E723C2" w:rsidRDefault="00E723C2" w:rsidP="0012108F">
      <w:r>
        <w:br w:type="page"/>
      </w:r>
      <w:r w:rsidRPr="000C7549">
        <w:rPr>
          <w:rFonts w:ascii="Arial" w:hAnsi="Arial" w:cs="Arial"/>
          <w:b/>
          <w:bCs/>
        </w:rPr>
        <w:lastRenderedPageBreak/>
        <w:t xml:space="preserve">“Table </w:t>
      </w:r>
      <w:r w:rsidR="00123848">
        <w:rPr>
          <w:rFonts w:ascii="Arial" w:hAnsi="Arial" w:cs="Arial"/>
          <w:b/>
          <w:bCs/>
        </w:rPr>
        <w:t>3</w:t>
      </w:r>
      <w:r w:rsidRPr="000C7549">
        <w:rPr>
          <w:rFonts w:ascii="Arial" w:hAnsi="Arial" w:cs="Arial"/>
          <w:b/>
          <w:bCs/>
        </w:rPr>
        <w:t xml:space="preserve"> Continued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250"/>
        <w:gridCol w:w="1444"/>
        <w:gridCol w:w="1541"/>
      </w:tblGrid>
      <w:tr w:rsidR="00E723C2" w:rsidRPr="000C7549" w14:paraId="333D4B0C" w14:textId="77777777" w:rsidTr="00C9273B">
        <w:tc>
          <w:tcPr>
            <w:tcW w:w="2610" w:type="dxa"/>
            <w:shd w:val="clear" w:color="auto" w:fill="auto"/>
          </w:tcPr>
          <w:p w14:paraId="12414CF5" w14:textId="77777777" w:rsidR="00E723C2" w:rsidRPr="000C7549" w:rsidRDefault="00E723C2" w:rsidP="00C9273B">
            <w:pPr>
              <w:rPr>
                <w:rFonts w:ascii="Arial" w:hAnsi="Arial" w:cs="Arial"/>
              </w:rPr>
            </w:pPr>
            <w:r w:rsidRPr="000C7549">
              <w:rPr>
                <w:rFonts w:ascii="Arial" w:hAnsi="Arial" w:cs="Arial"/>
              </w:rPr>
              <w:t>Order</w:t>
            </w:r>
          </w:p>
        </w:tc>
        <w:tc>
          <w:tcPr>
            <w:tcW w:w="2250" w:type="dxa"/>
          </w:tcPr>
          <w:p w14:paraId="6E3220C7" w14:textId="77777777" w:rsidR="00E723C2" w:rsidRPr="000C7549" w:rsidRDefault="00E723C2" w:rsidP="00C9273B">
            <w:pPr>
              <w:rPr>
                <w:rFonts w:ascii="Arial" w:hAnsi="Arial" w:cs="Arial"/>
                <w:color w:val="000000"/>
              </w:rPr>
            </w:pPr>
            <w:r w:rsidRPr="000C7549">
              <w:rPr>
                <w:rFonts w:ascii="Arial" w:hAnsi="Arial" w:cs="Arial"/>
              </w:rPr>
              <w:t>Family</w:t>
            </w:r>
          </w:p>
        </w:tc>
        <w:tc>
          <w:tcPr>
            <w:tcW w:w="1444" w:type="dxa"/>
          </w:tcPr>
          <w:p w14:paraId="142060F7" w14:textId="77777777" w:rsidR="00E723C2" w:rsidRPr="000C7549" w:rsidRDefault="00E723C2" w:rsidP="00C9273B">
            <w:pPr>
              <w:rPr>
                <w:rFonts w:ascii="Arial" w:hAnsi="Arial" w:cs="Arial"/>
                <w:color w:val="000000"/>
              </w:rPr>
            </w:pPr>
            <w:r w:rsidRPr="000C7549">
              <w:rPr>
                <w:rFonts w:ascii="Arial" w:hAnsi="Arial" w:cs="Arial"/>
              </w:rPr>
              <w:t>Percentage</w:t>
            </w:r>
          </w:p>
        </w:tc>
        <w:tc>
          <w:tcPr>
            <w:tcW w:w="1541" w:type="dxa"/>
            <w:shd w:val="clear" w:color="auto" w:fill="auto"/>
          </w:tcPr>
          <w:p w14:paraId="3934A225" w14:textId="77777777" w:rsidR="00E723C2" w:rsidRPr="000C7549" w:rsidRDefault="00E723C2" w:rsidP="00C9273B">
            <w:pPr>
              <w:rPr>
                <w:rFonts w:ascii="Arial" w:hAnsi="Arial" w:cs="Arial"/>
                <w:color w:val="000000"/>
              </w:rPr>
            </w:pPr>
            <w:r w:rsidRPr="000C7549">
              <w:rPr>
                <w:rFonts w:ascii="Arial" w:hAnsi="Arial" w:cs="Arial"/>
              </w:rPr>
              <w:t>Count</w:t>
            </w:r>
          </w:p>
        </w:tc>
      </w:tr>
      <w:tr w:rsidR="00E723C2" w:rsidRPr="000C7549" w14:paraId="792F72F8" w14:textId="77777777" w:rsidTr="00C9273B">
        <w:tc>
          <w:tcPr>
            <w:tcW w:w="2610" w:type="dxa"/>
            <w:shd w:val="clear" w:color="auto" w:fill="auto"/>
            <w:vAlign w:val="bottom"/>
          </w:tcPr>
          <w:p w14:paraId="5174CA86" w14:textId="77777777" w:rsidR="00E723C2" w:rsidRPr="000C7549" w:rsidRDefault="00E723C2" w:rsidP="00C9273B">
            <w:pPr>
              <w:rPr>
                <w:rFonts w:ascii="Arial" w:hAnsi="Arial" w:cs="Arial"/>
              </w:rPr>
            </w:pPr>
            <w:r w:rsidRPr="000C7549">
              <w:rPr>
                <w:rFonts w:ascii="Arial" w:hAnsi="Arial" w:cs="Arial"/>
              </w:rPr>
              <w:t>Lepidoptera</w:t>
            </w:r>
          </w:p>
        </w:tc>
        <w:tc>
          <w:tcPr>
            <w:tcW w:w="2250" w:type="dxa"/>
            <w:vAlign w:val="bottom"/>
          </w:tcPr>
          <w:p w14:paraId="088A553E" w14:textId="77777777" w:rsidR="00E723C2" w:rsidRPr="000C7549" w:rsidRDefault="00E723C2" w:rsidP="00C9273B">
            <w:pPr>
              <w:rPr>
                <w:rFonts w:ascii="Arial" w:hAnsi="Arial" w:cs="Arial"/>
                <w:color w:val="000000"/>
              </w:rPr>
            </w:pPr>
            <w:r w:rsidRPr="000C7549">
              <w:rPr>
                <w:rFonts w:ascii="Arial" w:hAnsi="Arial" w:cs="Arial"/>
                <w:color w:val="000000"/>
              </w:rPr>
              <w:t>Nymphalidae</w:t>
            </w:r>
          </w:p>
        </w:tc>
        <w:tc>
          <w:tcPr>
            <w:tcW w:w="1444" w:type="dxa"/>
            <w:vAlign w:val="bottom"/>
          </w:tcPr>
          <w:p w14:paraId="3DF4E7D7" w14:textId="77777777" w:rsidR="00E723C2" w:rsidRPr="000C7549" w:rsidRDefault="00E723C2" w:rsidP="00C9273B">
            <w:pPr>
              <w:rPr>
                <w:rFonts w:ascii="Arial" w:hAnsi="Arial" w:cs="Arial"/>
                <w:color w:val="000000"/>
              </w:rPr>
            </w:pPr>
            <w:r w:rsidRPr="000C7549">
              <w:rPr>
                <w:rFonts w:ascii="Arial" w:hAnsi="Arial" w:cs="Arial"/>
                <w:color w:val="000000"/>
              </w:rPr>
              <w:t>22.2%</w:t>
            </w:r>
          </w:p>
        </w:tc>
        <w:tc>
          <w:tcPr>
            <w:tcW w:w="1541" w:type="dxa"/>
            <w:shd w:val="clear" w:color="auto" w:fill="auto"/>
            <w:vAlign w:val="bottom"/>
          </w:tcPr>
          <w:p w14:paraId="776F0569" w14:textId="77777777" w:rsidR="00E723C2" w:rsidRPr="000C7549" w:rsidRDefault="00E723C2" w:rsidP="00C9273B">
            <w:pPr>
              <w:rPr>
                <w:rFonts w:ascii="Arial" w:hAnsi="Arial" w:cs="Arial"/>
                <w:color w:val="000000"/>
              </w:rPr>
            </w:pPr>
            <w:r w:rsidRPr="000C7549">
              <w:rPr>
                <w:rFonts w:ascii="Arial" w:hAnsi="Arial" w:cs="Arial"/>
                <w:color w:val="000000"/>
              </w:rPr>
              <w:t>16</w:t>
            </w:r>
          </w:p>
        </w:tc>
      </w:tr>
      <w:tr w:rsidR="00E723C2" w:rsidRPr="000C7549" w14:paraId="22FE54FB" w14:textId="77777777" w:rsidTr="00C9273B">
        <w:tc>
          <w:tcPr>
            <w:tcW w:w="2610" w:type="dxa"/>
            <w:shd w:val="clear" w:color="auto" w:fill="auto"/>
            <w:vAlign w:val="bottom"/>
          </w:tcPr>
          <w:p w14:paraId="2C5A8E9A" w14:textId="77777777" w:rsidR="00E723C2" w:rsidRPr="000C7549" w:rsidRDefault="00E723C2" w:rsidP="00C9273B">
            <w:pPr>
              <w:rPr>
                <w:rFonts w:ascii="Arial" w:hAnsi="Arial" w:cs="Arial"/>
              </w:rPr>
            </w:pPr>
          </w:p>
        </w:tc>
        <w:tc>
          <w:tcPr>
            <w:tcW w:w="2250" w:type="dxa"/>
            <w:vAlign w:val="bottom"/>
          </w:tcPr>
          <w:p w14:paraId="291D8330" w14:textId="77777777" w:rsidR="00E723C2" w:rsidRPr="000C7549" w:rsidRDefault="00E723C2" w:rsidP="00C9273B">
            <w:pPr>
              <w:rPr>
                <w:rFonts w:ascii="Arial" w:hAnsi="Arial" w:cs="Arial"/>
                <w:color w:val="000000"/>
              </w:rPr>
            </w:pPr>
            <w:r w:rsidRPr="000C7549">
              <w:rPr>
                <w:rFonts w:ascii="Arial" w:hAnsi="Arial" w:cs="Arial"/>
                <w:color w:val="000000"/>
              </w:rPr>
              <w:t xml:space="preserve">Unidentified </w:t>
            </w:r>
          </w:p>
        </w:tc>
        <w:tc>
          <w:tcPr>
            <w:tcW w:w="1444" w:type="dxa"/>
            <w:vAlign w:val="bottom"/>
          </w:tcPr>
          <w:p w14:paraId="6C3E88B9" w14:textId="77777777" w:rsidR="00E723C2" w:rsidRPr="000C7549" w:rsidRDefault="00E723C2" w:rsidP="00C9273B">
            <w:pPr>
              <w:rPr>
                <w:rFonts w:ascii="Arial" w:hAnsi="Arial" w:cs="Arial"/>
                <w:color w:val="000000"/>
              </w:rPr>
            </w:pPr>
            <w:r w:rsidRPr="000C7549">
              <w:rPr>
                <w:rFonts w:ascii="Arial" w:hAnsi="Arial" w:cs="Arial"/>
                <w:color w:val="000000"/>
              </w:rPr>
              <w:t>8.3%</w:t>
            </w:r>
          </w:p>
        </w:tc>
        <w:tc>
          <w:tcPr>
            <w:tcW w:w="1541" w:type="dxa"/>
            <w:shd w:val="clear" w:color="auto" w:fill="auto"/>
            <w:vAlign w:val="bottom"/>
          </w:tcPr>
          <w:p w14:paraId="36101B91" w14:textId="77777777" w:rsidR="00E723C2" w:rsidRPr="000C7549" w:rsidRDefault="00E723C2" w:rsidP="00C9273B">
            <w:pPr>
              <w:rPr>
                <w:rFonts w:ascii="Arial" w:hAnsi="Arial" w:cs="Arial"/>
                <w:color w:val="000000"/>
              </w:rPr>
            </w:pPr>
            <w:r w:rsidRPr="000C7549">
              <w:rPr>
                <w:rFonts w:ascii="Arial" w:hAnsi="Arial" w:cs="Arial"/>
                <w:color w:val="000000"/>
              </w:rPr>
              <w:t>6</w:t>
            </w:r>
          </w:p>
        </w:tc>
      </w:tr>
      <w:tr w:rsidR="00E723C2" w:rsidRPr="000C7549" w14:paraId="5E2C526F" w14:textId="77777777" w:rsidTr="00C9273B">
        <w:tc>
          <w:tcPr>
            <w:tcW w:w="2610" w:type="dxa"/>
            <w:shd w:val="clear" w:color="auto" w:fill="auto"/>
            <w:vAlign w:val="bottom"/>
          </w:tcPr>
          <w:p w14:paraId="120EE9B8" w14:textId="77777777" w:rsidR="00E723C2" w:rsidRPr="000C7549" w:rsidRDefault="00E723C2" w:rsidP="00C9273B">
            <w:pPr>
              <w:rPr>
                <w:rFonts w:ascii="Arial" w:hAnsi="Arial" w:cs="Arial"/>
              </w:rPr>
            </w:pPr>
          </w:p>
        </w:tc>
        <w:tc>
          <w:tcPr>
            <w:tcW w:w="2250" w:type="dxa"/>
            <w:vAlign w:val="bottom"/>
          </w:tcPr>
          <w:p w14:paraId="6128E4B9" w14:textId="77777777" w:rsidR="00E723C2" w:rsidRPr="000C7549" w:rsidRDefault="00E723C2" w:rsidP="00C9273B">
            <w:pPr>
              <w:rPr>
                <w:rFonts w:ascii="Arial" w:hAnsi="Arial" w:cs="Arial"/>
                <w:color w:val="000000"/>
              </w:rPr>
            </w:pPr>
            <w:r w:rsidRPr="000C7549">
              <w:rPr>
                <w:rFonts w:ascii="Arial" w:hAnsi="Arial" w:cs="Arial"/>
                <w:color w:val="000000"/>
              </w:rPr>
              <w:t>Erebidae</w:t>
            </w:r>
          </w:p>
        </w:tc>
        <w:tc>
          <w:tcPr>
            <w:tcW w:w="1444" w:type="dxa"/>
            <w:vAlign w:val="bottom"/>
          </w:tcPr>
          <w:p w14:paraId="78DB85D7" w14:textId="77777777" w:rsidR="00E723C2" w:rsidRPr="000C7549" w:rsidRDefault="00E723C2" w:rsidP="00C9273B">
            <w:pPr>
              <w:rPr>
                <w:rFonts w:ascii="Arial" w:hAnsi="Arial" w:cs="Arial"/>
                <w:color w:val="000000"/>
              </w:rPr>
            </w:pPr>
            <w:r w:rsidRPr="000C7549">
              <w:rPr>
                <w:rFonts w:ascii="Arial" w:hAnsi="Arial" w:cs="Arial"/>
                <w:color w:val="000000"/>
              </w:rPr>
              <w:t>6.9%</w:t>
            </w:r>
          </w:p>
        </w:tc>
        <w:tc>
          <w:tcPr>
            <w:tcW w:w="1541" w:type="dxa"/>
            <w:shd w:val="clear" w:color="auto" w:fill="auto"/>
            <w:vAlign w:val="bottom"/>
          </w:tcPr>
          <w:p w14:paraId="18AA73E2" w14:textId="77777777" w:rsidR="00E723C2" w:rsidRPr="000C7549" w:rsidRDefault="00E723C2" w:rsidP="00C9273B">
            <w:pPr>
              <w:rPr>
                <w:rFonts w:ascii="Arial" w:hAnsi="Arial" w:cs="Arial"/>
                <w:color w:val="000000"/>
              </w:rPr>
            </w:pPr>
            <w:r w:rsidRPr="000C7549">
              <w:rPr>
                <w:rFonts w:ascii="Arial" w:hAnsi="Arial" w:cs="Arial"/>
                <w:color w:val="000000"/>
              </w:rPr>
              <w:t>5</w:t>
            </w:r>
          </w:p>
        </w:tc>
      </w:tr>
      <w:tr w:rsidR="00E723C2" w:rsidRPr="000C7549" w14:paraId="354D37B1" w14:textId="77777777" w:rsidTr="00C9273B">
        <w:tc>
          <w:tcPr>
            <w:tcW w:w="2610" w:type="dxa"/>
            <w:shd w:val="clear" w:color="auto" w:fill="auto"/>
            <w:vAlign w:val="bottom"/>
          </w:tcPr>
          <w:p w14:paraId="6563420A" w14:textId="77777777" w:rsidR="00E723C2" w:rsidRPr="000C7549" w:rsidRDefault="00E723C2" w:rsidP="00C9273B">
            <w:pPr>
              <w:rPr>
                <w:rFonts w:ascii="Arial" w:hAnsi="Arial" w:cs="Arial"/>
              </w:rPr>
            </w:pPr>
          </w:p>
        </w:tc>
        <w:tc>
          <w:tcPr>
            <w:tcW w:w="2250" w:type="dxa"/>
            <w:vAlign w:val="bottom"/>
          </w:tcPr>
          <w:p w14:paraId="2BE9720B" w14:textId="77777777" w:rsidR="00E723C2" w:rsidRPr="000C7549" w:rsidRDefault="00E723C2" w:rsidP="00C9273B">
            <w:pPr>
              <w:rPr>
                <w:rFonts w:ascii="Arial" w:hAnsi="Arial" w:cs="Arial"/>
                <w:color w:val="000000"/>
              </w:rPr>
            </w:pPr>
            <w:r w:rsidRPr="000C7549">
              <w:rPr>
                <w:rFonts w:ascii="Arial" w:hAnsi="Arial" w:cs="Arial"/>
                <w:color w:val="000000"/>
              </w:rPr>
              <w:t>Pyralidae</w:t>
            </w:r>
          </w:p>
        </w:tc>
        <w:tc>
          <w:tcPr>
            <w:tcW w:w="1444" w:type="dxa"/>
            <w:vAlign w:val="bottom"/>
          </w:tcPr>
          <w:p w14:paraId="35C8E5DD" w14:textId="77777777" w:rsidR="00E723C2" w:rsidRPr="000C7549" w:rsidRDefault="00E723C2" w:rsidP="00C9273B">
            <w:pPr>
              <w:rPr>
                <w:rFonts w:ascii="Arial" w:hAnsi="Arial" w:cs="Arial"/>
                <w:color w:val="000000"/>
              </w:rPr>
            </w:pPr>
            <w:r w:rsidRPr="000C7549">
              <w:rPr>
                <w:rFonts w:ascii="Arial" w:hAnsi="Arial" w:cs="Arial"/>
                <w:color w:val="000000"/>
              </w:rPr>
              <w:t>6.9%</w:t>
            </w:r>
          </w:p>
        </w:tc>
        <w:tc>
          <w:tcPr>
            <w:tcW w:w="1541" w:type="dxa"/>
            <w:shd w:val="clear" w:color="auto" w:fill="auto"/>
            <w:vAlign w:val="bottom"/>
          </w:tcPr>
          <w:p w14:paraId="77272F44" w14:textId="77777777" w:rsidR="00E723C2" w:rsidRPr="000C7549" w:rsidRDefault="00E723C2" w:rsidP="00C9273B">
            <w:pPr>
              <w:rPr>
                <w:rFonts w:ascii="Arial" w:hAnsi="Arial" w:cs="Arial"/>
                <w:color w:val="000000"/>
              </w:rPr>
            </w:pPr>
            <w:r w:rsidRPr="000C7549">
              <w:rPr>
                <w:rFonts w:ascii="Arial" w:hAnsi="Arial" w:cs="Arial"/>
                <w:color w:val="000000"/>
              </w:rPr>
              <w:t>5</w:t>
            </w:r>
          </w:p>
        </w:tc>
      </w:tr>
      <w:tr w:rsidR="00E723C2" w:rsidRPr="000C7549" w14:paraId="46E26CF8" w14:textId="77777777" w:rsidTr="00C9273B">
        <w:tc>
          <w:tcPr>
            <w:tcW w:w="2610" w:type="dxa"/>
            <w:shd w:val="clear" w:color="auto" w:fill="auto"/>
            <w:vAlign w:val="bottom"/>
          </w:tcPr>
          <w:p w14:paraId="6E5E6208" w14:textId="77777777" w:rsidR="00E723C2" w:rsidRPr="000C7549" w:rsidRDefault="00E723C2" w:rsidP="00C9273B">
            <w:pPr>
              <w:rPr>
                <w:rFonts w:ascii="Arial" w:hAnsi="Arial" w:cs="Arial"/>
              </w:rPr>
            </w:pPr>
          </w:p>
        </w:tc>
        <w:tc>
          <w:tcPr>
            <w:tcW w:w="2250" w:type="dxa"/>
            <w:vAlign w:val="bottom"/>
          </w:tcPr>
          <w:p w14:paraId="35E3B9DA" w14:textId="77777777" w:rsidR="00E723C2" w:rsidRPr="000C7549" w:rsidRDefault="00E723C2" w:rsidP="00C9273B">
            <w:pPr>
              <w:rPr>
                <w:rFonts w:ascii="Arial" w:hAnsi="Arial" w:cs="Arial"/>
                <w:color w:val="000000"/>
              </w:rPr>
            </w:pPr>
            <w:r w:rsidRPr="000C7549">
              <w:rPr>
                <w:rFonts w:ascii="Arial" w:hAnsi="Arial" w:cs="Arial"/>
                <w:color w:val="000000"/>
              </w:rPr>
              <w:t>Yponomeutidae</w:t>
            </w:r>
          </w:p>
        </w:tc>
        <w:tc>
          <w:tcPr>
            <w:tcW w:w="1444" w:type="dxa"/>
            <w:vAlign w:val="bottom"/>
          </w:tcPr>
          <w:p w14:paraId="7C5DBE3A" w14:textId="77777777" w:rsidR="00E723C2" w:rsidRPr="000C7549" w:rsidRDefault="00E723C2" w:rsidP="00C9273B">
            <w:pPr>
              <w:rPr>
                <w:rFonts w:ascii="Arial" w:hAnsi="Arial" w:cs="Arial"/>
                <w:color w:val="000000"/>
              </w:rPr>
            </w:pPr>
            <w:r w:rsidRPr="000C7549">
              <w:rPr>
                <w:rFonts w:ascii="Arial" w:hAnsi="Arial" w:cs="Arial"/>
                <w:color w:val="000000"/>
              </w:rPr>
              <w:t>5.6%</w:t>
            </w:r>
          </w:p>
        </w:tc>
        <w:tc>
          <w:tcPr>
            <w:tcW w:w="1541" w:type="dxa"/>
            <w:shd w:val="clear" w:color="auto" w:fill="auto"/>
            <w:vAlign w:val="bottom"/>
          </w:tcPr>
          <w:p w14:paraId="3357B5B3" w14:textId="77777777" w:rsidR="00E723C2" w:rsidRPr="000C7549" w:rsidRDefault="00E723C2" w:rsidP="00C9273B">
            <w:pPr>
              <w:rPr>
                <w:rFonts w:ascii="Arial" w:hAnsi="Arial" w:cs="Arial"/>
                <w:color w:val="000000"/>
              </w:rPr>
            </w:pPr>
            <w:r w:rsidRPr="000C7549">
              <w:rPr>
                <w:rFonts w:ascii="Arial" w:hAnsi="Arial" w:cs="Arial"/>
                <w:color w:val="000000"/>
              </w:rPr>
              <w:t>4</w:t>
            </w:r>
          </w:p>
        </w:tc>
      </w:tr>
      <w:tr w:rsidR="00E723C2" w:rsidRPr="000C7549" w14:paraId="5A09FA8A" w14:textId="77777777" w:rsidTr="00C9273B">
        <w:tc>
          <w:tcPr>
            <w:tcW w:w="2610" w:type="dxa"/>
            <w:shd w:val="clear" w:color="auto" w:fill="auto"/>
            <w:vAlign w:val="bottom"/>
          </w:tcPr>
          <w:p w14:paraId="777B30DE" w14:textId="77777777" w:rsidR="00E723C2" w:rsidRPr="000C7549" w:rsidRDefault="00E723C2" w:rsidP="00C9273B">
            <w:pPr>
              <w:rPr>
                <w:rFonts w:ascii="Arial" w:hAnsi="Arial" w:cs="Arial"/>
              </w:rPr>
            </w:pPr>
          </w:p>
        </w:tc>
        <w:tc>
          <w:tcPr>
            <w:tcW w:w="2250" w:type="dxa"/>
            <w:vAlign w:val="bottom"/>
          </w:tcPr>
          <w:p w14:paraId="4C0EBF7D" w14:textId="77777777" w:rsidR="00E723C2" w:rsidRPr="000C7549" w:rsidRDefault="00E723C2" w:rsidP="00C9273B">
            <w:pPr>
              <w:rPr>
                <w:rFonts w:ascii="Arial" w:hAnsi="Arial" w:cs="Arial"/>
                <w:color w:val="000000"/>
              </w:rPr>
            </w:pPr>
            <w:r w:rsidRPr="000C7549">
              <w:rPr>
                <w:rFonts w:ascii="Arial" w:hAnsi="Arial" w:cs="Arial"/>
                <w:color w:val="000000"/>
              </w:rPr>
              <w:t>Geometridae</w:t>
            </w:r>
          </w:p>
        </w:tc>
        <w:tc>
          <w:tcPr>
            <w:tcW w:w="1444" w:type="dxa"/>
            <w:vAlign w:val="bottom"/>
          </w:tcPr>
          <w:p w14:paraId="6CD50E93" w14:textId="77777777" w:rsidR="00E723C2" w:rsidRPr="000C7549" w:rsidRDefault="00E723C2" w:rsidP="00C9273B">
            <w:pPr>
              <w:rPr>
                <w:rFonts w:ascii="Arial" w:hAnsi="Arial" w:cs="Arial"/>
                <w:color w:val="000000"/>
              </w:rPr>
            </w:pPr>
            <w:r w:rsidRPr="000C7549">
              <w:rPr>
                <w:rFonts w:ascii="Arial" w:hAnsi="Arial" w:cs="Arial"/>
                <w:color w:val="000000"/>
              </w:rPr>
              <w:t>2.8%</w:t>
            </w:r>
          </w:p>
        </w:tc>
        <w:tc>
          <w:tcPr>
            <w:tcW w:w="1541" w:type="dxa"/>
            <w:shd w:val="clear" w:color="auto" w:fill="auto"/>
            <w:vAlign w:val="bottom"/>
          </w:tcPr>
          <w:p w14:paraId="449D1A62" w14:textId="77777777" w:rsidR="00E723C2" w:rsidRPr="000C7549" w:rsidRDefault="00E723C2" w:rsidP="00C9273B">
            <w:pPr>
              <w:rPr>
                <w:rFonts w:ascii="Arial" w:hAnsi="Arial" w:cs="Arial"/>
                <w:color w:val="000000"/>
              </w:rPr>
            </w:pPr>
            <w:r w:rsidRPr="000C7549">
              <w:rPr>
                <w:rFonts w:ascii="Arial" w:hAnsi="Arial" w:cs="Arial"/>
                <w:color w:val="000000"/>
              </w:rPr>
              <w:t>2</w:t>
            </w:r>
          </w:p>
        </w:tc>
      </w:tr>
      <w:tr w:rsidR="00E723C2" w:rsidRPr="000C7549" w14:paraId="404395BE" w14:textId="77777777" w:rsidTr="00C9273B">
        <w:tc>
          <w:tcPr>
            <w:tcW w:w="2610" w:type="dxa"/>
            <w:shd w:val="clear" w:color="auto" w:fill="auto"/>
            <w:vAlign w:val="bottom"/>
          </w:tcPr>
          <w:p w14:paraId="4BDD7146" w14:textId="77777777" w:rsidR="00E723C2" w:rsidRPr="000C7549" w:rsidRDefault="00E723C2" w:rsidP="00C9273B">
            <w:pPr>
              <w:rPr>
                <w:rFonts w:ascii="Arial" w:hAnsi="Arial" w:cs="Arial"/>
              </w:rPr>
            </w:pPr>
          </w:p>
        </w:tc>
        <w:tc>
          <w:tcPr>
            <w:tcW w:w="2250" w:type="dxa"/>
            <w:vAlign w:val="bottom"/>
          </w:tcPr>
          <w:p w14:paraId="094F6EEA" w14:textId="77777777" w:rsidR="00E723C2" w:rsidRPr="000C7549" w:rsidRDefault="00E723C2" w:rsidP="00C9273B">
            <w:pPr>
              <w:rPr>
                <w:rFonts w:ascii="Arial" w:hAnsi="Arial" w:cs="Arial"/>
                <w:color w:val="000000"/>
              </w:rPr>
            </w:pPr>
            <w:r w:rsidRPr="000C7549">
              <w:rPr>
                <w:rFonts w:ascii="Arial" w:hAnsi="Arial" w:cs="Arial"/>
                <w:color w:val="000000"/>
              </w:rPr>
              <w:t>Sphingidae</w:t>
            </w:r>
          </w:p>
        </w:tc>
        <w:tc>
          <w:tcPr>
            <w:tcW w:w="1444" w:type="dxa"/>
            <w:vAlign w:val="bottom"/>
          </w:tcPr>
          <w:p w14:paraId="475EAA60" w14:textId="77777777" w:rsidR="00E723C2" w:rsidRPr="000C7549" w:rsidRDefault="00E723C2" w:rsidP="00C9273B">
            <w:pPr>
              <w:rPr>
                <w:rFonts w:ascii="Arial" w:hAnsi="Arial" w:cs="Arial"/>
                <w:color w:val="000000"/>
              </w:rPr>
            </w:pPr>
            <w:r w:rsidRPr="000C7549">
              <w:rPr>
                <w:rFonts w:ascii="Arial" w:hAnsi="Arial" w:cs="Arial"/>
                <w:color w:val="000000"/>
              </w:rPr>
              <w:t>1.4%</w:t>
            </w:r>
          </w:p>
        </w:tc>
        <w:tc>
          <w:tcPr>
            <w:tcW w:w="1541" w:type="dxa"/>
            <w:shd w:val="clear" w:color="auto" w:fill="auto"/>
            <w:vAlign w:val="bottom"/>
          </w:tcPr>
          <w:p w14:paraId="15BAF487" w14:textId="77777777" w:rsidR="00E723C2" w:rsidRPr="000C7549" w:rsidRDefault="00E723C2" w:rsidP="00C9273B">
            <w:pPr>
              <w:rPr>
                <w:rFonts w:ascii="Arial" w:hAnsi="Arial" w:cs="Arial"/>
                <w:color w:val="000000"/>
              </w:rPr>
            </w:pPr>
            <w:r w:rsidRPr="000C7549">
              <w:rPr>
                <w:rFonts w:ascii="Arial" w:hAnsi="Arial" w:cs="Arial"/>
                <w:color w:val="000000"/>
              </w:rPr>
              <w:t>1</w:t>
            </w:r>
          </w:p>
        </w:tc>
      </w:tr>
      <w:tr w:rsidR="00E723C2" w:rsidRPr="000C7549" w14:paraId="00178344" w14:textId="77777777" w:rsidTr="00C9273B">
        <w:tc>
          <w:tcPr>
            <w:tcW w:w="2610" w:type="dxa"/>
            <w:shd w:val="clear" w:color="auto" w:fill="auto"/>
            <w:vAlign w:val="bottom"/>
          </w:tcPr>
          <w:p w14:paraId="7BD4646D" w14:textId="77777777" w:rsidR="00E723C2" w:rsidRPr="000C7549" w:rsidRDefault="00E723C2" w:rsidP="00C9273B">
            <w:pPr>
              <w:rPr>
                <w:rFonts w:ascii="Arial" w:hAnsi="Arial" w:cs="Arial"/>
              </w:rPr>
            </w:pPr>
            <w:r w:rsidRPr="000C7549">
              <w:rPr>
                <w:rFonts w:ascii="Arial" w:hAnsi="Arial" w:cs="Arial"/>
              </w:rPr>
              <w:t>Mecoptera, n= 1</w:t>
            </w:r>
          </w:p>
        </w:tc>
        <w:tc>
          <w:tcPr>
            <w:tcW w:w="2250" w:type="dxa"/>
            <w:vAlign w:val="bottom"/>
          </w:tcPr>
          <w:p w14:paraId="1E1D919A" w14:textId="77777777" w:rsidR="00E723C2" w:rsidRPr="000C7549" w:rsidRDefault="00E723C2" w:rsidP="00C9273B">
            <w:pPr>
              <w:rPr>
                <w:rFonts w:ascii="Arial" w:hAnsi="Arial" w:cs="Arial"/>
                <w:color w:val="000000"/>
              </w:rPr>
            </w:pPr>
          </w:p>
        </w:tc>
        <w:tc>
          <w:tcPr>
            <w:tcW w:w="1444" w:type="dxa"/>
            <w:vAlign w:val="bottom"/>
          </w:tcPr>
          <w:p w14:paraId="6F6778EA" w14:textId="77777777" w:rsidR="00E723C2" w:rsidRPr="000C7549" w:rsidRDefault="00E723C2" w:rsidP="00C9273B">
            <w:pPr>
              <w:rPr>
                <w:rFonts w:ascii="Arial" w:hAnsi="Arial" w:cs="Arial"/>
                <w:color w:val="000000"/>
              </w:rPr>
            </w:pPr>
            <w:r w:rsidRPr="000C7549">
              <w:rPr>
                <w:rFonts w:ascii="Arial" w:hAnsi="Arial" w:cs="Arial"/>
                <w:color w:val="000000"/>
              </w:rPr>
              <w:t>100%</w:t>
            </w:r>
          </w:p>
        </w:tc>
        <w:tc>
          <w:tcPr>
            <w:tcW w:w="1541" w:type="dxa"/>
            <w:shd w:val="clear" w:color="auto" w:fill="auto"/>
            <w:vAlign w:val="bottom"/>
          </w:tcPr>
          <w:p w14:paraId="6F969D25" w14:textId="77777777" w:rsidR="00E723C2" w:rsidRPr="000C7549" w:rsidRDefault="00E723C2" w:rsidP="00C9273B">
            <w:pPr>
              <w:rPr>
                <w:rFonts w:ascii="Arial" w:hAnsi="Arial" w:cs="Arial"/>
                <w:color w:val="000000"/>
              </w:rPr>
            </w:pPr>
            <w:r w:rsidRPr="000C7549">
              <w:rPr>
                <w:rFonts w:ascii="Arial" w:hAnsi="Arial" w:cs="Arial"/>
                <w:color w:val="000000"/>
              </w:rPr>
              <w:t>1</w:t>
            </w:r>
          </w:p>
        </w:tc>
      </w:tr>
    </w:tbl>
    <w:p w14:paraId="1202E36B" w14:textId="7F55AD36" w:rsidR="0012108F" w:rsidRDefault="00825C0D" w:rsidP="00546490">
      <w:pPr>
        <w:rPr>
          <w:rFonts w:ascii="Arial" w:hAnsi="Arial" w:cs="Arial"/>
        </w:rPr>
      </w:pPr>
      <w:r>
        <w:rPr>
          <w:rFonts w:ascii="Arial" w:hAnsi="Arial" w:cs="Arial"/>
          <w:sz w:val="20"/>
          <w:szCs w:val="20"/>
        </w:rPr>
        <w:t>N</w:t>
      </w:r>
      <w:r w:rsidR="00E723C2" w:rsidRPr="00351A7F">
        <w:rPr>
          <w:rFonts w:ascii="Arial" w:hAnsi="Arial" w:cs="Arial"/>
          <w:sz w:val="20"/>
          <w:szCs w:val="20"/>
        </w:rPr>
        <w:t xml:space="preserve">on-bee specimens collected in 2019. Represents 6 orders and 34 families. </w:t>
      </w:r>
    </w:p>
    <w:p w14:paraId="5C3C4445" w14:textId="1F1554F9" w:rsidR="0012108F" w:rsidRDefault="0012108F" w:rsidP="0012108F">
      <w:pPr>
        <w:ind w:firstLine="720"/>
        <w:rPr>
          <w:b/>
          <w:bCs/>
        </w:rPr>
      </w:pPr>
    </w:p>
    <w:p w14:paraId="6180AB64" w14:textId="69241B4D" w:rsidR="00D81BF1" w:rsidRDefault="00D81BF1" w:rsidP="00AF302B">
      <w:pPr>
        <w:rPr>
          <w:b/>
          <w:bCs/>
        </w:rPr>
      </w:pPr>
    </w:p>
    <w:p w14:paraId="2938538F" w14:textId="77777777" w:rsidR="000519EE" w:rsidRDefault="000519EE" w:rsidP="00AF302B">
      <w:pPr>
        <w:rPr>
          <w:b/>
          <w:bCs/>
        </w:rPr>
      </w:pPr>
    </w:p>
    <w:p w14:paraId="73E0D34E" w14:textId="13DB3992" w:rsidR="00E723C2" w:rsidRPr="0012108F" w:rsidRDefault="00E723C2" w:rsidP="0012108F">
      <w:pPr>
        <w:pStyle w:val="Caption"/>
        <w:rPr>
          <w:sz w:val="20"/>
          <w:szCs w:val="20"/>
        </w:rPr>
      </w:pPr>
      <w:bookmarkStart w:id="52" w:name="_Toc76799605"/>
      <w:r w:rsidRPr="000C7549">
        <w:t xml:space="preserve">Table </w:t>
      </w:r>
      <w:fldSimple w:instr=" SEQ Table \* ARABIC ">
        <w:r w:rsidR="00B10994">
          <w:rPr>
            <w:noProof/>
          </w:rPr>
          <w:t>4</w:t>
        </w:r>
      </w:fldSimple>
      <w:r w:rsidRPr="000C7549">
        <w:t>. Non-Bee Specimens 2020, Order, Family, Percentage and Count</w:t>
      </w:r>
      <w:bookmarkEnd w:id="52"/>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898"/>
        <w:gridCol w:w="1444"/>
        <w:gridCol w:w="1890"/>
      </w:tblGrid>
      <w:tr w:rsidR="00E723C2" w:rsidRPr="000C7549" w14:paraId="3622BFB9" w14:textId="77777777" w:rsidTr="007663D1">
        <w:tc>
          <w:tcPr>
            <w:tcW w:w="2700" w:type="dxa"/>
            <w:shd w:val="clear" w:color="auto" w:fill="auto"/>
            <w:vAlign w:val="bottom"/>
          </w:tcPr>
          <w:p w14:paraId="13175778" w14:textId="77777777" w:rsidR="00E723C2" w:rsidRPr="000C7549" w:rsidRDefault="00E723C2" w:rsidP="00C9273B">
            <w:pPr>
              <w:rPr>
                <w:rFonts w:ascii="Arial" w:hAnsi="Arial" w:cs="Arial"/>
              </w:rPr>
            </w:pPr>
            <w:r w:rsidRPr="000C7549">
              <w:rPr>
                <w:rFonts w:ascii="Arial" w:hAnsi="Arial" w:cs="Arial"/>
                <w:color w:val="000000"/>
              </w:rPr>
              <w:t>Order</w:t>
            </w:r>
          </w:p>
        </w:tc>
        <w:tc>
          <w:tcPr>
            <w:tcW w:w="1898" w:type="dxa"/>
            <w:vAlign w:val="bottom"/>
          </w:tcPr>
          <w:p w14:paraId="0183467A" w14:textId="77777777" w:rsidR="00E723C2" w:rsidRPr="000C7549" w:rsidRDefault="00E723C2" w:rsidP="00C9273B">
            <w:pPr>
              <w:rPr>
                <w:rFonts w:ascii="Arial" w:hAnsi="Arial" w:cs="Arial"/>
              </w:rPr>
            </w:pPr>
            <w:r w:rsidRPr="000C7549">
              <w:rPr>
                <w:rFonts w:ascii="Arial" w:hAnsi="Arial" w:cs="Arial"/>
                <w:color w:val="000000"/>
              </w:rPr>
              <w:t>Family</w:t>
            </w:r>
          </w:p>
        </w:tc>
        <w:tc>
          <w:tcPr>
            <w:tcW w:w="1444" w:type="dxa"/>
            <w:vAlign w:val="bottom"/>
          </w:tcPr>
          <w:p w14:paraId="24336C6C" w14:textId="77777777" w:rsidR="00E723C2" w:rsidRPr="000C7549" w:rsidRDefault="00E723C2" w:rsidP="00C9273B">
            <w:pPr>
              <w:rPr>
                <w:rFonts w:ascii="Arial" w:hAnsi="Arial" w:cs="Arial"/>
              </w:rPr>
            </w:pPr>
            <w:r w:rsidRPr="000C7549">
              <w:rPr>
                <w:rFonts w:ascii="Arial" w:hAnsi="Arial" w:cs="Arial"/>
                <w:color w:val="000000"/>
              </w:rPr>
              <w:t>Percentage</w:t>
            </w:r>
          </w:p>
        </w:tc>
        <w:tc>
          <w:tcPr>
            <w:tcW w:w="1890" w:type="dxa"/>
            <w:shd w:val="clear" w:color="auto" w:fill="auto"/>
            <w:vAlign w:val="bottom"/>
          </w:tcPr>
          <w:p w14:paraId="63D32441" w14:textId="77777777" w:rsidR="00E723C2" w:rsidRPr="000C7549" w:rsidRDefault="00E723C2" w:rsidP="00C9273B">
            <w:pPr>
              <w:rPr>
                <w:rFonts w:ascii="Arial" w:hAnsi="Arial" w:cs="Arial"/>
              </w:rPr>
            </w:pPr>
            <w:r w:rsidRPr="000C7549">
              <w:rPr>
                <w:rFonts w:ascii="Arial" w:hAnsi="Arial" w:cs="Arial"/>
                <w:color w:val="000000"/>
              </w:rPr>
              <w:t>Count</w:t>
            </w:r>
          </w:p>
        </w:tc>
      </w:tr>
      <w:tr w:rsidR="00E723C2" w:rsidRPr="000C7549" w14:paraId="59398FCB" w14:textId="77777777" w:rsidTr="007663D1">
        <w:tc>
          <w:tcPr>
            <w:tcW w:w="2700" w:type="dxa"/>
            <w:shd w:val="clear" w:color="auto" w:fill="auto"/>
            <w:vAlign w:val="bottom"/>
          </w:tcPr>
          <w:p w14:paraId="6E21DFCA" w14:textId="77777777" w:rsidR="00E723C2" w:rsidRPr="000C7549" w:rsidRDefault="00E723C2" w:rsidP="00C9273B">
            <w:pPr>
              <w:rPr>
                <w:rFonts w:ascii="Arial" w:hAnsi="Arial" w:cs="Arial"/>
              </w:rPr>
            </w:pPr>
            <w:r w:rsidRPr="000C7549">
              <w:rPr>
                <w:rFonts w:ascii="Arial" w:hAnsi="Arial" w:cs="Arial"/>
                <w:color w:val="000000"/>
              </w:rPr>
              <w:t>Coleoptera, n=801</w:t>
            </w:r>
          </w:p>
        </w:tc>
        <w:tc>
          <w:tcPr>
            <w:tcW w:w="1898" w:type="dxa"/>
            <w:vAlign w:val="bottom"/>
          </w:tcPr>
          <w:p w14:paraId="24934271" w14:textId="77777777" w:rsidR="00E723C2" w:rsidRPr="000C7549" w:rsidRDefault="00E723C2" w:rsidP="00C9273B">
            <w:pPr>
              <w:rPr>
                <w:rFonts w:ascii="Arial" w:hAnsi="Arial" w:cs="Arial"/>
              </w:rPr>
            </w:pPr>
            <w:r w:rsidRPr="000C7549">
              <w:rPr>
                <w:rFonts w:ascii="Arial" w:hAnsi="Arial" w:cs="Arial"/>
                <w:color w:val="000000"/>
              </w:rPr>
              <w:t>Cantharidae</w:t>
            </w:r>
          </w:p>
        </w:tc>
        <w:tc>
          <w:tcPr>
            <w:tcW w:w="1444" w:type="dxa"/>
            <w:vAlign w:val="bottom"/>
          </w:tcPr>
          <w:p w14:paraId="4068BED8" w14:textId="77777777" w:rsidR="00E723C2" w:rsidRPr="000C7549" w:rsidRDefault="00E723C2" w:rsidP="00C9273B">
            <w:pPr>
              <w:rPr>
                <w:rFonts w:ascii="Arial" w:hAnsi="Arial" w:cs="Arial"/>
              </w:rPr>
            </w:pPr>
            <w:r w:rsidRPr="000C7549">
              <w:rPr>
                <w:rFonts w:ascii="Arial" w:hAnsi="Arial" w:cs="Arial"/>
                <w:color w:val="000000"/>
              </w:rPr>
              <w:t>87.1%</w:t>
            </w:r>
          </w:p>
        </w:tc>
        <w:tc>
          <w:tcPr>
            <w:tcW w:w="1890" w:type="dxa"/>
            <w:shd w:val="clear" w:color="auto" w:fill="auto"/>
            <w:vAlign w:val="bottom"/>
          </w:tcPr>
          <w:p w14:paraId="0D6E3D7D" w14:textId="77777777" w:rsidR="00E723C2" w:rsidRPr="000C7549" w:rsidRDefault="00E723C2" w:rsidP="00C9273B">
            <w:pPr>
              <w:rPr>
                <w:rFonts w:ascii="Arial" w:hAnsi="Arial" w:cs="Arial"/>
              </w:rPr>
            </w:pPr>
            <w:r w:rsidRPr="000C7549">
              <w:rPr>
                <w:rFonts w:ascii="Arial" w:hAnsi="Arial" w:cs="Arial"/>
                <w:color w:val="000000"/>
              </w:rPr>
              <w:t>698</w:t>
            </w:r>
          </w:p>
        </w:tc>
      </w:tr>
      <w:tr w:rsidR="00E723C2" w:rsidRPr="000C7549" w14:paraId="175E0C44" w14:textId="77777777" w:rsidTr="007663D1">
        <w:tc>
          <w:tcPr>
            <w:tcW w:w="2700" w:type="dxa"/>
            <w:shd w:val="clear" w:color="auto" w:fill="auto"/>
            <w:vAlign w:val="bottom"/>
          </w:tcPr>
          <w:p w14:paraId="104E3F1B" w14:textId="77777777" w:rsidR="00E723C2" w:rsidRPr="000C7549" w:rsidRDefault="00E723C2" w:rsidP="00C9273B">
            <w:pPr>
              <w:rPr>
                <w:rFonts w:ascii="Arial" w:hAnsi="Arial" w:cs="Arial"/>
              </w:rPr>
            </w:pPr>
          </w:p>
        </w:tc>
        <w:tc>
          <w:tcPr>
            <w:tcW w:w="1898" w:type="dxa"/>
            <w:vAlign w:val="bottom"/>
          </w:tcPr>
          <w:p w14:paraId="24D7B8EA" w14:textId="77777777" w:rsidR="00E723C2" w:rsidRPr="000C7549" w:rsidRDefault="00E723C2" w:rsidP="00C9273B">
            <w:pPr>
              <w:rPr>
                <w:rFonts w:ascii="Arial" w:hAnsi="Arial" w:cs="Arial"/>
              </w:rPr>
            </w:pPr>
            <w:r w:rsidRPr="000C7549">
              <w:rPr>
                <w:rFonts w:ascii="Arial" w:hAnsi="Arial" w:cs="Arial"/>
                <w:color w:val="000000"/>
              </w:rPr>
              <w:t>Unidentified</w:t>
            </w:r>
          </w:p>
        </w:tc>
        <w:tc>
          <w:tcPr>
            <w:tcW w:w="1444" w:type="dxa"/>
            <w:vAlign w:val="bottom"/>
          </w:tcPr>
          <w:p w14:paraId="02DDB524" w14:textId="77777777" w:rsidR="00E723C2" w:rsidRPr="000C7549" w:rsidRDefault="00E723C2" w:rsidP="00C9273B">
            <w:pPr>
              <w:rPr>
                <w:rFonts w:ascii="Arial" w:hAnsi="Arial" w:cs="Arial"/>
              </w:rPr>
            </w:pPr>
            <w:r w:rsidRPr="000C7549">
              <w:rPr>
                <w:rFonts w:ascii="Arial" w:hAnsi="Arial" w:cs="Arial"/>
                <w:color w:val="000000"/>
              </w:rPr>
              <w:t>3.6%</w:t>
            </w:r>
          </w:p>
        </w:tc>
        <w:tc>
          <w:tcPr>
            <w:tcW w:w="1890" w:type="dxa"/>
            <w:shd w:val="clear" w:color="auto" w:fill="auto"/>
            <w:vAlign w:val="bottom"/>
          </w:tcPr>
          <w:p w14:paraId="0E7AC82D" w14:textId="77777777" w:rsidR="00E723C2" w:rsidRPr="000C7549" w:rsidRDefault="00E723C2" w:rsidP="00C9273B">
            <w:pPr>
              <w:rPr>
                <w:rFonts w:ascii="Arial" w:hAnsi="Arial" w:cs="Arial"/>
              </w:rPr>
            </w:pPr>
            <w:r w:rsidRPr="000C7549">
              <w:rPr>
                <w:rFonts w:ascii="Arial" w:hAnsi="Arial" w:cs="Arial"/>
                <w:color w:val="000000"/>
              </w:rPr>
              <w:t>25</w:t>
            </w:r>
          </w:p>
        </w:tc>
      </w:tr>
      <w:tr w:rsidR="00E723C2" w:rsidRPr="000C7549" w14:paraId="7D6FC98F" w14:textId="77777777" w:rsidTr="007663D1">
        <w:tc>
          <w:tcPr>
            <w:tcW w:w="2700" w:type="dxa"/>
            <w:shd w:val="clear" w:color="auto" w:fill="auto"/>
            <w:vAlign w:val="bottom"/>
          </w:tcPr>
          <w:p w14:paraId="0E0953BD" w14:textId="77777777" w:rsidR="00E723C2" w:rsidRPr="000C7549" w:rsidRDefault="00E723C2" w:rsidP="00C9273B">
            <w:pPr>
              <w:rPr>
                <w:rFonts w:ascii="Arial" w:hAnsi="Arial" w:cs="Arial"/>
              </w:rPr>
            </w:pPr>
          </w:p>
        </w:tc>
        <w:tc>
          <w:tcPr>
            <w:tcW w:w="1898" w:type="dxa"/>
            <w:vAlign w:val="bottom"/>
          </w:tcPr>
          <w:p w14:paraId="16DE34A2" w14:textId="77777777" w:rsidR="00E723C2" w:rsidRPr="000C7549" w:rsidRDefault="00E723C2" w:rsidP="00C9273B">
            <w:pPr>
              <w:rPr>
                <w:rFonts w:ascii="Arial" w:hAnsi="Arial" w:cs="Arial"/>
              </w:rPr>
            </w:pPr>
            <w:r w:rsidRPr="000C7549">
              <w:rPr>
                <w:rFonts w:ascii="Arial" w:hAnsi="Arial" w:cs="Arial"/>
                <w:color w:val="000000"/>
              </w:rPr>
              <w:t>Meloidae*</w:t>
            </w:r>
          </w:p>
        </w:tc>
        <w:tc>
          <w:tcPr>
            <w:tcW w:w="1444" w:type="dxa"/>
            <w:vAlign w:val="bottom"/>
          </w:tcPr>
          <w:p w14:paraId="6595DC74" w14:textId="77777777" w:rsidR="00E723C2" w:rsidRPr="000C7549" w:rsidRDefault="00E723C2" w:rsidP="00C9273B">
            <w:pPr>
              <w:rPr>
                <w:rFonts w:ascii="Arial" w:hAnsi="Arial" w:cs="Arial"/>
              </w:rPr>
            </w:pPr>
            <w:r w:rsidRPr="000C7549">
              <w:rPr>
                <w:rFonts w:ascii="Arial" w:hAnsi="Arial" w:cs="Arial"/>
                <w:color w:val="000000"/>
              </w:rPr>
              <w:t>3.0%</w:t>
            </w:r>
          </w:p>
        </w:tc>
        <w:tc>
          <w:tcPr>
            <w:tcW w:w="1890" w:type="dxa"/>
            <w:shd w:val="clear" w:color="auto" w:fill="auto"/>
            <w:vAlign w:val="bottom"/>
          </w:tcPr>
          <w:p w14:paraId="4137316C" w14:textId="77777777" w:rsidR="00E723C2" w:rsidRPr="000C7549" w:rsidRDefault="00E723C2" w:rsidP="00C9273B">
            <w:pPr>
              <w:rPr>
                <w:rFonts w:ascii="Arial" w:hAnsi="Arial" w:cs="Arial"/>
              </w:rPr>
            </w:pPr>
            <w:r w:rsidRPr="000C7549">
              <w:rPr>
                <w:rFonts w:ascii="Arial" w:hAnsi="Arial" w:cs="Arial"/>
                <w:color w:val="000000"/>
              </w:rPr>
              <w:t>24</w:t>
            </w:r>
          </w:p>
        </w:tc>
      </w:tr>
      <w:tr w:rsidR="00E723C2" w:rsidRPr="000C7549" w14:paraId="3B9BC36C" w14:textId="77777777" w:rsidTr="007663D1">
        <w:tc>
          <w:tcPr>
            <w:tcW w:w="2700" w:type="dxa"/>
            <w:shd w:val="clear" w:color="auto" w:fill="auto"/>
            <w:vAlign w:val="bottom"/>
          </w:tcPr>
          <w:p w14:paraId="44945E2C" w14:textId="77777777" w:rsidR="00E723C2" w:rsidRPr="000C7549" w:rsidRDefault="00E723C2" w:rsidP="00C9273B">
            <w:pPr>
              <w:rPr>
                <w:rFonts w:ascii="Arial" w:hAnsi="Arial" w:cs="Arial"/>
              </w:rPr>
            </w:pPr>
          </w:p>
        </w:tc>
        <w:tc>
          <w:tcPr>
            <w:tcW w:w="1898" w:type="dxa"/>
            <w:vAlign w:val="bottom"/>
          </w:tcPr>
          <w:p w14:paraId="0AED9521" w14:textId="77777777" w:rsidR="00E723C2" w:rsidRPr="000C7549" w:rsidRDefault="00E723C2" w:rsidP="00C9273B">
            <w:pPr>
              <w:rPr>
                <w:rFonts w:ascii="Arial" w:hAnsi="Arial" w:cs="Arial"/>
              </w:rPr>
            </w:pPr>
            <w:r w:rsidRPr="000C7549">
              <w:rPr>
                <w:rFonts w:ascii="Arial" w:hAnsi="Arial" w:cs="Arial"/>
                <w:color w:val="000000"/>
              </w:rPr>
              <w:t>Mordellidae</w:t>
            </w:r>
          </w:p>
        </w:tc>
        <w:tc>
          <w:tcPr>
            <w:tcW w:w="1444" w:type="dxa"/>
            <w:vAlign w:val="bottom"/>
          </w:tcPr>
          <w:p w14:paraId="577ECFFB" w14:textId="77777777" w:rsidR="00E723C2" w:rsidRPr="000C7549" w:rsidRDefault="00E723C2" w:rsidP="00C9273B">
            <w:pPr>
              <w:rPr>
                <w:rFonts w:ascii="Arial" w:hAnsi="Arial" w:cs="Arial"/>
              </w:rPr>
            </w:pPr>
            <w:r w:rsidRPr="000C7549">
              <w:rPr>
                <w:rFonts w:ascii="Arial" w:hAnsi="Arial" w:cs="Arial"/>
                <w:color w:val="000000"/>
              </w:rPr>
              <w:t>2.9%</w:t>
            </w:r>
          </w:p>
        </w:tc>
        <w:tc>
          <w:tcPr>
            <w:tcW w:w="1890" w:type="dxa"/>
            <w:shd w:val="clear" w:color="auto" w:fill="auto"/>
            <w:vAlign w:val="bottom"/>
          </w:tcPr>
          <w:p w14:paraId="36FDA47B" w14:textId="77777777" w:rsidR="00E723C2" w:rsidRPr="000C7549" w:rsidRDefault="00E723C2" w:rsidP="00C9273B">
            <w:pPr>
              <w:rPr>
                <w:rFonts w:ascii="Arial" w:hAnsi="Arial" w:cs="Arial"/>
              </w:rPr>
            </w:pPr>
            <w:r w:rsidRPr="000C7549">
              <w:rPr>
                <w:rFonts w:ascii="Arial" w:hAnsi="Arial" w:cs="Arial"/>
                <w:color w:val="000000"/>
              </w:rPr>
              <w:t>23</w:t>
            </w:r>
          </w:p>
        </w:tc>
      </w:tr>
      <w:tr w:rsidR="00E723C2" w:rsidRPr="000C7549" w14:paraId="2DDBF767" w14:textId="77777777" w:rsidTr="007663D1">
        <w:tc>
          <w:tcPr>
            <w:tcW w:w="2700" w:type="dxa"/>
            <w:shd w:val="clear" w:color="auto" w:fill="auto"/>
            <w:vAlign w:val="bottom"/>
          </w:tcPr>
          <w:p w14:paraId="61A4DDAD" w14:textId="77777777" w:rsidR="00E723C2" w:rsidRPr="000C7549" w:rsidRDefault="00E723C2" w:rsidP="00C9273B">
            <w:pPr>
              <w:rPr>
                <w:rFonts w:ascii="Arial" w:hAnsi="Arial" w:cs="Arial"/>
              </w:rPr>
            </w:pPr>
          </w:p>
        </w:tc>
        <w:tc>
          <w:tcPr>
            <w:tcW w:w="1898" w:type="dxa"/>
            <w:vAlign w:val="bottom"/>
          </w:tcPr>
          <w:p w14:paraId="0CD90EB7" w14:textId="77777777" w:rsidR="00E723C2" w:rsidRPr="000C7549" w:rsidRDefault="00E723C2" w:rsidP="00C9273B">
            <w:pPr>
              <w:rPr>
                <w:rFonts w:ascii="Arial" w:hAnsi="Arial" w:cs="Arial"/>
              </w:rPr>
            </w:pPr>
            <w:r w:rsidRPr="000C7549">
              <w:rPr>
                <w:rFonts w:ascii="Arial" w:hAnsi="Arial" w:cs="Arial"/>
                <w:color w:val="000000"/>
              </w:rPr>
              <w:t>Chrysomelidae</w:t>
            </w:r>
          </w:p>
        </w:tc>
        <w:tc>
          <w:tcPr>
            <w:tcW w:w="1444" w:type="dxa"/>
            <w:vAlign w:val="bottom"/>
          </w:tcPr>
          <w:p w14:paraId="7E16464A" w14:textId="77777777" w:rsidR="00E723C2" w:rsidRPr="000C7549" w:rsidRDefault="00E723C2" w:rsidP="00C9273B">
            <w:pPr>
              <w:rPr>
                <w:rFonts w:ascii="Arial" w:hAnsi="Arial" w:cs="Arial"/>
              </w:rPr>
            </w:pPr>
            <w:r w:rsidRPr="000C7549">
              <w:rPr>
                <w:rFonts w:ascii="Arial" w:hAnsi="Arial" w:cs="Arial"/>
                <w:color w:val="000000"/>
              </w:rPr>
              <w:t>1.1%</w:t>
            </w:r>
          </w:p>
        </w:tc>
        <w:tc>
          <w:tcPr>
            <w:tcW w:w="1890" w:type="dxa"/>
            <w:shd w:val="clear" w:color="auto" w:fill="auto"/>
            <w:vAlign w:val="bottom"/>
          </w:tcPr>
          <w:p w14:paraId="37936D7C" w14:textId="77777777" w:rsidR="00E723C2" w:rsidRPr="000C7549" w:rsidRDefault="00E723C2" w:rsidP="00C9273B">
            <w:pPr>
              <w:rPr>
                <w:rFonts w:ascii="Arial" w:hAnsi="Arial" w:cs="Arial"/>
              </w:rPr>
            </w:pPr>
            <w:r w:rsidRPr="000C7549">
              <w:rPr>
                <w:rFonts w:ascii="Arial" w:hAnsi="Arial" w:cs="Arial"/>
                <w:color w:val="000000"/>
              </w:rPr>
              <w:t>9</w:t>
            </w:r>
          </w:p>
        </w:tc>
      </w:tr>
      <w:tr w:rsidR="00E723C2" w:rsidRPr="000C7549" w14:paraId="2F4276D1" w14:textId="77777777" w:rsidTr="007663D1">
        <w:tc>
          <w:tcPr>
            <w:tcW w:w="2700" w:type="dxa"/>
            <w:shd w:val="clear" w:color="auto" w:fill="auto"/>
            <w:vAlign w:val="bottom"/>
          </w:tcPr>
          <w:p w14:paraId="6AAEFD96" w14:textId="77777777" w:rsidR="00E723C2" w:rsidRPr="000C7549" w:rsidRDefault="00E723C2" w:rsidP="00C9273B">
            <w:pPr>
              <w:rPr>
                <w:rFonts w:ascii="Arial" w:hAnsi="Arial" w:cs="Arial"/>
              </w:rPr>
            </w:pPr>
          </w:p>
        </w:tc>
        <w:tc>
          <w:tcPr>
            <w:tcW w:w="1898" w:type="dxa"/>
            <w:vAlign w:val="bottom"/>
          </w:tcPr>
          <w:p w14:paraId="56435528" w14:textId="77777777" w:rsidR="00E723C2" w:rsidRPr="000C7549" w:rsidRDefault="00E723C2" w:rsidP="00C9273B">
            <w:pPr>
              <w:rPr>
                <w:rFonts w:ascii="Arial" w:hAnsi="Arial" w:cs="Arial"/>
              </w:rPr>
            </w:pPr>
            <w:r w:rsidRPr="000C7549">
              <w:rPr>
                <w:rFonts w:ascii="Arial" w:hAnsi="Arial" w:cs="Arial"/>
                <w:color w:val="000000"/>
              </w:rPr>
              <w:t>Curculionidae</w:t>
            </w:r>
          </w:p>
        </w:tc>
        <w:tc>
          <w:tcPr>
            <w:tcW w:w="1444" w:type="dxa"/>
            <w:vAlign w:val="bottom"/>
          </w:tcPr>
          <w:p w14:paraId="7026CE6C" w14:textId="77777777" w:rsidR="00E723C2" w:rsidRPr="000C7549" w:rsidRDefault="00E723C2" w:rsidP="00C9273B">
            <w:pPr>
              <w:rPr>
                <w:rFonts w:ascii="Arial" w:hAnsi="Arial" w:cs="Arial"/>
              </w:rPr>
            </w:pPr>
            <w:r w:rsidRPr="000C7549">
              <w:rPr>
                <w:rFonts w:ascii="Arial" w:hAnsi="Arial" w:cs="Arial"/>
                <w:color w:val="000000"/>
              </w:rPr>
              <w:t>1.1%</w:t>
            </w:r>
          </w:p>
        </w:tc>
        <w:tc>
          <w:tcPr>
            <w:tcW w:w="1890" w:type="dxa"/>
            <w:shd w:val="clear" w:color="auto" w:fill="auto"/>
            <w:vAlign w:val="bottom"/>
          </w:tcPr>
          <w:p w14:paraId="1BC9FED8" w14:textId="77777777" w:rsidR="00E723C2" w:rsidRPr="000C7549" w:rsidRDefault="00E723C2" w:rsidP="00C9273B">
            <w:pPr>
              <w:rPr>
                <w:rFonts w:ascii="Arial" w:hAnsi="Arial" w:cs="Arial"/>
              </w:rPr>
            </w:pPr>
            <w:r w:rsidRPr="000C7549">
              <w:rPr>
                <w:rFonts w:ascii="Arial" w:hAnsi="Arial" w:cs="Arial"/>
                <w:color w:val="000000"/>
              </w:rPr>
              <w:t>9</w:t>
            </w:r>
          </w:p>
        </w:tc>
      </w:tr>
      <w:tr w:rsidR="00E723C2" w:rsidRPr="000C7549" w14:paraId="136CC580" w14:textId="77777777" w:rsidTr="007663D1">
        <w:tc>
          <w:tcPr>
            <w:tcW w:w="2700" w:type="dxa"/>
            <w:shd w:val="clear" w:color="auto" w:fill="auto"/>
            <w:vAlign w:val="bottom"/>
          </w:tcPr>
          <w:p w14:paraId="23D4FB4E" w14:textId="77777777" w:rsidR="00E723C2" w:rsidRPr="000C7549" w:rsidRDefault="00E723C2" w:rsidP="00C9273B">
            <w:pPr>
              <w:rPr>
                <w:rFonts w:ascii="Arial" w:hAnsi="Arial" w:cs="Arial"/>
              </w:rPr>
            </w:pPr>
          </w:p>
        </w:tc>
        <w:tc>
          <w:tcPr>
            <w:tcW w:w="1898" w:type="dxa"/>
            <w:vAlign w:val="bottom"/>
          </w:tcPr>
          <w:p w14:paraId="3CB9AED6" w14:textId="77777777" w:rsidR="00E723C2" w:rsidRPr="000C7549" w:rsidRDefault="00E723C2" w:rsidP="00C9273B">
            <w:pPr>
              <w:rPr>
                <w:rFonts w:ascii="Arial" w:hAnsi="Arial" w:cs="Arial"/>
              </w:rPr>
            </w:pPr>
            <w:r w:rsidRPr="000C7549">
              <w:rPr>
                <w:rFonts w:ascii="Arial" w:hAnsi="Arial" w:cs="Arial"/>
                <w:color w:val="000000"/>
              </w:rPr>
              <w:t>Cerambycidae</w:t>
            </w:r>
          </w:p>
        </w:tc>
        <w:tc>
          <w:tcPr>
            <w:tcW w:w="1444" w:type="dxa"/>
            <w:vAlign w:val="bottom"/>
          </w:tcPr>
          <w:p w14:paraId="3A7516DE" w14:textId="77777777" w:rsidR="00E723C2" w:rsidRPr="000C7549" w:rsidRDefault="00E723C2" w:rsidP="00C9273B">
            <w:pPr>
              <w:rPr>
                <w:rFonts w:ascii="Arial" w:hAnsi="Arial" w:cs="Arial"/>
              </w:rPr>
            </w:pPr>
            <w:r w:rsidRPr="000C7549">
              <w:rPr>
                <w:rFonts w:ascii="Arial" w:hAnsi="Arial" w:cs="Arial"/>
                <w:color w:val="000000"/>
              </w:rPr>
              <w:t>0.6%</w:t>
            </w:r>
          </w:p>
        </w:tc>
        <w:tc>
          <w:tcPr>
            <w:tcW w:w="1890" w:type="dxa"/>
            <w:shd w:val="clear" w:color="auto" w:fill="auto"/>
            <w:vAlign w:val="bottom"/>
          </w:tcPr>
          <w:p w14:paraId="38FB154C" w14:textId="77777777" w:rsidR="00E723C2" w:rsidRPr="000C7549" w:rsidRDefault="00E723C2" w:rsidP="00C9273B">
            <w:pPr>
              <w:rPr>
                <w:rFonts w:ascii="Arial" w:hAnsi="Arial" w:cs="Arial"/>
              </w:rPr>
            </w:pPr>
            <w:r w:rsidRPr="000C7549">
              <w:rPr>
                <w:rFonts w:ascii="Arial" w:hAnsi="Arial" w:cs="Arial"/>
                <w:color w:val="000000"/>
              </w:rPr>
              <w:t>5</w:t>
            </w:r>
          </w:p>
        </w:tc>
      </w:tr>
      <w:tr w:rsidR="00E723C2" w:rsidRPr="000C7549" w14:paraId="04A751A1" w14:textId="77777777" w:rsidTr="007663D1">
        <w:tc>
          <w:tcPr>
            <w:tcW w:w="2700" w:type="dxa"/>
            <w:shd w:val="clear" w:color="auto" w:fill="auto"/>
            <w:vAlign w:val="bottom"/>
          </w:tcPr>
          <w:p w14:paraId="4EE17E84" w14:textId="77777777" w:rsidR="00E723C2" w:rsidRPr="000C7549" w:rsidRDefault="00E723C2" w:rsidP="00C9273B">
            <w:pPr>
              <w:rPr>
                <w:rFonts w:ascii="Arial" w:hAnsi="Arial" w:cs="Arial"/>
              </w:rPr>
            </w:pPr>
          </w:p>
        </w:tc>
        <w:tc>
          <w:tcPr>
            <w:tcW w:w="1898" w:type="dxa"/>
            <w:vAlign w:val="bottom"/>
          </w:tcPr>
          <w:p w14:paraId="3BBF5E94" w14:textId="77777777" w:rsidR="00E723C2" w:rsidRPr="000C7549" w:rsidRDefault="00E723C2" w:rsidP="00C9273B">
            <w:pPr>
              <w:rPr>
                <w:rFonts w:ascii="Arial" w:hAnsi="Arial" w:cs="Arial"/>
              </w:rPr>
            </w:pPr>
            <w:r w:rsidRPr="000C7549">
              <w:rPr>
                <w:rFonts w:ascii="Arial" w:hAnsi="Arial" w:cs="Arial"/>
                <w:color w:val="000000"/>
              </w:rPr>
              <w:t>Scarabaeidae</w:t>
            </w:r>
          </w:p>
        </w:tc>
        <w:tc>
          <w:tcPr>
            <w:tcW w:w="1444" w:type="dxa"/>
            <w:vAlign w:val="bottom"/>
          </w:tcPr>
          <w:p w14:paraId="379C1853" w14:textId="77777777" w:rsidR="00E723C2" w:rsidRPr="000C7549" w:rsidRDefault="00E723C2" w:rsidP="00C9273B">
            <w:pPr>
              <w:rPr>
                <w:rFonts w:ascii="Arial" w:hAnsi="Arial" w:cs="Arial"/>
              </w:rPr>
            </w:pPr>
            <w:r w:rsidRPr="000C7549">
              <w:rPr>
                <w:rFonts w:ascii="Arial" w:hAnsi="Arial" w:cs="Arial"/>
                <w:color w:val="000000"/>
              </w:rPr>
              <w:t>0.6%</w:t>
            </w:r>
          </w:p>
        </w:tc>
        <w:tc>
          <w:tcPr>
            <w:tcW w:w="1890" w:type="dxa"/>
            <w:shd w:val="clear" w:color="auto" w:fill="auto"/>
            <w:vAlign w:val="bottom"/>
          </w:tcPr>
          <w:p w14:paraId="7A5E09B5" w14:textId="77777777" w:rsidR="00E723C2" w:rsidRPr="000C7549" w:rsidRDefault="00E723C2" w:rsidP="00C9273B">
            <w:pPr>
              <w:rPr>
                <w:rFonts w:ascii="Arial" w:hAnsi="Arial" w:cs="Arial"/>
              </w:rPr>
            </w:pPr>
            <w:r w:rsidRPr="000C7549">
              <w:rPr>
                <w:rFonts w:ascii="Arial" w:hAnsi="Arial" w:cs="Arial"/>
                <w:color w:val="000000"/>
              </w:rPr>
              <w:t>5</w:t>
            </w:r>
          </w:p>
        </w:tc>
      </w:tr>
      <w:tr w:rsidR="00E723C2" w:rsidRPr="000C7549" w14:paraId="7D8FC153" w14:textId="77777777" w:rsidTr="007663D1">
        <w:tc>
          <w:tcPr>
            <w:tcW w:w="2700" w:type="dxa"/>
            <w:shd w:val="clear" w:color="auto" w:fill="auto"/>
            <w:vAlign w:val="bottom"/>
          </w:tcPr>
          <w:p w14:paraId="21F33E1E" w14:textId="77777777" w:rsidR="00E723C2" w:rsidRPr="000C7549" w:rsidRDefault="00E723C2" w:rsidP="00C9273B">
            <w:pPr>
              <w:rPr>
                <w:rFonts w:ascii="Arial" w:hAnsi="Arial" w:cs="Arial"/>
              </w:rPr>
            </w:pPr>
          </w:p>
        </w:tc>
        <w:tc>
          <w:tcPr>
            <w:tcW w:w="1898" w:type="dxa"/>
            <w:vAlign w:val="bottom"/>
          </w:tcPr>
          <w:p w14:paraId="0BA2DA52" w14:textId="77777777" w:rsidR="00E723C2" w:rsidRPr="000C7549" w:rsidRDefault="00E723C2" w:rsidP="00C9273B">
            <w:pPr>
              <w:rPr>
                <w:rFonts w:ascii="Arial" w:hAnsi="Arial" w:cs="Arial"/>
              </w:rPr>
            </w:pPr>
            <w:r w:rsidRPr="000C7549">
              <w:rPr>
                <w:rFonts w:ascii="Arial" w:hAnsi="Arial" w:cs="Arial"/>
                <w:color w:val="000000"/>
              </w:rPr>
              <w:t>Coccinellidae</w:t>
            </w:r>
          </w:p>
        </w:tc>
        <w:tc>
          <w:tcPr>
            <w:tcW w:w="1444" w:type="dxa"/>
            <w:vAlign w:val="bottom"/>
          </w:tcPr>
          <w:p w14:paraId="019E31F7" w14:textId="77777777" w:rsidR="00E723C2" w:rsidRPr="000C7549" w:rsidRDefault="00E723C2" w:rsidP="00C9273B">
            <w:pPr>
              <w:rPr>
                <w:rFonts w:ascii="Arial" w:hAnsi="Arial" w:cs="Arial"/>
              </w:rPr>
            </w:pPr>
            <w:r w:rsidRPr="000C7549">
              <w:rPr>
                <w:rFonts w:ascii="Arial" w:hAnsi="Arial" w:cs="Arial"/>
                <w:color w:val="000000"/>
              </w:rPr>
              <w:t>0.3%</w:t>
            </w:r>
          </w:p>
        </w:tc>
        <w:tc>
          <w:tcPr>
            <w:tcW w:w="1890" w:type="dxa"/>
            <w:shd w:val="clear" w:color="auto" w:fill="auto"/>
            <w:vAlign w:val="bottom"/>
          </w:tcPr>
          <w:p w14:paraId="2CEF90B9" w14:textId="77777777" w:rsidR="00E723C2" w:rsidRPr="000C7549" w:rsidRDefault="00E723C2" w:rsidP="00C9273B">
            <w:pPr>
              <w:rPr>
                <w:rFonts w:ascii="Arial" w:hAnsi="Arial" w:cs="Arial"/>
              </w:rPr>
            </w:pPr>
            <w:r w:rsidRPr="000C7549">
              <w:rPr>
                <w:rFonts w:ascii="Arial" w:hAnsi="Arial" w:cs="Arial"/>
                <w:color w:val="000000"/>
              </w:rPr>
              <w:t>2</w:t>
            </w:r>
          </w:p>
        </w:tc>
      </w:tr>
      <w:tr w:rsidR="00E723C2" w:rsidRPr="000C7549" w14:paraId="1BD16634" w14:textId="77777777" w:rsidTr="007663D1">
        <w:tc>
          <w:tcPr>
            <w:tcW w:w="2700" w:type="dxa"/>
            <w:shd w:val="clear" w:color="auto" w:fill="auto"/>
            <w:vAlign w:val="bottom"/>
          </w:tcPr>
          <w:p w14:paraId="0EF89ABC" w14:textId="77777777" w:rsidR="00E723C2" w:rsidRPr="000C7549" w:rsidRDefault="00E723C2" w:rsidP="00C9273B">
            <w:pPr>
              <w:rPr>
                <w:rFonts w:ascii="Arial" w:hAnsi="Arial" w:cs="Arial"/>
              </w:rPr>
            </w:pPr>
          </w:p>
        </w:tc>
        <w:tc>
          <w:tcPr>
            <w:tcW w:w="1898" w:type="dxa"/>
            <w:vAlign w:val="bottom"/>
          </w:tcPr>
          <w:p w14:paraId="7254C6AE" w14:textId="77777777" w:rsidR="00E723C2" w:rsidRPr="000C7549" w:rsidRDefault="00E723C2" w:rsidP="00C9273B">
            <w:pPr>
              <w:rPr>
                <w:rFonts w:ascii="Arial" w:hAnsi="Arial" w:cs="Arial"/>
              </w:rPr>
            </w:pPr>
            <w:r w:rsidRPr="000C7549">
              <w:rPr>
                <w:rFonts w:ascii="Arial" w:hAnsi="Arial" w:cs="Arial"/>
                <w:color w:val="000000"/>
              </w:rPr>
              <w:t>Lampyridae</w:t>
            </w:r>
          </w:p>
        </w:tc>
        <w:tc>
          <w:tcPr>
            <w:tcW w:w="1444" w:type="dxa"/>
            <w:vAlign w:val="bottom"/>
          </w:tcPr>
          <w:p w14:paraId="3956FDBE" w14:textId="77777777" w:rsidR="00E723C2" w:rsidRPr="000C7549" w:rsidRDefault="00E723C2" w:rsidP="00C9273B">
            <w:pPr>
              <w:rPr>
                <w:rFonts w:ascii="Arial" w:hAnsi="Arial" w:cs="Arial"/>
              </w:rPr>
            </w:pPr>
            <w:r w:rsidRPr="000C7549">
              <w:rPr>
                <w:rFonts w:ascii="Arial" w:hAnsi="Arial" w:cs="Arial"/>
                <w:color w:val="000000"/>
              </w:rPr>
              <w:t>0.1%</w:t>
            </w:r>
          </w:p>
        </w:tc>
        <w:tc>
          <w:tcPr>
            <w:tcW w:w="1890" w:type="dxa"/>
            <w:shd w:val="clear" w:color="auto" w:fill="auto"/>
            <w:vAlign w:val="bottom"/>
          </w:tcPr>
          <w:p w14:paraId="595137AA"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2EAC682E" w14:textId="77777777" w:rsidTr="007663D1">
        <w:trPr>
          <w:trHeight w:val="179"/>
        </w:trPr>
        <w:tc>
          <w:tcPr>
            <w:tcW w:w="2700" w:type="dxa"/>
            <w:shd w:val="clear" w:color="auto" w:fill="auto"/>
            <w:vAlign w:val="bottom"/>
          </w:tcPr>
          <w:p w14:paraId="4B4A8C84" w14:textId="77777777" w:rsidR="00E723C2" w:rsidRPr="000C7549" w:rsidRDefault="00E723C2" w:rsidP="00C9273B">
            <w:pPr>
              <w:rPr>
                <w:rFonts w:ascii="Arial" w:hAnsi="Arial" w:cs="Arial"/>
              </w:rPr>
            </w:pPr>
            <w:r w:rsidRPr="000C7549">
              <w:rPr>
                <w:rFonts w:ascii="Arial" w:hAnsi="Arial" w:cs="Arial"/>
                <w:color w:val="000000"/>
              </w:rPr>
              <w:t>Diptera, n=305</w:t>
            </w:r>
          </w:p>
        </w:tc>
        <w:tc>
          <w:tcPr>
            <w:tcW w:w="1898" w:type="dxa"/>
            <w:vAlign w:val="bottom"/>
          </w:tcPr>
          <w:p w14:paraId="05FD8391" w14:textId="77777777" w:rsidR="00E723C2" w:rsidRPr="000C7549" w:rsidRDefault="00E723C2" w:rsidP="00C9273B">
            <w:pPr>
              <w:rPr>
                <w:rFonts w:ascii="Arial" w:hAnsi="Arial" w:cs="Arial"/>
              </w:rPr>
            </w:pPr>
            <w:r w:rsidRPr="000C7549">
              <w:rPr>
                <w:rFonts w:ascii="Arial" w:hAnsi="Arial" w:cs="Arial"/>
                <w:color w:val="000000"/>
              </w:rPr>
              <w:t>Syrphidae</w:t>
            </w:r>
          </w:p>
        </w:tc>
        <w:tc>
          <w:tcPr>
            <w:tcW w:w="1444" w:type="dxa"/>
            <w:vAlign w:val="bottom"/>
          </w:tcPr>
          <w:p w14:paraId="69ACFC75" w14:textId="77777777" w:rsidR="00E723C2" w:rsidRPr="000C7549" w:rsidRDefault="00E723C2" w:rsidP="00C9273B">
            <w:pPr>
              <w:rPr>
                <w:rFonts w:ascii="Arial" w:hAnsi="Arial" w:cs="Arial"/>
              </w:rPr>
            </w:pPr>
            <w:r w:rsidRPr="000C7549">
              <w:rPr>
                <w:rFonts w:ascii="Arial" w:hAnsi="Arial" w:cs="Arial"/>
                <w:color w:val="000000"/>
              </w:rPr>
              <w:t>55.1%</w:t>
            </w:r>
          </w:p>
        </w:tc>
        <w:tc>
          <w:tcPr>
            <w:tcW w:w="1890" w:type="dxa"/>
            <w:shd w:val="clear" w:color="auto" w:fill="auto"/>
            <w:vAlign w:val="bottom"/>
          </w:tcPr>
          <w:p w14:paraId="2C5E09D8" w14:textId="77777777" w:rsidR="00E723C2" w:rsidRPr="000C7549" w:rsidRDefault="00E723C2" w:rsidP="00C9273B">
            <w:pPr>
              <w:rPr>
                <w:rFonts w:ascii="Arial" w:hAnsi="Arial" w:cs="Arial"/>
              </w:rPr>
            </w:pPr>
            <w:r w:rsidRPr="000C7549">
              <w:rPr>
                <w:rFonts w:ascii="Arial" w:hAnsi="Arial" w:cs="Arial"/>
                <w:color w:val="000000"/>
              </w:rPr>
              <w:t>168</w:t>
            </w:r>
          </w:p>
        </w:tc>
      </w:tr>
      <w:tr w:rsidR="00E723C2" w:rsidRPr="000C7549" w14:paraId="391E4787" w14:textId="77777777" w:rsidTr="007663D1">
        <w:tc>
          <w:tcPr>
            <w:tcW w:w="2700" w:type="dxa"/>
            <w:shd w:val="clear" w:color="auto" w:fill="auto"/>
            <w:vAlign w:val="bottom"/>
          </w:tcPr>
          <w:p w14:paraId="272575D8" w14:textId="77777777" w:rsidR="00E723C2" w:rsidRPr="000C7549" w:rsidRDefault="00E723C2" w:rsidP="00C9273B">
            <w:pPr>
              <w:rPr>
                <w:rFonts w:ascii="Arial" w:hAnsi="Arial" w:cs="Arial"/>
              </w:rPr>
            </w:pPr>
          </w:p>
        </w:tc>
        <w:tc>
          <w:tcPr>
            <w:tcW w:w="1898" w:type="dxa"/>
            <w:vAlign w:val="bottom"/>
          </w:tcPr>
          <w:p w14:paraId="63269DBB" w14:textId="77777777" w:rsidR="00E723C2" w:rsidRPr="000C7549" w:rsidRDefault="00E723C2" w:rsidP="00C9273B">
            <w:pPr>
              <w:rPr>
                <w:rFonts w:ascii="Arial" w:hAnsi="Arial" w:cs="Arial"/>
              </w:rPr>
            </w:pPr>
            <w:r w:rsidRPr="000C7549">
              <w:rPr>
                <w:rFonts w:ascii="Arial" w:hAnsi="Arial" w:cs="Arial"/>
                <w:color w:val="000000"/>
              </w:rPr>
              <w:t>Unidentified</w:t>
            </w:r>
          </w:p>
        </w:tc>
        <w:tc>
          <w:tcPr>
            <w:tcW w:w="1444" w:type="dxa"/>
            <w:vAlign w:val="bottom"/>
          </w:tcPr>
          <w:p w14:paraId="5B7E0CF6" w14:textId="77777777" w:rsidR="00E723C2" w:rsidRPr="000C7549" w:rsidRDefault="00E723C2" w:rsidP="00C9273B">
            <w:pPr>
              <w:rPr>
                <w:rFonts w:ascii="Arial" w:hAnsi="Arial" w:cs="Arial"/>
              </w:rPr>
            </w:pPr>
            <w:r w:rsidRPr="000C7549">
              <w:rPr>
                <w:rFonts w:ascii="Arial" w:hAnsi="Arial" w:cs="Arial"/>
                <w:color w:val="000000"/>
              </w:rPr>
              <w:t>22.3%</w:t>
            </w:r>
          </w:p>
        </w:tc>
        <w:tc>
          <w:tcPr>
            <w:tcW w:w="1890" w:type="dxa"/>
            <w:shd w:val="clear" w:color="auto" w:fill="auto"/>
            <w:vAlign w:val="bottom"/>
          </w:tcPr>
          <w:p w14:paraId="0DC42724" w14:textId="77777777" w:rsidR="00E723C2" w:rsidRPr="000C7549" w:rsidRDefault="00E723C2" w:rsidP="00C9273B">
            <w:pPr>
              <w:rPr>
                <w:rFonts w:ascii="Arial" w:hAnsi="Arial" w:cs="Arial"/>
              </w:rPr>
            </w:pPr>
            <w:r w:rsidRPr="000C7549">
              <w:rPr>
                <w:rFonts w:ascii="Arial" w:hAnsi="Arial" w:cs="Arial"/>
                <w:color w:val="000000"/>
              </w:rPr>
              <w:t>68</w:t>
            </w:r>
          </w:p>
        </w:tc>
      </w:tr>
      <w:tr w:rsidR="00E723C2" w:rsidRPr="000C7549" w14:paraId="6DACA181" w14:textId="77777777" w:rsidTr="007663D1">
        <w:tc>
          <w:tcPr>
            <w:tcW w:w="2700" w:type="dxa"/>
            <w:shd w:val="clear" w:color="auto" w:fill="auto"/>
            <w:vAlign w:val="bottom"/>
          </w:tcPr>
          <w:p w14:paraId="59AAC967" w14:textId="77777777" w:rsidR="00E723C2" w:rsidRPr="000C7549" w:rsidRDefault="00E723C2" w:rsidP="00C9273B">
            <w:pPr>
              <w:rPr>
                <w:rFonts w:ascii="Arial" w:hAnsi="Arial" w:cs="Arial"/>
              </w:rPr>
            </w:pPr>
          </w:p>
        </w:tc>
        <w:tc>
          <w:tcPr>
            <w:tcW w:w="1898" w:type="dxa"/>
            <w:vAlign w:val="bottom"/>
          </w:tcPr>
          <w:p w14:paraId="07FD5993" w14:textId="77777777" w:rsidR="00E723C2" w:rsidRPr="000C7549" w:rsidRDefault="00E723C2" w:rsidP="00C9273B">
            <w:pPr>
              <w:rPr>
                <w:rFonts w:ascii="Arial" w:hAnsi="Arial" w:cs="Arial"/>
              </w:rPr>
            </w:pPr>
            <w:r w:rsidRPr="000C7549">
              <w:rPr>
                <w:rFonts w:ascii="Arial" w:hAnsi="Arial" w:cs="Arial"/>
                <w:color w:val="000000"/>
              </w:rPr>
              <w:t>Conopidae</w:t>
            </w:r>
          </w:p>
        </w:tc>
        <w:tc>
          <w:tcPr>
            <w:tcW w:w="1444" w:type="dxa"/>
            <w:vAlign w:val="bottom"/>
          </w:tcPr>
          <w:p w14:paraId="1D62181F" w14:textId="77777777" w:rsidR="00E723C2" w:rsidRPr="000C7549" w:rsidRDefault="00E723C2" w:rsidP="00C9273B">
            <w:pPr>
              <w:rPr>
                <w:rFonts w:ascii="Arial" w:hAnsi="Arial" w:cs="Arial"/>
              </w:rPr>
            </w:pPr>
            <w:r w:rsidRPr="000C7549">
              <w:rPr>
                <w:rFonts w:ascii="Arial" w:hAnsi="Arial" w:cs="Arial"/>
                <w:color w:val="000000"/>
              </w:rPr>
              <w:t>10.8%</w:t>
            </w:r>
          </w:p>
        </w:tc>
        <w:tc>
          <w:tcPr>
            <w:tcW w:w="1890" w:type="dxa"/>
            <w:shd w:val="clear" w:color="auto" w:fill="auto"/>
            <w:vAlign w:val="bottom"/>
          </w:tcPr>
          <w:p w14:paraId="57442E2F" w14:textId="77777777" w:rsidR="00E723C2" w:rsidRPr="000C7549" w:rsidRDefault="00E723C2" w:rsidP="00C9273B">
            <w:pPr>
              <w:rPr>
                <w:rFonts w:ascii="Arial" w:hAnsi="Arial" w:cs="Arial"/>
              </w:rPr>
            </w:pPr>
            <w:r w:rsidRPr="000C7549">
              <w:rPr>
                <w:rFonts w:ascii="Arial" w:hAnsi="Arial" w:cs="Arial"/>
                <w:color w:val="000000"/>
              </w:rPr>
              <w:t>33</w:t>
            </w:r>
          </w:p>
        </w:tc>
      </w:tr>
      <w:tr w:rsidR="00E723C2" w:rsidRPr="000C7549" w14:paraId="46BC978D" w14:textId="77777777" w:rsidTr="007663D1">
        <w:tc>
          <w:tcPr>
            <w:tcW w:w="2700" w:type="dxa"/>
            <w:shd w:val="clear" w:color="auto" w:fill="auto"/>
            <w:vAlign w:val="bottom"/>
          </w:tcPr>
          <w:p w14:paraId="12BCC94D" w14:textId="77777777" w:rsidR="00E723C2" w:rsidRPr="000C7549" w:rsidRDefault="00E723C2" w:rsidP="00C9273B">
            <w:pPr>
              <w:rPr>
                <w:rFonts w:ascii="Arial" w:hAnsi="Arial" w:cs="Arial"/>
              </w:rPr>
            </w:pPr>
          </w:p>
        </w:tc>
        <w:tc>
          <w:tcPr>
            <w:tcW w:w="1898" w:type="dxa"/>
            <w:vAlign w:val="bottom"/>
          </w:tcPr>
          <w:p w14:paraId="6F835720" w14:textId="77777777" w:rsidR="00E723C2" w:rsidRPr="000C7549" w:rsidRDefault="00E723C2" w:rsidP="00C9273B">
            <w:pPr>
              <w:rPr>
                <w:rFonts w:ascii="Arial" w:hAnsi="Arial" w:cs="Arial"/>
              </w:rPr>
            </w:pPr>
            <w:r w:rsidRPr="000C7549">
              <w:rPr>
                <w:rFonts w:ascii="Arial" w:hAnsi="Arial" w:cs="Arial"/>
                <w:color w:val="000000"/>
              </w:rPr>
              <w:t>Tachinidae</w:t>
            </w:r>
          </w:p>
        </w:tc>
        <w:tc>
          <w:tcPr>
            <w:tcW w:w="1444" w:type="dxa"/>
            <w:vAlign w:val="bottom"/>
          </w:tcPr>
          <w:p w14:paraId="1CB263C2" w14:textId="77777777" w:rsidR="00E723C2" w:rsidRPr="000C7549" w:rsidRDefault="00E723C2" w:rsidP="00C9273B">
            <w:pPr>
              <w:rPr>
                <w:rFonts w:ascii="Arial" w:hAnsi="Arial" w:cs="Arial"/>
              </w:rPr>
            </w:pPr>
            <w:r w:rsidRPr="000C7549">
              <w:rPr>
                <w:rFonts w:ascii="Arial" w:hAnsi="Arial" w:cs="Arial"/>
                <w:color w:val="000000"/>
              </w:rPr>
              <w:t>8.5%</w:t>
            </w:r>
          </w:p>
        </w:tc>
        <w:tc>
          <w:tcPr>
            <w:tcW w:w="1890" w:type="dxa"/>
            <w:shd w:val="clear" w:color="auto" w:fill="auto"/>
            <w:vAlign w:val="bottom"/>
          </w:tcPr>
          <w:p w14:paraId="02A9CA25" w14:textId="77777777" w:rsidR="00E723C2" w:rsidRPr="000C7549" w:rsidRDefault="00E723C2" w:rsidP="00C9273B">
            <w:pPr>
              <w:rPr>
                <w:rFonts w:ascii="Arial" w:hAnsi="Arial" w:cs="Arial"/>
              </w:rPr>
            </w:pPr>
            <w:r w:rsidRPr="000C7549">
              <w:rPr>
                <w:rFonts w:ascii="Arial" w:hAnsi="Arial" w:cs="Arial"/>
                <w:color w:val="000000"/>
              </w:rPr>
              <w:t>26</w:t>
            </w:r>
          </w:p>
        </w:tc>
      </w:tr>
      <w:tr w:rsidR="00E723C2" w:rsidRPr="000C7549" w14:paraId="057EC541" w14:textId="77777777" w:rsidTr="007663D1">
        <w:tc>
          <w:tcPr>
            <w:tcW w:w="2700" w:type="dxa"/>
            <w:shd w:val="clear" w:color="auto" w:fill="auto"/>
            <w:vAlign w:val="bottom"/>
          </w:tcPr>
          <w:p w14:paraId="4C0ED936" w14:textId="77777777" w:rsidR="00E723C2" w:rsidRPr="000C7549" w:rsidRDefault="00E723C2" w:rsidP="00C9273B">
            <w:pPr>
              <w:rPr>
                <w:rFonts w:ascii="Arial" w:hAnsi="Arial" w:cs="Arial"/>
              </w:rPr>
            </w:pPr>
          </w:p>
        </w:tc>
        <w:tc>
          <w:tcPr>
            <w:tcW w:w="1898" w:type="dxa"/>
            <w:vAlign w:val="bottom"/>
          </w:tcPr>
          <w:p w14:paraId="70AFC70E" w14:textId="77777777" w:rsidR="00E723C2" w:rsidRPr="000C7549" w:rsidRDefault="00E723C2" w:rsidP="00C9273B">
            <w:pPr>
              <w:rPr>
                <w:rFonts w:ascii="Arial" w:hAnsi="Arial" w:cs="Arial"/>
              </w:rPr>
            </w:pPr>
            <w:r w:rsidRPr="000C7549">
              <w:rPr>
                <w:rFonts w:ascii="Arial" w:hAnsi="Arial" w:cs="Arial"/>
                <w:color w:val="000000"/>
              </w:rPr>
              <w:t>Bombyliidae</w:t>
            </w:r>
          </w:p>
        </w:tc>
        <w:tc>
          <w:tcPr>
            <w:tcW w:w="1444" w:type="dxa"/>
            <w:vAlign w:val="bottom"/>
          </w:tcPr>
          <w:p w14:paraId="22744725" w14:textId="77777777" w:rsidR="00E723C2" w:rsidRPr="000C7549" w:rsidRDefault="00E723C2" w:rsidP="00C9273B">
            <w:pPr>
              <w:rPr>
                <w:rFonts w:ascii="Arial" w:hAnsi="Arial" w:cs="Arial"/>
              </w:rPr>
            </w:pPr>
            <w:r w:rsidRPr="000C7549">
              <w:rPr>
                <w:rFonts w:ascii="Arial" w:hAnsi="Arial" w:cs="Arial"/>
                <w:color w:val="000000"/>
              </w:rPr>
              <w:t>2.0%</w:t>
            </w:r>
          </w:p>
        </w:tc>
        <w:tc>
          <w:tcPr>
            <w:tcW w:w="1890" w:type="dxa"/>
            <w:shd w:val="clear" w:color="auto" w:fill="auto"/>
            <w:vAlign w:val="bottom"/>
          </w:tcPr>
          <w:p w14:paraId="61DA0F03" w14:textId="77777777" w:rsidR="00E723C2" w:rsidRPr="000C7549" w:rsidRDefault="00E723C2" w:rsidP="00C9273B">
            <w:pPr>
              <w:rPr>
                <w:rFonts w:ascii="Arial" w:hAnsi="Arial" w:cs="Arial"/>
              </w:rPr>
            </w:pPr>
            <w:r w:rsidRPr="000C7549">
              <w:rPr>
                <w:rFonts w:ascii="Arial" w:hAnsi="Arial" w:cs="Arial"/>
                <w:color w:val="000000"/>
              </w:rPr>
              <w:t>6</w:t>
            </w:r>
          </w:p>
        </w:tc>
      </w:tr>
      <w:tr w:rsidR="00E723C2" w:rsidRPr="000C7549" w14:paraId="7EC6FAB2" w14:textId="77777777" w:rsidTr="007663D1">
        <w:tc>
          <w:tcPr>
            <w:tcW w:w="2700" w:type="dxa"/>
            <w:shd w:val="clear" w:color="auto" w:fill="auto"/>
            <w:vAlign w:val="bottom"/>
          </w:tcPr>
          <w:p w14:paraId="6B61F5F3" w14:textId="77777777" w:rsidR="00E723C2" w:rsidRPr="000C7549" w:rsidRDefault="00E723C2" w:rsidP="00C9273B">
            <w:pPr>
              <w:rPr>
                <w:rFonts w:ascii="Arial" w:hAnsi="Arial" w:cs="Arial"/>
              </w:rPr>
            </w:pPr>
          </w:p>
        </w:tc>
        <w:tc>
          <w:tcPr>
            <w:tcW w:w="1898" w:type="dxa"/>
            <w:vAlign w:val="bottom"/>
          </w:tcPr>
          <w:p w14:paraId="282552FB" w14:textId="77777777" w:rsidR="00E723C2" w:rsidRPr="000C7549" w:rsidRDefault="00E723C2" w:rsidP="00C9273B">
            <w:pPr>
              <w:rPr>
                <w:rFonts w:ascii="Arial" w:hAnsi="Arial" w:cs="Arial"/>
              </w:rPr>
            </w:pPr>
            <w:r w:rsidRPr="000C7549">
              <w:rPr>
                <w:rFonts w:ascii="Arial" w:hAnsi="Arial" w:cs="Arial"/>
                <w:color w:val="000000"/>
              </w:rPr>
              <w:t>Dolichopodidae</w:t>
            </w:r>
          </w:p>
        </w:tc>
        <w:tc>
          <w:tcPr>
            <w:tcW w:w="1444" w:type="dxa"/>
            <w:vAlign w:val="bottom"/>
          </w:tcPr>
          <w:p w14:paraId="3AED29A5" w14:textId="77777777" w:rsidR="00E723C2" w:rsidRPr="000C7549" w:rsidRDefault="00E723C2" w:rsidP="00C9273B">
            <w:pPr>
              <w:rPr>
                <w:rFonts w:ascii="Arial" w:hAnsi="Arial" w:cs="Arial"/>
              </w:rPr>
            </w:pPr>
            <w:r w:rsidRPr="000C7549">
              <w:rPr>
                <w:rFonts w:ascii="Arial" w:hAnsi="Arial" w:cs="Arial"/>
                <w:color w:val="000000"/>
              </w:rPr>
              <w:t>0.7%</w:t>
            </w:r>
          </w:p>
        </w:tc>
        <w:tc>
          <w:tcPr>
            <w:tcW w:w="1890" w:type="dxa"/>
            <w:shd w:val="clear" w:color="auto" w:fill="auto"/>
            <w:vAlign w:val="bottom"/>
          </w:tcPr>
          <w:p w14:paraId="37637D34" w14:textId="77777777" w:rsidR="00E723C2" w:rsidRPr="000C7549" w:rsidRDefault="00E723C2" w:rsidP="00C9273B">
            <w:pPr>
              <w:rPr>
                <w:rFonts w:ascii="Arial" w:hAnsi="Arial" w:cs="Arial"/>
              </w:rPr>
            </w:pPr>
            <w:r w:rsidRPr="000C7549">
              <w:rPr>
                <w:rFonts w:ascii="Arial" w:hAnsi="Arial" w:cs="Arial"/>
                <w:color w:val="000000"/>
              </w:rPr>
              <w:t>2</w:t>
            </w:r>
          </w:p>
        </w:tc>
      </w:tr>
      <w:tr w:rsidR="00E723C2" w:rsidRPr="000C7549" w14:paraId="645C9CE3" w14:textId="77777777" w:rsidTr="007663D1">
        <w:tc>
          <w:tcPr>
            <w:tcW w:w="2700" w:type="dxa"/>
            <w:shd w:val="clear" w:color="auto" w:fill="auto"/>
            <w:vAlign w:val="bottom"/>
          </w:tcPr>
          <w:p w14:paraId="328C7175" w14:textId="77777777" w:rsidR="00E723C2" w:rsidRPr="000C7549" w:rsidRDefault="00E723C2" w:rsidP="00C9273B">
            <w:pPr>
              <w:rPr>
                <w:rFonts w:ascii="Arial" w:hAnsi="Arial" w:cs="Arial"/>
              </w:rPr>
            </w:pPr>
          </w:p>
        </w:tc>
        <w:tc>
          <w:tcPr>
            <w:tcW w:w="1898" w:type="dxa"/>
            <w:vAlign w:val="bottom"/>
          </w:tcPr>
          <w:p w14:paraId="50E95378" w14:textId="77777777" w:rsidR="00E723C2" w:rsidRPr="000C7549" w:rsidRDefault="00E723C2" w:rsidP="00C9273B">
            <w:pPr>
              <w:rPr>
                <w:rFonts w:ascii="Arial" w:hAnsi="Arial" w:cs="Arial"/>
              </w:rPr>
            </w:pPr>
            <w:r w:rsidRPr="000C7549">
              <w:rPr>
                <w:rFonts w:ascii="Arial" w:hAnsi="Arial" w:cs="Arial"/>
                <w:color w:val="000000"/>
              </w:rPr>
              <w:t>Stratiomyidae</w:t>
            </w:r>
          </w:p>
        </w:tc>
        <w:tc>
          <w:tcPr>
            <w:tcW w:w="1444" w:type="dxa"/>
            <w:vAlign w:val="bottom"/>
          </w:tcPr>
          <w:p w14:paraId="223404C1" w14:textId="77777777" w:rsidR="00E723C2" w:rsidRPr="000C7549" w:rsidRDefault="00E723C2" w:rsidP="00C9273B">
            <w:pPr>
              <w:rPr>
                <w:rFonts w:ascii="Arial" w:hAnsi="Arial" w:cs="Arial"/>
              </w:rPr>
            </w:pPr>
            <w:r w:rsidRPr="000C7549">
              <w:rPr>
                <w:rFonts w:ascii="Arial" w:hAnsi="Arial" w:cs="Arial"/>
                <w:color w:val="000000"/>
              </w:rPr>
              <w:t>0.3%</w:t>
            </w:r>
          </w:p>
        </w:tc>
        <w:tc>
          <w:tcPr>
            <w:tcW w:w="1890" w:type="dxa"/>
            <w:shd w:val="clear" w:color="auto" w:fill="auto"/>
            <w:vAlign w:val="bottom"/>
          </w:tcPr>
          <w:p w14:paraId="40A711A4"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3D661DFA" w14:textId="77777777" w:rsidTr="007663D1">
        <w:tc>
          <w:tcPr>
            <w:tcW w:w="2700" w:type="dxa"/>
            <w:shd w:val="clear" w:color="auto" w:fill="auto"/>
            <w:vAlign w:val="bottom"/>
          </w:tcPr>
          <w:p w14:paraId="4FFBA846" w14:textId="77777777" w:rsidR="00E723C2" w:rsidRPr="000C7549" w:rsidRDefault="00E723C2" w:rsidP="00C9273B">
            <w:pPr>
              <w:rPr>
                <w:rFonts w:ascii="Arial" w:hAnsi="Arial" w:cs="Arial"/>
              </w:rPr>
            </w:pPr>
          </w:p>
        </w:tc>
        <w:tc>
          <w:tcPr>
            <w:tcW w:w="1898" w:type="dxa"/>
            <w:vAlign w:val="bottom"/>
          </w:tcPr>
          <w:p w14:paraId="04737048" w14:textId="77777777" w:rsidR="00E723C2" w:rsidRPr="000C7549" w:rsidRDefault="00E723C2" w:rsidP="00C9273B">
            <w:pPr>
              <w:rPr>
                <w:rFonts w:ascii="Arial" w:hAnsi="Arial" w:cs="Arial"/>
              </w:rPr>
            </w:pPr>
            <w:r w:rsidRPr="000C7549">
              <w:rPr>
                <w:rFonts w:ascii="Arial" w:hAnsi="Arial" w:cs="Arial"/>
                <w:color w:val="000000"/>
              </w:rPr>
              <w:t>Tephritidae*</w:t>
            </w:r>
          </w:p>
        </w:tc>
        <w:tc>
          <w:tcPr>
            <w:tcW w:w="1444" w:type="dxa"/>
            <w:vAlign w:val="bottom"/>
          </w:tcPr>
          <w:p w14:paraId="5BA72E61" w14:textId="77777777" w:rsidR="00E723C2" w:rsidRPr="000C7549" w:rsidRDefault="00E723C2" w:rsidP="00C9273B">
            <w:pPr>
              <w:rPr>
                <w:rFonts w:ascii="Arial" w:hAnsi="Arial" w:cs="Arial"/>
              </w:rPr>
            </w:pPr>
            <w:r w:rsidRPr="000C7549">
              <w:rPr>
                <w:rFonts w:ascii="Arial" w:hAnsi="Arial" w:cs="Arial"/>
                <w:color w:val="000000"/>
              </w:rPr>
              <w:t>0.3%</w:t>
            </w:r>
          </w:p>
        </w:tc>
        <w:tc>
          <w:tcPr>
            <w:tcW w:w="1890" w:type="dxa"/>
            <w:shd w:val="clear" w:color="auto" w:fill="auto"/>
            <w:vAlign w:val="bottom"/>
          </w:tcPr>
          <w:p w14:paraId="37AB303B"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2758AB01" w14:textId="77777777" w:rsidTr="007663D1">
        <w:tc>
          <w:tcPr>
            <w:tcW w:w="2700" w:type="dxa"/>
            <w:shd w:val="clear" w:color="auto" w:fill="auto"/>
            <w:vAlign w:val="bottom"/>
          </w:tcPr>
          <w:p w14:paraId="1198D1CC" w14:textId="77777777" w:rsidR="00E723C2" w:rsidRPr="000C7549" w:rsidRDefault="00E723C2" w:rsidP="00C9273B">
            <w:pPr>
              <w:rPr>
                <w:rFonts w:ascii="Arial" w:hAnsi="Arial" w:cs="Arial"/>
              </w:rPr>
            </w:pPr>
            <w:r w:rsidRPr="000C7549">
              <w:rPr>
                <w:rFonts w:ascii="Arial" w:hAnsi="Arial" w:cs="Arial"/>
                <w:color w:val="000000"/>
              </w:rPr>
              <w:t>Hemiptera, n= 178</w:t>
            </w:r>
          </w:p>
        </w:tc>
        <w:tc>
          <w:tcPr>
            <w:tcW w:w="1898" w:type="dxa"/>
            <w:vAlign w:val="bottom"/>
          </w:tcPr>
          <w:p w14:paraId="2EB527A6" w14:textId="77777777" w:rsidR="00E723C2" w:rsidRPr="000C7549" w:rsidRDefault="00E723C2" w:rsidP="00C9273B">
            <w:pPr>
              <w:rPr>
                <w:rFonts w:ascii="Arial" w:hAnsi="Arial" w:cs="Arial"/>
              </w:rPr>
            </w:pPr>
            <w:r w:rsidRPr="000C7549">
              <w:rPr>
                <w:rFonts w:ascii="Arial" w:hAnsi="Arial" w:cs="Arial"/>
                <w:color w:val="000000"/>
              </w:rPr>
              <w:t>Pentatomidae</w:t>
            </w:r>
          </w:p>
        </w:tc>
        <w:tc>
          <w:tcPr>
            <w:tcW w:w="1444" w:type="dxa"/>
            <w:vAlign w:val="bottom"/>
          </w:tcPr>
          <w:p w14:paraId="76BEC90B" w14:textId="77777777" w:rsidR="00E723C2" w:rsidRPr="000C7549" w:rsidRDefault="00E723C2" w:rsidP="00C9273B">
            <w:pPr>
              <w:rPr>
                <w:rFonts w:ascii="Arial" w:hAnsi="Arial" w:cs="Arial"/>
              </w:rPr>
            </w:pPr>
            <w:r w:rsidRPr="000C7549">
              <w:rPr>
                <w:rFonts w:ascii="Arial" w:hAnsi="Arial" w:cs="Arial"/>
                <w:color w:val="000000"/>
              </w:rPr>
              <w:t>30.9%</w:t>
            </w:r>
          </w:p>
        </w:tc>
        <w:tc>
          <w:tcPr>
            <w:tcW w:w="1890" w:type="dxa"/>
            <w:shd w:val="clear" w:color="auto" w:fill="auto"/>
            <w:vAlign w:val="bottom"/>
          </w:tcPr>
          <w:p w14:paraId="10339E9D" w14:textId="77777777" w:rsidR="00E723C2" w:rsidRPr="000C7549" w:rsidRDefault="00E723C2" w:rsidP="00C9273B">
            <w:pPr>
              <w:rPr>
                <w:rFonts w:ascii="Arial" w:hAnsi="Arial" w:cs="Arial"/>
              </w:rPr>
            </w:pPr>
            <w:r w:rsidRPr="000C7549">
              <w:rPr>
                <w:rFonts w:ascii="Arial" w:hAnsi="Arial" w:cs="Arial"/>
                <w:color w:val="000000"/>
              </w:rPr>
              <w:t>55</w:t>
            </w:r>
          </w:p>
        </w:tc>
      </w:tr>
      <w:tr w:rsidR="00E723C2" w:rsidRPr="000C7549" w14:paraId="543F592F" w14:textId="77777777" w:rsidTr="007663D1">
        <w:tc>
          <w:tcPr>
            <w:tcW w:w="2700" w:type="dxa"/>
            <w:shd w:val="clear" w:color="auto" w:fill="auto"/>
            <w:vAlign w:val="bottom"/>
          </w:tcPr>
          <w:p w14:paraId="0FA50129" w14:textId="77777777" w:rsidR="00E723C2" w:rsidRPr="000C7549" w:rsidRDefault="00E723C2" w:rsidP="00C9273B">
            <w:pPr>
              <w:rPr>
                <w:rFonts w:ascii="Arial" w:hAnsi="Arial" w:cs="Arial"/>
              </w:rPr>
            </w:pPr>
          </w:p>
        </w:tc>
        <w:tc>
          <w:tcPr>
            <w:tcW w:w="1898" w:type="dxa"/>
            <w:vAlign w:val="bottom"/>
          </w:tcPr>
          <w:p w14:paraId="482A336C" w14:textId="77777777" w:rsidR="00E723C2" w:rsidRPr="000C7549" w:rsidRDefault="00E723C2" w:rsidP="00C9273B">
            <w:pPr>
              <w:rPr>
                <w:rFonts w:ascii="Arial" w:hAnsi="Arial" w:cs="Arial"/>
              </w:rPr>
            </w:pPr>
            <w:r w:rsidRPr="000C7549">
              <w:rPr>
                <w:rFonts w:ascii="Arial" w:hAnsi="Arial" w:cs="Arial"/>
                <w:color w:val="000000"/>
              </w:rPr>
              <w:t>Cydnidae</w:t>
            </w:r>
          </w:p>
        </w:tc>
        <w:tc>
          <w:tcPr>
            <w:tcW w:w="1444" w:type="dxa"/>
            <w:vAlign w:val="bottom"/>
          </w:tcPr>
          <w:p w14:paraId="1603928D" w14:textId="77777777" w:rsidR="00E723C2" w:rsidRPr="000C7549" w:rsidRDefault="00E723C2" w:rsidP="00C9273B">
            <w:pPr>
              <w:rPr>
                <w:rFonts w:ascii="Arial" w:hAnsi="Arial" w:cs="Arial"/>
              </w:rPr>
            </w:pPr>
            <w:r w:rsidRPr="000C7549">
              <w:rPr>
                <w:rFonts w:ascii="Arial" w:hAnsi="Arial" w:cs="Arial"/>
                <w:color w:val="000000"/>
              </w:rPr>
              <w:t>20.79%</w:t>
            </w:r>
          </w:p>
        </w:tc>
        <w:tc>
          <w:tcPr>
            <w:tcW w:w="1890" w:type="dxa"/>
            <w:shd w:val="clear" w:color="auto" w:fill="auto"/>
            <w:vAlign w:val="bottom"/>
          </w:tcPr>
          <w:p w14:paraId="2219D64F" w14:textId="77777777" w:rsidR="00E723C2" w:rsidRPr="000C7549" w:rsidRDefault="00E723C2" w:rsidP="00C9273B">
            <w:pPr>
              <w:rPr>
                <w:rFonts w:ascii="Arial" w:hAnsi="Arial" w:cs="Arial"/>
              </w:rPr>
            </w:pPr>
            <w:r w:rsidRPr="000C7549">
              <w:rPr>
                <w:rFonts w:ascii="Arial" w:hAnsi="Arial" w:cs="Arial"/>
                <w:color w:val="000000"/>
              </w:rPr>
              <w:t>37</w:t>
            </w:r>
          </w:p>
        </w:tc>
      </w:tr>
      <w:tr w:rsidR="00E723C2" w:rsidRPr="000C7549" w14:paraId="03362695" w14:textId="77777777" w:rsidTr="007663D1">
        <w:tc>
          <w:tcPr>
            <w:tcW w:w="2700" w:type="dxa"/>
            <w:shd w:val="clear" w:color="auto" w:fill="auto"/>
            <w:vAlign w:val="bottom"/>
          </w:tcPr>
          <w:p w14:paraId="1D4D3AAA" w14:textId="77777777" w:rsidR="00E723C2" w:rsidRPr="000C7549" w:rsidRDefault="00E723C2" w:rsidP="00C9273B">
            <w:pPr>
              <w:rPr>
                <w:rFonts w:ascii="Arial" w:hAnsi="Arial" w:cs="Arial"/>
              </w:rPr>
            </w:pPr>
          </w:p>
        </w:tc>
        <w:tc>
          <w:tcPr>
            <w:tcW w:w="1898" w:type="dxa"/>
            <w:vAlign w:val="bottom"/>
          </w:tcPr>
          <w:p w14:paraId="36D05663" w14:textId="77777777" w:rsidR="00E723C2" w:rsidRPr="000C7549" w:rsidRDefault="00E723C2" w:rsidP="00C9273B">
            <w:pPr>
              <w:rPr>
                <w:rFonts w:ascii="Arial" w:hAnsi="Arial" w:cs="Arial"/>
              </w:rPr>
            </w:pPr>
            <w:r w:rsidRPr="000C7549">
              <w:rPr>
                <w:rFonts w:ascii="Arial" w:hAnsi="Arial" w:cs="Arial"/>
                <w:color w:val="000000"/>
              </w:rPr>
              <w:t>Reduviidae</w:t>
            </w:r>
          </w:p>
        </w:tc>
        <w:tc>
          <w:tcPr>
            <w:tcW w:w="1444" w:type="dxa"/>
            <w:vAlign w:val="bottom"/>
          </w:tcPr>
          <w:p w14:paraId="718EEA81" w14:textId="77777777" w:rsidR="00E723C2" w:rsidRPr="000C7549" w:rsidRDefault="00E723C2" w:rsidP="00C9273B">
            <w:pPr>
              <w:rPr>
                <w:rFonts w:ascii="Arial" w:hAnsi="Arial" w:cs="Arial"/>
              </w:rPr>
            </w:pPr>
            <w:r w:rsidRPr="000C7549">
              <w:rPr>
                <w:rFonts w:ascii="Arial" w:hAnsi="Arial" w:cs="Arial"/>
                <w:color w:val="000000"/>
              </w:rPr>
              <w:t>1.12%</w:t>
            </w:r>
          </w:p>
        </w:tc>
        <w:tc>
          <w:tcPr>
            <w:tcW w:w="1890" w:type="dxa"/>
            <w:shd w:val="clear" w:color="auto" w:fill="auto"/>
            <w:vAlign w:val="bottom"/>
          </w:tcPr>
          <w:p w14:paraId="12C74F34" w14:textId="77777777" w:rsidR="00E723C2" w:rsidRPr="000C7549" w:rsidRDefault="00E723C2" w:rsidP="00C9273B">
            <w:pPr>
              <w:rPr>
                <w:rFonts w:ascii="Arial" w:hAnsi="Arial" w:cs="Arial"/>
              </w:rPr>
            </w:pPr>
            <w:r w:rsidRPr="000C7549">
              <w:rPr>
                <w:rFonts w:ascii="Arial" w:hAnsi="Arial" w:cs="Arial"/>
                <w:color w:val="000000"/>
              </w:rPr>
              <w:t>2</w:t>
            </w:r>
          </w:p>
        </w:tc>
      </w:tr>
      <w:tr w:rsidR="00E723C2" w:rsidRPr="000C7549" w14:paraId="1398167A" w14:textId="77777777" w:rsidTr="007663D1">
        <w:tc>
          <w:tcPr>
            <w:tcW w:w="2700" w:type="dxa"/>
            <w:shd w:val="clear" w:color="auto" w:fill="auto"/>
            <w:vAlign w:val="bottom"/>
          </w:tcPr>
          <w:p w14:paraId="4F72C771" w14:textId="77777777" w:rsidR="00E723C2" w:rsidRPr="000C7549" w:rsidRDefault="00E723C2" w:rsidP="00C9273B">
            <w:pPr>
              <w:rPr>
                <w:rFonts w:ascii="Arial" w:hAnsi="Arial" w:cs="Arial"/>
              </w:rPr>
            </w:pPr>
          </w:p>
        </w:tc>
        <w:tc>
          <w:tcPr>
            <w:tcW w:w="1898" w:type="dxa"/>
            <w:vAlign w:val="bottom"/>
          </w:tcPr>
          <w:p w14:paraId="015A256E" w14:textId="77777777" w:rsidR="00E723C2" w:rsidRPr="000C7549" w:rsidRDefault="00E723C2" w:rsidP="00C9273B">
            <w:pPr>
              <w:rPr>
                <w:rFonts w:ascii="Arial" w:hAnsi="Arial" w:cs="Arial"/>
              </w:rPr>
            </w:pPr>
            <w:r w:rsidRPr="000C7549">
              <w:rPr>
                <w:rFonts w:ascii="Arial" w:hAnsi="Arial" w:cs="Arial"/>
                <w:color w:val="000000"/>
              </w:rPr>
              <w:t>Cicadellidae</w:t>
            </w:r>
          </w:p>
        </w:tc>
        <w:tc>
          <w:tcPr>
            <w:tcW w:w="1444" w:type="dxa"/>
            <w:vAlign w:val="bottom"/>
          </w:tcPr>
          <w:p w14:paraId="7A5A9C3D" w14:textId="77777777" w:rsidR="00E723C2" w:rsidRPr="000C7549" w:rsidRDefault="00E723C2" w:rsidP="00C9273B">
            <w:pPr>
              <w:rPr>
                <w:rFonts w:ascii="Arial" w:hAnsi="Arial" w:cs="Arial"/>
              </w:rPr>
            </w:pPr>
            <w:r w:rsidRPr="000C7549">
              <w:rPr>
                <w:rFonts w:ascii="Arial" w:hAnsi="Arial" w:cs="Arial"/>
                <w:color w:val="000000"/>
              </w:rPr>
              <w:t>0.56%</w:t>
            </w:r>
          </w:p>
        </w:tc>
        <w:tc>
          <w:tcPr>
            <w:tcW w:w="1890" w:type="dxa"/>
            <w:shd w:val="clear" w:color="auto" w:fill="auto"/>
            <w:vAlign w:val="bottom"/>
          </w:tcPr>
          <w:p w14:paraId="0128C19B"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165D9E90" w14:textId="77777777" w:rsidTr="007663D1">
        <w:tc>
          <w:tcPr>
            <w:tcW w:w="2700" w:type="dxa"/>
            <w:shd w:val="clear" w:color="auto" w:fill="auto"/>
            <w:vAlign w:val="bottom"/>
          </w:tcPr>
          <w:p w14:paraId="4CA2FE84" w14:textId="77777777" w:rsidR="00E723C2" w:rsidRPr="000C7549" w:rsidRDefault="00E723C2" w:rsidP="00C9273B">
            <w:pPr>
              <w:rPr>
                <w:rFonts w:ascii="Arial" w:hAnsi="Arial" w:cs="Arial"/>
              </w:rPr>
            </w:pPr>
          </w:p>
        </w:tc>
        <w:tc>
          <w:tcPr>
            <w:tcW w:w="1898" w:type="dxa"/>
            <w:vAlign w:val="bottom"/>
          </w:tcPr>
          <w:p w14:paraId="240AFC23" w14:textId="77777777" w:rsidR="00E723C2" w:rsidRPr="000C7549" w:rsidRDefault="00E723C2" w:rsidP="00C9273B">
            <w:pPr>
              <w:rPr>
                <w:rFonts w:ascii="Arial" w:hAnsi="Arial" w:cs="Arial"/>
              </w:rPr>
            </w:pPr>
            <w:r w:rsidRPr="000C7549">
              <w:rPr>
                <w:rFonts w:ascii="Arial" w:hAnsi="Arial" w:cs="Arial"/>
                <w:color w:val="000000"/>
              </w:rPr>
              <w:t>Geocoridae</w:t>
            </w:r>
          </w:p>
        </w:tc>
        <w:tc>
          <w:tcPr>
            <w:tcW w:w="1444" w:type="dxa"/>
            <w:vAlign w:val="bottom"/>
          </w:tcPr>
          <w:p w14:paraId="54779558" w14:textId="77777777" w:rsidR="00E723C2" w:rsidRPr="000C7549" w:rsidRDefault="00E723C2" w:rsidP="00C9273B">
            <w:pPr>
              <w:rPr>
                <w:rFonts w:ascii="Arial" w:hAnsi="Arial" w:cs="Arial"/>
              </w:rPr>
            </w:pPr>
            <w:r w:rsidRPr="000C7549">
              <w:rPr>
                <w:rFonts w:ascii="Arial" w:hAnsi="Arial" w:cs="Arial"/>
                <w:color w:val="000000"/>
              </w:rPr>
              <w:t>0.56%</w:t>
            </w:r>
          </w:p>
        </w:tc>
        <w:tc>
          <w:tcPr>
            <w:tcW w:w="1890" w:type="dxa"/>
            <w:shd w:val="clear" w:color="auto" w:fill="auto"/>
            <w:vAlign w:val="bottom"/>
          </w:tcPr>
          <w:p w14:paraId="0AA92784" w14:textId="77777777" w:rsidR="00E723C2" w:rsidRPr="000C7549" w:rsidRDefault="00E723C2" w:rsidP="00C9273B">
            <w:pPr>
              <w:rPr>
                <w:rFonts w:ascii="Arial" w:hAnsi="Arial" w:cs="Arial"/>
              </w:rPr>
            </w:pPr>
            <w:r w:rsidRPr="000C7549">
              <w:rPr>
                <w:rFonts w:ascii="Arial" w:hAnsi="Arial" w:cs="Arial"/>
                <w:color w:val="000000"/>
              </w:rPr>
              <w:t>1</w:t>
            </w:r>
          </w:p>
        </w:tc>
      </w:tr>
      <w:tr w:rsidR="00E723C2" w:rsidRPr="000C7549" w14:paraId="331A5FAA" w14:textId="77777777" w:rsidTr="007663D1">
        <w:tc>
          <w:tcPr>
            <w:tcW w:w="2700" w:type="dxa"/>
            <w:shd w:val="clear" w:color="auto" w:fill="auto"/>
            <w:vAlign w:val="bottom"/>
          </w:tcPr>
          <w:p w14:paraId="2098C937" w14:textId="77777777" w:rsidR="00E723C2" w:rsidRPr="000C7549" w:rsidRDefault="00E723C2" w:rsidP="00C9273B">
            <w:pPr>
              <w:rPr>
                <w:rFonts w:ascii="Arial" w:hAnsi="Arial" w:cs="Arial"/>
              </w:rPr>
            </w:pPr>
            <w:r w:rsidRPr="000C7549">
              <w:rPr>
                <w:rFonts w:ascii="Arial" w:hAnsi="Arial" w:cs="Arial"/>
                <w:color w:val="000000"/>
              </w:rPr>
              <w:t>Hymenoptera, n = 188</w:t>
            </w:r>
          </w:p>
        </w:tc>
        <w:tc>
          <w:tcPr>
            <w:tcW w:w="1898" w:type="dxa"/>
            <w:vAlign w:val="bottom"/>
          </w:tcPr>
          <w:p w14:paraId="206C00B9" w14:textId="77777777" w:rsidR="00E723C2" w:rsidRPr="000C7549" w:rsidRDefault="00E723C2" w:rsidP="00C9273B">
            <w:pPr>
              <w:rPr>
                <w:rFonts w:ascii="Arial" w:hAnsi="Arial" w:cs="Arial"/>
              </w:rPr>
            </w:pPr>
            <w:r w:rsidRPr="000C7549">
              <w:rPr>
                <w:rFonts w:ascii="Arial" w:hAnsi="Arial" w:cs="Arial"/>
                <w:color w:val="000000"/>
              </w:rPr>
              <w:t>Scoliidae</w:t>
            </w:r>
          </w:p>
        </w:tc>
        <w:tc>
          <w:tcPr>
            <w:tcW w:w="1444" w:type="dxa"/>
            <w:vAlign w:val="bottom"/>
          </w:tcPr>
          <w:p w14:paraId="6A648675" w14:textId="77777777" w:rsidR="00E723C2" w:rsidRPr="000C7549" w:rsidRDefault="00E723C2" w:rsidP="00C9273B">
            <w:pPr>
              <w:rPr>
                <w:rFonts w:ascii="Arial" w:hAnsi="Arial" w:cs="Arial"/>
              </w:rPr>
            </w:pPr>
            <w:r w:rsidRPr="000C7549">
              <w:rPr>
                <w:rFonts w:ascii="Arial" w:hAnsi="Arial" w:cs="Arial"/>
                <w:color w:val="000000"/>
              </w:rPr>
              <w:t>31.9%</w:t>
            </w:r>
          </w:p>
        </w:tc>
        <w:tc>
          <w:tcPr>
            <w:tcW w:w="1890" w:type="dxa"/>
            <w:shd w:val="clear" w:color="auto" w:fill="auto"/>
            <w:vAlign w:val="bottom"/>
          </w:tcPr>
          <w:p w14:paraId="2D871AC2" w14:textId="77777777" w:rsidR="00E723C2" w:rsidRPr="000C7549" w:rsidRDefault="00E723C2" w:rsidP="00C9273B">
            <w:pPr>
              <w:rPr>
                <w:rFonts w:ascii="Arial" w:hAnsi="Arial" w:cs="Arial"/>
              </w:rPr>
            </w:pPr>
            <w:r w:rsidRPr="000C7549">
              <w:rPr>
                <w:rFonts w:ascii="Arial" w:hAnsi="Arial" w:cs="Arial"/>
                <w:color w:val="000000"/>
              </w:rPr>
              <w:t>60</w:t>
            </w:r>
          </w:p>
        </w:tc>
      </w:tr>
      <w:tr w:rsidR="00E723C2" w:rsidRPr="000C7549" w14:paraId="4D47764F" w14:textId="77777777" w:rsidTr="007663D1">
        <w:tc>
          <w:tcPr>
            <w:tcW w:w="2700" w:type="dxa"/>
            <w:shd w:val="clear" w:color="auto" w:fill="auto"/>
            <w:vAlign w:val="bottom"/>
          </w:tcPr>
          <w:p w14:paraId="15D4D8C6" w14:textId="77777777" w:rsidR="00E723C2" w:rsidRPr="000C7549" w:rsidRDefault="00E723C2" w:rsidP="00C9273B">
            <w:pPr>
              <w:rPr>
                <w:rFonts w:ascii="Arial" w:hAnsi="Arial" w:cs="Arial"/>
              </w:rPr>
            </w:pPr>
          </w:p>
        </w:tc>
        <w:tc>
          <w:tcPr>
            <w:tcW w:w="1898" w:type="dxa"/>
            <w:vAlign w:val="bottom"/>
          </w:tcPr>
          <w:p w14:paraId="218CD981" w14:textId="77777777" w:rsidR="00E723C2" w:rsidRPr="000C7549" w:rsidRDefault="00E723C2" w:rsidP="00C9273B">
            <w:pPr>
              <w:rPr>
                <w:rFonts w:ascii="Arial" w:hAnsi="Arial" w:cs="Arial"/>
              </w:rPr>
            </w:pPr>
            <w:r w:rsidRPr="000C7549">
              <w:rPr>
                <w:rFonts w:ascii="Arial" w:hAnsi="Arial" w:cs="Arial"/>
                <w:color w:val="000000"/>
              </w:rPr>
              <w:t>Sphecidae</w:t>
            </w:r>
          </w:p>
        </w:tc>
        <w:tc>
          <w:tcPr>
            <w:tcW w:w="1444" w:type="dxa"/>
            <w:vAlign w:val="bottom"/>
          </w:tcPr>
          <w:p w14:paraId="3380FED5" w14:textId="77777777" w:rsidR="00E723C2" w:rsidRPr="000C7549" w:rsidRDefault="00E723C2" w:rsidP="00C9273B">
            <w:pPr>
              <w:rPr>
                <w:rFonts w:ascii="Arial" w:hAnsi="Arial" w:cs="Arial"/>
              </w:rPr>
            </w:pPr>
            <w:r w:rsidRPr="000C7549">
              <w:rPr>
                <w:rFonts w:ascii="Arial" w:hAnsi="Arial" w:cs="Arial"/>
                <w:color w:val="000000"/>
              </w:rPr>
              <w:t>20.7%</w:t>
            </w:r>
          </w:p>
        </w:tc>
        <w:tc>
          <w:tcPr>
            <w:tcW w:w="1890" w:type="dxa"/>
            <w:shd w:val="clear" w:color="auto" w:fill="auto"/>
            <w:vAlign w:val="bottom"/>
          </w:tcPr>
          <w:p w14:paraId="76BD0A77" w14:textId="77777777" w:rsidR="00E723C2" w:rsidRPr="000C7549" w:rsidRDefault="00E723C2" w:rsidP="00C9273B">
            <w:pPr>
              <w:rPr>
                <w:rFonts w:ascii="Arial" w:hAnsi="Arial" w:cs="Arial"/>
              </w:rPr>
            </w:pPr>
            <w:r w:rsidRPr="000C7549">
              <w:rPr>
                <w:rFonts w:ascii="Arial" w:hAnsi="Arial" w:cs="Arial"/>
                <w:color w:val="000000"/>
              </w:rPr>
              <w:t>39</w:t>
            </w:r>
          </w:p>
        </w:tc>
      </w:tr>
      <w:tr w:rsidR="00E723C2" w:rsidRPr="000C7549" w14:paraId="02AF1F2C" w14:textId="77777777" w:rsidTr="007663D1">
        <w:tc>
          <w:tcPr>
            <w:tcW w:w="2700" w:type="dxa"/>
            <w:shd w:val="clear" w:color="auto" w:fill="auto"/>
            <w:vAlign w:val="bottom"/>
          </w:tcPr>
          <w:p w14:paraId="499290F0" w14:textId="77777777" w:rsidR="00E723C2" w:rsidRPr="000C7549" w:rsidRDefault="00E723C2" w:rsidP="00C9273B">
            <w:pPr>
              <w:rPr>
                <w:rFonts w:ascii="Arial" w:hAnsi="Arial" w:cs="Arial"/>
              </w:rPr>
            </w:pPr>
          </w:p>
        </w:tc>
        <w:tc>
          <w:tcPr>
            <w:tcW w:w="1898" w:type="dxa"/>
            <w:vAlign w:val="bottom"/>
          </w:tcPr>
          <w:p w14:paraId="16CF11AB" w14:textId="77777777" w:rsidR="00E723C2" w:rsidRPr="000C7549" w:rsidRDefault="00E723C2" w:rsidP="00C9273B">
            <w:pPr>
              <w:rPr>
                <w:rFonts w:ascii="Arial" w:hAnsi="Arial" w:cs="Arial"/>
              </w:rPr>
            </w:pPr>
            <w:r w:rsidRPr="000C7549">
              <w:rPr>
                <w:rFonts w:ascii="Arial" w:hAnsi="Arial" w:cs="Arial"/>
                <w:color w:val="000000"/>
              </w:rPr>
              <w:t>Vespidae</w:t>
            </w:r>
          </w:p>
        </w:tc>
        <w:tc>
          <w:tcPr>
            <w:tcW w:w="1444" w:type="dxa"/>
            <w:vAlign w:val="bottom"/>
          </w:tcPr>
          <w:p w14:paraId="20E595BB" w14:textId="77777777" w:rsidR="00E723C2" w:rsidRPr="000C7549" w:rsidRDefault="00E723C2" w:rsidP="00C9273B">
            <w:pPr>
              <w:rPr>
                <w:rFonts w:ascii="Arial" w:hAnsi="Arial" w:cs="Arial"/>
              </w:rPr>
            </w:pPr>
            <w:r w:rsidRPr="000C7549">
              <w:rPr>
                <w:rFonts w:ascii="Arial" w:hAnsi="Arial" w:cs="Arial"/>
                <w:color w:val="000000"/>
              </w:rPr>
              <w:t>18.1%</w:t>
            </w:r>
          </w:p>
        </w:tc>
        <w:tc>
          <w:tcPr>
            <w:tcW w:w="1890" w:type="dxa"/>
            <w:shd w:val="clear" w:color="auto" w:fill="auto"/>
            <w:vAlign w:val="bottom"/>
          </w:tcPr>
          <w:p w14:paraId="22ADDAC9" w14:textId="77777777" w:rsidR="00E723C2" w:rsidRPr="000C7549" w:rsidRDefault="00E723C2" w:rsidP="00C9273B">
            <w:pPr>
              <w:rPr>
                <w:rFonts w:ascii="Arial" w:hAnsi="Arial" w:cs="Arial"/>
              </w:rPr>
            </w:pPr>
            <w:r w:rsidRPr="000C7549">
              <w:rPr>
                <w:rFonts w:ascii="Arial" w:hAnsi="Arial" w:cs="Arial"/>
                <w:color w:val="000000"/>
              </w:rPr>
              <w:t>34</w:t>
            </w:r>
          </w:p>
        </w:tc>
      </w:tr>
    </w:tbl>
    <w:p w14:paraId="51E02A32" w14:textId="4945CEF9" w:rsidR="007663D1" w:rsidRDefault="000519EE">
      <w:r w:rsidRPr="000C7549">
        <w:rPr>
          <w:rFonts w:ascii="Arial" w:hAnsi="Arial" w:cs="Arial"/>
          <w:b/>
          <w:bCs/>
        </w:rPr>
        <w:lastRenderedPageBreak/>
        <w:t xml:space="preserve">“Table </w:t>
      </w:r>
      <w:r>
        <w:rPr>
          <w:rFonts w:ascii="Arial" w:hAnsi="Arial" w:cs="Arial"/>
          <w:b/>
          <w:bCs/>
        </w:rPr>
        <w:t>4</w:t>
      </w:r>
      <w:r w:rsidRPr="000C7549">
        <w:rPr>
          <w:rFonts w:ascii="Arial" w:hAnsi="Arial" w:cs="Arial"/>
          <w:b/>
          <w:bCs/>
        </w:rPr>
        <w:t xml:space="preserve"> Continued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898"/>
        <w:gridCol w:w="1444"/>
        <w:gridCol w:w="1890"/>
      </w:tblGrid>
      <w:tr w:rsidR="00CB20FB" w:rsidRPr="000C7549" w14:paraId="782D9055" w14:textId="77777777" w:rsidTr="007663D1">
        <w:tc>
          <w:tcPr>
            <w:tcW w:w="2700" w:type="dxa"/>
            <w:shd w:val="clear" w:color="auto" w:fill="auto"/>
            <w:vAlign w:val="bottom"/>
          </w:tcPr>
          <w:p w14:paraId="44411C90" w14:textId="12422DBA" w:rsidR="00CB20FB" w:rsidRPr="00D730F0" w:rsidRDefault="00CB20FB" w:rsidP="00CB20FB">
            <w:pPr>
              <w:rPr>
                <w:rFonts w:ascii="Arial" w:hAnsi="Arial" w:cs="Arial"/>
                <w:color w:val="000000"/>
              </w:rPr>
            </w:pPr>
            <w:r w:rsidRPr="00D730F0">
              <w:rPr>
                <w:rFonts w:ascii="Arial" w:hAnsi="Arial" w:cs="Arial"/>
                <w:color w:val="000000"/>
              </w:rPr>
              <w:t>Hymenoptera</w:t>
            </w:r>
          </w:p>
        </w:tc>
        <w:tc>
          <w:tcPr>
            <w:tcW w:w="1898" w:type="dxa"/>
            <w:vAlign w:val="bottom"/>
          </w:tcPr>
          <w:p w14:paraId="10F1A9AA" w14:textId="345B4AAB" w:rsidR="00CB20FB" w:rsidRPr="00D730F0" w:rsidRDefault="00CB20FB" w:rsidP="00CB20FB">
            <w:pPr>
              <w:rPr>
                <w:rFonts w:ascii="Arial" w:hAnsi="Arial" w:cs="Arial"/>
                <w:color w:val="000000"/>
              </w:rPr>
            </w:pPr>
            <w:r w:rsidRPr="00D730F0">
              <w:rPr>
                <w:rFonts w:ascii="Arial" w:hAnsi="Arial" w:cs="Arial"/>
                <w:color w:val="000000"/>
              </w:rPr>
              <w:t>Crabronidae</w:t>
            </w:r>
          </w:p>
        </w:tc>
        <w:tc>
          <w:tcPr>
            <w:tcW w:w="1444" w:type="dxa"/>
            <w:vAlign w:val="bottom"/>
          </w:tcPr>
          <w:p w14:paraId="2206A112" w14:textId="2D4C5DFC" w:rsidR="00CB20FB" w:rsidRPr="00D730F0" w:rsidRDefault="00CB20FB" w:rsidP="00CB20FB">
            <w:pPr>
              <w:rPr>
                <w:rFonts w:ascii="Arial" w:hAnsi="Arial" w:cs="Arial"/>
                <w:color w:val="000000"/>
              </w:rPr>
            </w:pPr>
            <w:r w:rsidRPr="00D730F0">
              <w:rPr>
                <w:rFonts w:ascii="Arial" w:hAnsi="Arial" w:cs="Arial"/>
                <w:color w:val="000000"/>
              </w:rPr>
              <w:t>13.8%</w:t>
            </w:r>
          </w:p>
        </w:tc>
        <w:tc>
          <w:tcPr>
            <w:tcW w:w="1890" w:type="dxa"/>
            <w:shd w:val="clear" w:color="auto" w:fill="auto"/>
            <w:vAlign w:val="bottom"/>
          </w:tcPr>
          <w:p w14:paraId="735DFFDC" w14:textId="65BE5A8C" w:rsidR="00CB20FB" w:rsidRPr="00D730F0" w:rsidRDefault="00CB20FB" w:rsidP="00CB20FB">
            <w:pPr>
              <w:rPr>
                <w:rFonts w:ascii="Arial" w:hAnsi="Arial" w:cs="Arial"/>
                <w:color w:val="000000"/>
              </w:rPr>
            </w:pPr>
            <w:r w:rsidRPr="00D730F0">
              <w:rPr>
                <w:rFonts w:ascii="Arial" w:hAnsi="Arial" w:cs="Arial"/>
                <w:color w:val="000000"/>
              </w:rPr>
              <w:t>26</w:t>
            </w:r>
          </w:p>
        </w:tc>
      </w:tr>
      <w:tr w:rsidR="00CB20FB" w:rsidRPr="000C7549" w14:paraId="2E74259E" w14:textId="77777777" w:rsidTr="007663D1">
        <w:tc>
          <w:tcPr>
            <w:tcW w:w="2700" w:type="dxa"/>
            <w:shd w:val="clear" w:color="auto" w:fill="auto"/>
            <w:vAlign w:val="bottom"/>
          </w:tcPr>
          <w:p w14:paraId="5308F644" w14:textId="77777777" w:rsidR="00CB20FB" w:rsidRPr="00D730F0" w:rsidRDefault="00CB20FB" w:rsidP="00CB20FB">
            <w:pPr>
              <w:rPr>
                <w:rFonts w:ascii="Arial" w:hAnsi="Arial" w:cs="Arial"/>
                <w:color w:val="000000"/>
              </w:rPr>
            </w:pPr>
          </w:p>
        </w:tc>
        <w:tc>
          <w:tcPr>
            <w:tcW w:w="1898" w:type="dxa"/>
            <w:vAlign w:val="bottom"/>
          </w:tcPr>
          <w:p w14:paraId="19DC6B3E" w14:textId="75EE8834" w:rsidR="00CB20FB" w:rsidRPr="00D730F0" w:rsidRDefault="00CB20FB" w:rsidP="00CB20FB">
            <w:pPr>
              <w:rPr>
                <w:rFonts w:ascii="Arial" w:hAnsi="Arial" w:cs="Arial"/>
                <w:color w:val="000000"/>
              </w:rPr>
            </w:pPr>
            <w:r w:rsidRPr="00D730F0">
              <w:rPr>
                <w:rFonts w:ascii="Arial" w:hAnsi="Arial" w:cs="Arial"/>
                <w:color w:val="000000"/>
              </w:rPr>
              <w:t>Parasitica</w:t>
            </w:r>
          </w:p>
        </w:tc>
        <w:tc>
          <w:tcPr>
            <w:tcW w:w="1444" w:type="dxa"/>
            <w:vAlign w:val="bottom"/>
          </w:tcPr>
          <w:p w14:paraId="380AE983" w14:textId="5AEC332B" w:rsidR="00CB20FB" w:rsidRPr="00D730F0" w:rsidRDefault="00CB20FB" w:rsidP="00CB20FB">
            <w:pPr>
              <w:rPr>
                <w:rFonts w:ascii="Arial" w:hAnsi="Arial" w:cs="Arial"/>
                <w:color w:val="000000"/>
              </w:rPr>
            </w:pPr>
            <w:r w:rsidRPr="00D730F0">
              <w:rPr>
                <w:rFonts w:ascii="Arial" w:hAnsi="Arial" w:cs="Arial"/>
                <w:color w:val="000000"/>
              </w:rPr>
              <w:t>9.6%</w:t>
            </w:r>
          </w:p>
        </w:tc>
        <w:tc>
          <w:tcPr>
            <w:tcW w:w="1890" w:type="dxa"/>
            <w:shd w:val="clear" w:color="auto" w:fill="auto"/>
            <w:vAlign w:val="bottom"/>
          </w:tcPr>
          <w:p w14:paraId="15AD2514" w14:textId="3273D143" w:rsidR="00CB20FB" w:rsidRPr="00D730F0" w:rsidRDefault="00CB20FB" w:rsidP="00CB20FB">
            <w:pPr>
              <w:rPr>
                <w:rFonts w:ascii="Arial" w:hAnsi="Arial" w:cs="Arial"/>
                <w:color w:val="000000"/>
              </w:rPr>
            </w:pPr>
            <w:r w:rsidRPr="00D730F0">
              <w:rPr>
                <w:rFonts w:ascii="Arial" w:hAnsi="Arial" w:cs="Arial"/>
                <w:color w:val="000000"/>
              </w:rPr>
              <w:t>18</w:t>
            </w:r>
          </w:p>
        </w:tc>
      </w:tr>
      <w:tr w:rsidR="00CB20FB" w:rsidRPr="000C7549" w14:paraId="15342A19" w14:textId="77777777" w:rsidTr="007663D1">
        <w:tc>
          <w:tcPr>
            <w:tcW w:w="2700" w:type="dxa"/>
            <w:shd w:val="clear" w:color="auto" w:fill="auto"/>
            <w:vAlign w:val="bottom"/>
          </w:tcPr>
          <w:p w14:paraId="6237533D" w14:textId="219CAA68" w:rsidR="00CB20FB" w:rsidRPr="00D730F0" w:rsidRDefault="00CB20FB" w:rsidP="00CB20FB">
            <w:pPr>
              <w:rPr>
                <w:rFonts w:ascii="Arial" w:hAnsi="Arial" w:cs="Arial"/>
              </w:rPr>
            </w:pPr>
          </w:p>
        </w:tc>
        <w:tc>
          <w:tcPr>
            <w:tcW w:w="1898" w:type="dxa"/>
            <w:vAlign w:val="bottom"/>
          </w:tcPr>
          <w:p w14:paraId="7F812CF0" w14:textId="77777777" w:rsidR="00CB20FB" w:rsidRPr="00D730F0" w:rsidRDefault="00CB20FB" w:rsidP="00CB20FB">
            <w:pPr>
              <w:rPr>
                <w:rFonts w:ascii="Arial" w:hAnsi="Arial" w:cs="Arial"/>
              </w:rPr>
            </w:pPr>
            <w:r w:rsidRPr="00D730F0">
              <w:rPr>
                <w:rFonts w:ascii="Arial" w:hAnsi="Arial" w:cs="Arial"/>
                <w:color w:val="000000"/>
              </w:rPr>
              <w:t>Unidentified</w:t>
            </w:r>
          </w:p>
        </w:tc>
        <w:tc>
          <w:tcPr>
            <w:tcW w:w="1444" w:type="dxa"/>
            <w:vAlign w:val="bottom"/>
          </w:tcPr>
          <w:p w14:paraId="19A5F4F7" w14:textId="77777777" w:rsidR="00CB20FB" w:rsidRPr="00D730F0" w:rsidRDefault="00CB20FB" w:rsidP="00CB20FB">
            <w:pPr>
              <w:rPr>
                <w:rFonts w:ascii="Arial" w:hAnsi="Arial" w:cs="Arial"/>
              </w:rPr>
            </w:pPr>
            <w:r w:rsidRPr="00D730F0">
              <w:rPr>
                <w:rFonts w:ascii="Arial" w:hAnsi="Arial" w:cs="Arial"/>
                <w:color w:val="000000"/>
              </w:rPr>
              <w:t>3.7%</w:t>
            </w:r>
          </w:p>
        </w:tc>
        <w:tc>
          <w:tcPr>
            <w:tcW w:w="1890" w:type="dxa"/>
            <w:shd w:val="clear" w:color="auto" w:fill="auto"/>
            <w:vAlign w:val="bottom"/>
          </w:tcPr>
          <w:p w14:paraId="0EB3724A" w14:textId="77777777" w:rsidR="00CB20FB" w:rsidRPr="00D730F0" w:rsidRDefault="00CB20FB" w:rsidP="00CB20FB">
            <w:pPr>
              <w:rPr>
                <w:rFonts w:ascii="Arial" w:hAnsi="Arial" w:cs="Arial"/>
              </w:rPr>
            </w:pPr>
            <w:r w:rsidRPr="00D730F0">
              <w:rPr>
                <w:rFonts w:ascii="Arial" w:hAnsi="Arial" w:cs="Arial"/>
                <w:color w:val="000000"/>
              </w:rPr>
              <w:t>7</w:t>
            </w:r>
          </w:p>
        </w:tc>
      </w:tr>
      <w:tr w:rsidR="00CB20FB" w:rsidRPr="000C7549" w14:paraId="08F22FFF" w14:textId="77777777" w:rsidTr="007663D1">
        <w:tc>
          <w:tcPr>
            <w:tcW w:w="2700" w:type="dxa"/>
            <w:shd w:val="clear" w:color="auto" w:fill="auto"/>
            <w:vAlign w:val="bottom"/>
          </w:tcPr>
          <w:p w14:paraId="0D3FB0D1" w14:textId="77777777" w:rsidR="00CB20FB" w:rsidRPr="00D730F0" w:rsidRDefault="00CB20FB" w:rsidP="00CB20FB">
            <w:pPr>
              <w:rPr>
                <w:rFonts w:ascii="Arial" w:hAnsi="Arial" w:cs="Arial"/>
              </w:rPr>
            </w:pPr>
          </w:p>
        </w:tc>
        <w:tc>
          <w:tcPr>
            <w:tcW w:w="1898" w:type="dxa"/>
            <w:vAlign w:val="bottom"/>
          </w:tcPr>
          <w:p w14:paraId="5F6EEA16" w14:textId="77777777" w:rsidR="00CB20FB" w:rsidRPr="00D730F0" w:rsidRDefault="00CB20FB" w:rsidP="00CB20FB">
            <w:pPr>
              <w:rPr>
                <w:rFonts w:ascii="Arial" w:hAnsi="Arial" w:cs="Arial"/>
              </w:rPr>
            </w:pPr>
            <w:r w:rsidRPr="00D730F0">
              <w:rPr>
                <w:rFonts w:ascii="Arial" w:hAnsi="Arial" w:cs="Arial"/>
                <w:color w:val="000000"/>
              </w:rPr>
              <w:t>Pompilidae</w:t>
            </w:r>
          </w:p>
        </w:tc>
        <w:tc>
          <w:tcPr>
            <w:tcW w:w="1444" w:type="dxa"/>
            <w:vAlign w:val="bottom"/>
          </w:tcPr>
          <w:p w14:paraId="3D17359E" w14:textId="77777777" w:rsidR="00CB20FB" w:rsidRPr="00D730F0" w:rsidRDefault="00CB20FB" w:rsidP="00CB20FB">
            <w:pPr>
              <w:rPr>
                <w:rFonts w:ascii="Arial" w:hAnsi="Arial" w:cs="Arial"/>
              </w:rPr>
            </w:pPr>
            <w:r w:rsidRPr="00D730F0">
              <w:rPr>
                <w:rFonts w:ascii="Arial" w:hAnsi="Arial" w:cs="Arial"/>
                <w:color w:val="000000"/>
              </w:rPr>
              <w:t>1.6%</w:t>
            </w:r>
          </w:p>
        </w:tc>
        <w:tc>
          <w:tcPr>
            <w:tcW w:w="1890" w:type="dxa"/>
            <w:shd w:val="clear" w:color="auto" w:fill="auto"/>
            <w:vAlign w:val="bottom"/>
          </w:tcPr>
          <w:p w14:paraId="3E70D041" w14:textId="77777777" w:rsidR="00CB20FB" w:rsidRPr="00D730F0" w:rsidRDefault="00CB20FB" w:rsidP="00CB20FB">
            <w:pPr>
              <w:rPr>
                <w:rFonts w:ascii="Arial" w:hAnsi="Arial" w:cs="Arial"/>
              </w:rPr>
            </w:pPr>
            <w:r w:rsidRPr="00D730F0">
              <w:rPr>
                <w:rFonts w:ascii="Arial" w:hAnsi="Arial" w:cs="Arial"/>
                <w:color w:val="000000"/>
              </w:rPr>
              <w:t>3</w:t>
            </w:r>
          </w:p>
        </w:tc>
      </w:tr>
      <w:tr w:rsidR="00CB20FB" w:rsidRPr="000C7549" w14:paraId="7CEB3678" w14:textId="77777777" w:rsidTr="007663D1">
        <w:tc>
          <w:tcPr>
            <w:tcW w:w="2700" w:type="dxa"/>
            <w:shd w:val="clear" w:color="auto" w:fill="auto"/>
            <w:vAlign w:val="bottom"/>
          </w:tcPr>
          <w:p w14:paraId="4E281012" w14:textId="77777777" w:rsidR="00CB20FB" w:rsidRPr="00D730F0" w:rsidRDefault="00CB20FB" w:rsidP="00CB20FB">
            <w:pPr>
              <w:rPr>
                <w:rFonts w:ascii="Arial" w:hAnsi="Arial" w:cs="Arial"/>
              </w:rPr>
            </w:pPr>
          </w:p>
        </w:tc>
        <w:tc>
          <w:tcPr>
            <w:tcW w:w="1898" w:type="dxa"/>
            <w:vAlign w:val="bottom"/>
          </w:tcPr>
          <w:p w14:paraId="71FD527C" w14:textId="77777777" w:rsidR="00CB20FB" w:rsidRPr="00D730F0" w:rsidRDefault="00CB20FB" w:rsidP="00CB20FB">
            <w:pPr>
              <w:rPr>
                <w:rFonts w:ascii="Arial" w:hAnsi="Arial" w:cs="Arial"/>
              </w:rPr>
            </w:pPr>
            <w:r w:rsidRPr="00D730F0">
              <w:rPr>
                <w:rFonts w:ascii="Arial" w:hAnsi="Arial" w:cs="Arial"/>
                <w:color w:val="000000"/>
              </w:rPr>
              <w:t>Formicidae</w:t>
            </w:r>
          </w:p>
        </w:tc>
        <w:tc>
          <w:tcPr>
            <w:tcW w:w="1444" w:type="dxa"/>
            <w:vAlign w:val="bottom"/>
          </w:tcPr>
          <w:p w14:paraId="1E5257FC" w14:textId="77777777" w:rsidR="00CB20FB" w:rsidRPr="00D730F0" w:rsidRDefault="00CB20FB" w:rsidP="00CB20FB">
            <w:pPr>
              <w:rPr>
                <w:rFonts w:ascii="Arial" w:hAnsi="Arial" w:cs="Arial"/>
              </w:rPr>
            </w:pPr>
            <w:r w:rsidRPr="00D730F0">
              <w:rPr>
                <w:rFonts w:ascii="Arial" w:hAnsi="Arial" w:cs="Arial"/>
                <w:color w:val="000000"/>
              </w:rPr>
              <w:t>0.5%</w:t>
            </w:r>
          </w:p>
        </w:tc>
        <w:tc>
          <w:tcPr>
            <w:tcW w:w="1890" w:type="dxa"/>
            <w:shd w:val="clear" w:color="auto" w:fill="auto"/>
            <w:vAlign w:val="bottom"/>
          </w:tcPr>
          <w:p w14:paraId="5806189D" w14:textId="77777777" w:rsidR="00CB20FB" w:rsidRPr="00D730F0" w:rsidRDefault="00CB20FB" w:rsidP="00CB20FB">
            <w:pPr>
              <w:rPr>
                <w:rFonts w:ascii="Arial" w:hAnsi="Arial" w:cs="Arial"/>
              </w:rPr>
            </w:pPr>
            <w:r w:rsidRPr="00D730F0">
              <w:rPr>
                <w:rFonts w:ascii="Arial" w:hAnsi="Arial" w:cs="Arial"/>
                <w:color w:val="000000"/>
              </w:rPr>
              <w:t>1</w:t>
            </w:r>
          </w:p>
        </w:tc>
      </w:tr>
      <w:tr w:rsidR="00CB20FB" w:rsidRPr="000C7549" w14:paraId="2A9C08A1" w14:textId="77777777" w:rsidTr="007663D1">
        <w:tc>
          <w:tcPr>
            <w:tcW w:w="2700" w:type="dxa"/>
            <w:shd w:val="clear" w:color="auto" w:fill="auto"/>
            <w:vAlign w:val="bottom"/>
          </w:tcPr>
          <w:p w14:paraId="669587F6" w14:textId="77777777" w:rsidR="00CB20FB" w:rsidRPr="00D730F0" w:rsidRDefault="00CB20FB" w:rsidP="00CB20FB">
            <w:pPr>
              <w:rPr>
                <w:rFonts w:ascii="Arial" w:hAnsi="Arial" w:cs="Arial"/>
              </w:rPr>
            </w:pPr>
            <w:r w:rsidRPr="00D730F0">
              <w:rPr>
                <w:rFonts w:ascii="Arial" w:hAnsi="Arial" w:cs="Arial"/>
                <w:color w:val="000000"/>
              </w:rPr>
              <w:t>Lepidoptera, n= 247</w:t>
            </w:r>
          </w:p>
        </w:tc>
        <w:tc>
          <w:tcPr>
            <w:tcW w:w="1898" w:type="dxa"/>
            <w:vAlign w:val="bottom"/>
          </w:tcPr>
          <w:p w14:paraId="118DD7A4" w14:textId="77777777" w:rsidR="00CB20FB" w:rsidRPr="00D730F0" w:rsidRDefault="00CB20FB" w:rsidP="00CB20FB">
            <w:pPr>
              <w:rPr>
                <w:rFonts w:ascii="Arial" w:hAnsi="Arial" w:cs="Arial"/>
              </w:rPr>
            </w:pPr>
            <w:r w:rsidRPr="00D730F0">
              <w:rPr>
                <w:rFonts w:ascii="Arial" w:hAnsi="Arial" w:cs="Arial"/>
                <w:color w:val="000000"/>
              </w:rPr>
              <w:t>Hesperiidae</w:t>
            </w:r>
          </w:p>
        </w:tc>
        <w:tc>
          <w:tcPr>
            <w:tcW w:w="1444" w:type="dxa"/>
            <w:vAlign w:val="bottom"/>
          </w:tcPr>
          <w:p w14:paraId="099657F1" w14:textId="77777777" w:rsidR="00CB20FB" w:rsidRPr="00D730F0" w:rsidRDefault="00CB20FB" w:rsidP="00CB20FB">
            <w:pPr>
              <w:rPr>
                <w:rFonts w:ascii="Arial" w:hAnsi="Arial" w:cs="Arial"/>
              </w:rPr>
            </w:pPr>
            <w:r w:rsidRPr="00D730F0">
              <w:rPr>
                <w:rFonts w:ascii="Arial" w:hAnsi="Arial" w:cs="Arial"/>
                <w:color w:val="000000"/>
              </w:rPr>
              <w:t>55.1%</w:t>
            </w:r>
          </w:p>
        </w:tc>
        <w:tc>
          <w:tcPr>
            <w:tcW w:w="1890" w:type="dxa"/>
            <w:shd w:val="clear" w:color="auto" w:fill="auto"/>
            <w:vAlign w:val="bottom"/>
          </w:tcPr>
          <w:p w14:paraId="67B87637" w14:textId="77777777" w:rsidR="00CB20FB" w:rsidRPr="00D730F0" w:rsidRDefault="00CB20FB" w:rsidP="00CB20FB">
            <w:pPr>
              <w:rPr>
                <w:rFonts w:ascii="Arial" w:hAnsi="Arial" w:cs="Arial"/>
              </w:rPr>
            </w:pPr>
            <w:r w:rsidRPr="00D730F0">
              <w:rPr>
                <w:rFonts w:ascii="Arial" w:hAnsi="Arial" w:cs="Arial"/>
                <w:color w:val="000000"/>
              </w:rPr>
              <w:t>136</w:t>
            </w:r>
          </w:p>
        </w:tc>
      </w:tr>
      <w:tr w:rsidR="00CB20FB" w:rsidRPr="000C7549" w14:paraId="3B4459F0" w14:textId="77777777" w:rsidTr="007663D1">
        <w:tc>
          <w:tcPr>
            <w:tcW w:w="2700" w:type="dxa"/>
            <w:shd w:val="clear" w:color="auto" w:fill="auto"/>
            <w:vAlign w:val="bottom"/>
          </w:tcPr>
          <w:p w14:paraId="3F03CA80" w14:textId="77777777" w:rsidR="00CB20FB" w:rsidRPr="00D730F0" w:rsidRDefault="00CB20FB" w:rsidP="00CB20FB">
            <w:pPr>
              <w:rPr>
                <w:rFonts w:ascii="Arial" w:hAnsi="Arial" w:cs="Arial"/>
              </w:rPr>
            </w:pPr>
          </w:p>
        </w:tc>
        <w:tc>
          <w:tcPr>
            <w:tcW w:w="1898" w:type="dxa"/>
            <w:vAlign w:val="bottom"/>
          </w:tcPr>
          <w:p w14:paraId="0F7C6B51" w14:textId="77777777" w:rsidR="00CB20FB" w:rsidRPr="00D730F0" w:rsidRDefault="00CB20FB" w:rsidP="00CB20FB">
            <w:pPr>
              <w:rPr>
                <w:rFonts w:ascii="Arial" w:hAnsi="Arial" w:cs="Arial"/>
              </w:rPr>
            </w:pPr>
            <w:r w:rsidRPr="00D730F0">
              <w:rPr>
                <w:rFonts w:ascii="Arial" w:hAnsi="Arial" w:cs="Arial"/>
                <w:color w:val="000000"/>
              </w:rPr>
              <w:t>Nymphalidae</w:t>
            </w:r>
          </w:p>
        </w:tc>
        <w:tc>
          <w:tcPr>
            <w:tcW w:w="1444" w:type="dxa"/>
            <w:vAlign w:val="bottom"/>
          </w:tcPr>
          <w:p w14:paraId="332DBB99" w14:textId="77777777" w:rsidR="00CB20FB" w:rsidRPr="00D730F0" w:rsidRDefault="00CB20FB" w:rsidP="00CB20FB">
            <w:pPr>
              <w:rPr>
                <w:rFonts w:ascii="Arial" w:hAnsi="Arial" w:cs="Arial"/>
              </w:rPr>
            </w:pPr>
            <w:r w:rsidRPr="00D730F0">
              <w:rPr>
                <w:rFonts w:ascii="Arial" w:hAnsi="Arial" w:cs="Arial"/>
                <w:color w:val="000000"/>
              </w:rPr>
              <w:t>14.6%</w:t>
            </w:r>
          </w:p>
        </w:tc>
        <w:tc>
          <w:tcPr>
            <w:tcW w:w="1890" w:type="dxa"/>
            <w:shd w:val="clear" w:color="auto" w:fill="auto"/>
            <w:vAlign w:val="bottom"/>
          </w:tcPr>
          <w:p w14:paraId="7C82A6C2" w14:textId="77777777" w:rsidR="00CB20FB" w:rsidRPr="00D730F0" w:rsidRDefault="00CB20FB" w:rsidP="00CB20FB">
            <w:pPr>
              <w:rPr>
                <w:rFonts w:ascii="Arial" w:hAnsi="Arial" w:cs="Arial"/>
              </w:rPr>
            </w:pPr>
            <w:r w:rsidRPr="00D730F0">
              <w:rPr>
                <w:rFonts w:ascii="Arial" w:hAnsi="Arial" w:cs="Arial"/>
                <w:color w:val="000000"/>
              </w:rPr>
              <w:t>4</w:t>
            </w:r>
          </w:p>
        </w:tc>
      </w:tr>
      <w:tr w:rsidR="00CB20FB" w:rsidRPr="000C7549" w14:paraId="699A8FE1" w14:textId="77777777" w:rsidTr="007663D1">
        <w:tc>
          <w:tcPr>
            <w:tcW w:w="2700" w:type="dxa"/>
            <w:shd w:val="clear" w:color="auto" w:fill="auto"/>
            <w:vAlign w:val="bottom"/>
          </w:tcPr>
          <w:p w14:paraId="483B1099" w14:textId="77777777" w:rsidR="00CB20FB" w:rsidRPr="00D730F0" w:rsidRDefault="00CB20FB" w:rsidP="00CB20FB">
            <w:pPr>
              <w:rPr>
                <w:rFonts w:ascii="Arial" w:hAnsi="Arial" w:cs="Arial"/>
              </w:rPr>
            </w:pPr>
          </w:p>
        </w:tc>
        <w:tc>
          <w:tcPr>
            <w:tcW w:w="1898" w:type="dxa"/>
            <w:vAlign w:val="bottom"/>
          </w:tcPr>
          <w:p w14:paraId="1CF89134" w14:textId="77777777" w:rsidR="00CB20FB" w:rsidRPr="00D730F0" w:rsidRDefault="00CB20FB" w:rsidP="00CB20FB">
            <w:pPr>
              <w:rPr>
                <w:rFonts w:ascii="Arial" w:hAnsi="Arial" w:cs="Arial"/>
              </w:rPr>
            </w:pPr>
            <w:r w:rsidRPr="00D730F0">
              <w:rPr>
                <w:rFonts w:ascii="Arial" w:hAnsi="Arial" w:cs="Arial"/>
                <w:color w:val="000000"/>
              </w:rPr>
              <w:t>Pieridae</w:t>
            </w:r>
          </w:p>
        </w:tc>
        <w:tc>
          <w:tcPr>
            <w:tcW w:w="1444" w:type="dxa"/>
            <w:vAlign w:val="bottom"/>
          </w:tcPr>
          <w:p w14:paraId="06E746A5" w14:textId="77777777" w:rsidR="00CB20FB" w:rsidRPr="00D730F0" w:rsidRDefault="00CB20FB" w:rsidP="00CB20FB">
            <w:pPr>
              <w:rPr>
                <w:rFonts w:ascii="Arial" w:hAnsi="Arial" w:cs="Arial"/>
              </w:rPr>
            </w:pPr>
            <w:r w:rsidRPr="00D730F0">
              <w:rPr>
                <w:rFonts w:ascii="Arial" w:hAnsi="Arial" w:cs="Arial"/>
                <w:color w:val="000000"/>
              </w:rPr>
              <w:t>13.0%</w:t>
            </w:r>
          </w:p>
        </w:tc>
        <w:tc>
          <w:tcPr>
            <w:tcW w:w="1890" w:type="dxa"/>
            <w:shd w:val="clear" w:color="auto" w:fill="auto"/>
            <w:vAlign w:val="bottom"/>
          </w:tcPr>
          <w:p w14:paraId="718DD7BE" w14:textId="77777777" w:rsidR="00CB20FB" w:rsidRPr="00D730F0" w:rsidRDefault="00CB20FB" w:rsidP="00CB20FB">
            <w:pPr>
              <w:rPr>
                <w:rFonts w:ascii="Arial" w:hAnsi="Arial" w:cs="Arial"/>
              </w:rPr>
            </w:pPr>
            <w:r w:rsidRPr="00D730F0">
              <w:rPr>
                <w:rFonts w:ascii="Arial" w:hAnsi="Arial" w:cs="Arial"/>
                <w:color w:val="000000"/>
              </w:rPr>
              <w:t>36</w:t>
            </w:r>
          </w:p>
        </w:tc>
      </w:tr>
      <w:tr w:rsidR="00CB20FB" w:rsidRPr="000C7549" w14:paraId="3F33757F" w14:textId="77777777" w:rsidTr="007663D1">
        <w:tc>
          <w:tcPr>
            <w:tcW w:w="2700" w:type="dxa"/>
            <w:shd w:val="clear" w:color="auto" w:fill="auto"/>
            <w:vAlign w:val="bottom"/>
          </w:tcPr>
          <w:p w14:paraId="698E8E51" w14:textId="77777777" w:rsidR="00CB20FB" w:rsidRPr="00D730F0" w:rsidRDefault="00CB20FB" w:rsidP="00CB20FB">
            <w:pPr>
              <w:rPr>
                <w:rFonts w:ascii="Arial" w:hAnsi="Arial" w:cs="Arial"/>
              </w:rPr>
            </w:pPr>
          </w:p>
        </w:tc>
        <w:tc>
          <w:tcPr>
            <w:tcW w:w="1898" w:type="dxa"/>
            <w:vAlign w:val="bottom"/>
          </w:tcPr>
          <w:p w14:paraId="1CF6A2A1" w14:textId="77777777" w:rsidR="00CB20FB" w:rsidRPr="00D730F0" w:rsidRDefault="00CB20FB" w:rsidP="00CB20FB">
            <w:pPr>
              <w:rPr>
                <w:rFonts w:ascii="Arial" w:hAnsi="Arial" w:cs="Arial"/>
              </w:rPr>
            </w:pPr>
            <w:r w:rsidRPr="00D730F0">
              <w:rPr>
                <w:rFonts w:ascii="Arial" w:hAnsi="Arial" w:cs="Arial"/>
                <w:color w:val="000000"/>
              </w:rPr>
              <w:t>Erebidae</w:t>
            </w:r>
          </w:p>
        </w:tc>
        <w:tc>
          <w:tcPr>
            <w:tcW w:w="1444" w:type="dxa"/>
            <w:vAlign w:val="bottom"/>
          </w:tcPr>
          <w:p w14:paraId="3CC9AEDD" w14:textId="77777777" w:rsidR="00CB20FB" w:rsidRPr="00D730F0" w:rsidRDefault="00CB20FB" w:rsidP="00CB20FB">
            <w:pPr>
              <w:rPr>
                <w:rFonts w:ascii="Arial" w:hAnsi="Arial" w:cs="Arial"/>
              </w:rPr>
            </w:pPr>
            <w:r w:rsidRPr="00D730F0">
              <w:rPr>
                <w:rFonts w:ascii="Arial" w:hAnsi="Arial" w:cs="Arial"/>
                <w:color w:val="000000"/>
              </w:rPr>
              <w:t>8.5%</w:t>
            </w:r>
          </w:p>
        </w:tc>
        <w:tc>
          <w:tcPr>
            <w:tcW w:w="1890" w:type="dxa"/>
            <w:shd w:val="clear" w:color="auto" w:fill="auto"/>
            <w:vAlign w:val="bottom"/>
          </w:tcPr>
          <w:p w14:paraId="20462CDA" w14:textId="77777777" w:rsidR="00CB20FB" w:rsidRPr="00D730F0" w:rsidRDefault="00CB20FB" w:rsidP="00CB20FB">
            <w:pPr>
              <w:rPr>
                <w:rFonts w:ascii="Arial" w:hAnsi="Arial" w:cs="Arial"/>
              </w:rPr>
            </w:pPr>
            <w:r w:rsidRPr="00D730F0">
              <w:rPr>
                <w:rFonts w:ascii="Arial" w:hAnsi="Arial" w:cs="Arial"/>
                <w:color w:val="000000"/>
              </w:rPr>
              <w:t>21</w:t>
            </w:r>
          </w:p>
        </w:tc>
      </w:tr>
      <w:tr w:rsidR="00CB20FB" w:rsidRPr="000C7549" w14:paraId="2266C6BF" w14:textId="77777777" w:rsidTr="007663D1">
        <w:tc>
          <w:tcPr>
            <w:tcW w:w="2700" w:type="dxa"/>
            <w:shd w:val="clear" w:color="auto" w:fill="auto"/>
            <w:vAlign w:val="bottom"/>
          </w:tcPr>
          <w:p w14:paraId="342F5BDC" w14:textId="77777777" w:rsidR="00CB20FB" w:rsidRPr="00D730F0" w:rsidRDefault="00CB20FB" w:rsidP="00CB20FB">
            <w:pPr>
              <w:rPr>
                <w:rFonts w:ascii="Arial" w:hAnsi="Arial" w:cs="Arial"/>
              </w:rPr>
            </w:pPr>
          </w:p>
        </w:tc>
        <w:tc>
          <w:tcPr>
            <w:tcW w:w="1898" w:type="dxa"/>
            <w:vAlign w:val="bottom"/>
          </w:tcPr>
          <w:p w14:paraId="17E3CEC8" w14:textId="77777777" w:rsidR="00CB20FB" w:rsidRPr="00D730F0" w:rsidRDefault="00CB20FB" w:rsidP="00CB20FB">
            <w:pPr>
              <w:rPr>
                <w:rFonts w:ascii="Arial" w:hAnsi="Arial" w:cs="Arial"/>
              </w:rPr>
            </w:pPr>
            <w:r w:rsidRPr="00D730F0">
              <w:rPr>
                <w:rFonts w:ascii="Arial" w:hAnsi="Arial" w:cs="Arial"/>
                <w:color w:val="000000"/>
              </w:rPr>
              <w:t>Pyralidae</w:t>
            </w:r>
          </w:p>
        </w:tc>
        <w:tc>
          <w:tcPr>
            <w:tcW w:w="1444" w:type="dxa"/>
            <w:vAlign w:val="bottom"/>
          </w:tcPr>
          <w:p w14:paraId="1980898D" w14:textId="77777777" w:rsidR="00CB20FB" w:rsidRPr="00D730F0" w:rsidRDefault="00CB20FB" w:rsidP="00CB20FB">
            <w:pPr>
              <w:rPr>
                <w:rFonts w:ascii="Arial" w:hAnsi="Arial" w:cs="Arial"/>
              </w:rPr>
            </w:pPr>
            <w:r w:rsidRPr="00D730F0">
              <w:rPr>
                <w:rFonts w:ascii="Arial" w:hAnsi="Arial" w:cs="Arial"/>
                <w:color w:val="000000"/>
              </w:rPr>
              <w:t>2.8%</w:t>
            </w:r>
          </w:p>
        </w:tc>
        <w:tc>
          <w:tcPr>
            <w:tcW w:w="1890" w:type="dxa"/>
            <w:shd w:val="clear" w:color="auto" w:fill="auto"/>
            <w:vAlign w:val="bottom"/>
          </w:tcPr>
          <w:p w14:paraId="7329B738" w14:textId="77777777" w:rsidR="00CB20FB" w:rsidRPr="00D730F0" w:rsidRDefault="00CB20FB" w:rsidP="00CB20FB">
            <w:pPr>
              <w:rPr>
                <w:rFonts w:ascii="Arial" w:hAnsi="Arial" w:cs="Arial"/>
              </w:rPr>
            </w:pPr>
            <w:r w:rsidRPr="00D730F0">
              <w:rPr>
                <w:rFonts w:ascii="Arial" w:hAnsi="Arial" w:cs="Arial"/>
                <w:color w:val="000000"/>
              </w:rPr>
              <w:t>32</w:t>
            </w:r>
          </w:p>
        </w:tc>
      </w:tr>
      <w:tr w:rsidR="00CB20FB" w:rsidRPr="000C7549" w14:paraId="23B33796" w14:textId="77777777" w:rsidTr="007663D1">
        <w:tc>
          <w:tcPr>
            <w:tcW w:w="2700" w:type="dxa"/>
            <w:shd w:val="clear" w:color="auto" w:fill="auto"/>
            <w:vAlign w:val="bottom"/>
          </w:tcPr>
          <w:p w14:paraId="5BE35A56" w14:textId="77777777" w:rsidR="00CB20FB" w:rsidRPr="00D730F0" w:rsidRDefault="00CB20FB" w:rsidP="00CB20FB">
            <w:pPr>
              <w:rPr>
                <w:rFonts w:ascii="Arial" w:hAnsi="Arial" w:cs="Arial"/>
              </w:rPr>
            </w:pPr>
          </w:p>
        </w:tc>
        <w:tc>
          <w:tcPr>
            <w:tcW w:w="1898" w:type="dxa"/>
            <w:vAlign w:val="bottom"/>
          </w:tcPr>
          <w:p w14:paraId="3C0D83FD" w14:textId="77777777" w:rsidR="00CB20FB" w:rsidRPr="00D730F0" w:rsidRDefault="00CB20FB" w:rsidP="00CB20FB">
            <w:pPr>
              <w:rPr>
                <w:rFonts w:ascii="Arial" w:hAnsi="Arial" w:cs="Arial"/>
              </w:rPr>
            </w:pPr>
            <w:r w:rsidRPr="00D730F0">
              <w:rPr>
                <w:rFonts w:ascii="Arial" w:hAnsi="Arial" w:cs="Arial"/>
                <w:color w:val="000000"/>
              </w:rPr>
              <w:t>Yponomeutidae</w:t>
            </w:r>
          </w:p>
        </w:tc>
        <w:tc>
          <w:tcPr>
            <w:tcW w:w="1444" w:type="dxa"/>
            <w:vAlign w:val="bottom"/>
          </w:tcPr>
          <w:p w14:paraId="6D8D4637" w14:textId="77777777" w:rsidR="00CB20FB" w:rsidRPr="00D730F0" w:rsidRDefault="00CB20FB" w:rsidP="00CB20FB">
            <w:pPr>
              <w:rPr>
                <w:rFonts w:ascii="Arial" w:hAnsi="Arial" w:cs="Arial"/>
              </w:rPr>
            </w:pPr>
            <w:r w:rsidRPr="00D730F0">
              <w:rPr>
                <w:rFonts w:ascii="Arial" w:hAnsi="Arial" w:cs="Arial"/>
                <w:color w:val="000000"/>
              </w:rPr>
              <w:t>2.8%</w:t>
            </w:r>
          </w:p>
        </w:tc>
        <w:tc>
          <w:tcPr>
            <w:tcW w:w="1890" w:type="dxa"/>
            <w:shd w:val="clear" w:color="auto" w:fill="auto"/>
            <w:vAlign w:val="bottom"/>
          </w:tcPr>
          <w:p w14:paraId="5FCBACDB" w14:textId="77777777" w:rsidR="00CB20FB" w:rsidRPr="00D730F0" w:rsidRDefault="00CB20FB" w:rsidP="00CB20FB">
            <w:pPr>
              <w:rPr>
                <w:rFonts w:ascii="Arial" w:hAnsi="Arial" w:cs="Arial"/>
              </w:rPr>
            </w:pPr>
            <w:r w:rsidRPr="00D730F0">
              <w:rPr>
                <w:rFonts w:ascii="Arial" w:hAnsi="Arial" w:cs="Arial"/>
                <w:color w:val="000000"/>
              </w:rPr>
              <w:t>7</w:t>
            </w:r>
          </w:p>
        </w:tc>
      </w:tr>
      <w:tr w:rsidR="00CB20FB" w:rsidRPr="000C7549" w14:paraId="3EC2CA3A" w14:textId="77777777" w:rsidTr="00D730F0">
        <w:trPr>
          <w:trHeight w:val="86"/>
        </w:trPr>
        <w:tc>
          <w:tcPr>
            <w:tcW w:w="2700" w:type="dxa"/>
            <w:shd w:val="clear" w:color="auto" w:fill="auto"/>
            <w:vAlign w:val="bottom"/>
          </w:tcPr>
          <w:p w14:paraId="2D6829CB" w14:textId="77777777" w:rsidR="00CB20FB" w:rsidRPr="00D730F0" w:rsidRDefault="00CB20FB" w:rsidP="00CB20FB">
            <w:pPr>
              <w:rPr>
                <w:rFonts w:ascii="Arial" w:hAnsi="Arial" w:cs="Arial"/>
              </w:rPr>
            </w:pPr>
          </w:p>
        </w:tc>
        <w:tc>
          <w:tcPr>
            <w:tcW w:w="1898" w:type="dxa"/>
            <w:vAlign w:val="bottom"/>
          </w:tcPr>
          <w:p w14:paraId="10182259" w14:textId="77777777" w:rsidR="00CB20FB" w:rsidRPr="00D730F0" w:rsidRDefault="00CB20FB" w:rsidP="00CB20FB">
            <w:pPr>
              <w:rPr>
                <w:rFonts w:ascii="Arial" w:hAnsi="Arial" w:cs="Arial"/>
              </w:rPr>
            </w:pPr>
            <w:r w:rsidRPr="00D730F0">
              <w:rPr>
                <w:rFonts w:ascii="Arial" w:hAnsi="Arial" w:cs="Arial"/>
                <w:color w:val="000000"/>
              </w:rPr>
              <w:t>Lycaenidae</w:t>
            </w:r>
          </w:p>
        </w:tc>
        <w:tc>
          <w:tcPr>
            <w:tcW w:w="1444" w:type="dxa"/>
            <w:vAlign w:val="bottom"/>
          </w:tcPr>
          <w:p w14:paraId="08EA5C65" w14:textId="77777777" w:rsidR="00CB20FB" w:rsidRPr="00D730F0" w:rsidRDefault="00CB20FB" w:rsidP="00CB20FB">
            <w:pPr>
              <w:rPr>
                <w:rFonts w:ascii="Arial" w:hAnsi="Arial" w:cs="Arial"/>
              </w:rPr>
            </w:pPr>
            <w:r w:rsidRPr="00D730F0">
              <w:rPr>
                <w:rFonts w:ascii="Arial" w:hAnsi="Arial" w:cs="Arial"/>
                <w:color w:val="000000"/>
              </w:rPr>
              <w:t>1.6%</w:t>
            </w:r>
          </w:p>
        </w:tc>
        <w:tc>
          <w:tcPr>
            <w:tcW w:w="1890" w:type="dxa"/>
            <w:shd w:val="clear" w:color="auto" w:fill="auto"/>
            <w:vAlign w:val="bottom"/>
          </w:tcPr>
          <w:p w14:paraId="21E73AAD" w14:textId="77777777" w:rsidR="00CB20FB" w:rsidRPr="00D730F0" w:rsidRDefault="00CB20FB" w:rsidP="00CB20FB">
            <w:pPr>
              <w:rPr>
                <w:rFonts w:ascii="Arial" w:hAnsi="Arial" w:cs="Arial"/>
              </w:rPr>
            </w:pPr>
            <w:r w:rsidRPr="00D730F0">
              <w:rPr>
                <w:rFonts w:ascii="Arial" w:hAnsi="Arial" w:cs="Arial"/>
                <w:color w:val="000000"/>
              </w:rPr>
              <w:t>4</w:t>
            </w:r>
          </w:p>
        </w:tc>
      </w:tr>
      <w:tr w:rsidR="00CB20FB" w:rsidRPr="000C7549" w14:paraId="716A3EDE" w14:textId="77777777" w:rsidTr="007663D1">
        <w:tc>
          <w:tcPr>
            <w:tcW w:w="2700" w:type="dxa"/>
            <w:shd w:val="clear" w:color="auto" w:fill="auto"/>
            <w:vAlign w:val="bottom"/>
          </w:tcPr>
          <w:p w14:paraId="51D4E292" w14:textId="77777777" w:rsidR="00CB20FB" w:rsidRPr="00D730F0" w:rsidRDefault="00CB20FB" w:rsidP="00CB20FB">
            <w:pPr>
              <w:rPr>
                <w:rFonts w:ascii="Arial" w:hAnsi="Arial" w:cs="Arial"/>
              </w:rPr>
            </w:pPr>
          </w:p>
        </w:tc>
        <w:tc>
          <w:tcPr>
            <w:tcW w:w="1898" w:type="dxa"/>
            <w:vAlign w:val="bottom"/>
          </w:tcPr>
          <w:p w14:paraId="6F04CA29" w14:textId="77777777" w:rsidR="00CB20FB" w:rsidRPr="00D730F0" w:rsidRDefault="00CB20FB" w:rsidP="00CB20FB">
            <w:pPr>
              <w:rPr>
                <w:rFonts w:ascii="Arial" w:hAnsi="Arial" w:cs="Arial"/>
              </w:rPr>
            </w:pPr>
            <w:r w:rsidRPr="00D730F0">
              <w:rPr>
                <w:rFonts w:ascii="Arial" w:hAnsi="Arial" w:cs="Arial"/>
                <w:color w:val="000000"/>
              </w:rPr>
              <w:t>Unidentified</w:t>
            </w:r>
          </w:p>
        </w:tc>
        <w:tc>
          <w:tcPr>
            <w:tcW w:w="1444" w:type="dxa"/>
            <w:vAlign w:val="bottom"/>
          </w:tcPr>
          <w:p w14:paraId="25CC7FE8" w14:textId="77777777" w:rsidR="00CB20FB" w:rsidRPr="00D730F0" w:rsidRDefault="00CB20FB" w:rsidP="00CB20FB">
            <w:pPr>
              <w:rPr>
                <w:rFonts w:ascii="Arial" w:hAnsi="Arial" w:cs="Arial"/>
              </w:rPr>
            </w:pPr>
            <w:r w:rsidRPr="00D730F0">
              <w:rPr>
                <w:rFonts w:ascii="Arial" w:hAnsi="Arial" w:cs="Arial"/>
                <w:color w:val="000000"/>
              </w:rPr>
              <w:t>1.6%</w:t>
            </w:r>
          </w:p>
        </w:tc>
        <w:tc>
          <w:tcPr>
            <w:tcW w:w="1890" w:type="dxa"/>
            <w:shd w:val="clear" w:color="auto" w:fill="auto"/>
            <w:vAlign w:val="bottom"/>
          </w:tcPr>
          <w:p w14:paraId="3153A83F" w14:textId="77777777" w:rsidR="00CB20FB" w:rsidRPr="00D730F0" w:rsidRDefault="00CB20FB" w:rsidP="00CB20FB">
            <w:pPr>
              <w:rPr>
                <w:rFonts w:ascii="Arial" w:hAnsi="Arial" w:cs="Arial"/>
              </w:rPr>
            </w:pPr>
            <w:r w:rsidRPr="00D730F0">
              <w:rPr>
                <w:rFonts w:ascii="Arial" w:hAnsi="Arial" w:cs="Arial"/>
                <w:color w:val="000000"/>
              </w:rPr>
              <w:t>7</w:t>
            </w:r>
          </w:p>
        </w:tc>
      </w:tr>
    </w:tbl>
    <w:p w14:paraId="1537DDB3" w14:textId="20F44C4F" w:rsidR="0012108F" w:rsidRPr="00E723C2" w:rsidRDefault="00825C0D" w:rsidP="00805923">
      <w:pPr>
        <w:rPr>
          <w:rFonts w:ascii="Arial" w:hAnsi="Arial" w:cs="Arial"/>
          <w:sz w:val="20"/>
          <w:szCs w:val="20"/>
        </w:rPr>
      </w:pPr>
      <w:r>
        <w:rPr>
          <w:rFonts w:ascii="Arial" w:hAnsi="Arial" w:cs="Arial"/>
          <w:sz w:val="20"/>
          <w:szCs w:val="20"/>
        </w:rPr>
        <w:t>N</w:t>
      </w:r>
      <w:r w:rsidR="00E723C2" w:rsidRPr="00280F74">
        <w:rPr>
          <w:rFonts w:ascii="Arial" w:hAnsi="Arial" w:cs="Arial"/>
          <w:sz w:val="20"/>
          <w:szCs w:val="20"/>
        </w:rPr>
        <w:t xml:space="preserve">on-bee specimens collected in 2020. </w:t>
      </w:r>
      <w:r w:rsidR="00E723C2">
        <w:rPr>
          <w:rFonts w:ascii="Arial" w:hAnsi="Arial" w:cs="Arial"/>
          <w:sz w:val="20"/>
          <w:szCs w:val="20"/>
        </w:rPr>
        <w:t>Totals 5 orders and 34 families.</w:t>
      </w:r>
      <w:bookmarkStart w:id="53" w:name="_Toc289175845"/>
      <w:bookmarkEnd w:id="32"/>
    </w:p>
    <w:p w14:paraId="3F675BB3" w14:textId="5A3BBF1D" w:rsidR="007663D1" w:rsidRDefault="007663D1" w:rsidP="00805923">
      <w:pPr>
        <w:pStyle w:val="Caption"/>
        <w:spacing w:before="0" w:after="0"/>
      </w:pPr>
    </w:p>
    <w:p w14:paraId="411FACAD" w14:textId="77777777" w:rsidR="00805923" w:rsidRPr="00805923" w:rsidRDefault="00805923" w:rsidP="00805923"/>
    <w:p w14:paraId="0001A936" w14:textId="77777777" w:rsidR="00546490" w:rsidRPr="00AF302B" w:rsidRDefault="00546490" w:rsidP="00805923"/>
    <w:p w14:paraId="45134E0E" w14:textId="57202A98" w:rsidR="00123848" w:rsidRPr="000C7549" w:rsidRDefault="00123848" w:rsidP="00CB20FB">
      <w:pPr>
        <w:pStyle w:val="Caption"/>
        <w:spacing w:before="0" w:after="0"/>
      </w:pPr>
      <w:bookmarkStart w:id="54" w:name="_Toc76799606"/>
      <w:r w:rsidRPr="000C7549">
        <w:t xml:space="preserve">Table </w:t>
      </w:r>
      <w:fldSimple w:instr=" SEQ Table \* ARABIC ">
        <w:r w:rsidR="00B10994">
          <w:rPr>
            <w:noProof/>
          </w:rPr>
          <w:t>5</w:t>
        </w:r>
      </w:fldSimple>
      <w:r w:rsidRPr="000C7549">
        <w:t>. Landscape Analysis per Site, National Land Cover Database (</w:t>
      </w:r>
      <w:r w:rsidR="00825C0D" w:rsidRPr="000C7549">
        <w:t>E</w:t>
      </w:r>
      <w:r w:rsidR="00825C0D">
        <w:t>SRI</w:t>
      </w:r>
      <w:r w:rsidRPr="000C7549">
        <w:t>, 2016)</w:t>
      </w:r>
      <w:bookmarkEnd w:id="54"/>
    </w:p>
    <w:tbl>
      <w:tblPr>
        <w:tblStyle w:val="TableGrid"/>
        <w:tblW w:w="0" w:type="auto"/>
        <w:tblLook w:val="04A0" w:firstRow="1" w:lastRow="0" w:firstColumn="1" w:lastColumn="0" w:noHBand="0" w:noVBand="1"/>
      </w:tblPr>
      <w:tblGrid>
        <w:gridCol w:w="3505"/>
        <w:gridCol w:w="2248"/>
        <w:gridCol w:w="959"/>
        <w:gridCol w:w="959"/>
        <w:gridCol w:w="959"/>
      </w:tblGrid>
      <w:tr w:rsidR="00123848" w:rsidRPr="000C7549" w14:paraId="5EC72143" w14:textId="77777777" w:rsidTr="00C9273B">
        <w:tc>
          <w:tcPr>
            <w:tcW w:w="3505" w:type="dxa"/>
            <w:tcBorders>
              <w:bottom w:val="nil"/>
            </w:tcBorders>
          </w:tcPr>
          <w:p w14:paraId="10A64F39" w14:textId="77777777" w:rsidR="00123848" w:rsidRPr="000C7549" w:rsidRDefault="00123848" w:rsidP="00CB20FB">
            <w:pPr>
              <w:rPr>
                <w:rFonts w:ascii="Arial" w:hAnsi="Arial" w:cs="Arial"/>
                <w:b/>
                <w:sz w:val="24"/>
                <w:szCs w:val="24"/>
              </w:rPr>
            </w:pPr>
          </w:p>
        </w:tc>
        <w:tc>
          <w:tcPr>
            <w:tcW w:w="2248" w:type="dxa"/>
            <w:tcBorders>
              <w:bottom w:val="nil"/>
            </w:tcBorders>
            <w:vAlign w:val="bottom"/>
          </w:tcPr>
          <w:p w14:paraId="5739F2E8" w14:textId="77777777" w:rsidR="00123848" w:rsidRPr="000C7549" w:rsidRDefault="00123848" w:rsidP="00CB20FB">
            <w:pPr>
              <w:jc w:val="center"/>
              <w:rPr>
                <w:rFonts w:ascii="Arial" w:hAnsi="Arial" w:cs="Arial"/>
                <w:b/>
                <w:sz w:val="24"/>
                <w:szCs w:val="24"/>
              </w:rPr>
            </w:pPr>
          </w:p>
        </w:tc>
        <w:tc>
          <w:tcPr>
            <w:tcW w:w="2877" w:type="dxa"/>
            <w:gridSpan w:val="3"/>
            <w:tcBorders>
              <w:bottom w:val="nil"/>
            </w:tcBorders>
          </w:tcPr>
          <w:p w14:paraId="652886C5" w14:textId="77777777" w:rsidR="00123848" w:rsidRPr="000C7549" w:rsidRDefault="00123848" w:rsidP="00CB20FB">
            <w:pPr>
              <w:jc w:val="center"/>
              <w:rPr>
                <w:rFonts w:ascii="Arial" w:hAnsi="Arial" w:cs="Arial"/>
                <w:b/>
                <w:sz w:val="24"/>
                <w:szCs w:val="24"/>
              </w:rPr>
            </w:pPr>
            <w:r w:rsidRPr="000C7549">
              <w:rPr>
                <w:rFonts w:ascii="Arial" w:hAnsi="Arial" w:cs="Arial"/>
                <w:b/>
                <w:sz w:val="24"/>
                <w:szCs w:val="24"/>
              </w:rPr>
              <w:t>Radius (meters)</w:t>
            </w:r>
          </w:p>
        </w:tc>
      </w:tr>
      <w:tr w:rsidR="00123848" w:rsidRPr="000C7549" w14:paraId="67AAC055" w14:textId="77777777" w:rsidTr="00C9273B">
        <w:tc>
          <w:tcPr>
            <w:tcW w:w="3505" w:type="dxa"/>
            <w:tcBorders>
              <w:top w:val="nil"/>
              <w:bottom w:val="single" w:sz="12" w:space="0" w:color="auto"/>
            </w:tcBorders>
          </w:tcPr>
          <w:p w14:paraId="1853DE2F" w14:textId="77777777" w:rsidR="00123848" w:rsidRPr="000C7549" w:rsidRDefault="00123848" w:rsidP="00CB20FB">
            <w:pPr>
              <w:rPr>
                <w:rFonts w:ascii="Arial" w:hAnsi="Arial" w:cs="Arial"/>
                <w:sz w:val="24"/>
                <w:szCs w:val="24"/>
              </w:rPr>
            </w:pPr>
          </w:p>
        </w:tc>
        <w:tc>
          <w:tcPr>
            <w:tcW w:w="2248" w:type="dxa"/>
            <w:tcBorders>
              <w:top w:val="nil"/>
              <w:bottom w:val="single" w:sz="12" w:space="0" w:color="auto"/>
            </w:tcBorders>
          </w:tcPr>
          <w:p w14:paraId="647F788E" w14:textId="77777777" w:rsidR="00123848" w:rsidRPr="000C7549" w:rsidRDefault="00123848" w:rsidP="00CB20FB">
            <w:pPr>
              <w:rPr>
                <w:rFonts w:ascii="Arial" w:hAnsi="Arial" w:cs="Arial"/>
                <w:sz w:val="24"/>
                <w:szCs w:val="24"/>
              </w:rPr>
            </w:pPr>
            <w:r w:rsidRPr="000C7549">
              <w:rPr>
                <w:rFonts w:ascii="Arial" w:hAnsi="Arial" w:cs="Arial"/>
                <w:b/>
                <w:sz w:val="24"/>
                <w:szCs w:val="24"/>
              </w:rPr>
              <w:t>Land Cover Class</w:t>
            </w:r>
          </w:p>
        </w:tc>
        <w:tc>
          <w:tcPr>
            <w:tcW w:w="959" w:type="dxa"/>
            <w:tcBorders>
              <w:top w:val="nil"/>
              <w:bottom w:val="single" w:sz="12" w:space="0" w:color="auto"/>
            </w:tcBorders>
          </w:tcPr>
          <w:p w14:paraId="0940C45E" w14:textId="77777777" w:rsidR="00123848" w:rsidRPr="000C7549" w:rsidRDefault="00123848" w:rsidP="00CB20FB">
            <w:pPr>
              <w:rPr>
                <w:rFonts w:ascii="Arial" w:hAnsi="Arial" w:cs="Arial"/>
                <w:sz w:val="24"/>
                <w:szCs w:val="24"/>
              </w:rPr>
            </w:pPr>
            <w:r w:rsidRPr="000C7549">
              <w:rPr>
                <w:rFonts w:ascii="Arial" w:hAnsi="Arial" w:cs="Arial"/>
                <w:sz w:val="24"/>
                <w:szCs w:val="24"/>
              </w:rPr>
              <w:t>500m</w:t>
            </w:r>
          </w:p>
        </w:tc>
        <w:tc>
          <w:tcPr>
            <w:tcW w:w="959" w:type="dxa"/>
            <w:tcBorders>
              <w:top w:val="nil"/>
              <w:bottom w:val="single" w:sz="12" w:space="0" w:color="auto"/>
            </w:tcBorders>
          </w:tcPr>
          <w:p w14:paraId="14BA0964" w14:textId="77777777" w:rsidR="00123848" w:rsidRPr="000C7549" w:rsidRDefault="00123848" w:rsidP="00CB20FB">
            <w:pPr>
              <w:rPr>
                <w:rFonts w:ascii="Arial" w:hAnsi="Arial" w:cs="Arial"/>
                <w:sz w:val="24"/>
                <w:szCs w:val="24"/>
              </w:rPr>
            </w:pPr>
            <w:r w:rsidRPr="000C7549">
              <w:rPr>
                <w:rFonts w:ascii="Arial" w:hAnsi="Arial" w:cs="Arial"/>
                <w:sz w:val="24"/>
                <w:szCs w:val="24"/>
              </w:rPr>
              <w:t>1000m</w:t>
            </w:r>
          </w:p>
        </w:tc>
        <w:tc>
          <w:tcPr>
            <w:tcW w:w="959" w:type="dxa"/>
            <w:tcBorders>
              <w:top w:val="nil"/>
              <w:bottom w:val="single" w:sz="12" w:space="0" w:color="auto"/>
            </w:tcBorders>
          </w:tcPr>
          <w:p w14:paraId="4007007E" w14:textId="77777777" w:rsidR="00123848" w:rsidRPr="000C7549" w:rsidRDefault="00123848" w:rsidP="00CB20FB">
            <w:pPr>
              <w:rPr>
                <w:rFonts w:ascii="Arial" w:hAnsi="Arial" w:cs="Arial"/>
                <w:sz w:val="24"/>
                <w:szCs w:val="24"/>
              </w:rPr>
            </w:pPr>
            <w:r w:rsidRPr="000C7549">
              <w:rPr>
                <w:rFonts w:ascii="Arial" w:hAnsi="Arial" w:cs="Arial"/>
                <w:sz w:val="24"/>
                <w:szCs w:val="24"/>
              </w:rPr>
              <w:t>2000m</w:t>
            </w:r>
          </w:p>
        </w:tc>
      </w:tr>
      <w:tr w:rsidR="00123848" w:rsidRPr="000C7549" w14:paraId="50E19E33" w14:textId="77777777" w:rsidTr="00C9273B">
        <w:trPr>
          <w:trHeight w:val="43"/>
        </w:trPr>
        <w:tc>
          <w:tcPr>
            <w:tcW w:w="3505" w:type="dxa"/>
            <w:tcBorders>
              <w:top w:val="single" w:sz="12" w:space="0" w:color="auto"/>
              <w:bottom w:val="single" w:sz="4" w:space="0" w:color="auto"/>
            </w:tcBorders>
            <w:vAlign w:val="bottom"/>
          </w:tcPr>
          <w:p w14:paraId="1CA15F90" w14:textId="77777777" w:rsidR="00123848" w:rsidRPr="000C7549" w:rsidRDefault="00123848" w:rsidP="00CB20FB">
            <w:pPr>
              <w:jc w:val="center"/>
              <w:rPr>
                <w:rFonts w:ascii="Arial" w:hAnsi="Arial" w:cs="Arial"/>
                <w:sz w:val="24"/>
                <w:szCs w:val="24"/>
              </w:rPr>
            </w:pPr>
            <w:r w:rsidRPr="000C7549">
              <w:rPr>
                <w:rFonts w:ascii="Arial" w:hAnsi="Arial" w:cs="Arial"/>
                <w:b/>
                <w:sz w:val="24"/>
                <w:szCs w:val="24"/>
              </w:rPr>
              <w:t xml:space="preserve">Site 1, </w:t>
            </w:r>
            <w:r w:rsidRPr="000C7549">
              <w:rPr>
                <w:rFonts w:ascii="Arial" w:hAnsi="Arial" w:cs="Arial"/>
                <w:sz w:val="24"/>
                <w:szCs w:val="24"/>
              </w:rPr>
              <w:t>UT Gardens</w:t>
            </w:r>
          </w:p>
        </w:tc>
        <w:tc>
          <w:tcPr>
            <w:tcW w:w="2248" w:type="dxa"/>
            <w:tcBorders>
              <w:top w:val="single" w:sz="12" w:space="0" w:color="auto"/>
            </w:tcBorders>
            <w:vAlign w:val="bottom"/>
          </w:tcPr>
          <w:p w14:paraId="75DBD341"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Agriculture</w:t>
            </w:r>
          </w:p>
        </w:tc>
        <w:tc>
          <w:tcPr>
            <w:tcW w:w="959" w:type="dxa"/>
            <w:tcBorders>
              <w:top w:val="single" w:sz="12" w:space="0" w:color="auto"/>
            </w:tcBorders>
            <w:vAlign w:val="bottom"/>
          </w:tcPr>
          <w:p w14:paraId="0D444A72"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0.9%</w:t>
            </w:r>
          </w:p>
        </w:tc>
        <w:tc>
          <w:tcPr>
            <w:tcW w:w="959" w:type="dxa"/>
            <w:tcBorders>
              <w:top w:val="single" w:sz="12" w:space="0" w:color="auto"/>
            </w:tcBorders>
            <w:vAlign w:val="bottom"/>
          </w:tcPr>
          <w:p w14:paraId="0FE8A533"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w:t>
            </w:r>
          </w:p>
        </w:tc>
        <w:tc>
          <w:tcPr>
            <w:tcW w:w="959" w:type="dxa"/>
            <w:tcBorders>
              <w:top w:val="single" w:sz="12" w:space="0" w:color="auto"/>
            </w:tcBorders>
            <w:vAlign w:val="bottom"/>
          </w:tcPr>
          <w:p w14:paraId="6B164854"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8%</w:t>
            </w:r>
          </w:p>
        </w:tc>
      </w:tr>
      <w:tr w:rsidR="00123848" w:rsidRPr="000C7549" w14:paraId="3FEDF1D9" w14:textId="77777777" w:rsidTr="00C9273B">
        <w:trPr>
          <w:trHeight w:val="90"/>
        </w:trPr>
        <w:tc>
          <w:tcPr>
            <w:tcW w:w="3505" w:type="dxa"/>
            <w:tcBorders>
              <w:bottom w:val="nil"/>
            </w:tcBorders>
            <w:vAlign w:val="bottom"/>
          </w:tcPr>
          <w:p w14:paraId="7A7EE2B7" w14:textId="77777777" w:rsidR="00123848" w:rsidRPr="000C7549" w:rsidRDefault="00123848" w:rsidP="00CB20FB">
            <w:pPr>
              <w:jc w:val="center"/>
              <w:rPr>
                <w:rFonts w:ascii="Arial" w:hAnsi="Arial" w:cs="Arial"/>
                <w:sz w:val="24"/>
                <w:szCs w:val="24"/>
              </w:rPr>
            </w:pPr>
          </w:p>
        </w:tc>
        <w:tc>
          <w:tcPr>
            <w:tcW w:w="2248" w:type="dxa"/>
            <w:vAlign w:val="bottom"/>
          </w:tcPr>
          <w:p w14:paraId="70CC7EAA"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Developed</w:t>
            </w:r>
          </w:p>
        </w:tc>
        <w:tc>
          <w:tcPr>
            <w:tcW w:w="959" w:type="dxa"/>
            <w:vAlign w:val="bottom"/>
          </w:tcPr>
          <w:p w14:paraId="70242715"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69%</w:t>
            </w:r>
          </w:p>
        </w:tc>
        <w:tc>
          <w:tcPr>
            <w:tcW w:w="959" w:type="dxa"/>
            <w:vAlign w:val="bottom"/>
          </w:tcPr>
          <w:p w14:paraId="35FC3D0D"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63%</w:t>
            </w:r>
          </w:p>
        </w:tc>
        <w:tc>
          <w:tcPr>
            <w:tcW w:w="959" w:type="dxa"/>
            <w:vAlign w:val="bottom"/>
          </w:tcPr>
          <w:p w14:paraId="28BEEF45"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66%</w:t>
            </w:r>
          </w:p>
        </w:tc>
      </w:tr>
      <w:tr w:rsidR="00123848" w:rsidRPr="000C7549" w14:paraId="563D04AD" w14:textId="77777777" w:rsidTr="00C9273B">
        <w:tc>
          <w:tcPr>
            <w:tcW w:w="3505" w:type="dxa"/>
            <w:tcBorders>
              <w:top w:val="nil"/>
              <w:bottom w:val="nil"/>
            </w:tcBorders>
            <w:vAlign w:val="bottom"/>
          </w:tcPr>
          <w:p w14:paraId="2663EC1F" w14:textId="77777777" w:rsidR="00123848" w:rsidRPr="000C7549" w:rsidRDefault="00123848" w:rsidP="00CB20FB">
            <w:pPr>
              <w:jc w:val="center"/>
              <w:rPr>
                <w:rFonts w:ascii="Arial" w:hAnsi="Arial" w:cs="Arial"/>
                <w:sz w:val="24"/>
                <w:szCs w:val="24"/>
              </w:rPr>
            </w:pPr>
          </w:p>
        </w:tc>
        <w:tc>
          <w:tcPr>
            <w:tcW w:w="2248" w:type="dxa"/>
            <w:vAlign w:val="bottom"/>
          </w:tcPr>
          <w:p w14:paraId="62663661"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Natural</w:t>
            </w:r>
          </w:p>
        </w:tc>
        <w:tc>
          <w:tcPr>
            <w:tcW w:w="959" w:type="dxa"/>
            <w:vAlign w:val="bottom"/>
          </w:tcPr>
          <w:p w14:paraId="06410E45"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w:t>
            </w:r>
          </w:p>
        </w:tc>
        <w:tc>
          <w:tcPr>
            <w:tcW w:w="959" w:type="dxa"/>
            <w:vAlign w:val="bottom"/>
          </w:tcPr>
          <w:p w14:paraId="08CD172E"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18%</w:t>
            </w:r>
          </w:p>
        </w:tc>
        <w:tc>
          <w:tcPr>
            <w:tcW w:w="959" w:type="dxa"/>
            <w:vAlign w:val="bottom"/>
          </w:tcPr>
          <w:p w14:paraId="3EFEF656"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23%</w:t>
            </w:r>
          </w:p>
        </w:tc>
      </w:tr>
      <w:tr w:rsidR="00123848" w:rsidRPr="000C7549" w14:paraId="3F575969" w14:textId="77777777" w:rsidTr="00C9273B">
        <w:trPr>
          <w:trHeight w:val="90"/>
        </w:trPr>
        <w:tc>
          <w:tcPr>
            <w:tcW w:w="3505" w:type="dxa"/>
            <w:tcBorders>
              <w:top w:val="nil"/>
              <w:bottom w:val="single" w:sz="12" w:space="0" w:color="auto"/>
            </w:tcBorders>
            <w:vAlign w:val="bottom"/>
          </w:tcPr>
          <w:p w14:paraId="7DE94CF7" w14:textId="77777777" w:rsidR="00123848" w:rsidRPr="000C7549" w:rsidRDefault="00123848" w:rsidP="00CB20FB">
            <w:pPr>
              <w:jc w:val="center"/>
              <w:rPr>
                <w:rFonts w:ascii="Arial" w:hAnsi="Arial" w:cs="Arial"/>
                <w:sz w:val="24"/>
                <w:szCs w:val="24"/>
              </w:rPr>
            </w:pPr>
          </w:p>
        </w:tc>
        <w:tc>
          <w:tcPr>
            <w:tcW w:w="2248" w:type="dxa"/>
            <w:tcBorders>
              <w:bottom w:val="single" w:sz="12" w:space="0" w:color="auto"/>
            </w:tcBorders>
            <w:vAlign w:val="bottom"/>
          </w:tcPr>
          <w:p w14:paraId="7A3AA40D"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Water</w:t>
            </w:r>
          </w:p>
        </w:tc>
        <w:tc>
          <w:tcPr>
            <w:tcW w:w="959" w:type="dxa"/>
            <w:tcBorders>
              <w:bottom w:val="single" w:sz="12" w:space="0" w:color="auto"/>
            </w:tcBorders>
            <w:vAlign w:val="bottom"/>
          </w:tcPr>
          <w:p w14:paraId="36B47E89"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24%</w:t>
            </w:r>
          </w:p>
        </w:tc>
        <w:tc>
          <w:tcPr>
            <w:tcW w:w="959" w:type="dxa"/>
            <w:tcBorders>
              <w:bottom w:val="single" w:sz="12" w:space="0" w:color="auto"/>
            </w:tcBorders>
            <w:vAlign w:val="bottom"/>
          </w:tcPr>
          <w:p w14:paraId="45671254"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12%</w:t>
            </w:r>
          </w:p>
        </w:tc>
        <w:tc>
          <w:tcPr>
            <w:tcW w:w="959" w:type="dxa"/>
            <w:tcBorders>
              <w:bottom w:val="single" w:sz="12" w:space="0" w:color="auto"/>
            </w:tcBorders>
            <w:vAlign w:val="bottom"/>
          </w:tcPr>
          <w:p w14:paraId="1E370213"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11%</w:t>
            </w:r>
          </w:p>
        </w:tc>
      </w:tr>
      <w:tr w:rsidR="00123848" w:rsidRPr="000C7549" w14:paraId="3F835EF3" w14:textId="77777777" w:rsidTr="00C9273B">
        <w:tc>
          <w:tcPr>
            <w:tcW w:w="3505" w:type="dxa"/>
            <w:tcBorders>
              <w:top w:val="single" w:sz="12" w:space="0" w:color="auto"/>
              <w:bottom w:val="single" w:sz="4" w:space="0" w:color="auto"/>
            </w:tcBorders>
            <w:vAlign w:val="bottom"/>
          </w:tcPr>
          <w:p w14:paraId="150DE810" w14:textId="77777777" w:rsidR="00123848" w:rsidRPr="000C7549" w:rsidRDefault="00123848" w:rsidP="00CB20FB">
            <w:pPr>
              <w:jc w:val="center"/>
              <w:rPr>
                <w:rFonts w:ascii="Arial" w:hAnsi="Arial" w:cs="Arial"/>
                <w:sz w:val="24"/>
                <w:szCs w:val="24"/>
              </w:rPr>
            </w:pPr>
            <w:r w:rsidRPr="000C7549">
              <w:rPr>
                <w:rFonts w:ascii="Arial" w:hAnsi="Arial" w:cs="Arial"/>
                <w:b/>
                <w:sz w:val="24"/>
                <w:szCs w:val="24"/>
              </w:rPr>
              <w:t xml:space="preserve">Site 2, </w:t>
            </w:r>
            <w:r w:rsidRPr="000C7549">
              <w:rPr>
                <w:rFonts w:ascii="Arial" w:hAnsi="Arial" w:cs="Arial"/>
                <w:sz w:val="24"/>
                <w:szCs w:val="24"/>
              </w:rPr>
              <w:t>Arboretum</w:t>
            </w:r>
          </w:p>
        </w:tc>
        <w:tc>
          <w:tcPr>
            <w:tcW w:w="2248" w:type="dxa"/>
            <w:tcBorders>
              <w:top w:val="single" w:sz="12" w:space="0" w:color="auto"/>
            </w:tcBorders>
            <w:vAlign w:val="bottom"/>
          </w:tcPr>
          <w:p w14:paraId="518C7C43"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Agriculture</w:t>
            </w:r>
          </w:p>
        </w:tc>
        <w:tc>
          <w:tcPr>
            <w:tcW w:w="959" w:type="dxa"/>
            <w:tcBorders>
              <w:top w:val="single" w:sz="12" w:space="0" w:color="auto"/>
            </w:tcBorders>
            <w:vAlign w:val="bottom"/>
          </w:tcPr>
          <w:p w14:paraId="1587F700"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10%</w:t>
            </w:r>
          </w:p>
        </w:tc>
        <w:tc>
          <w:tcPr>
            <w:tcW w:w="959" w:type="dxa"/>
            <w:tcBorders>
              <w:top w:val="single" w:sz="12" w:space="0" w:color="auto"/>
            </w:tcBorders>
            <w:vAlign w:val="bottom"/>
          </w:tcPr>
          <w:p w14:paraId="1C1B7A9E"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40%</w:t>
            </w:r>
          </w:p>
        </w:tc>
        <w:tc>
          <w:tcPr>
            <w:tcW w:w="959" w:type="dxa"/>
            <w:tcBorders>
              <w:top w:val="single" w:sz="12" w:space="0" w:color="auto"/>
            </w:tcBorders>
            <w:vAlign w:val="bottom"/>
          </w:tcPr>
          <w:p w14:paraId="653BBB0A"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12%</w:t>
            </w:r>
          </w:p>
        </w:tc>
      </w:tr>
      <w:tr w:rsidR="00123848" w:rsidRPr="000C7549" w14:paraId="59B59A66" w14:textId="77777777" w:rsidTr="00C9273B">
        <w:tc>
          <w:tcPr>
            <w:tcW w:w="3505" w:type="dxa"/>
            <w:tcBorders>
              <w:bottom w:val="nil"/>
            </w:tcBorders>
            <w:vAlign w:val="bottom"/>
          </w:tcPr>
          <w:p w14:paraId="2DDE74D5" w14:textId="77777777" w:rsidR="00123848" w:rsidRPr="000C7549" w:rsidRDefault="00123848" w:rsidP="00CB20FB">
            <w:pPr>
              <w:jc w:val="center"/>
              <w:rPr>
                <w:rFonts w:ascii="Arial" w:hAnsi="Arial" w:cs="Arial"/>
                <w:sz w:val="24"/>
                <w:szCs w:val="24"/>
              </w:rPr>
            </w:pPr>
          </w:p>
        </w:tc>
        <w:tc>
          <w:tcPr>
            <w:tcW w:w="2248" w:type="dxa"/>
            <w:vAlign w:val="bottom"/>
          </w:tcPr>
          <w:p w14:paraId="4A34E014"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Developed</w:t>
            </w:r>
          </w:p>
        </w:tc>
        <w:tc>
          <w:tcPr>
            <w:tcW w:w="959" w:type="dxa"/>
            <w:vAlign w:val="bottom"/>
          </w:tcPr>
          <w:p w14:paraId="69852ACB"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26%</w:t>
            </w:r>
          </w:p>
        </w:tc>
        <w:tc>
          <w:tcPr>
            <w:tcW w:w="959" w:type="dxa"/>
            <w:vAlign w:val="bottom"/>
          </w:tcPr>
          <w:p w14:paraId="34C78B2F"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18%</w:t>
            </w:r>
          </w:p>
        </w:tc>
        <w:tc>
          <w:tcPr>
            <w:tcW w:w="959" w:type="dxa"/>
            <w:vAlign w:val="bottom"/>
          </w:tcPr>
          <w:p w14:paraId="663350F4"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30%</w:t>
            </w:r>
          </w:p>
        </w:tc>
      </w:tr>
      <w:tr w:rsidR="00123848" w:rsidRPr="000C7549" w14:paraId="587EB00E" w14:textId="77777777" w:rsidTr="00C9273B">
        <w:tc>
          <w:tcPr>
            <w:tcW w:w="3505" w:type="dxa"/>
            <w:tcBorders>
              <w:top w:val="nil"/>
              <w:bottom w:val="nil"/>
            </w:tcBorders>
            <w:vAlign w:val="bottom"/>
          </w:tcPr>
          <w:p w14:paraId="26F11B44" w14:textId="77777777" w:rsidR="00123848" w:rsidRPr="000C7549" w:rsidRDefault="00123848" w:rsidP="00CB20FB">
            <w:pPr>
              <w:jc w:val="center"/>
              <w:rPr>
                <w:rFonts w:ascii="Arial" w:hAnsi="Arial" w:cs="Arial"/>
                <w:sz w:val="24"/>
                <w:szCs w:val="24"/>
              </w:rPr>
            </w:pPr>
          </w:p>
        </w:tc>
        <w:tc>
          <w:tcPr>
            <w:tcW w:w="2248" w:type="dxa"/>
            <w:vAlign w:val="bottom"/>
          </w:tcPr>
          <w:p w14:paraId="0AAFBBE0"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Natural</w:t>
            </w:r>
          </w:p>
        </w:tc>
        <w:tc>
          <w:tcPr>
            <w:tcW w:w="959" w:type="dxa"/>
            <w:vAlign w:val="bottom"/>
          </w:tcPr>
          <w:p w14:paraId="12C72E62"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64%</w:t>
            </w:r>
          </w:p>
        </w:tc>
        <w:tc>
          <w:tcPr>
            <w:tcW w:w="959" w:type="dxa"/>
            <w:vAlign w:val="bottom"/>
          </w:tcPr>
          <w:p w14:paraId="7E4B2D4E"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42%</w:t>
            </w:r>
          </w:p>
        </w:tc>
        <w:tc>
          <w:tcPr>
            <w:tcW w:w="959" w:type="dxa"/>
            <w:vAlign w:val="bottom"/>
          </w:tcPr>
          <w:p w14:paraId="25160305"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55%</w:t>
            </w:r>
          </w:p>
        </w:tc>
      </w:tr>
      <w:tr w:rsidR="00123848" w:rsidRPr="000C7549" w14:paraId="0E5CC76B" w14:textId="77777777" w:rsidTr="00C9273B">
        <w:tc>
          <w:tcPr>
            <w:tcW w:w="3505" w:type="dxa"/>
            <w:tcBorders>
              <w:top w:val="nil"/>
              <w:bottom w:val="single" w:sz="12" w:space="0" w:color="auto"/>
            </w:tcBorders>
            <w:vAlign w:val="bottom"/>
          </w:tcPr>
          <w:p w14:paraId="0F34EFBE" w14:textId="77777777" w:rsidR="00123848" w:rsidRPr="000C7549" w:rsidRDefault="00123848" w:rsidP="00CB20FB">
            <w:pPr>
              <w:jc w:val="center"/>
              <w:rPr>
                <w:rFonts w:ascii="Arial" w:hAnsi="Arial" w:cs="Arial"/>
                <w:sz w:val="24"/>
                <w:szCs w:val="24"/>
              </w:rPr>
            </w:pPr>
          </w:p>
        </w:tc>
        <w:tc>
          <w:tcPr>
            <w:tcW w:w="2248" w:type="dxa"/>
            <w:tcBorders>
              <w:bottom w:val="single" w:sz="12" w:space="0" w:color="auto"/>
            </w:tcBorders>
            <w:vAlign w:val="bottom"/>
          </w:tcPr>
          <w:p w14:paraId="7CDDF9A7"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Water</w:t>
            </w:r>
          </w:p>
        </w:tc>
        <w:tc>
          <w:tcPr>
            <w:tcW w:w="959" w:type="dxa"/>
            <w:tcBorders>
              <w:bottom w:val="single" w:sz="12" w:space="0" w:color="auto"/>
            </w:tcBorders>
            <w:vAlign w:val="bottom"/>
          </w:tcPr>
          <w:p w14:paraId="6ABF6D42"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w:t>
            </w:r>
          </w:p>
        </w:tc>
        <w:tc>
          <w:tcPr>
            <w:tcW w:w="959" w:type="dxa"/>
            <w:tcBorders>
              <w:bottom w:val="single" w:sz="12" w:space="0" w:color="auto"/>
            </w:tcBorders>
            <w:vAlign w:val="bottom"/>
          </w:tcPr>
          <w:p w14:paraId="4CCF64E7"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w:t>
            </w:r>
          </w:p>
        </w:tc>
        <w:tc>
          <w:tcPr>
            <w:tcW w:w="959" w:type="dxa"/>
            <w:tcBorders>
              <w:bottom w:val="single" w:sz="12" w:space="0" w:color="auto"/>
            </w:tcBorders>
            <w:vAlign w:val="bottom"/>
          </w:tcPr>
          <w:p w14:paraId="4B5EC949"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3%</w:t>
            </w:r>
          </w:p>
        </w:tc>
      </w:tr>
      <w:tr w:rsidR="00123848" w:rsidRPr="000C7549" w14:paraId="6C222B82" w14:textId="77777777" w:rsidTr="00C9273B">
        <w:tc>
          <w:tcPr>
            <w:tcW w:w="3505" w:type="dxa"/>
            <w:tcBorders>
              <w:top w:val="single" w:sz="12" w:space="0" w:color="auto"/>
              <w:bottom w:val="single" w:sz="4" w:space="0" w:color="auto"/>
            </w:tcBorders>
            <w:vAlign w:val="bottom"/>
          </w:tcPr>
          <w:p w14:paraId="185B1BCE" w14:textId="77777777" w:rsidR="00123848" w:rsidRPr="000C7549" w:rsidRDefault="00123848" w:rsidP="00CB20FB">
            <w:pPr>
              <w:jc w:val="center"/>
              <w:rPr>
                <w:rFonts w:ascii="Arial" w:hAnsi="Arial" w:cs="Arial"/>
                <w:sz w:val="24"/>
                <w:szCs w:val="24"/>
              </w:rPr>
            </w:pPr>
            <w:r w:rsidRPr="000C7549">
              <w:rPr>
                <w:rFonts w:ascii="Arial" w:hAnsi="Arial" w:cs="Arial"/>
                <w:b/>
                <w:sz w:val="24"/>
                <w:szCs w:val="24"/>
              </w:rPr>
              <w:t xml:space="preserve">Site 3, </w:t>
            </w:r>
            <w:r w:rsidRPr="000C7549">
              <w:rPr>
                <w:rFonts w:ascii="Arial" w:hAnsi="Arial" w:cs="Arial"/>
                <w:sz w:val="24"/>
                <w:szCs w:val="24"/>
              </w:rPr>
              <w:t>Cattle Pasture</w:t>
            </w:r>
          </w:p>
        </w:tc>
        <w:tc>
          <w:tcPr>
            <w:tcW w:w="2248" w:type="dxa"/>
            <w:tcBorders>
              <w:top w:val="single" w:sz="12" w:space="0" w:color="auto"/>
            </w:tcBorders>
            <w:vAlign w:val="bottom"/>
          </w:tcPr>
          <w:p w14:paraId="7A466FB2"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Agriculture</w:t>
            </w:r>
          </w:p>
        </w:tc>
        <w:tc>
          <w:tcPr>
            <w:tcW w:w="959" w:type="dxa"/>
            <w:tcBorders>
              <w:top w:val="single" w:sz="12" w:space="0" w:color="auto"/>
            </w:tcBorders>
            <w:vAlign w:val="bottom"/>
          </w:tcPr>
          <w:p w14:paraId="7B37F2E7"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59%</w:t>
            </w:r>
          </w:p>
        </w:tc>
        <w:tc>
          <w:tcPr>
            <w:tcW w:w="959" w:type="dxa"/>
            <w:tcBorders>
              <w:top w:val="single" w:sz="12" w:space="0" w:color="auto"/>
            </w:tcBorders>
            <w:vAlign w:val="bottom"/>
          </w:tcPr>
          <w:p w14:paraId="2C6E6FD8"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47%</w:t>
            </w:r>
          </w:p>
        </w:tc>
        <w:tc>
          <w:tcPr>
            <w:tcW w:w="959" w:type="dxa"/>
            <w:tcBorders>
              <w:top w:val="single" w:sz="12" w:space="0" w:color="auto"/>
            </w:tcBorders>
            <w:vAlign w:val="bottom"/>
          </w:tcPr>
          <w:p w14:paraId="23C588EA"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48%</w:t>
            </w:r>
          </w:p>
        </w:tc>
      </w:tr>
      <w:tr w:rsidR="00123848" w:rsidRPr="000C7549" w14:paraId="23E2CFAF" w14:textId="77777777" w:rsidTr="00C9273B">
        <w:tc>
          <w:tcPr>
            <w:tcW w:w="3505" w:type="dxa"/>
            <w:tcBorders>
              <w:bottom w:val="nil"/>
            </w:tcBorders>
            <w:vAlign w:val="bottom"/>
          </w:tcPr>
          <w:p w14:paraId="75EC0466" w14:textId="77777777" w:rsidR="00123848" w:rsidRPr="000C7549" w:rsidRDefault="00123848" w:rsidP="00CB20FB">
            <w:pPr>
              <w:jc w:val="center"/>
              <w:rPr>
                <w:rFonts w:ascii="Arial" w:hAnsi="Arial" w:cs="Arial"/>
                <w:sz w:val="24"/>
                <w:szCs w:val="24"/>
              </w:rPr>
            </w:pPr>
          </w:p>
        </w:tc>
        <w:tc>
          <w:tcPr>
            <w:tcW w:w="2248" w:type="dxa"/>
            <w:vAlign w:val="bottom"/>
          </w:tcPr>
          <w:p w14:paraId="7A71A5BA"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Developed</w:t>
            </w:r>
          </w:p>
        </w:tc>
        <w:tc>
          <w:tcPr>
            <w:tcW w:w="959" w:type="dxa"/>
            <w:vAlign w:val="bottom"/>
          </w:tcPr>
          <w:p w14:paraId="74EFC754"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16%</w:t>
            </w:r>
          </w:p>
        </w:tc>
        <w:tc>
          <w:tcPr>
            <w:tcW w:w="959" w:type="dxa"/>
            <w:vAlign w:val="bottom"/>
          </w:tcPr>
          <w:p w14:paraId="2DBEDDF9"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12%</w:t>
            </w:r>
          </w:p>
        </w:tc>
        <w:tc>
          <w:tcPr>
            <w:tcW w:w="959" w:type="dxa"/>
            <w:vAlign w:val="bottom"/>
          </w:tcPr>
          <w:p w14:paraId="0E56680F"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w:t>
            </w:r>
          </w:p>
        </w:tc>
      </w:tr>
      <w:tr w:rsidR="00123848" w:rsidRPr="000C7549" w14:paraId="0B6CC42E" w14:textId="77777777" w:rsidTr="00C9273B">
        <w:tc>
          <w:tcPr>
            <w:tcW w:w="3505" w:type="dxa"/>
            <w:tcBorders>
              <w:top w:val="nil"/>
              <w:bottom w:val="nil"/>
            </w:tcBorders>
            <w:vAlign w:val="bottom"/>
          </w:tcPr>
          <w:p w14:paraId="4F4623F2" w14:textId="77777777" w:rsidR="00123848" w:rsidRPr="000C7549" w:rsidRDefault="00123848" w:rsidP="00CB20FB">
            <w:pPr>
              <w:jc w:val="center"/>
              <w:rPr>
                <w:rFonts w:ascii="Arial" w:hAnsi="Arial" w:cs="Arial"/>
                <w:sz w:val="24"/>
                <w:szCs w:val="24"/>
              </w:rPr>
            </w:pPr>
          </w:p>
        </w:tc>
        <w:tc>
          <w:tcPr>
            <w:tcW w:w="2248" w:type="dxa"/>
            <w:vAlign w:val="bottom"/>
          </w:tcPr>
          <w:p w14:paraId="50DDDDAB"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Natural</w:t>
            </w:r>
          </w:p>
        </w:tc>
        <w:tc>
          <w:tcPr>
            <w:tcW w:w="959" w:type="dxa"/>
            <w:vAlign w:val="bottom"/>
          </w:tcPr>
          <w:p w14:paraId="6A8DD265"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22%</w:t>
            </w:r>
          </w:p>
        </w:tc>
        <w:tc>
          <w:tcPr>
            <w:tcW w:w="959" w:type="dxa"/>
            <w:vAlign w:val="bottom"/>
          </w:tcPr>
          <w:p w14:paraId="5DCD4E65"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39%</w:t>
            </w:r>
          </w:p>
        </w:tc>
        <w:tc>
          <w:tcPr>
            <w:tcW w:w="959" w:type="dxa"/>
            <w:vAlign w:val="bottom"/>
          </w:tcPr>
          <w:p w14:paraId="28457380"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43%</w:t>
            </w:r>
          </w:p>
        </w:tc>
      </w:tr>
      <w:tr w:rsidR="00123848" w:rsidRPr="000C7549" w14:paraId="1B0920BB" w14:textId="77777777" w:rsidTr="00C9273B">
        <w:tc>
          <w:tcPr>
            <w:tcW w:w="3505" w:type="dxa"/>
            <w:tcBorders>
              <w:top w:val="nil"/>
              <w:bottom w:val="single" w:sz="12" w:space="0" w:color="auto"/>
            </w:tcBorders>
            <w:vAlign w:val="bottom"/>
          </w:tcPr>
          <w:p w14:paraId="66AEC18B" w14:textId="77777777" w:rsidR="00123848" w:rsidRPr="000C7549" w:rsidRDefault="00123848" w:rsidP="00CB20FB">
            <w:pPr>
              <w:jc w:val="center"/>
              <w:rPr>
                <w:rFonts w:ascii="Arial" w:hAnsi="Arial" w:cs="Arial"/>
                <w:sz w:val="24"/>
                <w:szCs w:val="24"/>
              </w:rPr>
            </w:pPr>
          </w:p>
        </w:tc>
        <w:tc>
          <w:tcPr>
            <w:tcW w:w="2248" w:type="dxa"/>
            <w:tcBorders>
              <w:bottom w:val="single" w:sz="12" w:space="0" w:color="auto"/>
            </w:tcBorders>
            <w:vAlign w:val="bottom"/>
          </w:tcPr>
          <w:p w14:paraId="5943F179"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Water</w:t>
            </w:r>
          </w:p>
        </w:tc>
        <w:tc>
          <w:tcPr>
            <w:tcW w:w="959" w:type="dxa"/>
            <w:tcBorders>
              <w:bottom w:val="single" w:sz="12" w:space="0" w:color="auto"/>
            </w:tcBorders>
            <w:vAlign w:val="bottom"/>
          </w:tcPr>
          <w:p w14:paraId="1E939217"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2%</w:t>
            </w:r>
          </w:p>
        </w:tc>
        <w:tc>
          <w:tcPr>
            <w:tcW w:w="959" w:type="dxa"/>
            <w:tcBorders>
              <w:bottom w:val="single" w:sz="12" w:space="0" w:color="auto"/>
            </w:tcBorders>
            <w:vAlign w:val="bottom"/>
          </w:tcPr>
          <w:p w14:paraId="1E583BBF"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w:t>
            </w:r>
          </w:p>
        </w:tc>
        <w:tc>
          <w:tcPr>
            <w:tcW w:w="959" w:type="dxa"/>
            <w:tcBorders>
              <w:bottom w:val="single" w:sz="12" w:space="0" w:color="auto"/>
            </w:tcBorders>
            <w:vAlign w:val="bottom"/>
          </w:tcPr>
          <w:p w14:paraId="39F8DB7D"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w:t>
            </w:r>
          </w:p>
        </w:tc>
      </w:tr>
      <w:tr w:rsidR="00123848" w:rsidRPr="000C7549" w14:paraId="799C4B3C" w14:textId="77777777" w:rsidTr="00C9273B">
        <w:tc>
          <w:tcPr>
            <w:tcW w:w="3505" w:type="dxa"/>
            <w:tcBorders>
              <w:top w:val="single" w:sz="12" w:space="0" w:color="auto"/>
              <w:bottom w:val="single" w:sz="4" w:space="0" w:color="auto"/>
            </w:tcBorders>
            <w:vAlign w:val="bottom"/>
          </w:tcPr>
          <w:p w14:paraId="48396300" w14:textId="77777777" w:rsidR="00123848" w:rsidRPr="000C7549" w:rsidRDefault="00123848" w:rsidP="00CB20FB">
            <w:pPr>
              <w:jc w:val="center"/>
              <w:rPr>
                <w:rFonts w:ascii="Arial" w:hAnsi="Arial" w:cs="Arial"/>
                <w:sz w:val="24"/>
                <w:szCs w:val="24"/>
              </w:rPr>
            </w:pPr>
            <w:r w:rsidRPr="000C7549">
              <w:rPr>
                <w:rFonts w:ascii="Arial" w:hAnsi="Arial" w:cs="Arial"/>
                <w:b/>
                <w:sz w:val="24"/>
                <w:szCs w:val="24"/>
              </w:rPr>
              <w:t xml:space="preserve">Site 4, </w:t>
            </w:r>
            <w:r w:rsidRPr="000C7549">
              <w:rPr>
                <w:rFonts w:ascii="Arial" w:hAnsi="Arial" w:cs="Arial"/>
                <w:sz w:val="24"/>
                <w:szCs w:val="24"/>
              </w:rPr>
              <w:t>Mixed Use Agriculture</w:t>
            </w:r>
          </w:p>
        </w:tc>
        <w:tc>
          <w:tcPr>
            <w:tcW w:w="2248" w:type="dxa"/>
            <w:tcBorders>
              <w:top w:val="single" w:sz="12" w:space="0" w:color="auto"/>
            </w:tcBorders>
            <w:vAlign w:val="bottom"/>
          </w:tcPr>
          <w:p w14:paraId="5C97D243"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Agriculture</w:t>
            </w:r>
          </w:p>
        </w:tc>
        <w:tc>
          <w:tcPr>
            <w:tcW w:w="959" w:type="dxa"/>
            <w:tcBorders>
              <w:top w:val="single" w:sz="12" w:space="0" w:color="auto"/>
            </w:tcBorders>
            <w:vAlign w:val="bottom"/>
          </w:tcPr>
          <w:p w14:paraId="476A3752"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64%</w:t>
            </w:r>
          </w:p>
        </w:tc>
        <w:tc>
          <w:tcPr>
            <w:tcW w:w="959" w:type="dxa"/>
            <w:tcBorders>
              <w:top w:val="single" w:sz="12" w:space="0" w:color="auto"/>
            </w:tcBorders>
            <w:vAlign w:val="bottom"/>
          </w:tcPr>
          <w:p w14:paraId="50D91C9B"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68%</w:t>
            </w:r>
          </w:p>
        </w:tc>
        <w:tc>
          <w:tcPr>
            <w:tcW w:w="959" w:type="dxa"/>
            <w:tcBorders>
              <w:top w:val="single" w:sz="12" w:space="0" w:color="auto"/>
            </w:tcBorders>
            <w:vAlign w:val="bottom"/>
          </w:tcPr>
          <w:p w14:paraId="342B3BA7"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38%</w:t>
            </w:r>
          </w:p>
        </w:tc>
      </w:tr>
      <w:tr w:rsidR="00123848" w:rsidRPr="000C7549" w14:paraId="1588CAB6" w14:textId="77777777" w:rsidTr="00C9273B">
        <w:tc>
          <w:tcPr>
            <w:tcW w:w="3505" w:type="dxa"/>
            <w:tcBorders>
              <w:bottom w:val="nil"/>
            </w:tcBorders>
            <w:vAlign w:val="bottom"/>
          </w:tcPr>
          <w:p w14:paraId="7BFF2744" w14:textId="77777777" w:rsidR="00123848" w:rsidRPr="000C7549" w:rsidRDefault="00123848" w:rsidP="00CB20FB">
            <w:pPr>
              <w:jc w:val="center"/>
              <w:rPr>
                <w:rFonts w:ascii="Arial" w:hAnsi="Arial" w:cs="Arial"/>
                <w:sz w:val="24"/>
                <w:szCs w:val="24"/>
              </w:rPr>
            </w:pPr>
          </w:p>
        </w:tc>
        <w:tc>
          <w:tcPr>
            <w:tcW w:w="2248" w:type="dxa"/>
            <w:vAlign w:val="bottom"/>
          </w:tcPr>
          <w:p w14:paraId="06926041"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Developed</w:t>
            </w:r>
          </w:p>
        </w:tc>
        <w:tc>
          <w:tcPr>
            <w:tcW w:w="959" w:type="dxa"/>
            <w:vAlign w:val="bottom"/>
          </w:tcPr>
          <w:p w14:paraId="38835D87"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5%</w:t>
            </w:r>
          </w:p>
        </w:tc>
        <w:tc>
          <w:tcPr>
            <w:tcW w:w="959" w:type="dxa"/>
            <w:vAlign w:val="bottom"/>
          </w:tcPr>
          <w:p w14:paraId="22A7DB90"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w:t>
            </w:r>
          </w:p>
        </w:tc>
        <w:tc>
          <w:tcPr>
            <w:tcW w:w="959" w:type="dxa"/>
            <w:vAlign w:val="bottom"/>
          </w:tcPr>
          <w:p w14:paraId="1C9EDCC9"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w:t>
            </w:r>
          </w:p>
        </w:tc>
      </w:tr>
      <w:tr w:rsidR="00123848" w:rsidRPr="000C7549" w14:paraId="6B262BD2" w14:textId="77777777" w:rsidTr="00C9273B">
        <w:tc>
          <w:tcPr>
            <w:tcW w:w="3505" w:type="dxa"/>
            <w:tcBorders>
              <w:top w:val="nil"/>
              <w:bottom w:val="nil"/>
            </w:tcBorders>
            <w:vAlign w:val="bottom"/>
          </w:tcPr>
          <w:p w14:paraId="3BD56ABB" w14:textId="77777777" w:rsidR="00123848" w:rsidRPr="000C7549" w:rsidRDefault="00123848" w:rsidP="00CB20FB">
            <w:pPr>
              <w:jc w:val="center"/>
              <w:rPr>
                <w:rFonts w:ascii="Arial" w:hAnsi="Arial" w:cs="Arial"/>
                <w:sz w:val="24"/>
                <w:szCs w:val="24"/>
              </w:rPr>
            </w:pPr>
          </w:p>
        </w:tc>
        <w:tc>
          <w:tcPr>
            <w:tcW w:w="2248" w:type="dxa"/>
            <w:vAlign w:val="bottom"/>
          </w:tcPr>
          <w:p w14:paraId="056C4DC5"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Natural</w:t>
            </w:r>
          </w:p>
        </w:tc>
        <w:tc>
          <w:tcPr>
            <w:tcW w:w="959" w:type="dxa"/>
            <w:vAlign w:val="bottom"/>
          </w:tcPr>
          <w:p w14:paraId="26F03D22"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30%</w:t>
            </w:r>
          </w:p>
        </w:tc>
        <w:tc>
          <w:tcPr>
            <w:tcW w:w="959" w:type="dxa"/>
            <w:vAlign w:val="bottom"/>
          </w:tcPr>
          <w:p w14:paraId="69660E87"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26%</w:t>
            </w:r>
          </w:p>
        </w:tc>
        <w:tc>
          <w:tcPr>
            <w:tcW w:w="959" w:type="dxa"/>
            <w:vAlign w:val="bottom"/>
          </w:tcPr>
          <w:p w14:paraId="0B482E55"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55%</w:t>
            </w:r>
          </w:p>
        </w:tc>
      </w:tr>
      <w:tr w:rsidR="00123848" w:rsidRPr="000C7549" w14:paraId="0F162D90" w14:textId="77777777" w:rsidTr="00C9273B">
        <w:tc>
          <w:tcPr>
            <w:tcW w:w="3505" w:type="dxa"/>
            <w:tcBorders>
              <w:top w:val="nil"/>
              <w:bottom w:val="single" w:sz="12" w:space="0" w:color="auto"/>
            </w:tcBorders>
            <w:vAlign w:val="bottom"/>
          </w:tcPr>
          <w:p w14:paraId="326C194A" w14:textId="77777777" w:rsidR="00123848" w:rsidRPr="000C7549" w:rsidRDefault="00123848" w:rsidP="00CB20FB">
            <w:pPr>
              <w:jc w:val="center"/>
              <w:rPr>
                <w:rFonts w:ascii="Arial" w:hAnsi="Arial" w:cs="Arial"/>
                <w:sz w:val="24"/>
                <w:szCs w:val="24"/>
              </w:rPr>
            </w:pPr>
          </w:p>
        </w:tc>
        <w:tc>
          <w:tcPr>
            <w:tcW w:w="2248" w:type="dxa"/>
            <w:vAlign w:val="bottom"/>
          </w:tcPr>
          <w:p w14:paraId="78130B6A"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Water</w:t>
            </w:r>
          </w:p>
        </w:tc>
        <w:tc>
          <w:tcPr>
            <w:tcW w:w="959" w:type="dxa"/>
            <w:vAlign w:val="bottom"/>
          </w:tcPr>
          <w:p w14:paraId="0DA9D20E"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0.6%</w:t>
            </w:r>
          </w:p>
        </w:tc>
        <w:tc>
          <w:tcPr>
            <w:tcW w:w="959" w:type="dxa"/>
            <w:vAlign w:val="bottom"/>
          </w:tcPr>
          <w:p w14:paraId="46EC0FF8"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w:t>
            </w:r>
          </w:p>
        </w:tc>
        <w:tc>
          <w:tcPr>
            <w:tcW w:w="959" w:type="dxa"/>
            <w:vAlign w:val="bottom"/>
          </w:tcPr>
          <w:p w14:paraId="692D6F5D"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w:t>
            </w:r>
          </w:p>
        </w:tc>
      </w:tr>
      <w:tr w:rsidR="00123848" w:rsidRPr="000C7549" w14:paraId="23AF76C8" w14:textId="77777777" w:rsidTr="00C9273B">
        <w:tc>
          <w:tcPr>
            <w:tcW w:w="3505" w:type="dxa"/>
            <w:tcBorders>
              <w:top w:val="single" w:sz="12" w:space="0" w:color="auto"/>
            </w:tcBorders>
            <w:vAlign w:val="bottom"/>
          </w:tcPr>
          <w:p w14:paraId="60DE9A91" w14:textId="77777777" w:rsidR="00123848" w:rsidRPr="000C7549" w:rsidRDefault="00123848" w:rsidP="00CB20FB">
            <w:pPr>
              <w:jc w:val="center"/>
              <w:rPr>
                <w:rFonts w:ascii="Arial" w:hAnsi="Arial" w:cs="Arial"/>
                <w:sz w:val="24"/>
                <w:szCs w:val="24"/>
              </w:rPr>
            </w:pPr>
            <w:r w:rsidRPr="000C7549">
              <w:rPr>
                <w:rFonts w:ascii="Arial" w:hAnsi="Arial" w:cs="Arial"/>
                <w:b/>
                <w:sz w:val="24"/>
                <w:szCs w:val="24"/>
              </w:rPr>
              <w:t xml:space="preserve">Site 5, </w:t>
            </w:r>
            <w:r w:rsidRPr="000C7549">
              <w:rPr>
                <w:rFonts w:ascii="Arial" w:hAnsi="Arial" w:cs="Arial"/>
                <w:sz w:val="24"/>
                <w:szCs w:val="24"/>
              </w:rPr>
              <w:t>Organic Agriculture</w:t>
            </w:r>
          </w:p>
        </w:tc>
        <w:tc>
          <w:tcPr>
            <w:tcW w:w="2248" w:type="dxa"/>
            <w:tcBorders>
              <w:top w:val="single" w:sz="12" w:space="0" w:color="auto"/>
            </w:tcBorders>
            <w:vAlign w:val="bottom"/>
          </w:tcPr>
          <w:p w14:paraId="56DCA1CA"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Agriculture</w:t>
            </w:r>
          </w:p>
        </w:tc>
        <w:tc>
          <w:tcPr>
            <w:tcW w:w="959" w:type="dxa"/>
            <w:tcBorders>
              <w:top w:val="single" w:sz="12" w:space="0" w:color="auto"/>
            </w:tcBorders>
            <w:vAlign w:val="bottom"/>
          </w:tcPr>
          <w:p w14:paraId="6937988C"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64%</w:t>
            </w:r>
          </w:p>
        </w:tc>
        <w:tc>
          <w:tcPr>
            <w:tcW w:w="959" w:type="dxa"/>
            <w:tcBorders>
              <w:top w:val="single" w:sz="12" w:space="0" w:color="auto"/>
            </w:tcBorders>
            <w:vAlign w:val="bottom"/>
          </w:tcPr>
          <w:p w14:paraId="14E42EB8"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40%</w:t>
            </w:r>
          </w:p>
        </w:tc>
        <w:tc>
          <w:tcPr>
            <w:tcW w:w="959" w:type="dxa"/>
            <w:tcBorders>
              <w:top w:val="single" w:sz="12" w:space="0" w:color="auto"/>
            </w:tcBorders>
            <w:vAlign w:val="bottom"/>
          </w:tcPr>
          <w:p w14:paraId="10E105FD"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32%</w:t>
            </w:r>
          </w:p>
        </w:tc>
      </w:tr>
      <w:tr w:rsidR="00123848" w:rsidRPr="000C7549" w14:paraId="48285136" w14:textId="77777777" w:rsidTr="00C9273B">
        <w:tc>
          <w:tcPr>
            <w:tcW w:w="3505" w:type="dxa"/>
            <w:vMerge w:val="restart"/>
            <w:vAlign w:val="bottom"/>
          </w:tcPr>
          <w:p w14:paraId="1D6C8F28" w14:textId="77777777" w:rsidR="00123848" w:rsidRPr="000C7549" w:rsidRDefault="00123848" w:rsidP="00CB20FB">
            <w:pPr>
              <w:jc w:val="center"/>
              <w:rPr>
                <w:rFonts w:ascii="Arial" w:hAnsi="Arial" w:cs="Arial"/>
                <w:sz w:val="24"/>
                <w:szCs w:val="24"/>
              </w:rPr>
            </w:pPr>
          </w:p>
        </w:tc>
        <w:tc>
          <w:tcPr>
            <w:tcW w:w="2248" w:type="dxa"/>
            <w:vAlign w:val="bottom"/>
          </w:tcPr>
          <w:p w14:paraId="68BCA35B"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Developed</w:t>
            </w:r>
          </w:p>
        </w:tc>
        <w:tc>
          <w:tcPr>
            <w:tcW w:w="959" w:type="dxa"/>
            <w:vAlign w:val="bottom"/>
          </w:tcPr>
          <w:p w14:paraId="27D3D23F"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11%</w:t>
            </w:r>
          </w:p>
        </w:tc>
        <w:tc>
          <w:tcPr>
            <w:tcW w:w="959" w:type="dxa"/>
            <w:vAlign w:val="bottom"/>
          </w:tcPr>
          <w:p w14:paraId="04357BDB"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18%</w:t>
            </w:r>
          </w:p>
        </w:tc>
        <w:tc>
          <w:tcPr>
            <w:tcW w:w="959" w:type="dxa"/>
            <w:vAlign w:val="bottom"/>
          </w:tcPr>
          <w:p w14:paraId="12DD202E"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15%</w:t>
            </w:r>
          </w:p>
        </w:tc>
      </w:tr>
      <w:tr w:rsidR="00123848" w:rsidRPr="000C7549" w14:paraId="6B6A3885" w14:textId="77777777" w:rsidTr="00C9273B">
        <w:trPr>
          <w:trHeight w:val="90"/>
        </w:trPr>
        <w:tc>
          <w:tcPr>
            <w:tcW w:w="3505" w:type="dxa"/>
            <w:vMerge/>
            <w:tcBorders>
              <w:bottom w:val="nil"/>
            </w:tcBorders>
            <w:vAlign w:val="bottom"/>
          </w:tcPr>
          <w:p w14:paraId="4DC06FEA" w14:textId="77777777" w:rsidR="00123848" w:rsidRPr="000C7549" w:rsidRDefault="00123848" w:rsidP="00CB20FB">
            <w:pPr>
              <w:jc w:val="center"/>
              <w:rPr>
                <w:rFonts w:ascii="Arial" w:hAnsi="Arial" w:cs="Arial"/>
                <w:sz w:val="24"/>
                <w:szCs w:val="24"/>
              </w:rPr>
            </w:pPr>
          </w:p>
        </w:tc>
        <w:tc>
          <w:tcPr>
            <w:tcW w:w="2248" w:type="dxa"/>
            <w:vAlign w:val="bottom"/>
          </w:tcPr>
          <w:p w14:paraId="6A92420A"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Natural</w:t>
            </w:r>
          </w:p>
        </w:tc>
        <w:tc>
          <w:tcPr>
            <w:tcW w:w="959" w:type="dxa"/>
            <w:vAlign w:val="bottom"/>
          </w:tcPr>
          <w:p w14:paraId="07FC7844"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24%</w:t>
            </w:r>
          </w:p>
        </w:tc>
        <w:tc>
          <w:tcPr>
            <w:tcW w:w="959" w:type="dxa"/>
            <w:vAlign w:val="bottom"/>
          </w:tcPr>
          <w:p w14:paraId="7B9E7B20"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42%</w:t>
            </w:r>
          </w:p>
        </w:tc>
        <w:tc>
          <w:tcPr>
            <w:tcW w:w="959" w:type="dxa"/>
            <w:vAlign w:val="bottom"/>
          </w:tcPr>
          <w:p w14:paraId="09E68432"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49%</w:t>
            </w:r>
          </w:p>
        </w:tc>
      </w:tr>
      <w:tr w:rsidR="00123848" w:rsidRPr="000C7549" w14:paraId="5BA8CAEC" w14:textId="77777777" w:rsidTr="00C9273B">
        <w:trPr>
          <w:trHeight w:val="90"/>
        </w:trPr>
        <w:tc>
          <w:tcPr>
            <w:tcW w:w="3505" w:type="dxa"/>
            <w:tcBorders>
              <w:top w:val="nil"/>
            </w:tcBorders>
            <w:vAlign w:val="bottom"/>
          </w:tcPr>
          <w:p w14:paraId="650735A8" w14:textId="77777777" w:rsidR="00123848" w:rsidRPr="000C7549" w:rsidRDefault="00123848" w:rsidP="00CB20FB">
            <w:pPr>
              <w:jc w:val="center"/>
              <w:rPr>
                <w:rFonts w:ascii="Arial" w:hAnsi="Arial" w:cs="Arial"/>
                <w:sz w:val="24"/>
                <w:szCs w:val="24"/>
              </w:rPr>
            </w:pPr>
          </w:p>
        </w:tc>
        <w:tc>
          <w:tcPr>
            <w:tcW w:w="2248" w:type="dxa"/>
            <w:vAlign w:val="bottom"/>
          </w:tcPr>
          <w:p w14:paraId="60A26B3C"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Water</w:t>
            </w:r>
          </w:p>
        </w:tc>
        <w:tc>
          <w:tcPr>
            <w:tcW w:w="959" w:type="dxa"/>
            <w:vAlign w:val="bottom"/>
          </w:tcPr>
          <w:p w14:paraId="51F8CAA4"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w:t>
            </w:r>
          </w:p>
        </w:tc>
        <w:tc>
          <w:tcPr>
            <w:tcW w:w="959" w:type="dxa"/>
            <w:vAlign w:val="bottom"/>
          </w:tcPr>
          <w:p w14:paraId="5082DA5B"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w:t>
            </w:r>
          </w:p>
        </w:tc>
        <w:tc>
          <w:tcPr>
            <w:tcW w:w="959" w:type="dxa"/>
            <w:vAlign w:val="bottom"/>
          </w:tcPr>
          <w:p w14:paraId="46FFBAA9" w14:textId="77777777" w:rsidR="00123848" w:rsidRPr="000C7549" w:rsidRDefault="00123848" w:rsidP="00CB20FB">
            <w:pPr>
              <w:jc w:val="center"/>
              <w:rPr>
                <w:rFonts w:ascii="Arial" w:hAnsi="Arial" w:cs="Arial"/>
                <w:sz w:val="24"/>
                <w:szCs w:val="24"/>
              </w:rPr>
            </w:pPr>
            <w:r w:rsidRPr="000C7549">
              <w:rPr>
                <w:rFonts w:ascii="Arial" w:hAnsi="Arial" w:cs="Arial"/>
                <w:sz w:val="24"/>
                <w:szCs w:val="24"/>
              </w:rPr>
              <w:t>4%</w:t>
            </w:r>
          </w:p>
        </w:tc>
      </w:tr>
    </w:tbl>
    <w:p w14:paraId="5AE2ED05" w14:textId="2D83DD97" w:rsidR="00AF302B" w:rsidRPr="00CB20FB" w:rsidRDefault="00123848" w:rsidP="00CB20FB">
      <w:pPr>
        <w:rPr>
          <w:rFonts w:ascii="Arial" w:hAnsi="Arial" w:cs="Arial"/>
          <w:iCs/>
          <w:sz w:val="21"/>
          <w:szCs w:val="21"/>
        </w:rPr>
      </w:pPr>
      <w:r w:rsidRPr="000C7549">
        <w:rPr>
          <w:rFonts w:ascii="Arial" w:hAnsi="Arial" w:cs="Arial"/>
          <w:iCs/>
          <w:sz w:val="21"/>
          <w:szCs w:val="21"/>
        </w:rPr>
        <w:t>Estimated percentages of land cover per classification at 500m, 1000m, and 2000m buffers at each</w:t>
      </w:r>
      <w:r w:rsidR="00D730F0">
        <w:rPr>
          <w:rFonts w:ascii="Arial" w:hAnsi="Arial" w:cs="Arial"/>
          <w:iCs/>
          <w:sz w:val="21"/>
          <w:szCs w:val="21"/>
        </w:rPr>
        <w:t xml:space="preserve"> </w:t>
      </w:r>
      <w:r w:rsidRPr="000C7549">
        <w:rPr>
          <w:rFonts w:ascii="Arial" w:hAnsi="Arial" w:cs="Arial"/>
          <w:iCs/>
          <w:sz w:val="21"/>
          <w:szCs w:val="21"/>
        </w:rPr>
        <w:t xml:space="preserve">site. The major land cover types are </w:t>
      </w:r>
      <w:r w:rsidR="00D730F0">
        <w:rPr>
          <w:rFonts w:ascii="Arial" w:hAnsi="Arial" w:cs="Arial"/>
          <w:iCs/>
          <w:sz w:val="21"/>
          <w:szCs w:val="21"/>
        </w:rPr>
        <w:t xml:space="preserve">agriculture, </w:t>
      </w:r>
      <w:r w:rsidRPr="000C7549">
        <w:rPr>
          <w:rFonts w:ascii="Arial" w:hAnsi="Arial" w:cs="Arial"/>
          <w:iCs/>
          <w:sz w:val="21"/>
          <w:szCs w:val="21"/>
        </w:rPr>
        <w:t>developed</w:t>
      </w:r>
      <w:r w:rsidR="00D730F0">
        <w:rPr>
          <w:rFonts w:ascii="Arial" w:hAnsi="Arial" w:cs="Arial"/>
          <w:iCs/>
          <w:sz w:val="21"/>
          <w:szCs w:val="21"/>
        </w:rPr>
        <w:t xml:space="preserve">, </w:t>
      </w:r>
      <w:r w:rsidRPr="000C7549">
        <w:rPr>
          <w:rFonts w:ascii="Arial" w:hAnsi="Arial" w:cs="Arial"/>
          <w:iCs/>
          <w:sz w:val="21"/>
          <w:szCs w:val="21"/>
        </w:rPr>
        <w:t>natural</w:t>
      </w:r>
      <w:r w:rsidR="00D730F0">
        <w:rPr>
          <w:rFonts w:ascii="Arial" w:hAnsi="Arial" w:cs="Arial"/>
          <w:iCs/>
          <w:sz w:val="21"/>
          <w:szCs w:val="21"/>
        </w:rPr>
        <w:t>, and water</w:t>
      </w:r>
      <w:r w:rsidRPr="000C7549">
        <w:rPr>
          <w:rFonts w:ascii="Arial" w:hAnsi="Arial" w:cs="Arial"/>
          <w:iCs/>
          <w:sz w:val="21"/>
          <w:szCs w:val="21"/>
        </w:rPr>
        <w:t>.</w:t>
      </w:r>
    </w:p>
    <w:p w14:paraId="3965E1BC" w14:textId="276EA5FF" w:rsidR="00207B01" w:rsidRPr="000C7549" w:rsidRDefault="00207B01" w:rsidP="00207B01">
      <w:pPr>
        <w:pStyle w:val="Heading1"/>
        <w:spacing w:line="480" w:lineRule="auto"/>
      </w:pPr>
      <w:bookmarkStart w:id="55" w:name="_Toc76799714"/>
      <w:r w:rsidRPr="000C7549">
        <w:lastRenderedPageBreak/>
        <w:t>VITA</w:t>
      </w:r>
      <w:bookmarkEnd w:id="53"/>
      <w:bookmarkEnd w:id="55"/>
    </w:p>
    <w:p w14:paraId="1BF988C4" w14:textId="3FA862E2" w:rsidR="00542ED6" w:rsidRPr="000C7549" w:rsidRDefault="00207B01" w:rsidP="00546490">
      <w:pPr>
        <w:spacing w:line="480" w:lineRule="auto"/>
        <w:rPr>
          <w:rFonts w:ascii="Arial" w:hAnsi="Arial" w:cs="Arial"/>
        </w:rPr>
      </w:pPr>
      <w:r w:rsidRPr="000C7549">
        <w:rPr>
          <w:rFonts w:ascii="Arial" w:hAnsi="Arial" w:cs="Arial"/>
        </w:rPr>
        <w:t>Amani Khalil’s passion for pollinators began as an undergraduate at George Mason University. Through various field courses and research opportunities, Amani uncovered an interest in agriculture work. She served as a Peace Corps Volunteer working in agriculture extension in rural South America, which gave her a glimpse into the diverse world of native bees. From there, she followed her curiosity to Dr. Laura Russo’s native bee research at the University of Tennessee, Knoxville to obtain her Master of Science degree in Ecology &amp; Evolutionary Biology. Upon graduating, Amani will be working with the USDA-ARS as an ORISE fellow researching dairy forage ecology in Madison, Wisconsin. Amani hopes to combine her pollinator expertise, with her love and appreciation for local food into career in holistic agriculture</w:t>
      </w:r>
      <w:r w:rsidR="00546490">
        <w:rPr>
          <w:rFonts w:ascii="Arial" w:hAnsi="Arial" w:cs="Arial"/>
        </w:rPr>
        <w:t xml:space="preserve">.    </w:t>
      </w:r>
      <w:bookmarkEnd w:id="1"/>
      <w:bookmarkEnd w:id="2"/>
    </w:p>
    <w:p w14:paraId="362D14E0" w14:textId="2B3E5BD1" w:rsidR="008E5C01" w:rsidRPr="000C7549" w:rsidRDefault="008E5C01">
      <w:pPr>
        <w:rPr>
          <w:rFonts w:ascii="Arial" w:hAnsi="Arial" w:cs="Arial"/>
        </w:rPr>
      </w:pPr>
    </w:p>
    <w:sectPr w:rsidR="008E5C01" w:rsidRPr="000C7549" w:rsidSect="00626AA9">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5D301" w14:textId="77777777" w:rsidR="00A446BA" w:rsidRDefault="00A446BA">
      <w:r>
        <w:separator/>
      </w:r>
    </w:p>
  </w:endnote>
  <w:endnote w:type="continuationSeparator" w:id="0">
    <w:p w14:paraId="67BA5F3E" w14:textId="77777777" w:rsidR="00A446BA" w:rsidRDefault="00A4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ȝh怀"/>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C4410" w14:textId="77777777" w:rsidR="00CF20DC" w:rsidRDefault="00CF20DC">
    <w:pPr>
      <w:pStyle w:val="Footer"/>
      <w:jc w:val="right"/>
    </w:pPr>
    <w:r>
      <w:fldChar w:fldCharType="begin"/>
    </w:r>
    <w:r>
      <w:instrText xml:space="preserve"> PAGE   \* MERGEFORMAT </w:instrText>
    </w:r>
    <w:r>
      <w:fldChar w:fldCharType="separate"/>
    </w:r>
    <w:r>
      <w:rPr>
        <w:noProof/>
      </w:rPr>
      <w:t>1</w:t>
    </w:r>
    <w:r>
      <w:rPr>
        <w:noProof/>
      </w:rPr>
      <w:fldChar w:fldCharType="end"/>
    </w:r>
  </w:p>
  <w:p w14:paraId="464C1345" w14:textId="77777777" w:rsidR="00CF20DC" w:rsidRDefault="00CF20DC" w:rsidP="00C927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74F41" w14:textId="77777777" w:rsidR="00A446BA" w:rsidRDefault="00A446BA">
      <w:r>
        <w:separator/>
      </w:r>
    </w:p>
  </w:footnote>
  <w:footnote w:type="continuationSeparator" w:id="0">
    <w:p w14:paraId="1E18910C" w14:textId="77777777" w:rsidR="00A446BA" w:rsidRDefault="00A44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D0917"/>
    <w:multiLevelType w:val="hybridMultilevel"/>
    <w:tmpl w:val="631A48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01"/>
    <w:rsid w:val="000003EA"/>
    <w:rsid w:val="000011D1"/>
    <w:rsid w:val="0000154D"/>
    <w:rsid w:val="00004036"/>
    <w:rsid w:val="00011B04"/>
    <w:rsid w:val="00012FD9"/>
    <w:rsid w:val="00016202"/>
    <w:rsid w:val="00021325"/>
    <w:rsid w:val="0002199D"/>
    <w:rsid w:val="000225DE"/>
    <w:rsid w:val="00022AAC"/>
    <w:rsid w:val="00024B6A"/>
    <w:rsid w:val="00027863"/>
    <w:rsid w:val="00032E9E"/>
    <w:rsid w:val="000355C7"/>
    <w:rsid w:val="000459BE"/>
    <w:rsid w:val="00046758"/>
    <w:rsid w:val="00046B8D"/>
    <w:rsid w:val="00051134"/>
    <w:rsid w:val="000519EE"/>
    <w:rsid w:val="00060B69"/>
    <w:rsid w:val="000815EF"/>
    <w:rsid w:val="0008319C"/>
    <w:rsid w:val="00087A72"/>
    <w:rsid w:val="000944B6"/>
    <w:rsid w:val="00096C68"/>
    <w:rsid w:val="00097B4C"/>
    <w:rsid w:val="000A06BE"/>
    <w:rsid w:val="000A29A6"/>
    <w:rsid w:val="000A4EF9"/>
    <w:rsid w:val="000B3AB9"/>
    <w:rsid w:val="000B67C0"/>
    <w:rsid w:val="000C05DC"/>
    <w:rsid w:val="000C546B"/>
    <w:rsid w:val="000C58E3"/>
    <w:rsid w:val="000C7549"/>
    <w:rsid w:val="000D0495"/>
    <w:rsid w:val="000D1B3B"/>
    <w:rsid w:val="000D1D52"/>
    <w:rsid w:val="000D3050"/>
    <w:rsid w:val="000D37C7"/>
    <w:rsid w:val="000D6EDF"/>
    <w:rsid w:val="000E6503"/>
    <w:rsid w:val="000E7E08"/>
    <w:rsid w:val="000F406C"/>
    <w:rsid w:val="001004BC"/>
    <w:rsid w:val="001005B2"/>
    <w:rsid w:val="00102D78"/>
    <w:rsid w:val="00102D9C"/>
    <w:rsid w:val="00103F46"/>
    <w:rsid w:val="001062D1"/>
    <w:rsid w:val="00117E8E"/>
    <w:rsid w:val="0012108F"/>
    <w:rsid w:val="00123848"/>
    <w:rsid w:val="00127634"/>
    <w:rsid w:val="0013025B"/>
    <w:rsid w:val="00133E48"/>
    <w:rsid w:val="0013405B"/>
    <w:rsid w:val="001358E8"/>
    <w:rsid w:val="00137EDA"/>
    <w:rsid w:val="001405C5"/>
    <w:rsid w:val="001453E8"/>
    <w:rsid w:val="00152B68"/>
    <w:rsid w:val="00154C6A"/>
    <w:rsid w:val="00162B1F"/>
    <w:rsid w:val="001749F4"/>
    <w:rsid w:val="00177B3A"/>
    <w:rsid w:val="00182CAA"/>
    <w:rsid w:val="0019149A"/>
    <w:rsid w:val="00192150"/>
    <w:rsid w:val="001951BE"/>
    <w:rsid w:val="001965A8"/>
    <w:rsid w:val="00196C42"/>
    <w:rsid w:val="0019762A"/>
    <w:rsid w:val="001A4337"/>
    <w:rsid w:val="001A6CD9"/>
    <w:rsid w:val="001A6DD7"/>
    <w:rsid w:val="001A7E6A"/>
    <w:rsid w:val="001B4FE6"/>
    <w:rsid w:val="001B55C6"/>
    <w:rsid w:val="001C45A5"/>
    <w:rsid w:val="001C76FE"/>
    <w:rsid w:val="001D1470"/>
    <w:rsid w:val="001D14CA"/>
    <w:rsid w:val="001E2732"/>
    <w:rsid w:val="001E3BB4"/>
    <w:rsid w:val="001E6D48"/>
    <w:rsid w:val="001F1346"/>
    <w:rsid w:val="001F2E9F"/>
    <w:rsid w:val="001F4DEF"/>
    <w:rsid w:val="00200333"/>
    <w:rsid w:val="0020372B"/>
    <w:rsid w:val="00206D95"/>
    <w:rsid w:val="002079D5"/>
    <w:rsid w:val="00207B01"/>
    <w:rsid w:val="00207BD4"/>
    <w:rsid w:val="00213E9C"/>
    <w:rsid w:val="0021513D"/>
    <w:rsid w:val="002262FF"/>
    <w:rsid w:val="00232196"/>
    <w:rsid w:val="00232B15"/>
    <w:rsid w:val="00234961"/>
    <w:rsid w:val="002424B2"/>
    <w:rsid w:val="00245B7F"/>
    <w:rsid w:val="002464A6"/>
    <w:rsid w:val="00246847"/>
    <w:rsid w:val="002539F1"/>
    <w:rsid w:val="00256527"/>
    <w:rsid w:val="00260806"/>
    <w:rsid w:val="002609C8"/>
    <w:rsid w:val="00260BF8"/>
    <w:rsid w:val="00262897"/>
    <w:rsid w:val="00262AE1"/>
    <w:rsid w:val="0026371F"/>
    <w:rsid w:val="00266DAC"/>
    <w:rsid w:val="00266F92"/>
    <w:rsid w:val="00272BE2"/>
    <w:rsid w:val="00280F74"/>
    <w:rsid w:val="002847E7"/>
    <w:rsid w:val="00287CE8"/>
    <w:rsid w:val="002919CB"/>
    <w:rsid w:val="00297CFA"/>
    <w:rsid w:val="00297F8D"/>
    <w:rsid w:val="002A596D"/>
    <w:rsid w:val="002A6673"/>
    <w:rsid w:val="002B150A"/>
    <w:rsid w:val="002B58F5"/>
    <w:rsid w:val="002C1DD7"/>
    <w:rsid w:val="002C2E08"/>
    <w:rsid w:val="002C3E96"/>
    <w:rsid w:val="002D16A3"/>
    <w:rsid w:val="002D24E8"/>
    <w:rsid w:val="002D3461"/>
    <w:rsid w:val="002D36F6"/>
    <w:rsid w:val="002D3978"/>
    <w:rsid w:val="002E339B"/>
    <w:rsid w:val="002E3976"/>
    <w:rsid w:val="002E464C"/>
    <w:rsid w:val="002E4D83"/>
    <w:rsid w:val="002E64FB"/>
    <w:rsid w:val="002E7BDF"/>
    <w:rsid w:val="002F0F55"/>
    <w:rsid w:val="002F1A34"/>
    <w:rsid w:val="002F36A0"/>
    <w:rsid w:val="00306DCA"/>
    <w:rsid w:val="00311547"/>
    <w:rsid w:val="003115B3"/>
    <w:rsid w:val="00312064"/>
    <w:rsid w:val="003127CF"/>
    <w:rsid w:val="003227C0"/>
    <w:rsid w:val="00332CAE"/>
    <w:rsid w:val="00336F78"/>
    <w:rsid w:val="0034046A"/>
    <w:rsid w:val="0034436E"/>
    <w:rsid w:val="00351A7F"/>
    <w:rsid w:val="00362D1C"/>
    <w:rsid w:val="00362FB0"/>
    <w:rsid w:val="00363FF6"/>
    <w:rsid w:val="00364FC7"/>
    <w:rsid w:val="00367E37"/>
    <w:rsid w:val="00371207"/>
    <w:rsid w:val="00374BF2"/>
    <w:rsid w:val="00374EA3"/>
    <w:rsid w:val="00375653"/>
    <w:rsid w:val="00376288"/>
    <w:rsid w:val="00377CAD"/>
    <w:rsid w:val="003843DF"/>
    <w:rsid w:val="00384DEE"/>
    <w:rsid w:val="003959C5"/>
    <w:rsid w:val="00397128"/>
    <w:rsid w:val="003A0408"/>
    <w:rsid w:val="003A0CC2"/>
    <w:rsid w:val="003A526F"/>
    <w:rsid w:val="003A6000"/>
    <w:rsid w:val="003C2B2A"/>
    <w:rsid w:val="003C4655"/>
    <w:rsid w:val="003D3F01"/>
    <w:rsid w:val="003D58D5"/>
    <w:rsid w:val="003E306C"/>
    <w:rsid w:val="003E45C6"/>
    <w:rsid w:val="003E62F2"/>
    <w:rsid w:val="003F0145"/>
    <w:rsid w:val="003F564A"/>
    <w:rsid w:val="00400D2D"/>
    <w:rsid w:val="0040203D"/>
    <w:rsid w:val="00405678"/>
    <w:rsid w:val="00411B79"/>
    <w:rsid w:val="00413DB2"/>
    <w:rsid w:val="00414CBA"/>
    <w:rsid w:val="00414FE3"/>
    <w:rsid w:val="004167FE"/>
    <w:rsid w:val="004174CA"/>
    <w:rsid w:val="00420701"/>
    <w:rsid w:val="00422FE6"/>
    <w:rsid w:val="00425ED1"/>
    <w:rsid w:val="004270D9"/>
    <w:rsid w:val="004340B3"/>
    <w:rsid w:val="004341D0"/>
    <w:rsid w:val="00435B9D"/>
    <w:rsid w:val="004371E5"/>
    <w:rsid w:val="00437B26"/>
    <w:rsid w:val="00440801"/>
    <w:rsid w:val="00442EC9"/>
    <w:rsid w:val="00447E45"/>
    <w:rsid w:val="00450F86"/>
    <w:rsid w:val="00453294"/>
    <w:rsid w:val="00454AC6"/>
    <w:rsid w:val="004555C4"/>
    <w:rsid w:val="00456751"/>
    <w:rsid w:val="00460585"/>
    <w:rsid w:val="0046196A"/>
    <w:rsid w:val="0047011E"/>
    <w:rsid w:val="00471A0C"/>
    <w:rsid w:val="00476E3F"/>
    <w:rsid w:val="00481DF0"/>
    <w:rsid w:val="004820EB"/>
    <w:rsid w:val="00482141"/>
    <w:rsid w:val="004959C1"/>
    <w:rsid w:val="00495CD8"/>
    <w:rsid w:val="004A2F4E"/>
    <w:rsid w:val="004C1669"/>
    <w:rsid w:val="004C3FEB"/>
    <w:rsid w:val="004C50AF"/>
    <w:rsid w:val="004D3280"/>
    <w:rsid w:val="004D7223"/>
    <w:rsid w:val="004D7365"/>
    <w:rsid w:val="004E178C"/>
    <w:rsid w:val="004E18F0"/>
    <w:rsid w:val="004F25BF"/>
    <w:rsid w:val="0050411A"/>
    <w:rsid w:val="005070F2"/>
    <w:rsid w:val="005113FF"/>
    <w:rsid w:val="0051302C"/>
    <w:rsid w:val="00513303"/>
    <w:rsid w:val="0052432E"/>
    <w:rsid w:val="005319AE"/>
    <w:rsid w:val="005335CD"/>
    <w:rsid w:val="00535D7B"/>
    <w:rsid w:val="00541DA0"/>
    <w:rsid w:val="00542ED6"/>
    <w:rsid w:val="005446C5"/>
    <w:rsid w:val="00546490"/>
    <w:rsid w:val="00554CB8"/>
    <w:rsid w:val="00557BE9"/>
    <w:rsid w:val="00560F24"/>
    <w:rsid w:val="0056180E"/>
    <w:rsid w:val="00565D59"/>
    <w:rsid w:val="00566B63"/>
    <w:rsid w:val="0057270A"/>
    <w:rsid w:val="005773EF"/>
    <w:rsid w:val="005964A0"/>
    <w:rsid w:val="005A0FBD"/>
    <w:rsid w:val="005A137F"/>
    <w:rsid w:val="005A3BB8"/>
    <w:rsid w:val="005A4D27"/>
    <w:rsid w:val="005A6529"/>
    <w:rsid w:val="005B3FF5"/>
    <w:rsid w:val="005B49FF"/>
    <w:rsid w:val="005C269C"/>
    <w:rsid w:val="005C7469"/>
    <w:rsid w:val="005D0CEF"/>
    <w:rsid w:val="005D2387"/>
    <w:rsid w:val="005D47FA"/>
    <w:rsid w:val="005E1687"/>
    <w:rsid w:val="005E4EE8"/>
    <w:rsid w:val="005E6851"/>
    <w:rsid w:val="005E744A"/>
    <w:rsid w:val="005F31C2"/>
    <w:rsid w:val="005F4E07"/>
    <w:rsid w:val="00616D23"/>
    <w:rsid w:val="00620AB5"/>
    <w:rsid w:val="00620B57"/>
    <w:rsid w:val="006257E2"/>
    <w:rsid w:val="00626612"/>
    <w:rsid w:val="00626AA9"/>
    <w:rsid w:val="006302F3"/>
    <w:rsid w:val="00634B20"/>
    <w:rsid w:val="0064376E"/>
    <w:rsid w:val="006605C3"/>
    <w:rsid w:val="00661985"/>
    <w:rsid w:val="006761D8"/>
    <w:rsid w:val="00676EFD"/>
    <w:rsid w:val="00682B6F"/>
    <w:rsid w:val="00684CD9"/>
    <w:rsid w:val="006868CD"/>
    <w:rsid w:val="00690887"/>
    <w:rsid w:val="006952CC"/>
    <w:rsid w:val="006A3F5A"/>
    <w:rsid w:val="006A43D0"/>
    <w:rsid w:val="006A744B"/>
    <w:rsid w:val="006A7C65"/>
    <w:rsid w:val="006B366C"/>
    <w:rsid w:val="006B4FFF"/>
    <w:rsid w:val="006C2E9D"/>
    <w:rsid w:val="006C4105"/>
    <w:rsid w:val="006C43B4"/>
    <w:rsid w:val="006C6D4D"/>
    <w:rsid w:val="006E52DB"/>
    <w:rsid w:val="006E67E7"/>
    <w:rsid w:val="006F19EB"/>
    <w:rsid w:val="006F24CD"/>
    <w:rsid w:val="006F339B"/>
    <w:rsid w:val="006F76DF"/>
    <w:rsid w:val="006F7717"/>
    <w:rsid w:val="006F7D9F"/>
    <w:rsid w:val="006F7EE5"/>
    <w:rsid w:val="007078F1"/>
    <w:rsid w:val="00716C31"/>
    <w:rsid w:val="00730840"/>
    <w:rsid w:val="007315AC"/>
    <w:rsid w:val="00736EA6"/>
    <w:rsid w:val="00742523"/>
    <w:rsid w:val="00744ADA"/>
    <w:rsid w:val="0075342B"/>
    <w:rsid w:val="00755D0F"/>
    <w:rsid w:val="00764CB3"/>
    <w:rsid w:val="0076530F"/>
    <w:rsid w:val="007663D1"/>
    <w:rsid w:val="007667D9"/>
    <w:rsid w:val="00767373"/>
    <w:rsid w:val="00773CB3"/>
    <w:rsid w:val="007746CE"/>
    <w:rsid w:val="0077484F"/>
    <w:rsid w:val="00776773"/>
    <w:rsid w:val="00777006"/>
    <w:rsid w:val="007777F2"/>
    <w:rsid w:val="00782C09"/>
    <w:rsid w:val="00784F0A"/>
    <w:rsid w:val="007924EB"/>
    <w:rsid w:val="007928CF"/>
    <w:rsid w:val="007957C5"/>
    <w:rsid w:val="007A0486"/>
    <w:rsid w:val="007A0D8E"/>
    <w:rsid w:val="007A216B"/>
    <w:rsid w:val="007A263F"/>
    <w:rsid w:val="007A2E24"/>
    <w:rsid w:val="007A32D7"/>
    <w:rsid w:val="007A5C58"/>
    <w:rsid w:val="007B536D"/>
    <w:rsid w:val="007C14C7"/>
    <w:rsid w:val="007C3EB4"/>
    <w:rsid w:val="007C515A"/>
    <w:rsid w:val="007D5DD5"/>
    <w:rsid w:val="007D71A8"/>
    <w:rsid w:val="007D7BFD"/>
    <w:rsid w:val="007E40E9"/>
    <w:rsid w:val="007E7CE8"/>
    <w:rsid w:val="00801135"/>
    <w:rsid w:val="00804D54"/>
    <w:rsid w:val="00805923"/>
    <w:rsid w:val="0081147C"/>
    <w:rsid w:val="00814261"/>
    <w:rsid w:val="00816942"/>
    <w:rsid w:val="008212D6"/>
    <w:rsid w:val="008231B1"/>
    <w:rsid w:val="00825C0D"/>
    <w:rsid w:val="00831A7C"/>
    <w:rsid w:val="00831B1A"/>
    <w:rsid w:val="00840B53"/>
    <w:rsid w:val="008448BA"/>
    <w:rsid w:val="008500D0"/>
    <w:rsid w:val="00851CF4"/>
    <w:rsid w:val="0086380A"/>
    <w:rsid w:val="00867B56"/>
    <w:rsid w:val="00872697"/>
    <w:rsid w:val="008736DA"/>
    <w:rsid w:val="0087613E"/>
    <w:rsid w:val="00880486"/>
    <w:rsid w:val="0089135D"/>
    <w:rsid w:val="0089594B"/>
    <w:rsid w:val="008972BE"/>
    <w:rsid w:val="008B567E"/>
    <w:rsid w:val="008C3D15"/>
    <w:rsid w:val="008C721D"/>
    <w:rsid w:val="008C7BA4"/>
    <w:rsid w:val="008D63EC"/>
    <w:rsid w:val="008E1A49"/>
    <w:rsid w:val="008E5C01"/>
    <w:rsid w:val="008E7576"/>
    <w:rsid w:val="008F1CF8"/>
    <w:rsid w:val="008F3F5C"/>
    <w:rsid w:val="008F6480"/>
    <w:rsid w:val="008F6630"/>
    <w:rsid w:val="00903C35"/>
    <w:rsid w:val="00906244"/>
    <w:rsid w:val="009125F5"/>
    <w:rsid w:val="00912F18"/>
    <w:rsid w:val="009163EF"/>
    <w:rsid w:val="009234E1"/>
    <w:rsid w:val="00924FA7"/>
    <w:rsid w:val="00926283"/>
    <w:rsid w:val="0093661A"/>
    <w:rsid w:val="00940996"/>
    <w:rsid w:val="00942330"/>
    <w:rsid w:val="009460D0"/>
    <w:rsid w:val="00946D20"/>
    <w:rsid w:val="0095375A"/>
    <w:rsid w:val="00953C5B"/>
    <w:rsid w:val="00955B04"/>
    <w:rsid w:val="00956693"/>
    <w:rsid w:val="00957242"/>
    <w:rsid w:val="009605C6"/>
    <w:rsid w:val="00963E5F"/>
    <w:rsid w:val="00964727"/>
    <w:rsid w:val="00966233"/>
    <w:rsid w:val="00966D00"/>
    <w:rsid w:val="00967397"/>
    <w:rsid w:val="00967DC2"/>
    <w:rsid w:val="00973237"/>
    <w:rsid w:val="00973747"/>
    <w:rsid w:val="009827E8"/>
    <w:rsid w:val="009952C7"/>
    <w:rsid w:val="00995C19"/>
    <w:rsid w:val="009A7DA7"/>
    <w:rsid w:val="009B1583"/>
    <w:rsid w:val="009B21E3"/>
    <w:rsid w:val="009B67BD"/>
    <w:rsid w:val="009C1AB3"/>
    <w:rsid w:val="009C3B20"/>
    <w:rsid w:val="009C5369"/>
    <w:rsid w:val="009C5E7B"/>
    <w:rsid w:val="009C7A92"/>
    <w:rsid w:val="009D3A94"/>
    <w:rsid w:val="009D4436"/>
    <w:rsid w:val="009E1C7C"/>
    <w:rsid w:val="009F5489"/>
    <w:rsid w:val="009F7FDF"/>
    <w:rsid w:val="00A03DF5"/>
    <w:rsid w:val="00A048AF"/>
    <w:rsid w:val="00A12436"/>
    <w:rsid w:val="00A31811"/>
    <w:rsid w:val="00A446BA"/>
    <w:rsid w:val="00A4797B"/>
    <w:rsid w:val="00A53317"/>
    <w:rsid w:val="00A56937"/>
    <w:rsid w:val="00A573F5"/>
    <w:rsid w:val="00A83773"/>
    <w:rsid w:val="00A92FAA"/>
    <w:rsid w:val="00A94895"/>
    <w:rsid w:val="00A94B90"/>
    <w:rsid w:val="00A95414"/>
    <w:rsid w:val="00A95E1C"/>
    <w:rsid w:val="00A96806"/>
    <w:rsid w:val="00A9740B"/>
    <w:rsid w:val="00AA3062"/>
    <w:rsid w:val="00AA3DE6"/>
    <w:rsid w:val="00AB3980"/>
    <w:rsid w:val="00AC3FC2"/>
    <w:rsid w:val="00AC4C2E"/>
    <w:rsid w:val="00AC5344"/>
    <w:rsid w:val="00AD09E5"/>
    <w:rsid w:val="00AD1ED7"/>
    <w:rsid w:val="00AE5E40"/>
    <w:rsid w:val="00AE64F4"/>
    <w:rsid w:val="00AF19B4"/>
    <w:rsid w:val="00AF1D3A"/>
    <w:rsid w:val="00AF1EA9"/>
    <w:rsid w:val="00AF302B"/>
    <w:rsid w:val="00AF3BD2"/>
    <w:rsid w:val="00B01AEA"/>
    <w:rsid w:val="00B049CA"/>
    <w:rsid w:val="00B04E65"/>
    <w:rsid w:val="00B10994"/>
    <w:rsid w:val="00B3447A"/>
    <w:rsid w:val="00B472E2"/>
    <w:rsid w:val="00B47350"/>
    <w:rsid w:val="00B5088E"/>
    <w:rsid w:val="00B50D3D"/>
    <w:rsid w:val="00B51B8B"/>
    <w:rsid w:val="00B53A99"/>
    <w:rsid w:val="00B55B3E"/>
    <w:rsid w:val="00B57E7B"/>
    <w:rsid w:val="00B62A66"/>
    <w:rsid w:val="00B62CB3"/>
    <w:rsid w:val="00B66A56"/>
    <w:rsid w:val="00B673D5"/>
    <w:rsid w:val="00B71F77"/>
    <w:rsid w:val="00B71FD8"/>
    <w:rsid w:val="00B8010C"/>
    <w:rsid w:val="00B80ED0"/>
    <w:rsid w:val="00B839F2"/>
    <w:rsid w:val="00B87881"/>
    <w:rsid w:val="00B87DC8"/>
    <w:rsid w:val="00B91AEB"/>
    <w:rsid w:val="00B9279C"/>
    <w:rsid w:val="00B96AEF"/>
    <w:rsid w:val="00BB1588"/>
    <w:rsid w:val="00BB7FC5"/>
    <w:rsid w:val="00BC01C6"/>
    <w:rsid w:val="00BC143B"/>
    <w:rsid w:val="00BC3067"/>
    <w:rsid w:val="00BC4A13"/>
    <w:rsid w:val="00BC6557"/>
    <w:rsid w:val="00BC7172"/>
    <w:rsid w:val="00BD50D6"/>
    <w:rsid w:val="00BD50DC"/>
    <w:rsid w:val="00BD5D99"/>
    <w:rsid w:val="00BE208E"/>
    <w:rsid w:val="00BE3B7A"/>
    <w:rsid w:val="00BE7466"/>
    <w:rsid w:val="00BF392E"/>
    <w:rsid w:val="00C01ACE"/>
    <w:rsid w:val="00C01ED4"/>
    <w:rsid w:val="00C038D8"/>
    <w:rsid w:val="00C059D4"/>
    <w:rsid w:val="00C07560"/>
    <w:rsid w:val="00C10644"/>
    <w:rsid w:val="00C15E47"/>
    <w:rsid w:val="00C172AC"/>
    <w:rsid w:val="00C20401"/>
    <w:rsid w:val="00C220DA"/>
    <w:rsid w:val="00C228FD"/>
    <w:rsid w:val="00C30A45"/>
    <w:rsid w:val="00C31417"/>
    <w:rsid w:val="00C314D0"/>
    <w:rsid w:val="00C33BEF"/>
    <w:rsid w:val="00C33C78"/>
    <w:rsid w:val="00C3420E"/>
    <w:rsid w:val="00C35CC3"/>
    <w:rsid w:val="00C42988"/>
    <w:rsid w:val="00C64B88"/>
    <w:rsid w:val="00C749D9"/>
    <w:rsid w:val="00C7725A"/>
    <w:rsid w:val="00C85152"/>
    <w:rsid w:val="00C9033F"/>
    <w:rsid w:val="00C90753"/>
    <w:rsid w:val="00C9273B"/>
    <w:rsid w:val="00CA5FD5"/>
    <w:rsid w:val="00CA7130"/>
    <w:rsid w:val="00CB20FB"/>
    <w:rsid w:val="00CB4172"/>
    <w:rsid w:val="00CC30F8"/>
    <w:rsid w:val="00CC4709"/>
    <w:rsid w:val="00CD18CE"/>
    <w:rsid w:val="00CE1435"/>
    <w:rsid w:val="00CE19C2"/>
    <w:rsid w:val="00CE2390"/>
    <w:rsid w:val="00CE343D"/>
    <w:rsid w:val="00CF1282"/>
    <w:rsid w:val="00CF1F8B"/>
    <w:rsid w:val="00CF20DC"/>
    <w:rsid w:val="00D20361"/>
    <w:rsid w:val="00D23051"/>
    <w:rsid w:val="00D23EF3"/>
    <w:rsid w:val="00D43862"/>
    <w:rsid w:val="00D50DD6"/>
    <w:rsid w:val="00D5111D"/>
    <w:rsid w:val="00D52013"/>
    <w:rsid w:val="00D53E72"/>
    <w:rsid w:val="00D55505"/>
    <w:rsid w:val="00D5646C"/>
    <w:rsid w:val="00D60EE9"/>
    <w:rsid w:val="00D650C6"/>
    <w:rsid w:val="00D730F0"/>
    <w:rsid w:val="00D7322C"/>
    <w:rsid w:val="00D73509"/>
    <w:rsid w:val="00D81AF4"/>
    <w:rsid w:val="00D81BF1"/>
    <w:rsid w:val="00D9300B"/>
    <w:rsid w:val="00D93857"/>
    <w:rsid w:val="00DA1B17"/>
    <w:rsid w:val="00DB086F"/>
    <w:rsid w:val="00DB6513"/>
    <w:rsid w:val="00DC1AB9"/>
    <w:rsid w:val="00DD532A"/>
    <w:rsid w:val="00DE05E3"/>
    <w:rsid w:val="00DE08AC"/>
    <w:rsid w:val="00DE1F2F"/>
    <w:rsid w:val="00DF111D"/>
    <w:rsid w:val="00DF1E0B"/>
    <w:rsid w:val="00DF2B7B"/>
    <w:rsid w:val="00DF68FB"/>
    <w:rsid w:val="00E01506"/>
    <w:rsid w:val="00E029A9"/>
    <w:rsid w:val="00E02EF8"/>
    <w:rsid w:val="00E11413"/>
    <w:rsid w:val="00E12690"/>
    <w:rsid w:val="00E1554D"/>
    <w:rsid w:val="00E20162"/>
    <w:rsid w:val="00E21D2A"/>
    <w:rsid w:val="00E325F5"/>
    <w:rsid w:val="00E32726"/>
    <w:rsid w:val="00E34562"/>
    <w:rsid w:val="00E37D86"/>
    <w:rsid w:val="00E411AD"/>
    <w:rsid w:val="00E42262"/>
    <w:rsid w:val="00E44B11"/>
    <w:rsid w:val="00E471E0"/>
    <w:rsid w:val="00E50686"/>
    <w:rsid w:val="00E56ED0"/>
    <w:rsid w:val="00E60ED5"/>
    <w:rsid w:val="00E6224C"/>
    <w:rsid w:val="00E62FA6"/>
    <w:rsid w:val="00E649FD"/>
    <w:rsid w:val="00E64BAC"/>
    <w:rsid w:val="00E65A61"/>
    <w:rsid w:val="00E712E0"/>
    <w:rsid w:val="00E723C2"/>
    <w:rsid w:val="00E77F3F"/>
    <w:rsid w:val="00E77F44"/>
    <w:rsid w:val="00E837F0"/>
    <w:rsid w:val="00E902F6"/>
    <w:rsid w:val="00E9076A"/>
    <w:rsid w:val="00E95E49"/>
    <w:rsid w:val="00EA4872"/>
    <w:rsid w:val="00EB09A5"/>
    <w:rsid w:val="00EB4EC4"/>
    <w:rsid w:val="00EB694D"/>
    <w:rsid w:val="00EB6E8F"/>
    <w:rsid w:val="00EB71D3"/>
    <w:rsid w:val="00EC22EC"/>
    <w:rsid w:val="00EC3681"/>
    <w:rsid w:val="00EC42AD"/>
    <w:rsid w:val="00EC5B92"/>
    <w:rsid w:val="00EC7EEA"/>
    <w:rsid w:val="00ED1DC1"/>
    <w:rsid w:val="00ED5B02"/>
    <w:rsid w:val="00ED7162"/>
    <w:rsid w:val="00EE1C7A"/>
    <w:rsid w:val="00EE5B67"/>
    <w:rsid w:val="00F00FFA"/>
    <w:rsid w:val="00F020D2"/>
    <w:rsid w:val="00F04320"/>
    <w:rsid w:val="00F04D06"/>
    <w:rsid w:val="00F14207"/>
    <w:rsid w:val="00F207FB"/>
    <w:rsid w:val="00F225F8"/>
    <w:rsid w:val="00F24224"/>
    <w:rsid w:val="00F25DF6"/>
    <w:rsid w:val="00F267D9"/>
    <w:rsid w:val="00F27B89"/>
    <w:rsid w:val="00F31A4B"/>
    <w:rsid w:val="00F3274B"/>
    <w:rsid w:val="00F368C2"/>
    <w:rsid w:val="00F41276"/>
    <w:rsid w:val="00F42E35"/>
    <w:rsid w:val="00F45235"/>
    <w:rsid w:val="00F51CEB"/>
    <w:rsid w:val="00F52D91"/>
    <w:rsid w:val="00F54848"/>
    <w:rsid w:val="00F55B9A"/>
    <w:rsid w:val="00F56857"/>
    <w:rsid w:val="00F60288"/>
    <w:rsid w:val="00F61A5B"/>
    <w:rsid w:val="00F6536D"/>
    <w:rsid w:val="00F77A0C"/>
    <w:rsid w:val="00F81D22"/>
    <w:rsid w:val="00F863F7"/>
    <w:rsid w:val="00F87605"/>
    <w:rsid w:val="00F9200C"/>
    <w:rsid w:val="00F97A87"/>
    <w:rsid w:val="00FA4B20"/>
    <w:rsid w:val="00FA5AA9"/>
    <w:rsid w:val="00FB1D3B"/>
    <w:rsid w:val="00FB389B"/>
    <w:rsid w:val="00FB4F21"/>
    <w:rsid w:val="00FB5678"/>
    <w:rsid w:val="00FB5E96"/>
    <w:rsid w:val="00FB6E30"/>
    <w:rsid w:val="00FC3086"/>
    <w:rsid w:val="00FC72E3"/>
    <w:rsid w:val="00FD3108"/>
    <w:rsid w:val="00FD50A3"/>
    <w:rsid w:val="00FD5246"/>
    <w:rsid w:val="00FD75D9"/>
    <w:rsid w:val="00FD7F59"/>
    <w:rsid w:val="00FE077B"/>
    <w:rsid w:val="00FE5AF2"/>
    <w:rsid w:val="00FF45F7"/>
    <w:rsid w:val="00FF6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B131"/>
  <w15:chartTrackingRefBased/>
  <w15:docId w15:val="{8AB689BC-9FA5-D744-9A83-806705ACF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B01"/>
    <w:rPr>
      <w:rFonts w:ascii="Times New Roman" w:eastAsia="Times New Roman" w:hAnsi="Times New Roman" w:cs="Times New Roman"/>
    </w:rPr>
  </w:style>
  <w:style w:type="paragraph" w:styleId="Heading1">
    <w:name w:val="heading 1"/>
    <w:basedOn w:val="Normal"/>
    <w:next w:val="Normal"/>
    <w:link w:val="Heading1Char"/>
    <w:qFormat/>
    <w:rsid w:val="00207B01"/>
    <w:pPr>
      <w:autoSpaceDE w:val="0"/>
      <w:autoSpaceDN w:val="0"/>
      <w:adjustRightInd w:val="0"/>
      <w:jc w:val="center"/>
      <w:outlineLvl w:val="0"/>
    </w:pPr>
    <w:rPr>
      <w:rFonts w:ascii="Arial" w:hAnsi="Arial" w:cs="Arial"/>
      <w:b/>
      <w:bCs/>
      <w:caps/>
      <w:sz w:val="28"/>
    </w:rPr>
  </w:style>
  <w:style w:type="paragraph" w:styleId="Heading2">
    <w:name w:val="heading 2"/>
    <w:basedOn w:val="Normal"/>
    <w:next w:val="Normal"/>
    <w:link w:val="Heading2Char"/>
    <w:qFormat/>
    <w:rsid w:val="00207B01"/>
    <w:pPr>
      <w:keepNext/>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qFormat/>
    <w:rsid w:val="00207B01"/>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7B01"/>
    <w:rPr>
      <w:rFonts w:ascii="Arial" w:eastAsia="Times New Roman" w:hAnsi="Arial" w:cs="Arial"/>
      <w:b/>
      <w:bCs/>
      <w:caps/>
      <w:sz w:val="28"/>
    </w:rPr>
  </w:style>
  <w:style w:type="character" w:customStyle="1" w:styleId="Heading2Char">
    <w:name w:val="Heading 2 Char"/>
    <w:basedOn w:val="DefaultParagraphFont"/>
    <w:link w:val="Heading2"/>
    <w:rsid w:val="00207B01"/>
    <w:rPr>
      <w:rFonts w:ascii="Arial" w:eastAsia="Times New Roman" w:hAnsi="Arial" w:cs="Arial"/>
      <w:b/>
      <w:bCs/>
      <w:iCs/>
      <w:sz w:val="28"/>
      <w:szCs w:val="28"/>
    </w:rPr>
  </w:style>
  <w:style w:type="character" w:customStyle="1" w:styleId="Heading3Char">
    <w:name w:val="Heading 3 Char"/>
    <w:basedOn w:val="DefaultParagraphFont"/>
    <w:link w:val="Heading3"/>
    <w:rsid w:val="00207B01"/>
    <w:rPr>
      <w:rFonts w:ascii="Arial" w:eastAsia="Times New Roman" w:hAnsi="Arial" w:cs="Arial"/>
      <w:b/>
      <w:bCs/>
      <w:i/>
      <w:szCs w:val="26"/>
    </w:rPr>
  </w:style>
  <w:style w:type="paragraph" w:styleId="Footer">
    <w:name w:val="footer"/>
    <w:basedOn w:val="Normal"/>
    <w:link w:val="FooterChar"/>
    <w:uiPriority w:val="99"/>
    <w:rsid w:val="00207B01"/>
    <w:pPr>
      <w:tabs>
        <w:tab w:val="center" w:pos="4320"/>
        <w:tab w:val="right" w:pos="8640"/>
      </w:tabs>
    </w:pPr>
    <w:rPr>
      <w:rFonts w:ascii="Arial" w:hAnsi="Arial" w:cs="Arial"/>
    </w:rPr>
  </w:style>
  <w:style w:type="character" w:customStyle="1" w:styleId="FooterChar">
    <w:name w:val="Footer Char"/>
    <w:basedOn w:val="DefaultParagraphFont"/>
    <w:link w:val="Footer"/>
    <w:uiPriority w:val="99"/>
    <w:rsid w:val="00207B01"/>
    <w:rPr>
      <w:rFonts w:ascii="Arial" w:eastAsia="Times New Roman" w:hAnsi="Arial" w:cs="Arial"/>
    </w:rPr>
  </w:style>
  <w:style w:type="paragraph" w:styleId="Header">
    <w:name w:val="header"/>
    <w:basedOn w:val="Normal"/>
    <w:link w:val="HeaderChar"/>
    <w:rsid w:val="00207B01"/>
    <w:pPr>
      <w:tabs>
        <w:tab w:val="center" w:pos="4320"/>
        <w:tab w:val="right" w:pos="8640"/>
      </w:tabs>
    </w:pPr>
    <w:rPr>
      <w:rFonts w:ascii="Arial" w:hAnsi="Arial" w:cs="Arial"/>
    </w:rPr>
  </w:style>
  <w:style w:type="character" w:customStyle="1" w:styleId="HeaderChar">
    <w:name w:val="Header Char"/>
    <w:basedOn w:val="DefaultParagraphFont"/>
    <w:link w:val="Header"/>
    <w:rsid w:val="00207B01"/>
    <w:rPr>
      <w:rFonts w:ascii="Arial" w:eastAsia="Times New Roman" w:hAnsi="Arial" w:cs="Arial"/>
    </w:rPr>
  </w:style>
  <w:style w:type="character" w:customStyle="1" w:styleId="TitleChar">
    <w:name w:val="Title Char"/>
    <w:link w:val="Title"/>
    <w:rsid w:val="00207B01"/>
    <w:rPr>
      <w:rFonts w:ascii="Arial" w:hAnsi="Arial" w:cs="Arial"/>
      <w:b/>
      <w:sz w:val="28"/>
      <w:lang w:val="en-CA"/>
    </w:rPr>
  </w:style>
  <w:style w:type="paragraph" w:styleId="Title">
    <w:name w:val="Title"/>
    <w:basedOn w:val="Normal"/>
    <w:link w:val="TitleChar"/>
    <w:qFormat/>
    <w:rsid w:val="00207B01"/>
    <w:pPr>
      <w:jc w:val="center"/>
    </w:pPr>
    <w:rPr>
      <w:rFonts w:ascii="Arial" w:eastAsiaTheme="minorHAnsi" w:hAnsi="Arial" w:cs="Arial"/>
      <w:b/>
      <w:sz w:val="28"/>
      <w:lang w:val="en-CA"/>
    </w:rPr>
  </w:style>
  <w:style w:type="character" w:customStyle="1" w:styleId="TitleChar1">
    <w:name w:val="Title Char1"/>
    <w:basedOn w:val="DefaultParagraphFont"/>
    <w:uiPriority w:val="10"/>
    <w:rsid w:val="00207B01"/>
    <w:rPr>
      <w:rFonts w:asciiTheme="majorHAnsi" w:eastAsiaTheme="majorEastAsia" w:hAnsiTheme="majorHAnsi" w:cstheme="majorBidi"/>
      <w:spacing w:val="-10"/>
      <w:kern w:val="28"/>
      <w:sz w:val="56"/>
      <w:szCs w:val="56"/>
    </w:rPr>
  </w:style>
  <w:style w:type="paragraph" w:styleId="Caption">
    <w:name w:val="caption"/>
    <w:basedOn w:val="Normal"/>
    <w:next w:val="Normal"/>
    <w:qFormat/>
    <w:rsid w:val="00207B01"/>
    <w:pPr>
      <w:keepNext/>
      <w:spacing w:before="120" w:after="120"/>
    </w:pPr>
    <w:rPr>
      <w:rFonts w:ascii="Arial" w:hAnsi="Arial" w:cs="Arial"/>
      <w:b/>
      <w:bCs/>
    </w:rPr>
  </w:style>
  <w:style w:type="paragraph" w:styleId="TableofFigures">
    <w:name w:val="table of figures"/>
    <w:basedOn w:val="Normal"/>
    <w:next w:val="Normal"/>
    <w:uiPriority w:val="99"/>
    <w:rsid w:val="00207B01"/>
    <w:pPr>
      <w:ind w:left="480" w:hanging="480"/>
    </w:pPr>
    <w:rPr>
      <w:rFonts w:ascii="Arial" w:hAnsi="Arial" w:cs="Arial"/>
    </w:rPr>
  </w:style>
  <w:style w:type="character" w:styleId="Hyperlink">
    <w:name w:val="Hyperlink"/>
    <w:uiPriority w:val="99"/>
    <w:rsid w:val="00207B01"/>
    <w:rPr>
      <w:color w:val="0000FF"/>
      <w:u w:val="single"/>
    </w:rPr>
  </w:style>
  <w:style w:type="paragraph" w:styleId="TOC1">
    <w:name w:val="toc 1"/>
    <w:basedOn w:val="Normal"/>
    <w:next w:val="Normal"/>
    <w:autoRedefine/>
    <w:uiPriority w:val="39"/>
    <w:rsid w:val="00207B01"/>
    <w:pPr>
      <w:tabs>
        <w:tab w:val="right" w:leader="dot" w:pos="8630"/>
      </w:tabs>
      <w:spacing w:line="480" w:lineRule="auto"/>
    </w:pPr>
    <w:rPr>
      <w:rFonts w:ascii="Arial" w:hAnsi="Arial" w:cs="Arial"/>
    </w:rPr>
  </w:style>
  <w:style w:type="paragraph" w:styleId="TOC2">
    <w:name w:val="toc 2"/>
    <w:basedOn w:val="Normal"/>
    <w:next w:val="Normal"/>
    <w:autoRedefine/>
    <w:uiPriority w:val="39"/>
    <w:rsid w:val="00207B01"/>
    <w:pPr>
      <w:tabs>
        <w:tab w:val="right" w:leader="dot" w:pos="8630"/>
      </w:tabs>
      <w:spacing w:line="480" w:lineRule="auto"/>
      <w:ind w:left="245"/>
    </w:pPr>
    <w:rPr>
      <w:rFonts w:ascii="Arial" w:hAnsi="Arial" w:cs="Arial"/>
    </w:rPr>
  </w:style>
  <w:style w:type="paragraph" w:styleId="TOC3">
    <w:name w:val="toc 3"/>
    <w:basedOn w:val="Normal"/>
    <w:next w:val="Normal"/>
    <w:autoRedefine/>
    <w:uiPriority w:val="39"/>
    <w:rsid w:val="00207B01"/>
    <w:pPr>
      <w:tabs>
        <w:tab w:val="right" w:leader="dot" w:pos="8630"/>
      </w:tabs>
      <w:spacing w:line="480" w:lineRule="auto"/>
      <w:ind w:left="475"/>
    </w:pPr>
    <w:rPr>
      <w:rFonts w:ascii="Times" w:eastAsiaTheme="majorEastAsia" w:hAnsi="Times" w:cs="Arial"/>
      <w:noProof/>
    </w:rPr>
  </w:style>
  <w:style w:type="paragraph" w:styleId="Bibliography">
    <w:name w:val="Bibliography"/>
    <w:basedOn w:val="Normal"/>
    <w:next w:val="Normal"/>
    <w:uiPriority w:val="37"/>
    <w:unhideWhenUsed/>
    <w:rsid w:val="00207B01"/>
    <w:pPr>
      <w:spacing w:line="480" w:lineRule="auto"/>
      <w:ind w:left="720" w:hanging="720"/>
    </w:pPr>
    <w:rPr>
      <w:rFonts w:ascii="Arial" w:hAnsi="Arial" w:cs="Arial"/>
    </w:rPr>
  </w:style>
  <w:style w:type="character" w:customStyle="1" w:styleId="normaltextrun">
    <w:name w:val="normaltextrun"/>
    <w:basedOn w:val="DefaultParagraphFont"/>
    <w:rsid w:val="00207B01"/>
  </w:style>
  <w:style w:type="table" w:styleId="TableGrid">
    <w:name w:val="Table Grid"/>
    <w:basedOn w:val="TableNormal"/>
    <w:uiPriority w:val="39"/>
    <w:rsid w:val="00207B0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7B01"/>
    <w:pPr>
      <w:ind w:left="720"/>
      <w:contextualSpacing/>
    </w:pPr>
  </w:style>
  <w:style w:type="paragraph" w:styleId="NormalWeb">
    <w:name w:val="Normal (Web)"/>
    <w:basedOn w:val="Normal"/>
    <w:uiPriority w:val="99"/>
    <w:unhideWhenUsed/>
    <w:rsid w:val="00207B01"/>
  </w:style>
  <w:style w:type="paragraph" w:styleId="NoSpacing">
    <w:name w:val="No Spacing"/>
    <w:uiPriority w:val="1"/>
    <w:qFormat/>
    <w:rsid w:val="00207B01"/>
    <w:rPr>
      <w:sz w:val="22"/>
      <w:szCs w:val="22"/>
    </w:rPr>
  </w:style>
  <w:style w:type="character" w:styleId="CommentReference">
    <w:name w:val="annotation reference"/>
    <w:basedOn w:val="DefaultParagraphFont"/>
    <w:uiPriority w:val="99"/>
    <w:semiHidden/>
    <w:unhideWhenUsed/>
    <w:rsid w:val="00207B01"/>
    <w:rPr>
      <w:sz w:val="16"/>
      <w:szCs w:val="16"/>
    </w:rPr>
  </w:style>
  <w:style w:type="paragraph" w:styleId="CommentText">
    <w:name w:val="annotation text"/>
    <w:basedOn w:val="Normal"/>
    <w:link w:val="CommentTextChar"/>
    <w:uiPriority w:val="99"/>
    <w:semiHidden/>
    <w:unhideWhenUsed/>
    <w:rsid w:val="00207B01"/>
    <w:rPr>
      <w:sz w:val="20"/>
      <w:szCs w:val="20"/>
    </w:rPr>
  </w:style>
  <w:style w:type="character" w:customStyle="1" w:styleId="CommentTextChar">
    <w:name w:val="Comment Text Char"/>
    <w:basedOn w:val="DefaultParagraphFont"/>
    <w:link w:val="CommentText"/>
    <w:uiPriority w:val="99"/>
    <w:semiHidden/>
    <w:rsid w:val="00207B01"/>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07B0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07B01"/>
    <w:rPr>
      <w:b/>
      <w:bCs/>
    </w:rPr>
  </w:style>
  <w:style w:type="paragraph" w:styleId="BalloonText">
    <w:name w:val="Balloon Text"/>
    <w:basedOn w:val="Normal"/>
    <w:link w:val="BalloonTextChar"/>
    <w:uiPriority w:val="99"/>
    <w:semiHidden/>
    <w:unhideWhenUsed/>
    <w:rsid w:val="00207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B01"/>
    <w:rPr>
      <w:rFonts w:ascii="Segoe UI" w:eastAsia="Times New Roman" w:hAnsi="Segoe UI" w:cs="Segoe UI"/>
      <w:sz w:val="18"/>
      <w:szCs w:val="18"/>
    </w:rPr>
  </w:style>
  <w:style w:type="paragraph" w:styleId="Revision">
    <w:name w:val="Revision"/>
    <w:hidden/>
    <w:uiPriority w:val="99"/>
    <w:semiHidden/>
    <w:rsid w:val="00B673D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737231">
      <w:bodyDiv w:val="1"/>
      <w:marLeft w:val="0"/>
      <w:marRight w:val="0"/>
      <w:marTop w:val="0"/>
      <w:marBottom w:val="0"/>
      <w:divBdr>
        <w:top w:val="none" w:sz="0" w:space="0" w:color="auto"/>
        <w:left w:val="none" w:sz="0" w:space="0" w:color="auto"/>
        <w:bottom w:val="none" w:sz="0" w:space="0" w:color="auto"/>
        <w:right w:val="none" w:sz="0" w:space="0" w:color="auto"/>
      </w:divBdr>
    </w:div>
    <w:div w:id="642391710">
      <w:bodyDiv w:val="1"/>
      <w:marLeft w:val="0"/>
      <w:marRight w:val="0"/>
      <w:marTop w:val="0"/>
      <w:marBottom w:val="0"/>
      <w:divBdr>
        <w:top w:val="none" w:sz="0" w:space="0" w:color="auto"/>
        <w:left w:val="none" w:sz="0" w:space="0" w:color="auto"/>
        <w:bottom w:val="none" w:sz="0" w:space="0" w:color="auto"/>
        <w:right w:val="none" w:sz="0" w:space="0" w:color="auto"/>
      </w:divBdr>
    </w:div>
    <w:div w:id="718748363">
      <w:bodyDiv w:val="1"/>
      <w:marLeft w:val="0"/>
      <w:marRight w:val="0"/>
      <w:marTop w:val="0"/>
      <w:marBottom w:val="0"/>
      <w:divBdr>
        <w:top w:val="none" w:sz="0" w:space="0" w:color="auto"/>
        <w:left w:val="none" w:sz="0" w:space="0" w:color="auto"/>
        <w:bottom w:val="none" w:sz="0" w:space="0" w:color="auto"/>
        <w:right w:val="none" w:sz="0" w:space="0" w:color="auto"/>
      </w:divBdr>
    </w:div>
    <w:div w:id="801702171">
      <w:bodyDiv w:val="1"/>
      <w:marLeft w:val="0"/>
      <w:marRight w:val="0"/>
      <w:marTop w:val="0"/>
      <w:marBottom w:val="0"/>
      <w:divBdr>
        <w:top w:val="none" w:sz="0" w:space="0" w:color="auto"/>
        <w:left w:val="none" w:sz="0" w:space="0" w:color="auto"/>
        <w:bottom w:val="none" w:sz="0" w:space="0" w:color="auto"/>
        <w:right w:val="none" w:sz="0" w:space="0" w:color="auto"/>
      </w:divBdr>
    </w:div>
    <w:div w:id="1498887800">
      <w:bodyDiv w:val="1"/>
      <w:marLeft w:val="0"/>
      <w:marRight w:val="0"/>
      <w:marTop w:val="0"/>
      <w:marBottom w:val="0"/>
      <w:divBdr>
        <w:top w:val="none" w:sz="0" w:space="0" w:color="auto"/>
        <w:left w:val="none" w:sz="0" w:space="0" w:color="auto"/>
        <w:bottom w:val="none" w:sz="0" w:space="0" w:color="auto"/>
        <w:right w:val="none" w:sz="0" w:space="0" w:color="auto"/>
      </w:divBdr>
    </w:div>
    <w:div w:id="1510288875">
      <w:bodyDiv w:val="1"/>
      <w:marLeft w:val="0"/>
      <w:marRight w:val="0"/>
      <w:marTop w:val="0"/>
      <w:marBottom w:val="0"/>
      <w:divBdr>
        <w:top w:val="none" w:sz="0" w:space="0" w:color="auto"/>
        <w:left w:val="none" w:sz="0" w:space="0" w:color="auto"/>
        <w:bottom w:val="none" w:sz="0" w:space="0" w:color="auto"/>
        <w:right w:val="none" w:sz="0" w:space="0" w:color="auto"/>
      </w:divBdr>
    </w:div>
    <w:div w:id="1533807920">
      <w:bodyDiv w:val="1"/>
      <w:marLeft w:val="0"/>
      <w:marRight w:val="0"/>
      <w:marTop w:val="0"/>
      <w:marBottom w:val="0"/>
      <w:divBdr>
        <w:top w:val="none" w:sz="0" w:space="0" w:color="auto"/>
        <w:left w:val="none" w:sz="0" w:space="0" w:color="auto"/>
        <w:bottom w:val="none" w:sz="0" w:space="0" w:color="auto"/>
        <w:right w:val="none" w:sz="0" w:space="0" w:color="auto"/>
      </w:divBdr>
    </w:div>
    <w:div w:id="1633555931">
      <w:bodyDiv w:val="1"/>
      <w:marLeft w:val="0"/>
      <w:marRight w:val="0"/>
      <w:marTop w:val="0"/>
      <w:marBottom w:val="0"/>
      <w:divBdr>
        <w:top w:val="none" w:sz="0" w:space="0" w:color="auto"/>
        <w:left w:val="none" w:sz="0" w:space="0" w:color="auto"/>
        <w:bottom w:val="none" w:sz="0" w:space="0" w:color="auto"/>
        <w:right w:val="none" w:sz="0" w:space="0" w:color="auto"/>
      </w:divBdr>
    </w:div>
    <w:div w:id="1644118608">
      <w:bodyDiv w:val="1"/>
      <w:marLeft w:val="0"/>
      <w:marRight w:val="0"/>
      <w:marTop w:val="0"/>
      <w:marBottom w:val="0"/>
      <w:divBdr>
        <w:top w:val="none" w:sz="0" w:space="0" w:color="auto"/>
        <w:left w:val="none" w:sz="0" w:space="0" w:color="auto"/>
        <w:bottom w:val="none" w:sz="0" w:space="0" w:color="auto"/>
        <w:right w:val="none" w:sz="0" w:space="0" w:color="auto"/>
      </w:divBdr>
    </w:div>
    <w:div w:id="1694570438">
      <w:bodyDiv w:val="1"/>
      <w:marLeft w:val="0"/>
      <w:marRight w:val="0"/>
      <w:marTop w:val="0"/>
      <w:marBottom w:val="0"/>
      <w:divBdr>
        <w:top w:val="none" w:sz="0" w:space="0" w:color="auto"/>
        <w:left w:val="none" w:sz="0" w:space="0" w:color="auto"/>
        <w:bottom w:val="none" w:sz="0" w:space="0" w:color="auto"/>
        <w:right w:val="none" w:sz="0" w:space="0" w:color="auto"/>
      </w:divBdr>
    </w:div>
    <w:div w:id="1978296406">
      <w:bodyDiv w:val="1"/>
      <w:marLeft w:val="0"/>
      <w:marRight w:val="0"/>
      <w:marTop w:val="0"/>
      <w:marBottom w:val="0"/>
      <w:divBdr>
        <w:top w:val="none" w:sz="0" w:space="0" w:color="auto"/>
        <w:left w:val="none" w:sz="0" w:space="0" w:color="auto"/>
        <w:bottom w:val="none" w:sz="0" w:space="0" w:color="auto"/>
        <w:right w:val="none" w:sz="0" w:space="0" w:color="auto"/>
      </w:divBdr>
    </w:div>
    <w:div w:id="202292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5.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7.png"/><Relationship Id="rId10" Type="http://schemas.openxmlformats.org/officeDocument/2006/relationships/chart" Target="charts/chart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4.png"/><Relationship Id="rId22"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oleObject" Target="file:////Users\amani.khalil\Desktop\Working%20Thesis%20Docs%20MAY\FAB_MasterCombinedDatabase_20192020_working0526.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mani.khalil\Desktop\thesis_ch2_draft%20graphs%20from%20laura%2005.27\wokrking0604_FAB_MasterCombinedDatabase_2019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mani.khalil\Desktop\thesis_ch2_draft%20graphs%20from%20laura%2005.27\FAB_MasterCombinedDatabase_2019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mani.khalil\Desktop\07.05.FAB_MasterCombinedDatabase_20192020-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mani.khalil\Desktop\thesis_ch2_draft%20graphs%20from%20laura%2005.27\FAB_MasterCombinedDatabase_2019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amani.khalil\Desktop\thesis_ch2_draft%20graphs%20from%20laura%2005.27\wokrking_FAB_MasterCombinedDatabase_20192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amani.khalil\Downloads\FAB_MasterCombinedDatabase_2019202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amani.khalil\Downloads\FAB_MasterCombinedDatabase_20192020-3.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541524108752014E-2"/>
          <c:y val="7.4525745257452577E-2"/>
          <c:w val="0.9010067383195598"/>
          <c:h val="0.83062330623306235"/>
        </c:manualLayout>
      </c:layout>
      <c:barChart>
        <c:barDir val="col"/>
        <c:grouping val="clustered"/>
        <c:varyColors val="0"/>
        <c:ser>
          <c:idx val="1"/>
          <c:order val="0"/>
          <c:tx>
            <c:strRef>
              <c:f>'2019. 2020 PT, SR and Ab PLOT'!$B$139</c:f>
              <c:strCache>
                <c:ptCount val="1"/>
                <c:pt idx="0">
                  <c:v>Average of Abundance2019</c:v>
                </c:pt>
              </c:strCache>
            </c:strRef>
          </c:tx>
          <c:spPr>
            <a:solidFill>
              <a:schemeClr val="accent2"/>
            </a:solidFill>
            <a:ln>
              <a:noFill/>
            </a:ln>
            <a:effectLst/>
          </c:spPr>
          <c:invertIfNegative val="0"/>
          <c:errBars>
            <c:errBarType val="both"/>
            <c:errValType val="cust"/>
            <c:noEndCap val="0"/>
            <c:plus>
              <c:numRef>
                <c:f>'2019. 2020 PT, SR and Ab PLOT'!$D$140:$D$144</c:f>
                <c:numCache>
                  <c:formatCode>General</c:formatCode>
                  <c:ptCount val="5"/>
                  <c:pt idx="0">
                    <c:v>0.7403585086428609</c:v>
                  </c:pt>
                  <c:pt idx="1">
                    <c:v>0.95172851448384421</c:v>
                  </c:pt>
                  <c:pt idx="2">
                    <c:v>1.1079303283783997</c:v>
                  </c:pt>
                  <c:pt idx="3">
                    <c:v>0.70540250204311217</c:v>
                  </c:pt>
                  <c:pt idx="4">
                    <c:v>0</c:v>
                  </c:pt>
                </c:numCache>
              </c:numRef>
            </c:plus>
            <c:minus>
              <c:numRef>
                <c:f>'2019. 2020 PT, SR and Ab PLOT'!$D$140:$D$144</c:f>
                <c:numCache>
                  <c:formatCode>General</c:formatCode>
                  <c:ptCount val="5"/>
                  <c:pt idx="0">
                    <c:v>0.7403585086428609</c:v>
                  </c:pt>
                  <c:pt idx="1">
                    <c:v>0.95172851448384421</c:v>
                  </c:pt>
                  <c:pt idx="2">
                    <c:v>1.1079303283783997</c:v>
                  </c:pt>
                  <c:pt idx="3">
                    <c:v>0.70540250204311217</c:v>
                  </c:pt>
                  <c:pt idx="4">
                    <c:v>0</c:v>
                  </c:pt>
                </c:numCache>
              </c:numRef>
            </c:minus>
            <c:spPr>
              <a:noFill/>
              <a:ln w="9525" cap="flat" cmpd="sng" algn="ctr">
                <a:solidFill>
                  <a:schemeClr val="tx1">
                    <a:lumMod val="65000"/>
                    <a:lumOff val="35000"/>
                  </a:schemeClr>
                </a:solidFill>
                <a:round/>
              </a:ln>
              <a:effectLst/>
            </c:spPr>
          </c:errBars>
          <c:cat>
            <c:strRef>
              <c:f>'2019. 2020 PT, SR and Ab PLOT'!$A$140:$A$144</c:f>
              <c:strCache>
                <c:ptCount val="5"/>
                <c:pt idx="0">
                  <c:v>1- Urban Gardens</c:v>
                </c:pt>
                <c:pt idx="1">
                  <c:v>2-Cattle Pasture</c:v>
                </c:pt>
                <c:pt idx="2">
                  <c:v>3- Mixed Use Ag</c:v>
                </c:pt>
                <c:pt idx="3">
                  <c:v>4- Semi-natural</c:v>
                </c:pt>
                <c:pt idx="4">
                  <c:v>5- Organic Ag</c:v>
                </c:pt>
              </c:strCache>
            </c:strRef>
          </c:cat>
          <c:val>
            <c:numRef>
              <c:f>'2019. 2020 PT, SR and Ab PLOT'!$B$140:$B$144</c:f>
              <c:numCache>
                <c:formatCode>0.0</c:formatCode>
                <c:ptCount val="5"/>
                <c:pt idx="0">
                  <c:v>4.741935483870968</c:v>
                </c:pt>
                <c:pt idx="1">
                  <c:v>5.9868421052631575</c:v>
                </c:pt>
                <c:pt idx="2">
                  <c:v>6.9571428571428573</c:v>
                </c:pt>
                <c:pt idx="3">
                  <c:v>5.0114942528735629</c:v>
                </c:pt>
                <c:pt idx="4" formatCode="General">
                  <c:v>0</c:v>
                </c:pt>
              </c:numCache>
            </c:numRef>
          </c:val>
          <c:extLst>
            <c:ext xmlns:c16="http://schemas.microsoft.com/office/drawing/2014/chart" uri="{C3380CC4-5D6E-409C-BE32-E72D297353CC}">
              <c16:uniqueId val="{00000000-425A-6A4E-A116-4C2E5877EF97}"/>
            </c:ext>
          </c:extLst>
        </c:ser>
        <c:ser>
          <c:idx val="0"/>
          <c:order val="1"/>
          <c:tx>
            <c:strRef>
              <c:f>'2019. 2020 PT, SR and Ab PLOT'!$C$139</c:f>
              <c:strCache>
                <c:ptCount val="1"/>
                <c:pt idx="0">
                  <c:v>Average of Abundance2020</c:v>
                </c:pt>
              </c:strCache>
            </c:strRef>
          </c:tx>
          <c:spPr>
            <a:solidFill>
              <a:schemeClr val="accent1"/>
            </a:solidFill>
            <a:ln>
              <a:noFill/>
            </a:ln>
            <a:effectLst/>
          </c:spPr>
          <c:invertIfNegative val="0"/>
          <c:errBars>
            <c:errBarType val="both"/>
            <c:errValType val="cust"/>
            <c:noEndCap val="0"/>
            <c:plus>
              <c:numRef>
                <c:f>'2019. 2020 PT, SR and Ab PLOT'!$E$140:$E$144</c:f>
                <c:numCache>
                  <c:formatCode>General</c:formatCode>
                  <c:ptCount val="5"/>
                  <c:pt idx="0">
                    <c:v>0.4915607539675414</c:v>
                  </c:pt>
                  <c:pt idx="1">
                    <c:v>0.91656980053967585</c:v>
                  </c:pt>
                  <c:pt idx="2">
                    <c:v>0.84300198638508561</c:v>
                  </c:pt>
                  <c:pt idx="3">
                    <c:v>0.5614290937044496</c:v>
                  </c:pt>
                  <c:pt idx="4">
                    <c:v>1.841007790843153</c:v>
                  </c:pt>
                </c:numCache>
              </c:numRef>
            </c:plus>
            <c:minus>
              <c:numRef>
                <c:f>'2019. 2020 PT, SR and Ab PLOT'!$E$140:$E$144</c:f>
                <c:numCache>
                  <c:formatCode>General</c:formatCode>
                  <c:ptCount val="5"/>
                  <c:pt idx="0">
                    <c:v>0.4915607539675414</c:v>
                  </c:pt>
                  <c:pt idx="1">
                    <c:v>0.91656980053967585</c:v>
                  </c:pt>
                  <c:pt idx="2">
                    <c:v>0.84300198638508561</c:v>
                  </c:pt>
                  <c:pt idx="3">
                    <c:v>0.5614290937044496</c:v>
                  </c:pt>
                  <c:pt idx="4">
                    <c:v>1.841007790843153</c:v>
                  </c:pt>
                </c:numCache>
              </c:numRef>
            </c:minus>
            <c:spPr>
              <a:noFill/>
              <a:ln w="9525" cap="flat" cmpd="sng" algn="ctr">
                <a:solidFill>
                  <a:schemeClr val="tx1">
                    <a:lumMod val="65000"/>
                    <a:lumOff val="35000"/>
                  </a:schemeClr>
                </a:solidFill>
                <a:round/>
              </a:ln>
              <a:effectLst/>
            </c:spPr>
          </c:errBars>
          <c:cat>
            <c:strRef>
              <c:f>'2019. 2020 PT, SR and Ab PLOT'!$A$140:$A$144</c:f>
              <c:strCache>
                <c:ptCount val="5"/>
                <c:pt idx="0">
                  <c:v>1- Urban Gardens</c:v>
                </c:pt>
                <c:pt idx="1">
                  <c:v>2-Cattle Pasture</c:v>
                </c:pt>
                <c:pt idx="2">
                  <c:v>3- Mixed Use Ag</c:v>
                </c:pt>
                <c:pt idx="3">
                  <c:v>4- Semi-natural</c:v>
                </c:pt>
                <c:pt idx="4">
                  <c:v>5- Organic Ag</c:v>
                </c:pt>
              </c:strCache>
            </c:strRef>
          </c:cat>
          <c:val>
            <c:numRef>
              <c:f>'2019. 2020 PT, SR and Ab PLOT'!$C$140:$C$144</c:f>
              <c:numCache>
                <c:formatCode>0.0</c:formatCode>
                <c:ptCount val="5"/>
                <c:pt idx="0">
                  <c:v>4.6330275229357802</c:v>
                </c:pt>
                <c:pt idx="1">
                  <c:v>5.4702380952380949</c:v>
                </c:pt>
                <c:pt idx="2">
                  <c:v>6.6419753086419755</c:v>
                </c:pt>
                <c:pt idx="3">
                  <c:v>4.24</c:v>
                </c:pt>
                <c:pt idx="4">
                  <c:v>10.359281437125748</c:v>
                </c:pt>
              </c:numCache>
            </c:numRef>
          </c:val>
          <c:extLst>
            <c:ext xmlns:c16="http://schemas.microsoft.com/office/drawing/2014/chart" uri="{C3380CC4-5D6E-409C-BE32-E72D297353CC}">
              <c16:uniqueId val="{00000001-425A-6A4E-A116-4C2E5877EF97}"/>
            </c:ext>
          </c:extLst>
        </c:ser>
        <c:dLbls>
          <c:showLegendKey val="0"/>
          <c:showVal val="0"/>
          <c:showCatName val="0"/>
          <c:showSerName val="0"/>
          <c:showPercent val="0"/>
          <c:showBubbleSize val="0"/>
        </c:dLbls>
        <c:gapWidth val="147"/>
        <c:overlap val="-45"/>
        <c:axId val="1552579744"/>
        <c:axId val="1431355648"/>
      </c:barChart>
      <c:catAx>
        <c:axId val="1552579744"/>
        <c:scaling>
          <c:orientation val="minMax"/>
        </c:scaling>
        <c:delete val="1"/>
        <c:axPos val="b"/>
        <c:numFmt formatCode="General" sourceLinked="1"/>
        <c:majorTickMark val="none"/>
        <c:minorTickMark val="none"/>
        <c:tickLblPos val="nextTo"/>
        <c:crossAx val="1431355648"/>
        <c:crosses val="autoZero"/>
        <c:auto val="1"/>
        <c:lblAlgn val="ctr"/>
        <c:lblOffset val="100"/>
        <c:noMultiLvlLbl val="0"/>
      </c:catAx>
      <c:valAx>
        <c:axId val="1431355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579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FloralDisp2020!$O$44</c:f>
              <c:strCache>
                <c:ptCount val="1"/>
                <c:pt idx="0">
                  <c:v>Average of Floral Display</c:v>
                </c:pt>
              </c:strCache>
            </c:strRef>
          </c:tx>
          <c:spPr>
            <a:solidFill>
              <a:srgbClr val="FF0000"/>
            </a:solidFill>
            <a:ln>
              <a:solidFill>
                <a:schemeClr val="tx1"/>
              </a:solidFill>
            </a:ln>
            <a:effectLst/>
          </c:spPr>
          <c:invertIfNegative val="0"/>
          <c:dPt>
            <c:idx val="0"/>
            <c:invertIfNegative val="0"/>
            <c:bubble3D val="0"/>
            <c:spPr>
              <a:solidFill>
                <a:srgbClr val="FFFF00"/>
              </a:solidFill>
              <a:ln>
                <a:solidFill>
                  <a:schemeClr val="tx1"/>
                </a:solidFill>
              </a:ln>
              <a:effectLst/>
            </c:spPr>
            <c:extLst>
              <c:ext xmlns:c16="http://schemas.microsoft.com/office/drawing/2014/chart" uri="{C3380CC4-5D6E-409C-BE32-E72D297353CC}">
                <c16:uniqueId val="{00000001-2428-5845-B880-0F5E91B4F2E7}"/>
              </c:ext>
            </c:extLst>
          </c:dPt>
          <c:dPt>
            <c:idx val="1"/>
            <c:invertIfNegative val="0"/>
            <c:bubble3D val="0"/>
            <c:spPr>
              <a:solidFill>
                <a:srgbClr val="FFFF00"/>
              </a:solidFill>
              <a:ln>
                <a:solidFill>
                  <a:schemeClr val="tx1"/>
                </a:solidFill>
              </a:ln>
              <a:effectLst/>
            </c:spPr>
            <c:extLst>
              <c:ext xmlns:c16="http://schemas.microsoft.com/office/drawing/2014/chart" uri="{C3380CC4-5D6E-409C-BE32-E72D297353CC}">
                <c16:uniqueId val="{00000003-2428-5845-B880-0F5E91B4F2E7}"/>
              </c:ext>
            </c:extLst>
          </c:dPt>
          <c:dPt>
            <c:idx val="2"/>
            <c:invertIfNegative val="0"/>
            <c:bubble3D val="0"/>
            <c:spPr>
              <a:solidFill>
                <a:srgbClr val="FFFF00"/>
              </a:solidFill>
              <a:ln>
                <a:solidFill>
                  <a:schemeClr val="tx1"/>
                </a:solidFill>
              </a:ln>
              <a:effectLst/>
            </c:spPr>
            <c:extLst>
              <c:ext xmlns:c16="http://schemas.microsoft.com/office/drawing/2014/chart" uri="{C3380CC4-5D6E-409C-BE32-E72D297353CC}">
                <c16:uniqueId val="{00000005-2428-5845-B880-0F5E91B4F2E7}"/>
              </c:ext>
            </c:extLst>
          </c:dPt>
          <c:dPt>
            <c:idx val="3"/>
            <c:invertIfNegative val="0"/>
            <c:bubble3D val="0"/>
            <c:spPr>
              <a:solidFill>
                <a:schemeClr val="accent1"/>
              </a:solidFill>
              <a:ln>
                <a:solidFill>
                  <a:schemeClr val="tx1"/>
                </a:solidFill>
              </a:ln>
              <a:effectLst/>
            </c:spPr>
            <c:extLst>
              <c:ext xmlns:c16="http://schemas.microsoft.com/office/drawing/2014/chart" uri="{C3380CC4-5D6E-409C-BE32-E72D297353CC}">
                <c16:uniqueId val="{00000007-2428-5845-B880-0F5E91B4F2E7}"/>
              </c:ext>
            </c:extLst>
          </c:dPt>
          <c:dPt>
            <c:idx val="4"/>
            <c:invertIfNegative val="0"/>
            <c:bubble3D val="0"/>
            <c:spPr>
              <a:solidFill>
                <a:srgbClr val="FFFF00"/>
              </a:solidFill>
              <a:ln>
                <a:solidFill>
                  <a:schemeClr val="tx1"/>
                </a:solidFill>
              </a:ln>
              <a:effectLst/>
            </c:spPr>
            <c:extLst>
              <c:ext xmlns:c16="http://schemas.microsoft.com/office/drawing/2014/chart" uri="{C3380CC4-5D6E-409C-BE32-E72D297353CC}">
                <c16:uniqueId val="{00000009-2428-5845-B880-0F5E91B4F2E7}"/>
              </c:ext>
            </c:extLst>
          </c:dPt>
          <c:dPt>
            <c:idx val="6"/>
            <c:invertIfNegative val="0"/>
            <c:bubble3D val="0"/>
            <c:spPr>
              <a:solidFill>
                <a:srgbClr val="FFFF00"/>
              </a:solidFill>
              <a:ln>
                <a:solidFill>
                  <a:schemeClr val="tx1"/>
                </a:solidFill>
              </a:ln>
              <a:effectLst/>
            </c:spPr>
            <c:extLst>
              <c:ext xmlns:c16="http://schemas.microsoft.com/office/drawing/2014/chart" uri="{C3380CC4-5D6E-409C-BE32-E72D297353CC}">
                <c16:uniqueId val="{0000000B-2428-5845-B880-0F5E91B4F2E7}"/>
              </c:ext>
            </c:extLst>
          </c:dPt>
          <c:dPt>
            <c:idx val="7"/>
            <c:invertIfNegative val="0"/>
            <c:bubble3D val="0"/>
            <c:spPr>
              <a:solidFill>
                <a:srgbClr val="FFFF00"/>
              </a:solidFill>
              <a:ln>
                <a:solidFill>
                  <a:schemeClr val="tx1"/>
                </a:solidFill>
              </a:ln>
              <a:effectLst/>
            </c:spPr>
            <c:extLst>
              <c:ext xmlns:c16="http://schemas.microsoft.com/office/drawing/2014/chart" uri="{C3380CC4-5D6E-409C-BE32-E72D297353CC}">
                <c16:uniqueId val="{0000000D-2428-5845-B880-0F5E91B4F2E7}"/>
              </c:ext>
            </c:extLst>
          </c:dPt>
          <c:dPt>
            <c:idx val="8"/>
            <c:invertIfNegative val="0"/>
            <c:bubble3D val="0"/>
            <c:spPr>
              <a:solidFill>
                <a:schemeClr val="accent1"/>
              </a:solidFill>
              <a:ln>
                <a:solidFill>
                  <a:schemeClr val="tx1"/>
                </a:solidFill>
              </a:ln>
              <a:effectLst/>
            </c:spPr>
            <c:extLst>
              <c:ext xmlns:c16="http://schemas.microsoft.com/office/drawing/2014/chart" uri="{C3380CC4-5D6E-409C-BE32-E72D297353CC}">
                <c16:uniqueId val="{0000000F-2428-5845-B880-0F5E91B4F2E7}"/>
              </c:ext>
            </c:extLst>
          </c:dPt>
          <c:dPt>
            <c:idx val="9"/>
            <c:invertIfNegative val="0"/>
            <c:bubble3D val="0"/>
            <c:spPr>
              <a:solidFill>
                <a:schemeClr val="accent1"/>
              </a:solidFill>
              <a:ln>
                <a:solidFill>
                  <a:schemeClr val="tx1"/>
                </a:solidFill>
              </a:ln>
              <a:effectLst/>
            </c:spPr>
            <c:extLst>
              <c:ext xmlns:c16="http://schemas.microsoft.com/office/drawing/2014/chart" uri="{C3380CC4-5D6E-409C-BE32-E72D297353CC}">
                <c16:uniqueId val="{00000011-2428-5845-B880-0F5E91B4F2E7}"/>
              </c:ext>
            </c:extLst>
          </c:dPt>
          <c:dPt>
            <c:idx val="10"/>
            <c:invertIfNegative val="0"/>
            <c:bubble3D val="0"/>
            <c:spPr>
              <a:solidFill>
                <a:schemeClr val="accent1"/>
              </a:solidFill>
              <a:ln>
                <a:solidFill>
                  <a:schemeClr val="tx1"/>
                </a:solidFill>
              </a:ln>
              <a:effectLst/>
            </c:spPr>
            <c:extLst>
              <c:ext xmlns:c16="http://schemas.microsoft.com/office/drawing/2014/chart" uri="{C3380CC4-5D6E-409C-BE32-E72D297353CC}">
                <c16:uniqueId val="{00000013-2428-5845-B880-0F5E91B4F2E7}"/>
              </c:ext>
            </c:extLst>
          </c:dPt>
          <c:dPt>
            <c:idx val="11"/>
            <c:invertIfNegative val="0"/>
            <c:bubble3D val="0"/>
            <c:spPr>
              <a:solidFill>
                <a:schemeClr val="accent1"/>
              </a:solidFill>
              <a:ln>
                <a:solidFill>
                  <a:schemeClr val="tx1"/>
                </a:solidFill>
              </a:ln>
              <a:effectLst/>
            </c:spPr>
            <c:extLst>
              <c:ext xmlns:c16="http://schemas.microsoft.com/office/drawing/2014/chart" uri="{C3380CC4-5D6E-409C-BE32-E72D297353CC}">
                <c16:uniqueId val="{00000015-2428-5845-B880-0F5E91B4F2E7}"/>
              </c:ext>
            </c:extLst>
          </c:dPt>
          <c:dPt>
            <c:idx val="12"/>
            <c:invertIfNegative val="0"/>
            <c:bubble3D val="0"/>
            <c:spPr>
              <a:solidFill>
                <a:schemeClr val="accent1"/>
              </a:solidFill>
              <a:ln>
                <a:solidFill>
                  <a:schemeClr val="tx1"/>
                </a:solidFill>
              </a:ln>
              <a:effectLst/>
            </c:spPr>
            <c:extLst>
              <c:ext xmlns:c16="http://schemas.microsoft.com/office/drawing/2014/chart" uri="{C3380CC4-5D6E-409C-BE32-E72D297353CC}">
                <c16:uniqueId val="{00000017-2428-5845-B880-0F5E91B4F2E7}"/>
              </c:ext>
            </c:extLst>
          </c:dPt>
          <c:errBars>
            <c:errBarType val="both"/>
            <c:errValType val="cust"/>
            <c:noEndCap val="0"/>
            <c:plus>
              <c:numRef>
                <c:f>FloralDisp2020!$R$45:$R$61</c:f>
                <c:numCache>
                  <c:formatCode>General</c:formatCode>
                  <c:ptCount val="17"/>
                  <c:pt idx="0">
                    <c:v>2160.4600937657001</c:v>
                  </c:pt>
                  <c:pt idx="1">
                    <c:v>1012.0288913169946</c:v>
                  </c:pt>
                  <c:pt idx="2">
                    <c:v>513.96979186483657</c:v>
                  </c:pt>
                  <c:pt idx="3">
                    <c:v>627.68006903185108</c:v>
                  </c:pt>
                  <c:pt idx="4">
                    <c:v>441.15180281091517</c:v>
                  </c:pt>
                  <c:pt idx="5">
                    <c:v>290.93912095313715</c:v>
                  </c:pt>
                  <c:pt idx="6">
                    <c:v>143.76692279736324</c:v>
                  </c:pt>
                  <c:pt idx="7">
                    <c:v>263.78983657527652</c:v>
                  </c:pt>
                  <c:pt idx="8">
                    <c:v>220.64159457357795</c:v>
                  </c:pt>
                  <c:pt idx="9">
                    <c:v>182.11257519887008</c:v>
                  </c:pt>
                  <c:pt idx="10">
                    <c:v>55.875672734040265</c:v>
                  </c:pt>
                  <c:pt idx="11">
                    <c:v>81.736656516468926</c:v>
                  </c:pt>
                  <c:pt idx="12">
                    <c:v>38.163608770751352</c:v>
                  </c:pt>
                  <c:pt idx="13">
                    <c:v>56.916525943766125</c:v>
                  </c:pt>
                  <c:pt idx="14">
                    <c:v>38.90215286664219</c:v>
                  </c:pt>
                  <c:pt idx="15">
                    <c:v>46.008060667255783</c:v>
                  </c:pt>
                  <c:pt idx="16">
                    <c:v>9.8973744294990507</c:v>
                  </c:pt>
                </c:numCache>
              </c:numRef>
            </c:plus>
            <c:minus>
              <c:numRef>
                <c:f>FloralDisp2020!$R$45:$R$61</c:f>
                <c:numCache>
                  <c:formatCode>General</c:formatCode>
                  <c:ptCount val="17"/>
                  <c:pt idx="0">
                    <c:v>2160.4600937657001</c:v>
                  </c:pt>
                  <c:pt idx="1">
                    <c:v>1012.0288913169946</c:v>
                  </c:pt>
                  <c:pt idx="2">
                    <c:v>513.96979186483657</c:v>
                  </c:pt>
                  <c:pt idx="3">
                    <c:v>627.68006903185108</c:v>
                  </c:pt>
                  <c:pt idx="4">
                    <c:v>441.15180281091517</c:v>
                  </c:pt>
                  <c:pt idx="5">
                    <c:v>290.93912095313715</c:v>
                  </c:pt>
                  <c:pt idx="6">
                    <c:v>143.76692279736324</c:v>
                  </c:pt>
                  <c:pt idx="7">
                    <c:v>263.78983657527652</c:v>
                  </c:pt>
                  <c:pt idx="8">
                    <c:v>220.64159457357795</c:v>
                  </c:pt>
                  <c:pt idx="9">
                    <c:v>182.11257519887008</c:v>
                  </c:pt>
                  <c:pt idx="10">
                    <c:v>55.875672734040265</c:v>
                  </c:pt>
                  <c:pt idx="11">
                    <c:v>81.736656516468926</c:v>
                  </c:pt>
                  <c:pt idx="12">
                    <c:v>38.163608770751352</c:v>
                  </c:pt>
                  <c:pt idx="13">
                    <c:v>56.916525943766125</c:v>
                  </c:pt>
                  <c:pt idx="14">
                    <c:v>38.90215286664219</c:v>
                  </c:pt>
                  <c:pt idx="15">
                    <c:v>46.008060667255783</c:v>
                  </c:pt>
                  <c:pt idx="16">
                    <c:v>9.8973744294990507</c:v>
                  </c:pt>
                </c:numCache>
              </c:numRef>
            </c:minus>
            <c:spPr>
              <a:noFill/>
              <a:ln w="9525" cap="flat" cmpd="sng" algn="ctr">
                <a:solidFill>
                  <a:schemeClr val="tx1">
                    <a:lumMod val="65000"/>
                    <a:lumOff val="35000"/>
                  </a:schemeClr>
                </a:solidFill>
                <a:round/>
              </a:ln>
              <a:effectLst/>
            </c:spPr>
          </c:errBars>
          <c:cat>
            <c:strRef>
              <c:f>FloralDisp2020!$N$45:$N$61</c:f>
              <c:strCache>
                <c:ptCount val="17"/>
                <c:pt idx="0">
                  <c:v>Hel hir</c:v>
                </c:pt>
                <c:pt idx="1">
                  <c:v>Eur sax</c:v>
                </c:pt>
                <c:pt idx="2">
                  <c:v>Hel occ</c:v>
                </c:pt>
                <c:pt idx="3">
                  <c:v>Ble sub</c:v>
                </c:pt>
                <c:pt idx="4">
                  <c:v>Sto lae</c:v>
                </c:pt>
                <c:pt idx="5">
                  <c:v>Sen mar</c:v>
                </c:pt>
                <c:pt idx="6">
                  <c:v>Cor lan</c:v>
                </c:pt>
                <c:pt idx="7">
                  <c:v>Ver occ</c:v>
                </c:pt>
                <c:pt idx="8">
                  <c:v>Lyc vir</c:v>
                </c:pt>
                <c:pt idx="9">
                  <c:v>Con ver</c:v>
                </c:pt>
                <c:pt idx="10">
                  <c:v>Pyc mut</c:v>
                </c:pt>
                <c:pt idx="11">
                  <c:v>Phy lep</c:v>
                </c:pt>
                <c:pt idx="12">
                  <c:v>Col can</c:v>
                </c:pt>
                <c:pt idx="13">
                  <c:v>Bap tin</c:v>
                </c:pt>
                <c:pt idx="14">
                  <c:v>Bap alb</c:v>
                </c:pt>
                <c:pt idx="15">
                  <c:v>Amo her</c:v>
                </c:pt>
                <c:pt idx="16">
                  <c:v>Les hir</c:v>
                </c:pt>
              </c:strCache>
            </c:strRef>
          </c:cat>
          <c:val>
            <c:numRef>
              <c:f>FloralDisp2020!$O$45:$O$61</c:f>
              <c:numCache>
                <c:formatCode>0</c:formatCode>
                <c:ptCount val="17"/>
                <c:pt idx="0">
                  <c:v>13245.957182898148</c:v>
                </c:pt>
                <c:pt idx="1">
                  <c:v>5949.8718773885512</c:v>
                </c:pt>
                <c:pt idx="2">
                  <c:v>5776.9918600213277</c:v>
                </c:pt>
                <c:pt idx="3">
                  <c:v>2683.3468536344681</c:v>
                </c:pt>
                <c:pt idx="4">
                  <c:v>2017.0104210069367</c:v>
                </c:pt>
                <c:pt idx="5">
                  <c:v>1483.5457721750893</c:v>
                </c:pt>
                <c:pt idx="6">
                  <c:v>1287.9668650003439</c:v>
                </c:pt>
                <c:pt idx="7">
                  <c:v>1228.638721118182</c:v>
                </c:pt>
                <c:pt idx="8">
                  <c:v>1206.1292858880004</c:v>
                </c:pt>
                <c:pt idx="9">
                  <c:v>1124.2693094291474</c:v>
                </c:pt>
                <c:pt idx="10">
                  <c:v>525.71246561004671</c:v>
                </c:pt>
                <c:pt idx="11">
                  <c:v>466.23708872000009</c:v>
                </c:pt>
                <c:pt idx="12">
                  <c:v>254.61563390058095</c:v>
                </c:pt>
                <c:pt idx="13">
                  <c:v>228.97228371530204</c:v>
                </c:pt>
                <c:pt idx="14">
                  <c:v>146.92483392333332</c:v>
                </c:pt>
                <c:pt idx="15">
                  <c:v>117.54403810070919</c:v>
                </c:pt>
                <c:pt idx="16">
                  <c:v>38.032827472996047</c:v>
                </c:pt>
              </c:numCache>
            </c:numRef>
          </c:val>
          <c:extLst>
            <c:ext xmlns:c16="http://schemas.microsoft.com/office/drawing/2014/chart" uri="{C3380CC4-5D6E-409C-BE32-E72D297353CC}">
              <c16:uniqueId val="{00000018-2428-5845-B880-0F5E91B4F2E7}"/>
            </c:ext>
          </c:extLst>
        </c:ser>
        <c:dLbls>
          <c:showLegendKey val="0"/>
          <c:showVal val="0"/>
          <c:showCatName val="0"/>
          <c:showSerName val="0"/>
          <c:showPercent val="0"/>
          <c:showBubbleSize val="0"/>
        </c:dLbls>
        <c:gapWidth val="219"/>
        <c:overlap val="-27"/>
        <c:axId val="823885247"/>
        <c:axId val="816354335"/>
      </c:barChart>
      <c:catAx>
        <c:axId val="823885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354335"/>
        <c:crosses val="autoZero"/>
        <c:auto val="1"/>
        <c:lblAlgn val="ctr"/>
        <c:lblOffset val="100"/>
        <c:noMultiLvlLbl val="0"/>
      </c:catAx>
      <c:valAx>
        <c:axId val="8163543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Standardized</a:t>
                </a:r>
                <a:r>
                  <a:rPr lang="en-US" baseline="0"/>
                  <a:t> Floral Display in </a:t>
                </a:r>
                <a:r>
                  <a:rPr lang="en-US" sz="1000" b="0" i="0" u="none" strike="noStrike" baseline="0">
                    <a:effectLst/>
                  </a:rPr>
                  <a:t>mm</a:t>
                </a:r>
                <a:r>
                  <a:rPr lang="en-US" sz="1000" b="0" i="0" u="none" strike="noStrike" baseline="30000">
                    <a:effectLst/>
                  </a:rPr>
                  <a:t>2</a:t>
                </a:r>
                <a:r>
                  <a:rPr lang="en-US" sz="1000" b="0" i="0" u="none" strike="noStrike" baseline="0">
                    <a:effectLst/>
                  </a:rPr>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8852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2020</c:v>
          </c:tx>
          <c:spPr>
            <a:solidFill>
              <a:srgbClr val="C00000"/>
            </a:solidFill>
            <a:ln>
              <a:solidFill>
                <a:schemeClr val="tx1"/>
              </a:solidFill>
            </a:ln>
            <a:effectLst/>
          </c:spPr>
          <c:invertIfNegative val="0"/>
          <c:dPt>
            <c:idx val="0"/>
            <c:invertIfNegative val="0"/>
            <c:bubble3D val="0"/>
            <c:spPr>
              <a:solidFill>
                <a:schemeClr val="accent1"/>
              </a:solidFill>
              <a:ln>
                <a:solidFill>
                  <a:schemeClr val="tx1"/>
                </a:solidFill>
              </a:ln>
              <a:effectLst/>
            </c:spPr>
            <c:extLst>
              <c:ext xmlns:c16="http://schemas.microsoft.com/office/drawing/2014/chart" uri="{C3380CC4-5D6E-409C-BE32-E72D297353CC}">
                <c16:uniqueId val="{00000001-2247-9645-93DF-247E7E0EE2F7}"/>
              </c:ext>
            </c:extLst>
          </c:dPt>
          <c:dPt>
            <c:idx val="1"/>
            <c:invertIfNegative val="0"/>
            <c:bubble3D val="0"/>
            <c:spPr>
              <a:solidFill>
                <a:schemeClr val="accent1"/>
              </a:solidFill>
              <a:ln>
                <a:solidFill>
                  <a:schemeClr val="tx1"/>
                </a:solidFill>
              </a:ln>
              <a:effectLst/>
            </c:spPr>
            <c:extLst>
              <c:ext xmlns:c16="http://schemas.microsoft.com/office/drawing/2014/chart" uri="{C3380CC4-5D6E-409C-BE32-E72D297353CC}">
                <c16:uniqueId val="{00000003-2247-9645-93DF-247E7E0EE2F7}"/>
              </c:ext>
            </c:extLst>
          </c:dPt>
          <c:dPt>
            <c:idx val="5"/>
            <c:invertIfNegative val="0"/>
            <c:bubble3D val="0"/>
            <c:spPr>
              <a:solidFill>
                <a:schemeClr val="accent1"/>
              </a:solidFill>
              <a:ln>
                <a:solidFill>
                  <a:schemeClr val="tx1"/>
                </a:solidFill>
              </a:ln>
              <a:effectLst/>
            </c:spPr>
            <c:extLst>
              <c:ext xmlns:c16="http://schemas.microsoft.com/office/drawing/2014/chart" uri="{C3380CC4-5D6E-409C-BE32-E72D297353CC}">
                <c16:uniqueId val="{00000005-2247-9645-93DF-247E7E0EE2F7}"/>
              </c:ext>
            </c:extLst>
          </c:dPt>
          <c:dPt>
            <c:idx val="6"/>
            <c:invertIfNegative val="0"/>
            <c:bubble3D val="0"/>
            <c:spPr>
              <a:solidFill>
                <a:srgbClr val="FFFF00"/>
              </a:solidFill>
              <a:ln>
                <a:solidFill>
                  <a:schemeClr val="tx1"/>
                </a:solidFill>
              </a:ln>
              <a:effectLst/>
            </c:spPr>
            <c:extLst>
              <c:ext xmlns:c16="http://schemas.microsoft.com/office/drawing/2014/chart" uri="{C3380CC4-5D6E-409C-BE32-E72D297353CC}">
                <c16:uniqueId val="{00000007-2247-9645-93DF-247E7E0EE2F7}"/>
              </c:ext>
            </c:extLst>
          </c:dPt>
          <c:dPt>
            <c:idx val="7"/>
            <c:invertIfNegative val="0"/>
            <c:bubble3D val="0"/>
            <c:spPr>
              <a:solidFill>
                <a:schemeClr val="accent1"/>
              </a:solidFill>
              <a:ln>
                <a:solidFill>
                  <a:schemeClr val="tx1"/>
                </a:solidFill>
              </a:ln>
              <a:effectLst/>
            </c:spPr>
            <c:extLst>
              <c:ext xmlns:c16="http://schemas.microsoft.com/office/drawing/2014/chart" uri="{C3380CC4-5D6E-409C-BE32-E72D297353CC}">
                <c16:uniqueId val="{00000009-2247-9645-93DF-247E7E0EE2F7}"/>
              </c:ext>
            </c:extLst>
          </c:dPt>
          <c:dPt>
            <c:idx val="8"/>
            <c:invertIfNegative val="0"/>
            <c:bubble3D val="0"/>
            <c:spPr>
              <a:solidFill>
                <a:schemeClr val="accent1"/>
              </a:solidFill>
              <a:ln>
                <a:solidFill>
                  <a:schemeClr val="tx1"/>
                </a:solidFill>
              </a:ln>
              <a:effectLst/>
            </c:spPr>
            <c:extLst>
              <c:ext xmlns:c16="http://schemas.microsoft.com/office/drawing/2014/chart" uri="{C3380CC4-5D6E-409C-BE32-E72D297353CC}">
                <c16:uniqueId val="{0000000B-2247-9645-93DF-247E7E0EE2F7}"/>
              </c:ext>
            </c:extLst>
          </c:dPt>
          <c:dPt>
            <c:idx val="9"/>
            <c:invertIfNegative val="0"/>
            <c:bubble3D val="0"/>
            <c:spPr>
              <a:solidFill>
                <a:srgbClr val="FFFF00"/>
              </a:solidFill>
              <a:ln>
                <a:solidFill>
                  <a:schemeClr val="tx1"/>
                </a:solidFill>
              </a:ln>
              <a:effectLst/>
            </c:spPr>
            <c:extLst>
              <c:ext xmlns:c16="http://schemas.microsoft.com/office/drawing/2014/chart" uri="{C3380CC4-5D6E-409C-BE32-E72D297353CC}">
                <c16:uniqueId val="{0000000D-2247-9645-93DF-247E7E0EE2F7}"/>
              </c:ext>
            </c:extLst>
          </c:dPt>
          <c:dPt>
            <c:idx val="10"/>
            <c:invertIfNegative val="0"/>
            <c:bubble3D val="0"/>
            <c:spPr>
              <a:solidFill>
                <a:srgbClr val="FFFF00"/>
              </a:solidFill>
              <a:ln>
                <a:solidFill>
                  <a:schemeClr val="tx1"/>
                </a:solidFill>
              </a:ln>
              <a:effectLst/>
            </c:spPr>
            <c:extLst>
              <c:ext xmlns:c16="http://schemas.microsoft.com/office/drawing/2014/chart" uri="{C3380CC4-5D6E-409C-BE32-E72D297353CC}">
                <c16:uniqueId val="{0000000F-2247-9645-93DF-247E7E0EE2F7}"/>
              </c:ext>
            </c:extLst>
          </c:dPt>
          <c:dPt>
            <c:idx val="12"/>
            <c:invertIfNegative val="0"/>
            <c:bubble3D val="0"/>
            <c:spPr>
              <a:solidFill>
                <a:schemeClr val="accent1"/>
              </a:solidFill>
              <a:ln>
                <a:solidFill>
                  <a:schemeClr val="tx1"/>
                </a:solidFill>
              </a:ln>
              <a:effectLst/>
            </c:spPr>
            <c:extLst>
              <c:ext xmlns:c16="http://schemas.microsoft.com/office/drawing/2014/chart" uri="{C3380CC4-5D6E-409C-BE32-E72D297353CC}">
                <c16:uniqueId val="{00000011-2247-9645-93DF-247E7E0EE2F7}"/>
              </c:ext>
            </c:extLst>
          </c:dPt>
          <c:dPt>
            <c:idx val="13"/>
            <c:invertIfNegative val="0"/>
            <c:bubble3D val="0"/>
            <c:spPr>
              <a:solidFill>
                <a:srgbClr val="FFFF00"/>
              </a:solidFill>
              <a:ln>
                <a:solidFill>
                  <a:schemeClr val="tx1"/>
                </a:solidFill>
              </a:ln>
              <a:effectLst/>
            </c:spPr>
            <c:extLst>
              <c:ext xmlns:c16="http://schemas.microsoft.com/office/drawing/2014/chart" uri="{C3380CC4-5D6E-409C-BE32-E72D297353CC}">
                <c16:uniqueId val="{00000013-2247-9645-93DF-247E7E0EE2F7}"/>
              </c:ext>
            </c:extLst>
          </c:dPt>
          <c:dPt>
            <c:idx val="14"/>
            <c:invertIfNegative val="0"/>
            <c:bubble3D val="0"/>
            <c:spPr>
              <a:solidFill>
                <a:srgbClr val="FFFF00"/>
              </a:solidFill>
              <a:ln>
                <a:solidFill>
                  <a:schemeClr val="tx1"/>
                </a:solidFill>
              </a:ln>
              <a:effectLst/>
            </c:spPr>
            <c:extLst>
              <c:ext xmlns:c16="http://schemas.microsoft.com/office/drawing/2014/chart" uri="{C3380CC4-5D6E-409C-BE32-E72D297353CC}">
                <c16:uniqueId val="{00000015-2247-9645-93DF-247E7E0EE2F7}"/>
              </c:ext>
            </c:extLst>
          </c:dPt>
          <c:dPt>
            <c:idx val="15"/>
            <c:invertIfNegative val="0"/>
            <c:bubble3D val="0"/>
            <c:spPr>
              <a:solidFill>
                <a:srgbClr val="FFFF00"/>
              </a:solidFill>
              <a:ln>
                <a:solidFill>
                  <a:schemeClr val="tx1"/>
                </a:solidFill>
              </a:ln>
              <a:effectLst/>
            </c:spPr>
            <c:extLst>
              <c:ext xmlns:c16="http://schemas.microsoft.com/office/drawing/2014/chart" uri="{C3380CC4-5D6E-409C-BE32-E72D297353CC}">
                <c16:uniqueId val="{00000017-2247-9645-93DF-247E7E0EE2F7}"/>
              </c:ext>
            </c:extLst>
          </c:dPt>
          <c:errBars>
            <c:errBarType val="both"/>
            <c:errValType val="cust"/>
            <c:noEndCap val="0"/>
            <c:plus>
              <c:numRef>
                <c:f>'Visitation Rate by Species'!$F$57:$F$73</c:f>
                <c:numCache>
                  <c:formatCode>General</c:formatCode>
                  <c:ptCount val="17"/>
                  <c:pt idx="0">
                    <c:v>3.1396975754466178E-3</c:v>
                  </c:pt>
                  <c:pt idx="1">
                    <c:v>4.5978589618848771E-3</c:v>
                  </c:pt>
                  <c:pt idx="2">
                    <c:v>6.8399679217752089E-3</c:v>
                  </c:pt>
                  <c:pt idx="3">
                    <c:v>7.9579824580576879E-3</c:v>
                  </c:pt>
                  <c:pt idx="4">
                    <c:v>1.0753837625878251E-2</c:v>
                  </c:pt>
                  <c:pt idx="5">
                    <c:v>3.1078123872140396E-3</c:v>
                  </c:pt>
                  <c:pt idx="6">
                    <c:v>2.0812549123954537E-3</c:v>
                  </c:pt>
                  <c:pt idx="7">
                    <c:v>3.0002497334862036E-3</c:v>
                  </c:pt>
                  <c:pt idx="8">
                    <c:v>1.2221838881913715E-3</c:v>
                  </c:pt>
                  <c:pt idx="9">
                    <c:v>9.1158387596489718E-4</c:v>
                  </c:pt>
                  <c:pt idx="10">
                    <c:v>1.5783035538450407E-3</c:v>
                  </c:pt>
                  <c:pt idx="11">
                    <c:v>7.4302341754780448E-4</c:v>
                  </c:pt>
                  <c:pt idx="12">
                    <c:v>1.5384849002974953E-3</c:v>
                  </c:pt>
                  <c:pt idx="13">
                    <c:v>4.8908805415878438E-4</c:v>
                  </c:pt>
                  <c:pt idx="14">
                    <c:v>2.4913156795072051E-4</c:v>
                  </c:pt>
                  <c:pt idx="15">
                    <c:v>1.6273486460117412E-4</c:v>
                  </c:pt>
                  <c:pt idx="16">
                    <c:v>1.8991497258395243E-4</c:v>
                  </c:pt>
                </c:numCache>
              </c:numRef>
            </c:plus>
            <c:minus>
              <c:numRef>
                <c:f>'Visitation Rate by Species'!$F$57:$F$73</c:f>
                <c:numCache>
                  <c:formatCode>General</c:formatCode>
                  <c:ptCount val="17"/>
                  <c:pt idx="0">
                    <c:v>3.1396975754466178E-3</c:v>
                  </c:pt>
                  <c:pt idx="1">
                    <c:v>4.5978589618848771E-3</c:v>
                  </c:pt>
                  <c:pt idx="2">
                    <c:v>6.8399679217752089E-3</c:v>
                  </c:pt>
                  <c:pt idx="3">
                    <c:v>7.9579824580576879E-3</c:v>
                  </c:pt>
                  <c:pt idx="4">
                    <c:v>1.0753837625878251E-2</c:v>
                  </c:pt>
                  <c:pt idx="5">
                    <c:v>3.1078123872140396E-3</c:v>
                  </c:pt>
                  <c:pt idx="6">
                    <c:v>2.0812549123954537E-3</c:v>
                  </c:pt>
                  <c:pt idx="7">
                    <c:v>3.0002497334862036E-3</c:v>
                  </c:pt>
                  <c:pt idx="8">
                    <c:v>1.2221838881913715E-3</c:v>
                  </c:pt>
                  <c:pt idx="9">
                    <c:v>9.1158387596489718E-4</c:v>
                  </c:pt>
                  <c:pt idx="10">
                    <c:v>1.5783035538450407E-3</c:v>
                  </c:pt>
                  <c:pt idx="11">
                    <c:v>7.4302341754780448E-4</c:v>
                  </c:pt>
                  <c:pt idx="12">
                    <c:v>1.5384849002974953E-3</c:v>
                  </c:pt>
                  <c:pt idx="13">
                    <c:v>4.8908805415878438E-4</c:v>
                  </c:pt>
                  <c:pt idx="14">
                    <c:v>2.4913156795072051E-4</c:v>
                  </c:pt>
                  <c:pt idx="15">
                    <c:v>1.6273486460117412E-4</c:v>
                  </c:pt>
                  <c:pt idx="16">
                    <c:v>1.8991497258395243E-4</c:v>
                  </c:pt>
                </c:numCache>
              </c:numRef>
            </c:minus>
            <c:spPr>
              <a:noFill/>
              <a:ln w="9525" cap="flat" cmpd="sng" algn="ctr">
                <a:solidFill>
                  <a:schemeClr val="tx1">
                    <a:lumMod val="65000"/>
                    <a:lumOff val="35000"/>
                  </a:schemeClr>
                </a:solidFill>
                <a:round/>
              </a:ln>
              <a:effectLst/>
            </c:spPr>
          </c:errBars>
          <c:cat>
            <c:strRef>
              <c:f>'Visitation Rate by Species'!$A$57:$A$73</c:f>
              <c:strCache>
                <c:ptCount val="17"/>
                <c:pt idx="0">
                  <c:v>Pyc.mut</c:v>
                </c:pt>
                <c:pt idx="1">
                  <c:v>Col.can</c:v>
                </c:pt>
                <c:pt idx="2">
                  <c:v>Les.hir</c:v>
                </c:pt>
                <c:pt idx="3">
                  <c:v>Amo.her</c:v>
                </c:pt>
                <c:pt idx="4">
                  <c:v>Bap.tin</c:v>
                </c:pt>
                <c:pt idx="5">
                  <c:v>Lyc.vir</c:v>
                </c:pt>
                <c:pt idx="6">
                  <c:v>Ver.occ</c:v>
                </c:pt>
                <c:pt idx="7">
                  <c:v>Con.ver</c:v>
                </c:pt>
                <c:pt idx="8">
                  <c:v>Phy.lep</c:v>
                </c:pt>
                <c:pt idx="9">
                  <c:v>Eur.sax</c:v>
                </c:pt>
                <c:pt idx="10">
                  <c:v>Cor.lan</c:v>
                </c:pt>
                <c:pt idx="11">
                  <c:v>Sen.mar</c:v>
                </c:pt>
                <c:pt idx="12">
                  <c:v>Ble.sub</c:v>
                </c:pt>
                <c:pt idx="13">
                  <c:v>Hel.occ</c:v>
                </c:pt>
                <c:pt idx="14">
                  <c:v>Sto.lae</c:v>
                </c:pt>
                <c:pt idx="15">
                  <c:v>Hel.hir</c:v>
                </c:pt>
                <c:pt idx="16">
                  <c:v>Bap.alb</c:v>
                </c:pt>
              </c:strCache>
            </c:strRef>
          </c:cat>
          <c:val>
            <c:numRef>
              <c:f>'Visitation Rate by Species'!$C$57:$C$73</c:f>
              <c:numCache>
                <c:formatCode>General</c:formatCode>
                <c:ptCount val="17"/>
                <c:pt idx="0">
                  <c:v>3.0815875460264933E-2</c:v>
                </c:pt>
                <c:pt idx="1">
                  <c:v>2.1708331601814752E-2</c:v>
                </c:pt>
                <c:pt idx="2">
                  <c:v>2.122633740779787E-2</c:v>
                </c:pt>
                <c:pt idx="3">
                  <c:v>1.6141123547831353E-2</c:v>
                </c:pt>
                <c:pt idx="4">
                  <c:v>1.2185498886592741E-2</c:v>
                </c:pt>
                <c:pt idx="5">
                  <c:v>1.0640711426557471E-2</c:v>
                </c:pt>
                <c:pt idx="6">
                  <c:v>9.6983846306696493E-3</c:v>
                </c:pt>
                <c:pt idx="7">
                  <c:v>6.6705416999467979E-3</c:v>
                </c:pt>
                <c:pt idx="8">
                  <c:v>5.721033992072422E-3</c:v>
                </c:pt>
                <c:pt idx="9">
                  <c:v>5.2747734119619732E-3</c:v>
                </c:pt>
                <c:pt idx="10">
                  <c:v>4.9326230445652869E-3</c:v>
                </c:pt>
                <c:pt idx="11">
                  <c:v>3.4026384780259764E-3</c:v>
                </c:pt>
                <c:pt idx="12">
                  <c:v>3.36667600447659E-3</c:v>
                </c:pt>
                <c:pt idx="13">
                  <c:v>2.3123874979435739E-3</c:v>
                </c:pt>
                <c:pt idx="14">
                  <c:v>1.1517781556850757E-3</c:v>
                </c:pt>
                <c:pt idx="15">
                  <c:v>9.6693222408121354E-4</c:v>
                </c:pt>
                <c:pt idx="16">
                  <c:v>1.8991497258395243E-4</c:v>
                </c:pt>
              </c:numCache>
            </c:numRef>
          </c:val>
          <c:extLst>
            <c:ext xmlns:c16="http://schemas.microsoft.com/office/drawing/2014/chart" uri="{C3380CC4-5D6E-409C-BE32-E72D297353CC}">
              <c16:uniqueId val="{00000018-2247-9645-93DF-247E7E0EE2F7}"/>
            </c:ext>
          </c:extLst>
        </c:ser>
        <c:dLbls>
          <c:showLegendKey val="0"/>
          <c:showVal val="0"/>
          <c:showCatName val="0"/>
          <c:showSerName val="0"/>
          <c:showPercent val="0"/>
          <c:showBubbleSize val="0"/>
        </c:dLbls>
        <c:gapWidth val="219"/>
        <c:overlap val="-27"/>
        <c:axId val="770707887"/>
        <c:axId val="775429551"/>
      </c:barChart>
      <c:catAx>
        <c:axId val="77070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75429551"/>
        <c:crosses val="autoZero"/>
        <c:auto val="1"/>
        <c:lblAlgn val="ctr"/>
        <c:lblOffset val="100"/>
        <c:noMultiLvlLbl val="0"/>
      </c:catAx>
      <c:valAx>
        <c:axId val="7754295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b="0" i="0" baseline="0">
                    <a:effectLst/>
                  </a:rPr>
                  <a:t> Visitation Rate</a:t>
                </a:r>
                <a:br>
                  <a:rPr lang="en-US" sz="800" b="0" i="0" baseline="0">
                    <a:effectLst/>
                  </a:rPr>
                </a:br>
                <a:r>
                  <a:rPr lang="en-US" sz="800" b="0" i="0" baseline="0">
                    <a:effectLst/>
                  </a:rPr>
                  <a:t>(# of specimens collected/ (5 min sample * # of flowers) </a:t>
                </a:r>
              </a:p>
            </c:rich>
          </c:tx>
          <c:layout>
            <c:manualLayout>
              <c:xMode val="edge"/>
              <c:yMode val="edge"/>
              <c:x val="7.4999999999999997E-3"/>
              <c:y val="0.1635361552028218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7078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6166002454597"/>
          <c:y val="5.5055055055055056E-2"/>
          <c:w val="0.8173028393342251"/>
          <c:h val="0.7584750104435144"/>
        </c:manualLayout>
      </c:layout>
      <c:barChart>
        <c:barDir val="col"/>
        <c:grouping val="clustered"/>
        <c:varyColors val="0"/>
        <c:ser>
          <c:idx val="0"/>
          <c:order val="0"/>
          <c:tx>
            <c:strRef>
              <c:f>Sheet7!$I$3</c:f>
              <c:strCache>
                <c:ptCount val="1"/>
                <c:pt idx="0">
                  <c:v>Average of VRBees</c:v>
                </c:pt>
              </c:strCache>
            </c:strRef>
          </c:tx>
          <c:spPr>
            <a:solidFill>
              <a:srgbClr val="C00000"/>
            </a:solidFill>
            <a:ln>
              <a:noFill/>
            </a:ln>
            <a:effectLst/>
          </c:spPr>
          <c:invertIfNegative val="0"/>
          <c:dPt>
            <c:idx val="1"/>
            <c:invertIfNegative val="0"/>
            <c:bubble3D val="0"/>
            <c:spPr>
              <a:solidFill>
                <a:schemeClr val="accent1"/>
              </a:solidFill>
              <a:ln>
                <a:solidFill>
                  <a:schemeClr val="tx1"/>
                </a:solidFill>
              </a:ln>
              <a:effectLst/>
            </c:spPr>
            <c:extLst>
              <c:ext xmlns:c16="http://schemas.microsoft.com/office/drawing/2014/chart" uri="{C3380CC4-5D6E-409C-BE32-E72D297353CC}">
                <c16:uniqueId val="{00000001-EEE6-E249-B6E9-7C214E336CE2}"/>
              </c:ext>
            </c:extLst>
          </c:dPt>
          <c:dPt>
            <c:idx val="2"/>
            <c:invertIfNegative val="0"/>
            <c:bubble3D val="0"/>
            <c:spPr>
              <a:solidFill>
                <a:schemeClr val="accent1"/>
              </a:solidFill>
              <a:ln>
                <a:solidFill>
                  <a:schemeClr val="tx1"/>
                </a:solidFill>
              </a:ln>
              <a:effectLst/>
            </c:spPr>
            <c:extLst>
              <c:ext xmlns:c16="http://schemas.microsoft.com/office/drawing/2014/chart" uri="{C3380CC4-5D6E-409C-BE32-E72D297353CC}">
                <c16:uniqueId val="{00000003-EEE6-E249-B6E9-7C214E336CE2}"/>
              </c:ext>
            </c:extLst>
          </c:dPt>
          <c:dPt>
            <c:idx val="5"/>
            <c:invertIfNegative val="0"/>
            <c:bubble3D val="0"/>
            <c:spPr>
              <a:solidFill>
                <a:schemeClr val="accent1"/>
              </a:solidFill>
              <a:ln>
                <a:solidFill>
                  <a:schemeClr val="tx1"/>
                </a:solidFill>
              </a:ln>
              <a:effectLst/>
            </c:spPr>
            <c:extLst>
              <c:ext xmlns:c16="http://schemas.microsoft.com/office/drawing/2014/chart" uri="{C3380CC4-5D6E-409C-BE32-E72D297353CC}">
                <c16:uniqueId val="{00000005-EEE6-E249-B6E9-7C214E336CE2}"/>
              </c:ext>
            </c:extLst>
          </c:dPt>
          <c:dPt>
            <c:idx val="6"/>
            <c:invertIfNegative val="0"/>
            <c:bubble3D val="0"/>
            <c:spPr>
              <a:solidFill>
                <a:srgbClr val="FFFF00"/>
              </a:solidFill>
              <a:ln>
                <a:solidFill>
                  <a:schemeClr val="tx1"/>
                </a:solidFill>
              </a:ln>
              <a:effectLst/>
            </c:spPr>
            <c:extLst>
              <c:ext xmlns:c16="http://schemas.microsoft.com/office/drawing/2014/chart" uri="{C3380CC4-5D6E-409C-BE32-E72D297353CC}">
                <c16:uniqueId val="{00000007-EEE6-E249-B6E9-7C214E336CE2}"/>
              </c:ext>
            </c:extLst>
          </c:dPt>
          <c:dPt>
            <c:idx val="7"/>
            <c:invertIfNegative val="0"/>
            <c:bubble3D val="0"/>
            <c:spPr>
              <a:solidFill>
                <a:srgbClr val="FFFF00"/>
              </a:solidFill>
              <a:ln>
                <a:solidFill>
                  <a:schemeClr val="tx1"/>
                </a:solidFill>
              </a:ln>
              <a:effectLst/>
            </c:spPr>
            <c:extLst>
              <c:ext xmlns:c16="http://schemas.microsoft.com/office/drawing/2014/chart" uri="{C3380CC4-5D6E-409C-BE32-E72D297353CC}">
                <c16:uniqueId val="{00000009-EEE6-E249-B6E9-7C214E336CE2}"/>
              </c:ext>
            </c:extLst>
          </c:dPt>
          <c:dPt>
            <c:idx val="8"/>
            <c:invertIfNegative val="0"/>
            <c:bubble3D val="0"/>
            <c:spPr>
              <a:solidFill>
                <a:srgbClr val="FFFF00"/>
              </a:solidFill>
              <a:ln>
                <a:solidFill>
                  <a:schemeClr val="tx1"/>
                </a:solidFill>
              </a:ln>
              <a:effectLst/>
            </c:spPr>
            <c:extLst>
              <c:ext xmlns:c16="http://schemas.microsoft.com/office/drawing/2014/chart" uri="{C3380CC4-5D6E-409C-BE32-E72D297353CC}">
                <c16:uniqueId val="{0000000B-EEE6-E249-B6E9-7C214E336CE2}"/>
              </c:ext>
            </c:extLst>
          </c:dPt>
          <c:dPt>
            <c:idx val="9"/>
            <c:invertIfNegative val="0"/>
            <c:bubble3D val="0"/>
            <c:spPr>
              <a:solidFill>
                <a:schemeClr val="accent1"/>
              </a:solidFill>
              <a:ln>
                <a:noFill/>
              </a:ln>
              <a:effectLst/>
            </c:spPr>
            <c:extLst>
              <c:ext xmlns:c16="http://schemas.microsoft.com/office/drawing/2014/chart" uri="{C3380CC4-5D6E-409C-BE32-E72D297353CC}">
                <c16:uniqueId val="{0000000D-EEE6-E249-B6E9-7C214E336CE2}"/>
              </c:ext>
            </c:extLst>
          </c:dPt>
          <c:dPt>
            <c:idx val="11"/>
            <c:invertIfNegative val="0"/>
            <c:bubble3D val="0"/>
            <c:spPr>
              <a:solidFill>
                <a:schemeClr val="accent1"/>
              </a:solidFill>
              <a:ln>
                <a:noFill/>
              </a:ln>
              <a:effectLst/>
            </c:spPr>
            <c:extLst>
              <c:ext xmlns:c16="http://schemas.microsoft.com/office/drawing/2014/chart" uri="{C3380CC4-5D6E-409C-BE32-E72D297353CC}">
                <c16:uniqueId val="{0000000F-EEE6-E249-B6E9-7C214E336CE2}"/>
              </c:ext>
            </c:extLst>
          </c:dPt>
          <c:dPt>
            <c:idx val="12"/>
            <c:invertIfNegative val="0"/>
            <c:bubble3D val="0"/>
            <c:spPr>
              <a:solidFill>
                <a:schemeClr val="accent1"/>
              </a:solidFill>
              <a:ln>
                <a:noFill/>
              </a:ln>
              <a:effectLst/>
            </c:spPr>
            <c:extLst>
              <c:ext xmlns:c16="http://schemas.microsoft.com/office/drawing/2014/chart" uri="{C3380CC4-5D6E-409C-BE32-E72D297353CC}">
                <c16:uniqueId val="{00000011-EEE6-E249-B6E9-7C214E336CE2}"/>
              </c:ext>
            </c:extLst>
          </c:dPt>
          <c:dPt>
            <c:idx val="13"/>
            <c:invertIfNegative val="0"/>
            <c:bubble3D val="0"/>
            <c:spPr>
              <a:solidFill>
                <a:srgbClr val="FFFF00"/>
              </a:solidFill>
              <a:ln>
                <a:solidFill>
                  <a:schemeClr val="tx1"/>
                </a:solidFill>
              </a:ln>
              <a:effectLst/>
            </c:spPr>
            <c:extLst>
              <c:ext xmlns:c16="http://schemas.microsoft.com/office/drawing/2014/chart" uri="{C3380CC4-5D6E-409C-BE32-E72D297353CC}">
                <c16:uniqueId val="{00000013-EEE6-E249-B6E9-7C214E336CE2}"/>
              </c:ext>
            </c:extLst>
          </c:dPt>
          <c:dPt>
            <c:idx val="14"/>
            <c:invertIfNegative val="0"/>
            <c:bubble3D val="0"/>
            <c:spPr>
              <a:solidFill>
                <a:srgbClr val="FFFF00"/>
              </a:solidFill>
              <a:ln>
                <a:solidFill>
                  <a:schemeClr val="tx1"/>
                </a:solidFill>
              </a:ln>
              <a:effectLst/>
            </c:spPr>
            <c:extLst>
              <c:ext xmlns:c16="http://schemas.microsoft.com/office/drawing/2014/chart" uri="{C3380CC4-5D6E-409C-BE32-E72D297353CC}">
                <c16:uniqueId val="{00000015-EEE6-E249-B6E9-7C214E336CE2}"/>
              </c:ext>
            </c:extLst>
          </c:dPt>
          <c:dPt>
            <c:idx val="15"/>
            <c:invertIfNegative val="0"/>
            <c:bubble3D val="0"/>
            <c:spPr>
              <a:solidFill>
                <a:srgbClr val="FFFF00"/>
              </a:solidFill>
              <a:ln>
                <a:solidFill>
                  <a:schemeClr val="tx1"/>
                </a:solidFill>
              </a:ln>
              <a:effectLst/>
            </c:spPr>
            <c:extLst>
              <c:ext xmlns:c16="http://schemas.microsoft.com/office/drawing/2014/chart" uri="{C3380CC4-5D6E-409C-BE32-E72D297353CC}">
                <c16:uniqueId val="{00000017-EEE6-E249-B6E9-7C214E336CE2}"/>
              </c:ext>
            </c:extLst>
          </c:dPt>
          <c:errBars>
            <c:errBarType val="both"/>
            <c:errValType val="cust"/>
            <c:noEndCap val="0"/>
            <c:plus>
              <c:numRef>
                <c:f>Sheet7!$L$4:$L$20</c:f>
                <c:numCache>
                  <c:formatCode>General</c:formatCode>
                  <c:ptCount val="17"/>
                  <c:pt idx="0">
                    <c:v>1.2857148938575148E-3</c:v>
                  </c:pt>
                  <c:pt idx="1">
                    <c:v>1.8330690540167981E-4</c:v>
                  </c:pt>
                  <c:pt idx="2">
                    <c:v>5.69700285577009E-4</c:v>
                  </c:pt>
                  <c:pt idx="3">
                    <c:v>2.2631843902497181E-3</c:v>
                  </c:pt>
                  <c:pt idx="4">
                    <c:v>2.5391408203915911E-3</c:v>
                  </c:pt>
                  <c:pt idx="5">
                    <c:v>5.923558781596776E-4</c:v>
                  </c:pt>
                  <c:pt idx="6">
                    <c:v>3.0076300528394945E-4</c:v>
                  </c:pt>
                  <c:pt idx="7">
                    <c:v>1.485551334149727E-4</c:v>
                  </c:pt>
                  <c:pt idx="8">
                    <c:v>1.2034955187476607E-4</c:v>
                  </c:pt>
                  <c:pt idx="9">
                    <c:v>1.1723425383423202E-4</c:v>
                  </c:pt>
                  <c:pt idx="10">
                    <c:v>9.302936702017309E-5</c:v>
                  </c:pt>
                  <c:pt idx="11">
                    <c:v>2.3253255796409398E-4</c:v>
                  </c:pt>
                  <c:pt idx="12">
                    <c:v>1.1505728602696246E-4</c:v>
                  </c:pt>
                  <c:pt idx="13">
                    <c:v>4.2193993262352996E-5</c:v>
                  </c:pt>
                  <c:pt idx="14">
                    <c:v>3.4455064070216127E-5</c:v>
                  </c:pt>
                  <c:pt idx="15">
                    <c:v>1.722011689775748E-5</c:v>
                  </c:pt>
                  <c:pt idx="16">
                    <c:v>4.2466278864272653E-5</c:v>
                  </c:pt>
                </c:numCache>
              </c:numRef>
            </c:plus>
            <c:minus>
              <c:numRef>
                <c:f>Sheet7!$L$4:$L$20</c:f>
                <c:numCache>
                  <c:formatCode>General</c:formatCode>
                  <c:ptCount val="17"/>
                  <c:pt idx="0">
                    <c:v>1.2857148938575148E-3</c:v>
                  </c:pt>
                  <c:pt idx="1">
                    <c:v>1.8330690540167981E-4</c:v>
                  </c:pt>
                  <c:pt idx="2">
                    <c:v>5.69700285577009E-4</c:v>
                  </c:pt>
                  <c:pt idx="3">
                    <c:v>2.2631843902497181E-3</c:v>
                  </c:pt>
                  <c:pt idx="4">
                    <c:v>2.5391408203915911E-3</c:v>
                  </c:pt>
                  <c:pt idx="5">
                    <c:v>5.923558781596776E-4</c:v>
                  </c:pt>
                  <c:pt idx="6">
                    <c:v>3.0076300528394945E-4</c:v>
                  </c:pt>
                  <c:pt idx="7">
                    <c:v>1.485551334149727E-4</c:v>
                  </c:pt>
                  <c:pt idx="8">
                    <c:v>1.2034955187476607E-4</c:v>
                  </c:pt>
                  <c:pt idx="9">
                    <c:v>1.1723425383423202E-4</c:v>
                  </c:pt>
                  <c:pt idx="10">
                    <c:v>9.302936702017309E-5</c:v>
                  </c:pt>
                  <c:pt idx="11">
                    <c:v>2.3253255796409398E-4</c:v>
                  </c:pt>
                  <c:pt idx="12">
                    <c:v>1.1505728602696246E-4</c:v>
                  </c:pt>
                  <c:pt idx="13">
                    <c:v>4.2193993262352996E-5</c:v>
                  </c:pt>
                  <c:pt idx="14">
                    <c:v>3.4455064070216127E-5</c:v>
                  </c:pt>
                  <c:pt idx="15">
                    <c:v>1.722011689775748E-5</c:v>
                  </c:pt>
                  <c:pt idx="16">
                    <c:v>4.2466278864272653E-5</c:v>
                  </c:pt>
                </c:numCache>
              </c:numRef>
            </c:minus>
            <c:spPr>
              <a:noFill/>
              <a:ln w="9525" cap="flat" cmpd="sng" algn="ctr">
                <a:solidFill>
                  <a:schemeClr val="tx1">
                    <a:lumMod val="65000"/>
                    <a:lumOff val="35000"/>
                  </a:schemeClr>
                </a:solidFill>
                <a:round/>
              </a:ln>
              <a:effectLst/>
            </c:spPr>
          </c:errBars>
          <c:cat>
            <c:strRef>
              <c:f>Sheet7!$H$4:$H$20</c:f>
              <c:strCache>
                <c:ptCount val="17"/>
                <c:pt idx="0">
                  <c:v>Les hir</c:v>
                </c:pt>
                <c:pt idx="1">
                  <c:v>Pyc mut</c:v>
                </c:pt>
                <c:pt idx="2">
                  <c:v>Col can</c:v>
                </c:pt>
                <c:pt idx="3">
                  <c:v>Amo her</c:v>
                </c:pt>
                <c:pt idx="4">
                  <c:v>Bap tin</c:v>
                </c:pt>
                <c:pt idx="5">
                  <c:v>Lyc vir</c:v>
                </c:pt>
                <c:pt idx="6">
                  <c:v>Ver occ</c:v>
                </c:pt>
                <c:pt idx="7">
                  <c:v>Cor lan</c:v>
                </c:pt>
                <c:pt idx="8">
                  <c:v>Eur sax</c:v>
                </c:pt>
                <c:pt idx="9">
                  <c:v>Con ver</c:v>
                </c:pt>
                <c:pt idx="10">
                  <c:v>Sen mar</c:v>
                </c:pt>
                <c:pt idx="11">
                  <c:v>Ble sub</c:v>
                </c:pt>
                <c:pt idx="12">
                  <c:v>Phy lep</c:v>
                </c:pt>
                <c:pt idx="13">
                  <c:v>Hel occ</c:v>
                </c:pt>
                <c:pt idx="14">
                  <c:v>Sto lae</c:v>
                </c:pt>
                <c:pt idx="15">
                  <c:v>Hel hir</c:v>
                </c:pt>
                <c:pt idx="16">
                  <c:v>Bap alb</c:v>
                </c:pt>
              </c:strCache>
            </c:strRef>
          </c:cat>
          <c:val>
            <c:numRef>
              <c:f>Sheet7!$I$4:$I$20</c:f>
              <c:numCache>
                <c:formatCode>0.0000</c:formatCode>
                <c:ptCount val="17"/>
                <c:pt idx="0">
                  <c:v>1.9546980268241004E-2</c:v>
                </c:pt>
                <c:pt idx="1">
                  <c:v>1.9128049328238968E-2</c:v>
                </c:pt>
                <c:pt idx="2">
                  <c:v>1.6253406446326772E-2</c:v>
                </c:pt>
                <c:pt idx="3">
                  <c:v>1.5085569594786366E-2</c:v>
                </c:pt>
                <c:pt idx="4">
                  <c:v>1.166964982545339E-2</c:v>
                </c:pt>
                <c:pt idx="5">
                  <c:v>8.5485600217684379E-3</c:v>
                </c:pt>
                <c:pt idx="6">
                  <c:v>5.5906013009796177E-3</c:v>
                </c:pt>
                <c:pt idx="7">
                  <c:v>3.8839695577601325E-3</c:v>
                </c:pt>
                <c:pt idx="8">
                  <c:v>3.5634211597282499E-3</c:v>
                </c:pt>
                <c:pt idx="9">
                  <c:v>3.3983745420692719E-3</c:v>
                </c:pt>
                <c:pt idx="10">
                  <c:v>3.021323403579267E-3</c:v>
                </c:pt>
                <c:pt idx="11">
                  <c:v>3.0114899403664605E-3</c:v>
                </c:pt>
                <c:pt idx="12">
                  <c:v>2.8056230331383529E-3</c:v>
                </c:pt>
                <c:pt idx="13">
                  <c:v>1.7344176171106139E-3</c:v>
                </c:pt>
                <c:pt idx="14">
                  <c:v>8.9934126143004212E-4</c:v>
                </c:pt>
                <c:pt idx="15">
                  <c:v>7.4438438814289332E-4</c:v>
                </c:pt>
                <c:pt idx="16">
                  <c:v>1.8991497258395243E-4</c:v>
                </c:pt>
              </c:numCache>
            </c:numRef>
          </c:val>
          <c:extLst>
            <c:ext xmlns:c16="http://schemas.microsoft.com/office/drawing/2014/chart" uri="{C3380CC4-5D6E-409C-BE32-E72D297353CC}">
              <c16:uniqueId val="{00000018-EEE6-E249-B6E9-7C214E336CE2}"/>
            </c:ext>
          </c:extLst>
        </c:ser>
        <c:dLbls>
          <c:showLegendKey val="0"/>
          <c:showVal val="0"/>
          <c:showCatName val="0"/>
          <c:showSerName val="0"/>
          <c:showPercent val="0"/>
          <c:showBubbleSize val="0"/>
        </c:dLbls>
        <c:gapWidth val="219"/>
        <c:overlap val="-27"/>
        <c:axId val="811307728"/>
        <c:axId val="885735872"/>
      </c:barChart>
      <c:catAx>
        <c:axId val="81130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85735872"/>
        <c:crosses val="autoZero"/>
        <c:auto val="1"/>
        <c:lblAlgn val="ctr"/>
        <c:lblOffset val="100"/>
        <c:noMultiLvlLbl val="0"/>
      </c:catAx>
      <c:valAx>
        <c:axId val="885735872"/>
        <c:scaling>
          <c:orientation val="minMax"/>
          <c:max val="2.2000000000000006E-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b="0" i="0" baseline="0">
                    <a:effectLst/>
                  </a:rPr>
                  <a:t> Visitation Rate</a:t>
                </a:r>
                <a:br>
                  <a:rPr lang="en-US" sz="800" b="0" i="0" baseline="0">
                    <a:effectLst/>
                  </a:rPr>
                </a:br>
                <a:r>
                  <a:rPr lang="en-US" sz="800" b="0" i="0" baseline="0">
                    <a:effectLst/>
                  </a:rPr>
                  <a:t>(# of bees collected/ (5 min sample * # of flowers)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11307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52648066406514"/>
          <c:y val="9.1498790671337094E-2"/>
          <c:w val="0.81725821582188174"/>
          <c:h val="0.78420604681595241"/>
        </c:manualLayout>
      </c:layout>
      <c:barChart>
        <c:barDir val="col"/>
        <c:grouping val="clustered"/>
        <c:varyColors val="0"/>
        <c:ser>
          <c:idx val="0"/>
          <c:order val="0"/>
          <c:tx>
            <c:v>Trt</c:v>
          </c:tx>
          <c:spPr>
            <a:solidFill>
              <a:schemeClr val="accent1"/>
            </a:solidFill>
            <a:ln>
              <a:solidFill>
                <a:schemeClr val="tx1"/>
              </a:solidFill>
            </a:ln>
            <a:effectLst/>
          </c:spPr>
          <c:invertIfNegative val="0"/>
          <c:dPt>
            <c:idx val="0"/>
            <c:invertIfNegative val="0"/>
            <c:bubble3D val="0"/>
            <c:spPr>
              <a:solidFill>
                <a:srgbClr val="FFFF00"/>
              </a:solidFill>
              <a:ln>
                <a:solidFill>
                  <a:schemeClr val="tx1"/>
                </a:solidFill>
              </a:ln>
              <a:effectLst/>
            </c:spPr>
            <c:extLst>
              <c:ext xmlns:c16="http://schemas.microsoft.com/office/drawing/2014/chart" uri="{C3380CC4-5D6E-409C-BE32-E72D297353CC}">
                <c16:uniqueId val="{00000001-47EB-D048-8B73-5BD38D1A677A}"/>
              </c:ext>
            </c:extLst>
          </c:dPt>
          <c:dPt>
            <c:idx val="1"/>
            <c:invertIfNegative val="0"/>
            <c:bubble3D val="0"/>
            <c:spPr>
              <a:solidFill>
                <a:srgbClr val="C00000"/>
              </a:solidFill>
              <a:ln>
                <a:solidFill>
                  <a:schemeClr val="tx1"/>
                </a:solidFill>
              </a:ln>
              <a:effectLst/>
            </c:spPr>
            <c:extLst>
              <c:ext xmlns:c16="http://schemas.microsoft.com/office/drawing/2014/chart" uri="{C3380CC4-5D6E-409C-BE32-E72D297353CC}">
                <c16:uniqueId val="{00000003-47EB-D048-8B73-5BD38D1A677A}"/>
              </c:ext>
            </c:extLst>
          </c:dPt>
          <c:dPt>
            <c:idx val="3"/>
            <c:invertIfNegative val="0"/>
            <c:bubble3D val="0"/>
            <c:spPr>
              <a:solidFill>
                <a:schemeClr val="accent6"/>
              </a:solidFill>
              <a:ln>
                <a:solidFill>
                  <a:schemeClr val="tx1"/>
                </a:solidFill>
              </a:ln>
              <a:effectLst/>
            </c:spPr>
            <c:extLst>
              <c:ext xmlns:c16="http://schemas.microsoft.com/office/drawing/2014/chart" uri="{C3380CC4-5D6E-409C-BE32-E72D297353CC}">
                <c16:uniqueId val="{00000005-47EB-D048-8B73-5BD38D1A677A}"/>
              </c:ext>
            </c:extLst>
          </c:dPt>
          <c:errBars>
            <c:errBarType val="both"/>
            <c:errValType val="cust"/>
            <c:noEndCap val="0"/>
            <c:plus>
              <c:numRef>
                <c:f>'Visitation Rate by Species'!$E$95:$E$98</c:f>
                <c:numCache>
                  <c:formatCode>General</c:formatCode>
                  <c:ptCount val="4"/>
                  <c:pt idx="0">
                    <c:v>8.2555735769676369E-4</c:v>
                  </c:pt>
                  <c:pt idx="1">
                    <c:v>3.3223196961910889E-3</c:v>
                  </c:pt>
                  <c:pt idx="2">
                    <c:v>1.2536509709269897E-3</c:v>
                  </c:pt>
                  <c:pt idx="3">
                    <c:v>2.4033153173821939E-3</c:v>
                  </c:pt>
                </c:numCache>
              </c:numRef>
            </c:plus>
            <c:minus>
              <c:numRef>
                <c:f>'Visitation Rate by Species'!$E$95:$E$98</c:f>
                <c:numCache>
                  <c:formatCode>General</c:formatCode>
                  <c:ptCount val="4"/>
                  <c:pt idx="0">
                    <c:v>8.2555735769676369E-4</c:v>
                  </c:pt>
                  <c:pt idx="1">
                    <c:v>3.3223196961910889E-3</c:v>
                  </c:pt>
                  <c:pt idx="2">
                    <c:v>1.2536509709269897E-3</c:v>
                  </c:pt>
                  <c:pt idx="3">
                    <c:v>2.4033153173821939E-3</c:v>
                  </c:pt>
                </c:numCache>
              </c:numRef>
            </c:minus>
            <c:spPr>
              <a:noFill/>
              <a:ln w="9525" cap="flat" cmpd="sng" algn="ctr">
                <a:solidFill>
                  <a:schemeClr val="tx1">
                    <a:lumMod val="65000"/>
                    <a:lumOff val="35000"/>
                  </a:schemeClr>
                </a:solidFill>
                <a:round/>
              </a:ln>
              <a:effectLst/>
            </c:spPr>
          </c:errBars>
          <c:cat>
            <c:strRef>
              <c:f>'Visitation Rate by Species'!$A$95:$A$98</c:f>
              <c:strCache>
                <c:ptCount val="4"/>
                <c:pt idx="0">
                  <c:v>Asteraceae</c:v>
                </c:pt>
                <c:pt idx="1">
                  <c:v>Fabaceae</c:v>
                </c:pt>
                <c:pt idx="2">
                  <c:v>Lamiaceae</c:v>
                </c:pt>
                <c:pt idx="3">
                  <c:v>Mixed</c:v>
                </c:pt>
              </c:strCache>
            </c:strRef>
          </c:cat>
          <c:val>
            <c:numRef>
              <c:f>'Visitation Rate by Species'!$B$95:$B$98</c:f>
              <c:numCache>
                <c:formatCode>General</c:formatCode>
                <c:ptCount val="4"/>
                <c:pt idx="0">
                  <c:v>4.2021203894442678E-3</c:v>
                </c:pt>
                <c:pt idx="1">
                  <c:v>1.2953826375188526E-2</c:v>
                </c:pt>
                <c:pt idx="2">
                  <c:v>1.3747210431562396E-2</c:v>
                </c:pt>
                <c:pt idx="3">
                  <c:v>1.3957120065769111E-2</c:v>
                </c:pt>
              </c:numCache>
            </c:numRef>
          </c:val>
          <c:extLst>
            <c:ext xmlns:c16="http://schemas.microsoft.com/office/drawing/2014/chart" uri="{C3380CC4-5D6E-409C-BE32-E72D297353CC}">
              <c16:uniqueId val="{00000006-47EB-D048-8B73-5BD38D1A677A}"/>
            </c:ext>
          </c:extLst>
        </c:ser>
        <c:dLbls>
          <c:showLegendKey val="0"/>
          <c:showVal val="0"/>
          <c:showCatName val="0"/>
          <c:showSerName val="0"/>
          <c:showPercent val="0"/>
          <c:showBubbleSize val="0"/>
        </c:dLbls>
        <c:gapWidth val="187"/>
        <c:overlap val="-100"/>
        <c:axId val="750285983"/>
        <c:axId val="780376255"/>
      </c:barChart>
      <c:catAx>
        <c:axId val="750285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376255"/>
        <c:crosses val="autoZero"/>
        <c:auto val="1"/>
        <c:lblAlgn val="ctr"/>
        <c:lblOffset val="100"/>
        <c:noMultiLvlLbl val="0"/>
      </c:catAx>
      <c:valAx>
        <c:axId val="7803762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b="0" i="0" baseline="0">
                    <a:effectLst/>
                  </a:rPr>
                  <a:t> Visitation Rate</a:t>
                </a:r>
                <a:br>
                  <a:rPr lang="en-US" sz="800" b="0" i="0" baseline="0">
                    <a:effectLst/>
                  </a:rPr>
                </a:br>
                <a:r>
                  <a:rPr lang="en-US" sz="800" b="0" i="0" baseline="0">
                    <a:effectLst/>
                  </a:rPr>
                  <a:t>(# of specimens collected/ (5 min sample * # of flowers) </a:t>
                </a:r>
                <a:endParaRPr lang="en-US" sz="200">
                  <a:effectLst/>
                </a:endParaRPr>
              </a:p>
            </c:rich>
          </c:tx>
          <c:layout>
            <c:manualLayout>
              <c:xMode val="edge"/>
              <c:yMode val="edge"/>
              <c:x val="5.6672445448822861E-3"/>
              <c:y val="0.145706737120211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02859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Sheet4!$L$12</c:f>
              <c:strCache>
                <c:ptCount val="1"/>
                <c:pt idx="0">
                  <c:v>Average of BeeAbundance</c:v>
                </c:pt>
              </c:strCache>
            </c:strRef>
          </c:tx>
          <c:spPr>
            <a:solidFill>
              <a:schemeClr val="accent2"/>
            </a:solidFill>
            <a:ln>
              <a:noFill/>
            </a:ln>
            <a:effectLst/>
          </c:spPr>
          <c:invertIfNegative val="0"/>
          <c:errBars>
            <c:errBarType val="both"/>
            <c:errValType val="cust"/>
            <c:noEndCap val="0"/>
            <c:plus>
              <c:numRef>
                <c:f>Sheet4!$M$13:$M$17</c:f>
                <c:numCache>
                  <c:formatCode>General</c:formatCode>
                  <c:ptCount val="5"/>
                  <c:pt idx="0">
                    <c:v>0.37001124389252499</c:v>
                  </c:pt>
                  <c:pt idx="1">
                    <c:v>0.30651096122357913</c:v>
                  </c:pt>
                  <c:pt idx="2">
                    <c:v>0.52747067302922113</c:v>
                  </c:pt>
                  <c:pt idx="3">
                    <c:v>0.40349322546992572</c:v>
                  </c:pt>
                  <c:pt idx="4">
                    <c:v>1.1005095950669253</c:v>
                  </c:pt>
                </c:numCache>
              </c:numRef>
            </c:plus>
            <c:minus>
              <c:numRef>
                <c:f>Sheet4!$M$13:$M$17</c:f>
                <c:numCache>
                  <c:formatCode>General</c:formatCode>
                  <c:ptCount val="5"/>
                  <c:pt idx="0">
                    <c:v>0.37001124389252499</c:v>
                  </c:pt>
                  <c:pt idx="1">
                    <c:v>0.30651096122357913</c:v>
                  </c:pt>
                  <c:pt idx="2">
                    <c:v>0.52747067302922113</c:v>
                  </c:pt>
                  <c:pt idx="3">
                    <c:v>0.40349322546992572</c:v>
                  </c:pt>
                  <c:pt idx="4">
                    <c:v>1.1005095950669253</c:v>
                  </c:pt>
                </c:numCache>
              </c:numRef>
            </c:minus>
            <c:spPr>
              <a:noFill/>
              <a:ln w="9525" cap="flat" cmpd="sng" algn="ctr">
                <a:solidFill>
                  <a:schemeClr val="tx1">
                    <a:lumMod val="65000"/>
                    <a:lumOff val="35000"/>
                  </a:schemeClr>
                </a:solidFill>
                <a:round/>
              </a:ln>
              <a:effectLst/>
            </c:spPr>
          </c:errBars>
          <c:cat>
            <c:strRef>
              <c:f>Sheet4!$K$13:$K$17</c:f>
              <c:strCache>
                <c:ptCount val="5"/>
                <c:pt idx="0">
                  <c:v>1- Urban Gardens</c:v>
                </c:pt>
                <c:pt idx="1">
                  <c:v>2- Cattle Pasture</c:v>
                </c:pt>
                <c:pt idx="2">
                  <c:v>3- Mixed Use Ag</c:v>
                </c:pt>
                <c:pt idx="3">
                  <c:v>4- Semi-natural</c:v>
                </c:pt>
                <c:pt idx="4">
                  <c:v>5- Organic Ag</c:v>
                </c:pt>
              </c:strCache>
            </c:strRef>
          </c:cat>
          <c:val>
            <c:numRef>
              <c:f>Sheet4!$L$13:$L$17</c:f>
              <c:numCache>
                <c:formatCode>0.0</c:formatCode>
                <c:ptCount val="5"/>
                <c:pt idx="0">
                  <c:v>3.7684887459807075</c:v>
                </c:pt>
                <c:pt idx="1">
                  <c:v>2.5632653061224491</c:v>
                </c:pt>
                <c:pt idx="2">
                  <c:v>4.7887931034482758</c:v>
                </c:pt>
                <c:pt idx="3">
                  <c:v>3.8625954198473282</c:v>
                </c:pt>
                <c:pt idx="4">
                  <c:v>6.9580838323353289</c:v>
                </c:pt>
              </c:numCache>
            </c:numRef>
          </c:val>
          <c:extLst>
            <c:ext xmlns:c16="http://schemas.microsoft.com/office/drawing/2014/chart" uri="{C3380CC4-5D6E-409C-BE32-E72D297353CC}">
              <c16:uniqueId val="{00000000-B760-8644-94FC-16E93FF45AE1}"/>
            </c:ext>
          </c:extLst>
        </c:ser>
        <c:dLbls>
          <c:showLegendKey val="0"/>
          <c:showVal val="0"/>
          <c:showCatName val="0"/>
          <c:showSerName val="0"/>
          <c:showPercent val="0"/>
          <c:showBubbleSize val="0"/>
        </c:dLbls>
        <c:gapWidth val="219"/>
        <c:overlap val="-27"/>
        <c:axId val="733421423"/>
        <c:axId val="726694047"/>
      </c:barChart>
      <c:catAx>
        <c:axId val="733421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694047"/>
        <c:crosses val="autoZero"/>
        <c:auto val="1"/>
        <c:lblAlgn val="ctr"/>
        <c:lblOffset val="100"/>
        <c:noMultiLvlLbl val="0"/>
      </c:catAx>
      <c:valAx>
        <c:axId val="7266940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34214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84497014459632E-2"/>
          <c:y val="7.0325843415914469E-2"/>
          <c:w val="0.6517996769255312"/>
          <c:h val="0.8064653910524241"/>
        </c:manualLayout>
      </c:layout>
      <c:scatterChart>
        <c:scatterStyle val="lineMarker"/>
        <c:varyColors val="0"/>
        <c:ser>
          <c:idx val="0"/>
          <c:order val="0"/>
          <c:tx>
            <c:v>500 meters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errBars>
            <c:errDir val="y"/>
            <c:errBarType val="both"/>
            <c:errValType val="cust"/>
            <c:noEndCap val="0"/>
            <c:plus>
              <c:numRef>
                <c:f>Sheet3!$U$2:$U$6</c:f>
                <c:numCache>
                  <c:formatCode>General</c:formatCode>
                  <c:ptCount val="5"/>
                  <c:pt idx="0">
                    <c:v>2.7777793092881913E-2</c:v>
                  </c:pt>
                  <c:pt idx="1">
                    <c:v>9.2709497604844399E-2</c:v>
                  </c:pt>
                  <c:pt idx="2">
                    <c:v>0.11558081650496303</c:v>
                  </c:pt>
                  <c:pt idx="3">
                    <c:v>0.30182692169874314</c:v>
                  </c:pt>
                  <c:pt idx="4">
                    <c:v>7.4566957922881844E-2</c:v>
                  </c:pt>
                </c:numCache>
              </c:numRef>
            </c:plus>
            <c:minus>
              <c:numRef>
                <c:f>Sheet3!$U$2:$U$6</c:f>
                <c:numCache>
                  <c:formatCode>General</c:formatCode>
                  <c:ptCount val="5"/>
                  <c:pt idx="0">
                    <c:v>2.7777793092881913E-2</c:v>
                  </c:pt>
                  <c:pt idx="1">
                    <c:v>9.2709497604844399E-2</c:v>
                  </c:pt>
                  <c:pt idx="2">
                    <c:v>0.11558081650496303</c:v>
                  </c:pt>
                  <c:pt idx="3">
                    <c:v>0.30182692169874314</c:v>
                  </c:pt>
                  <c:pt idx="4">
                    <c:v>7.4566957922881844E-2</c:v>
                  </c:pt>
                </c:numCache>
              </c:numRef>
            </c:minus>
            <c:spPr>
              <a:noFill/>
              <a:ln w="9525" cap="flat" cmpd="sng" algn="ctr">
                <a:solidFill>
                  <a:schemeClr val="tx1">
                    <a:lumMod val="65000"/>
                    <a:lumOff val="35000"/>
                  </a:schemeClr>
                </a:solidFill>
                <a:round/>
              </a:ln>
              <a:effectLst/>
            </c:spPr>
          </c:errBars>
          <c:xVal>
            <c:numRef>
              <c:f>Sheet3!$S$2:$S$6</c:f>
              <c:numCache>
                <c:formatCode>General</c:formatCode>
                <c:ptCount val="5"/>
                <c:pt idx="0">
                  <c:v>0.06</c:v>
                </c:pt>
                <c:pt idx="1">
                  <c:v>0.22</c:v>
                </c:pt>
                <c:pt idx="2">
                  <c:v>0.3</c:v>
                </c:pt>
                <c:pt idx="3">
                  <c:v>0.64</c:v>
                </c:pt>
                <c:pt idx="4">
                  <c:v>0.24</c:v>
                </c:pt>
              </c:numCache>
            </c:numRef>
          </c:xVal>
          <c:yVal>
            <c:numRef>
              <c:f>Sheet3!$T$2:$T$6</c:f>
              <c:numCache>
                <c:formatCode>General</c:formatCode>
                <c:ptCount val="5"/>
                <c:pt idx="0">
                  <c:v>4.665594855305466</c:v>
                </c:pt>
                <c:pt idx="1">
                  <c:v>5.6311475409836067</c:v>
                </c:pt>
                <c:pt idx="2">
                  <c:v>6.7370689655172411</c:v>
                </c:pt>
                <c:pt idx="3">
                  <c:v>4.4961832061068705</c:v>
                </c:pt>
                <c:pt idx="4">
                  <c:v>10.359281437125748</c:v>
                </c:pt>
              </c:numCache>
            </c:numRef>
          </c:yVal>
          <c:smooth val="0"/>
          <c:extLst>
            <c:ext xmlns:c16="http://schemas.microsoft.com/office/drawing/2014/chart" uri="{C3380CC4-5D6E-409C-BE32-E72D297353CC}">
              <c16:uniqueId val="{00000001-26CD-5C4B-BB5C-9EDFC73E673E}"/>
            </c:ext>
          </c:extLst>
        </c:ser>
        <c:ser>
          <c:idx val="1"/>
          <c:order val="1"/>
          <c:tx>
            <c:v>1000 meters</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errBars>
            <c:errDir val="y"/>
            <c:errBarType val="both"/>
            <c:errValType val="cust"/>
            <c:noEndCap val="0"/>
            <c:plus>
              <c:numRef>
                <c:f>Sheet3!$U$7:$U$11</c:f>
                <c:numCache>
                  <c:formatCode>General</c:formatCode>
                  <c:ptCount val="5"/>
                  <c:pt idx="0">
                    <c:v>0.40891960821194073</c:v>
                  </c:pt>
                  <c:pt idx="1">
                    <c:v>0.69630053446979101</c:v>
                  </c:pt>
                  <c:pt idx="2">
                    <c:v>0.67570601324841051</c:v>
                  </c:pt>
                  <c:pt idx="3">
                    <c:v>0.44193572924211794</c:v>
                  </c:pt>
                  <c:pt idx="4">
                    <c:v>1.841007790843153</c:v>
                  </c:pt>
                </c:numCache>
              </c:numRef>
            </c:plus>
            <c:minus>
              <c:numRef>
                <c:f>Sheet3!$U$7:$U$11</c:f>
                <c:numCache>
                  <c:formatCode>General</c:formatCode>
                  <c:ptCount val="5"/>
                  <c:pt idx="0">
                    <c:v>0.40891960821194073</c:v>
                  </c:pt>
                  <c:pt idx="1">
                    <c:v>0.69630053446979101</c:v>
                  </c:pt>
                  <c:pt idx="2">
                    <c:v>0.67570601324841051</c:v>
                  </c:pt>
                  <c:pt idx="3">
                    <c:v>0.44193572924211794</c:v>
                  </c:pt>
                  <c:pt idx="4">
                    <c:v>1.841007790843153</c:v>
                  </c:pt>
                </c:numCache>
              </c:numRef>
            </c:minus>
            <c:spPr>
              <a:noFill/>
              <a:ln w="9525" cap="flat" cmpd="sng" algn="ctr">
                <a:solidFill>
                  <a:schemeClr val="tx1">
                    <a:lumMod val="65000"/>
                    <a:lumOff val="35000"/>
                  </a:schemeClr>
                </a:solidFill>
                <a:round/>
              </a:ln>
              <a:effectLst/>
            </c:spPr>
          </c:errBars>
          <c:xVal>
            <c:numRef>
              <c:f>Sheet3!$S$7:$S$11</c:f>
              <c:numCache>
                <c:formatCode>General</c:formatCode>
                <c:ptCount val="5"/>
                <c:pt idx="0">
                  <c:v>0.18</c:v>
                </c:pt>
                <c:pt idx="1">
                  <c:v>0.39</c:v>
                </c:pt>
                <c:pt idx="2">
                  <c:v>0.26</c:v>
                </c:pt>
                <c:pt idx="3">
                  <c:v>0.62</c:v>
                </c:pt>
                <c:pt idx="4">
                  <c:v>0.42</c:v>
                </c:pt>
              </c:numCache>
            </c:numRef>
          </c:xVal>
          <c:yVal>
            <c:numRef>
              <c:f>Sheet3!$T$7:$T$11</c:f>
              <c:numCache>
                <c:formatCode>General</c:formatCode>
                <c:ptCount val="5"/>
                <c:pt idx="0">
                  <c:v>4.665594855305466</c:v>
                </c:pt>
                <c:pt idx="1">
                  <c:v>5.6311475409836067</c:v>
                </c:pt>
                <c:pt idx="2">
                  <c:v>6.7370689655172411</c:v>
                </c:pt>
                <c:pt idx="3">
                  <c:v>4.4961832061068705</c:v>
                </c:pt>
                <c:pt idx="4">
                  <c:v>10.359281437125748</c:v>
                </c:pt>
              </c:numCache>
            </c:numRef>
          </c:yVal>
          <c:smooth val="0"/>
          <c:extLst>
            <c:ext xmlns:c16="http://schemas.microsoft.com/office/drawing/2014/chart" uri="{C3380CC4-5D6E-409C-BE32-E72D297353CC}">
              <c16:uniqueId val="{00000003-26CD-5C4B-BB5C-9EDFC73E673E}"/>
            </c:ext>
          </c:extLst>
        </c:ser>
        <c:ser>
          <c:idx val="2"/>
          <c:order val="2"/>
          <c:tx>
            <c:v>2000 meters</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errBars>
            <c:errDir val="y"/>
            <c:errBarType val="both"/>
            <c:errValType val="cust"/>
            <c:noEndCap val="0"/>
            <c:plus>
              <c:numRef>
                <c:f>Sheet3!$U$12:$U$16</c:f>
                <c:numCache>
                  <c:formatCode>General</c:formatCode>
                  <c:ptCount val="5"/>
                  <c:pt idx="0">
                    <c:v>0.40891960821194073</c:v>
                  </c:pt>
                  <c:pt idx="1">
                    <c:v>0.69630053446979101</c:v>
                  </c:pt>
                  <c:pt idx="2">
                    <c:v>0.67570601324841051</c:v>
                  </c:pt>
                  <c:pt idx="3">
                    <c:v>0.44193572924211794</c:v>
                  </c:pt>
                  <c:pt idx="4">
                    <c:v>1.841007790843153</c:v>
                  </c:pt>
                </c:numCache>
              </c:numRef>
            </c:plus>
            <c:minus>
              <c:numRef>
                <c:f>Sheet3!$U$12:$U$16</c:f>
                <c:numCache>
                  <c:formatCode>General</c:formatCode>
                  <c:ptCount val="5"/>
                  <c:pt idx="0">
                    <c:v>0.40891960821194073</c:v>
                  </c:pt>
                  <c:pt idx="1">
                    <c:v>0.69630053446979101</c:v>
                  </c:pt>
                  <c:pt idx="2">
                    <c:v>0.67570601324841051</c:v>
                  </c:pt>
                  <c:pt idx="3">
                    <c:v>0.44193572924211794</c:v>
                  </c:pt>
                  <c:pt idx="4">
                    <c:v>1.841007790843153</c:v>
                  </c:pt>
                </c:numCache>
              </c:numRef>
            </c:minus>
            <c:spPr>
              <a:noFill/>
              <a:ln w="9525" cap="flat" cmpd="sng" algn="ctr">
                <a:solidFill>
                  <a:schemeClr val="tx1">
                    <a:lumMod val="65000"/>
                    <a:lumOff val="35000"/>
                  </a:schemeClr>
                </a:solidFill>
                <a:round/>
              </a:ln>
              <a:effectLst/>
            </c:spPr>
          </c:errBars>
          <c:xVal>
            <c:numRef>
              <c:f>Sheet3!$S$12:$S$16</c:f>
              <c:numCache>
                <c:formatCode>General</c:formatCode>
                <c:ptCount val="5"/>
                <c:pt idx="0">
                  <c:v>0.23</c:v>
                </c:pt>
                <c:pt idx="1">
                  <c:v>0.43</c:v>
                </c:pt>
                <c:pt idx="2">
                  <c:v>0.55000000000000004</c:v>
                </c:pt>
                <c:pt idx="3">
                  <c:v>0.55000000000000004</c:v>
                </c:pt>
                <c:pt idx="4">
                  <c:v>0.49</c:v>
                </c:pt>
              </c:numCache>
            </c:numRef>
          </c:xVal>
          <c:yVal>
            <c:numRef>
              <c:f>Sheet3!$T$12:$T$16</c:f>
              <c:numCache>
                <c:formatCode>General</c:formatCode>
                <c:ptCount val="5"/>
                <c:pt idx="0">
                  <c:v>4.665594855305466</c:v>
                </c:pt>
                <c:pt idx="1">
                  <c:v>5.6311475409836067</c:v>
                </c:pt>
                <c:pt idx="2">
                  <c:v>6.7370689655172411</c:v>
                </c:pt>
                <c:pt idx="3">
                  <c:v>4.4961832061068705</c:v>
                </c:pt>
                <c:pt idx="4">
                  <c:v>10.359281437125748</c:v>
                </c:pt>
              </c:numCache>
            </c:numRef>
          </c:yVal>
          <c:smooth val="0"/>
          <c:extLst>
            <c:ext xmlns:c16="http://schemas.microsoft.com/office/drawing/2014/chart" uri="{C3380CC4-5D6E-409C-BE32-E72D297353CC}">
              <c16:uniqueId val="{00000005-26CD-5C4B-BB5C-9EDFC73E673E}"/>
            </c:ext>
          </c:extLst>
        </c:ser>
        <c:dLbls>
          <c:showLegendKey val="0"/>
          <c:showVal val="0"/>
          <c:showCatName val="0"/>
          <c:showSerName val="0"/>
          <c:showPercent val="0"/>
          <c:showBubbleSize val="0"/>
        </c:dLbls>
        <c:axId val="407328655"/>
        <c:axId val="394753455"/>
      </c:scatterChart>
      <c:valAx>
        <c:axId val="407328655"/>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Proportion of Natural Land Cover </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94753455"/>
        <c:crosses val="autoZero"/>
        <c:crossBetween val="midCat"/>
      </c:valAx>
      <c:valAx>
        <c:axId val="394753455"/>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Average</a:t>
                </a:r>
                <a:r>
                  <a:rPr lang="en-US" sz="1200" baseline="0"/>
                  <a:t> Species Abundance per site, per sample</a:t>
                </a:r>
                <a:endParaRPr lang="en-US"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07328655"/>
        <c:crosses val="autoZero"/>
        <c:crossBetween val="midCat"/>
      </c:valAx>
      <c:spPr>
        <a:noFill/>
        <a:ln>
          <a:noFill/>
        </a:ln>
        <a:effectLst/>
      </c:spPr>
    </c:plotArea>
    <c:legend>
      <c:legendPos val="r"/>
      <c:layout>
        <c:manualLayout>
          <c:xMode val="edge"/>
          <c:yMode val="edge"/>
          <c:x val="0.68192230365408002"/>
          <c:y val="4.8354207174780124E-2"/>
          <c:w val="0.29752200403367668"/>
          <c:h val="0.4309616520372091"/>
        </c:manualLayout>
      </c:layout>
      <c:overlay val="0"/>
      <c:spPr>
        <a:noFill/>
        <a:ln>
          <a:solidFill>
            <a:schemeClr val="tx1"/>
          </a:solid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59176256814052"/>
          <c:y val="9.9236641221374045E-2"/>
          <c:w val="0.65952336994486149"/>
          <c:h val="0.73128508745567111"/>
        </c:manualLayout>
      </c:layout>
      <c:scatterChart>
        <c:scatterStyle val="lineMarker"/>
        <c:varyColors val="0"/>
        <c:ser>
          <c:idx val="0"/>
          <c:order val="0"/>
          <c:tx>
            <c:v>Agriculture</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Sheet3!$S$44:$S$48</c:f>
              <c:numCache>
                <c:formatCode>General</c:formatCode>
                <c:ptCount val="5"/>
                <c:pt idx="0">
                  <c:v>0.06</c:v>
                </c:pt>
                <c:pt idx="1">
                  <c:v>0.48</c:v>
                </c:pt>
                <c:pt idx="2">
                  <c:v>0.38</c:v>
                </c:pt>
                <c:pt idx="3">
                  <c:v>0.12</c:v>
                </c:pt>
                <c:pt idx="4">
                  <c:v>0.32</c:v>
                </c:pt>
              </c:numCache>
            </c:numRef>
          </c:xVal>
          <c:yVal>
            <c:numRef>
              <c:f>Sheet3!$X$44:$X$48</c:f>
              <c:numCache>
                <c:formatCode>General</c:formatCode>
                <c:ptCount val="5"/>
                <c:pt idx="0">
                  <c:v>4.665594855305466</c:v>
                </c:pt>
                <c:pt idx="1">
                  <c:v>5.6311475409836067</c:v>
                </c:pt>
                <c:pt idx="2">
                  <c:v>6.7370689655172411</c:v>
                </c:pt>
                <c:pt idx="3">
                  <c:v>4.4961832061068705</c:v>
                </c:pt>
                <c:pt idx="4">
                  <c:v>10.359281437125748</c:v>
                </c:pt>
              </c:numCache>
            </c:numRef>
          </c:yVal>
          <c:smooth val="0"/>
          <c:extLst>
            <c:ext xmlns:c16="http://schemas.microsoft.com/office/drawing/2014/chart" uri="{C3380CC4-5D6E-409C-BE32-E72D297353CC}">
              <c16:uniqueId val="{00000001-2F47-624B-9D9C-9ACC0BD00FB3}"/>
            </c:ext>
          </c:extLst>
        </c:ser>
        <c:ser>
          <c:idx val="1"/>
          <c:order val="1"/>
          <c:tx>
            <c:v>Developed</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Sheet3!$S$49:$S$53</c:f>
              <c:numCache>
                <c:formatCode>General</c:formatCode>
                <c:ptCount val="5"/>
                <c:pt idx="0">
                  <c:v>0.6</c:v>
                </c:pt>
                <c:pt idx="1">
                  <c:v>0.06</c:v>
                </c:pt>
                <c:pt idx="2">
                  <c:v>0.05</c:v>
                </c:pt>
                <c:pt idx="3">
                  <c:v>0.3</c:v>
                </c:pt>
                <c:pt idx="4">
                  <c:v>0.15</c:v>
                </c:pt>
              </c:numCache>
            </c:numRef>
          </c:xVal>
          <c:yVal>
            <c:numRef>
              <c:f>Sheet3!$X$49:$X$53</c:f>
              <c:numCache>
                <c:formatCode>General</c:formatCode>
                <c:ptCount val="5"/>
                <c:pt idx="0">
                  <c:v>4.665594855305466</c:v>
                </c:pt>
                <c:pt idx="1">
                  <c:v>5.6311475409836067</c:v>
                </c:pt>
                <c:pt idx="2">
                  <c:v>6.7370689655172411</c:v>
                </c:pt>
                <c:pt idx="3">
                  <c:v>4.4961832061068705</c:v>
                </c:pt>
                <c:pt idx="4">
                  <c:v>10.359281437125748</c:v>
                </c:pt>
              </c:numCache>
            </c:numRef>
          </c:yVal>
          <c:smooth val="0"/>
          <c:extLst>
            <c:ext xmlns:c16="http://schemas.microsoft.com/office/drawing/2014/chart" uri="{C3380CC4-5D6E-409C-BE32-E72D297353CC}">
              <c16:uniqueId val="{00000003-2F47-624B-9D9C-9ACC0BD00FB3}"/>
            </c:ext>
          </c:extLst>
        </c:ser>
        <c:ser>
          <c:idx val="2"/>
          <c:order val="2"/>
          <c:tx>
            <c:v>Natural</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Sheet3!$S$54:$S$58</c:f>
              <c:numCache>
                <c:formatCode>General</c:formatCode>
                <c:ptCount val="5"/>
                <c:pt idx="0">
                  <c:v>0.23</c:v>
                </c:pt>
                <c:pt idx="1">
                  <c:v>0.43</c:v>
                </c:pt>
                <c:pt idx="2">
                  <c:v>0.55000000000000004</c:v>
                </c:pt>
                <c:pt idx="3">
                  <c:v>0.55000000000000004</c:v>
                </c:pt>
                <c:pt idx="4">
                  <c:v>0.49</c:v>
                </c:pt>
              </c:numCache>
            </c:numRef>
          </c:xVal>
          <c:yVal>
            <c:numRef>
              <c:f>Sheet3!$X$54:$X$58</c:f>
              <c:numCache>
                <c:formatCode>General</c:formatCode>
                <c:ptCount val="5"/>
                <c:pt idx="0">
                  <c:v>4.665594855305466</c:v>
                </c:pt>
                <c:pt idx="1">
                  <c:v>5.6311475409836067</c:v>
                </c:pt>
                <c:pt idx="2">
                  <c:v>6.7370689655172411</c:v>
                </c:pt>
                <c:pt idx="3">
                  <c:v>4.4961832061068705</c:v>
                </c:pt>
                <c:pt idx="4">
                  <c:v>10.359281437125748</c:v>
                </c:pt>
              </c:numCache>
            </c:numRef>
          </c:yVal>
          <c:smooth val="0"/>
          <c:extLst>
            <c:ext xmlns:c16="http://schemas.microsoft.com/office/drawing/2014/chart" uri="{C3380CC4-5D6E-409C-BE32-E72D297353CC}">
              <c16:uniqueId val="{00000005-2F47-624B-9D9C-9ACC0BD00FB3}"/>
            </c:ext>
          </c:extLst>
        </c:ser>
        <c:dLbls>
          <c:showLegendKey val="0"/>
          <c:showVal val="0"/>
          <c:showCatName val="0"/>
          <c:showSerName val="0"/>
          <c:showPercent val="0"/>
          <c:showBubbleSize val="0"/>
        </c:dLbls>
        <c:axId val="493131631"/>
        <c:axId val="485332431"/>
      </c:scatterChart>
      <c:valAx>
        <c:axId val="49313163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Proportion of Land</a:t>
                </a:r>
                <a:r>
                  <a:rPr lang="en-US" sz="1200" baseline="0"/>
                  <a:t> Cover</a:t>
                </a:r>
                <a:endParaRPr lang="en-US"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485332431"/>
        <c:crosses val="autoZero"/>
        <c:crossBetween val="midCat"/>
      </c:valAx>
      <c:valAx>
        <c:axId val="485332431"/>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Average</a:t>
                </a:r>
                <a:r>
                  <a:rPr lang="en-US" sz="1200" baseline="0"/>
                  <a:t> Species Abundance per Site, per Sample</a:t>
                </a:r>
                <a:endParaRPr lang="en-US"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493131631"/>
        <c:crosses val="autoZero"/>
        <c:crossBetween val="midCat"/>
      </c:valAx>
      <c:spPr>
        <a:noFill/>
        <a:ln>
          <a:noFill/>
        </a:ln>
        <a:effectLst/>
      </c:spPr>
    </c:plotArea>
    <c:legend>
      <c:legendPos val="r"/>
      <c:layout>
        <c:manualLayout>
          <c:xMode val="edge"/>
          <c:yMode val="edge"/>
          <c:x val="0.64995513981155473"/>
          <c:y val="3.5818056139929076E-2"/>
          <c:w val="0.33540864878521198"/>
          <c:h val="0.38070956302217945"/>
        </c:manualLayout>
      </c:layout>
      <c:overlay val="0"/>
      <c:spPr>
        <a:noFill/>
        <a:ln>
          <a:solidFill>
            <a:schemeClr val="tx1"/>
          </a:solid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0.10104</cdr:x>
      <cdr:y>0.87925</cdr:y>
    </cdr:from>
    <cdr:to>
      <cdr:x>0.24533</cdr:x>
      <cdr:y>0.98407</cdr:y>
    </cdr:to>
    <cdr:sp macro="" textlink="">
      <cdr:nvSpPr>
        <cdr:cNvPr id="2" name="Text Box 1"/>
        <cdr:cNvSpPr txBox="1"/>
      </cdr:nvSpPr>
      <cdr:spPr>
        <a:xfrm xmlns:a="http://schemas.openxmlformats.org/drawingml/2006/main">
          <a:off x="466210" y="1648171"/>
          <a:ext cx="665728" cy="1964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Block 1</a:t>
          </a:r>
        </a:p>
      </cdr:txBody>
    </cdr:sp>
  </cdr:relSizeAnchor>
  <cdr:relSizeAnchor xmlns:cdr="http://schemas.openxmlformats.org/drawingml/2006/chartDrawing">
    <cdr:from>
      <cdr:x>0.28024</cdr:x>
      <cdr:y>0.87692</cdr:y>
    </cdr:from>
    <cdr:to>
      <cdr:x>0.42452</cdr:x>
      <cdr:y>0.9718</cdr:y>
    </cdr:to>
    <cdr:sp macro="" textlink="">
      <cdr:nvSpPr>
        <cdr:cNvPr id="3" name="Text Box 1"/>
        <cdr:cNvSpPr txBox="1"/>
      </cdr:nvSpPr>
      <cdr:spPr>
        <a:xfrm xmlns:a="http://schemas.openxmlformats.org/drawingml/2006/main">
          <a:off x="1292985" y="1643807"/>
          <a:ext cx="665728" cy="17785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Block 2</a:t>
          </a:r>
        </a:p>
      </cdr:txBody>
    </cdr:sp>
  </cdr:relSizeAnchor>
  <cdr:relSizeAnchor xmlns:cdr="http://schemas.openxmlformats.org/drawingml/2006/chartDrawing">
    <cdr:from>
      <cdr:x>0.46176</cdr:x>
      <cdr:y>0.8741</cdr:y>
    </cdr:from>
    <cdr:to>
      <cdr:x>0.60604</cdr:x>
      <cdr:y>0.96052</cdr:y>
    </cdr:to>
    <cdr:sp macro="" textlink="">
      <cdr:nvSpPr>
        <cdr:cNvPr id="4" name="Text Box 1"/>
        <cdr:cNvSpPr txBox="1"/>
      </cdr:nvSpPr>
      <cdr:spPr>
        <a:xfrm xmlns:a="http://schemas.openxmlformats.org/drawingml/2006/main">
          <a:off x="2130500" y="1638520"/>
          <a:ext cx="665728" cy="1620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Block 3</a:t>
          </a:r>
        </a:p>
      </cdr:txBody>
    </cdr:sp>
  </cdr:relSizeAnchor>
  <cdr:relSizeAnchor xmlns:cdr="http://schemas.openxmlformats.org/drawingml/2006/chartDrawing">
    <cdr:from>
      <cdr:x>0.64086</cdr:x>
      <cdr:y>0.87079</cdr:y>
    </cdr:from>
    <cdr:to>
      <cdr:x>0.78514</cdr:x>
      <cdr:y>0.97843</cdr:y>
    </cdr:to>
    <cdr:sp macro="" textlink="">
      <cdr:nvSpPr>
        <cdr:cNvPr id="5" name="Text Box 1"/>
        <cdr:cNvSpPr txBox="1"/>
      </cdr:nvSpPr>
      <cdr:spPr>
        <a:xfrm xmlns:a="http://schemas.openxmlformats.org/drawingml/2006/main">
          <a:off x="2956855" y="1632315"/>
          <a:ext cx="665728" cy="20177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Block 4</a:t>
          </a:r>
        </a:p>
      </cdr:txBody>
    </cdr:sp>
  </cdr:relSizeAnchor>
  <cdr:relSizeAnchor xmlns:cdr="http://schemas.openxmlformats.org/drawingml/2006/chartDrawing">
    <cdr:from>
      <cdr:x>0.82154</cdr:x>
      <cdr:y>0.86797</cdr:y>
    </cdr:from>
    <cdr:to>
      <cdr:x>1</cdr:x>
      <cdr:y>0.97561</cdr:y>
    </cdr:to>
    <cdr:sp macro="" textlink="">
      <cdr:nvSpPr>
        <cdr:cNvPr id="6" name="Text Box 1"/>
        <cdr:cNvSpPr txBox="1"/>
      </cdr:nvSpPr>
      <cdr:spPr>
        <a:xfrm xmlns:a="http://schemas.openxmlformats.org/drawingml/2006/main">
          <a:off x="3790524" y="1627029"/>
          <a:ext cx="823386" cy="20177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Block 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52B260-9823-7845-8EAC-20550D1B88C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0996A-8E49-4410-A543-927C03B9C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89</Pages>
  <Words>77458</Words>
  <Characters>447710</Characters>
  <Application>Microsoft Office Word</Application>
  <DocSecurity>0</DocSecurity>
  <Lines>12791</Lines>
  <Paragraphs>5835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Amani</dc:creator>
  <cp:keywords/>
  <dc:description/>
  <cp:lastModifiedBy>Khalil, Amani</cp:lastModifiedBy>
  <cp:revision>2</cp:revision>
  <dcterms:created xsi:type="dcterms:W3CDTF">2021-07-10T13:59:00Z</dcterms:created>
  <dcterms:modified xsi:type="dcterms:W3CDTF">2021-07-10T13:59:00Z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zotero-version="5.0.97-beta.33+fdcd4e51c"&gt;&lt;session id="FJJlbcfR"/&gt;&lt;style id="http://www.zotero.org/styles/apa" locale="en-US"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y fmtid="{D5CDD505-2E9C-101B-9397-08002B2CF9AE}" pid="4" name="grammarly_documentId">
    <vt:lpwstr>documentId_1333</vt:lpwstr>
  </property>
  <property fmtid="{D5CDD505-2E9C-101B-9397-08002B2CF9AE}" pid="5" name="grammarly_documentContext">
    <vt:lpwstr>{"goals":[],"domain":"general","emotions":[],"dialect":"american"}</vt:lpwstr>
  </property>
</Properties>
</file>