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C4F62A" w14:textId="77777777" w:rsidR="00BC70F9" w:rsidRPr="00BC70F9" w:rsidRDefault="00372A0B" w:rsidP="00372A0B">
      <w:pPr>
        <w:jc w:val="center"/>
        <w:rPr>
          <w:rFonts w:ascii="Times New Roman" w:hAnsi="Times New Roman" w:cs="Times New Roman"/>
          <w:b/>
          <w:sz w:val="28"/>
          <w:szCs w:val="24"/>
        </w:rPr>
      </w:pPr>
      <w:r w:rsidRPr="00BC70F9">
        <w:rPr>
          <w:rFonts w:ascii="Times New Roman" w:hAnsi="Times New Roman" w:cs="Times New Roman"/>
          <w:b/>
          <w:sz w:val="28"/>
          <w:szCs w:val="24"/>
        </w:rPr>
        <w:t xml:space="preserve">Effect of Herbicide Concentration on </w:t>
      </w:r>
    </w:p>
    <w:p w14:paraId="4B246DF7" w14:textId="77777777" w:rsidR="00BC70F9" w:rsidRPr="00BC70F9" w:rsidRDefault="00372A0B" w:rsidP="00372A0B">
      <w:pPr>
        <w:jc w:val="center"/>
        <w:rPr>
          <w:rFonts w:ascii="Times New Roman" w:hAnsi="Times New Roman" w:cs="Times New Roman"/>
          <w:b/>
          <w:sz w:val="28"/>
          <w:szCs w:val="24"/>
        </w:rPr>
      </w:pPr>
      <w:r w:rsidRPr="00BC70F9">
        <w:rPr>
          <w:rFonts w:ascii="Times New Roman" w:hAnsi="Times New Roman" w:cs="Times New Roman"/>
          <w:b/>
          <w:sz w:val="28"/>
          <w:szCs w:val="24"/>
        </w:rPr>
        <w:t>Atrazine, Pyroxasulfone, and Saflufenacil Dissipation</w:t>
      </w:r>
    </w:p>
    <w:p w14:paraId="4F9B8C39" w14:textId="77777777" w:rsidR="00133DFF" w:rsidRPr="00BC70F9" w:rsidRDefault="00372A0B" w:rsidP="00372A0B">
      <w:pPr>
        <w:jc w:val="center"/>
        <w:rPr>
          <w:rFonts w:ascii="Times New Roman" w:hAnsi="Times New Roman" w:cs="Times New Roman"/>
          <w:b/>
          <w:sz w:val="28"/>
          <w:szCs w:val="24"/>
        </w:rPr>
      </w:pPr>
      <w:r w:rsidRPr="00BC70F9">
        <w:rPr>
          <w:rFonts w:ascii="Times New Roman" w:hAnsi="Times New Roman" w:cs="Times New Roman"/>
          <w:b/>
          <w:sz w:val="28"/>
          <w:szCs w:val="24"/>
        </w:rPr>
        <w:t>Under Field and Lab Conditions</w:t>
      </w:r>
    </w:p>
    <w:p w14:paraId="1D5F4B57" w14:textId="77777777" w:rsidR="00F20A48" w:rsidRPr="00BC70F9" w:rsidRDefault="00F20A48" w:rsidP="00372A0B">
      <w:pPr>
        <w:jc w:val="center"/>
        <w:rPr>
          <w:rFonts w:ascii="Times New Roman" w:hAnsi="Times New Roman" w:cs="Times New Roman"/>
          <w:b/>
          <w:sz w:val="28"/>
          <w:szCs w:val="24"/>
        </w:rPr>
      </w:pPr>
    </w:p>
    <w:p w14:paraId="6BD9F9E8" w14:textId="77777777" w:rsidR="00F20A48" w:rsidRPr="00BC70F9" w:rsidRDefault="00F20A48" w:rsidP="00372A0B">
      <w:pPr>
        <w:jc w:val="center"/>
        <w:rPr>
          <w:rFonts w:ascii="Times New Roman" w:hAnsi="Times New Roman" w:cs="Times New Roman"/>
          <w:b/>
          <w:sz w:val="28"/>
          <w:szCs w:val="24"/>
        </w:rPr>
      </w:pPr>
    </w:p>
    <w:p w14:paraId="2455270E" w14:textId="77777777" w:rsidR="00BC70F9" w:rsidRDefault="00BC70F9" w:rsidP="00372A0B">
      <w:pPr>
        <w:jc w:val="center"/>
        <w:rPr>
          <w:rFonts w:ascii="Times New Roman" w:hAnsi="Times New Roman" w:cs="Times New Roman"/>
          <w:b/>
          <w:sz w:val="28"/>
          <w:szCs w:val="24"/>
        </w:rPr>
      </w:pPr>
    </w:p>
    <w:p w14:paraId="71C7FB9B" w14:textId="77777777" w:rsidR="000B0872" w:rsidRDefault="000B0872" w:rsidP="00372A0B">
      <w:pPr>
        <w:jc w:val="center"/>
        <w:rPr>
          <w:rFonts w:ascii="Times New Roman" w:hAnsi="Times New Roman" w:cs="Times New Roman"/>
          <w:b/>
          <w:sz w:val="28"/>
          <w:szCs w:val="24"/>
        </w:rPr>
      </w:pPr>
    </w:p>
    <w:p w14:paraId="200C5A01" w14:textId="77777777" w:rsidR="000B0872" w:rsidRPr="00BC70F9" w:rsidRDefault="000B0872" w:rsidP="00372A0B">
      <w:pPr>
        <w:jc w:val="center"/>
        <w:rPr>
          <w:rFonts w:ascii="Times New Roman" w:hAnsi="Times New Roman" w:cs="Times New Roman"/>
          <w:b/>
          <w:sz w:val="28"/>
          <w:szCs w:val="24"/>
        </w:rPr>
      </w:pPr>
    </w:p>
    <w:p w14:paraId="14E59309" w14:textId="77777777" w:rsidR="00BC70F9" w:rsidRPr="00BC70F9" w:rsidRDefault="00BC70F9" w:rsidP="00372A0B">
      <w:pPr>
        <w:jc w:val="center"/>
        <w:rPr>
          <w:rFonts w:ascii="Times New Roman" w:hAnsi="Times New Roman" w:cs="Times New Roman"/>
          <w:b/>
          <w:sz w:val="28"/>
          <w:szCs w:val="24"/>
        </w:rPr>
      </w:pPr>
    </w:p>
    <w:p w14:paraId="46467C5D" w14:textId="77777777" w:rsidR="00BC70F9" w:rsidRPr="00BC70F9" w:rsidRDefault="00BC70F9" w:rsidP="00372A0B">
      <w:pPr>
        <w:jc w:val="center"/>
        <w:rPr>
          <w:rFonts w:ascii="Times New Roman" w:hAnsi="Times New Roman" w:cs="Times New Roman"/>
          <w:b/>
          <w:sz w:val="28"/>
          <w:szCs w:val="24"/>
        </w:rPr>
      </w:pPr>
    </w:p>
    <w:p w14:paraId="191DC930" w14:textId="77777777" w:rsidR="00F20A48" w:rsidRPr="00BC70F9" w:rsidRDefault="00F20A48" w:rsidP="00372A0B">
      <w:pPr>
        <w:jc w:val="center"/>
        <w:rPr>
          <w:rFonts w:ascii="Times New Roman" w:hAnsi="Times New Roman" w:cs="Times New Roman"/>
          <w:b/>
          <w:sz w:val="28"/>
          <w:szCs w:val="24"/>
        </w:rPr>
      </w:pPr>
    </w:p>
    <w:p w14:paraId="26BC0244" w14:textId="77777777" w:rsidR="00BC70F9" w:rsidRPr="00BC70F9" w:rsidRDefault="00F20A48" w:rsidP="00372A0B">
      <w:pPr>
        <w:jc w:val="center"/>
        <w:rPr>
          <w:rFonts w:ascii="Times New Roman" w:hAnsi="Times New Roman" w:cs="Times New Roman"/>
          <w:b/>
          <w:sz w:val="28"/>
          <w:szCs w:val="24"/>
        </w:rPr>
      </w:pPr>
      <w:r w:rsidRPr="00BC70F9">
        <w:rPr>
          <w:rFonts w:ascii="Times New Roman" w:hAnsi="Times New Roman" w:cs="Times New Roman"/>
          <w:b/>
          <w:sz w:val="28"/>
          <w:szCs w:val="24"/>
        </w:rPr>
        <w:t xml:space="preserve">A Dissertation Presented for the </w:t>
      </w:r>
    </w:p>
    <w:p w14:paraId="15AFBDA7" w14:textId="77777777" w:rsidR="00BC70F9" w:rsidRPr="00BC70F9" w:rsidRDefault="00F20A48" w:rsidP="00372A0B">
      <w:pPr>
        <w:jc w:val="center"/>
        <w:rPr>
          <w:rFonts w:ascii="Times New Roman" w:hAnsi="Times New Roman" w:cs="Times New Roman"/>
          <w:b/>
          <w:sz w:val="28"/>
          <w:szCs w:val="24"/>
        </w:rPr>
      </w:pPr>
      <w:r w:rsidRPr="00BC70F9">
        <w:rPr>
          <w:rFonts w:ascii="Times New Roman" w:hAnsi="Times New Roman" w:cs="Times New Roman"/>
          <w:b/>
          <w:sz w:val="28"/>
          <w:szCs w:val="24"/>
        </w:rPr>
        <w:t>Doctor of Philosophy</w:t>
      </w:r>
    </w:p>
    <w:p w14:paraId="120B6612" w14:textId="77777777" w:rsidR="00F20A48" w:rsidRPr="00BC70F9" w:rsidRDefault="00F20A48" w:rsidP="00372A0B">
      <w:pPr>
        <w:jc w:val="center"/>
        <w:rPr>
          <w:rFonts w:ascii="Times New Roman" w:hAnsi="Times New Roman" w:cs="Times New Roman"/>
          <w:b/>
          <w:sz w:val="28"/>
          <w:szCs w:val="24"/>
        </w:rPr>
      </w:pPr>
      <w:r w:rsidRPr="00BC70F9">
        <w:rPr>
          <w:rFonts w:ascii="Times New Roman" w:hAnsi="Times New Roman" w:cs="Times New Roman"/>
          <w:b/>
          <w:sz w:val="28"/>
          <w:szCs w:val="24"/>
        </w:rPr>
        <w:t>Degree</w:t>
      </w:r>
    </w:p>
    <w:p w14:paraId="5A576F11" w14:textId="77777777" w:rsidR="00F20A48" w:rsidRPr="00BC70F9" w:rsidRDefault="00F20A48" w:rsidP="00372A0B">
      <w:pPr>
        <w:jc w:val="center"/>
        <w:rPr>
          <w:rFonts w:ascii="Times New Roman" w:hAnsi="Times New Roman" w:cs="Times New Roman"/>
          <w:b/>
          <w:sz w:val="28"/>
          <w:szCs w:val="24"/>
        </w:rPr>
      </w:pPr>
      <w:r w:rsidRPr="00BC70F9">
        <w:rPr>
          <w:rFonts w:ascii="Times New Roman" w:hAnsi="Times New Roman" w:cs="Times New Roman"/>
          <w:b/>
          <w:sz w:val="28"/>
          <w:szCs w:val="24"/>
        </w:rPr>
        <w:t>The University of Tennessee, Knoxville</w:t>
      </w:r>
    </w:p>
    <w:p w14:paraId="674CD7A9" w14:textId="77777777" w:rsidR="00F20A48" w:rsidRPr="00BC70F9" w:rsidRDefault="00F20A48" w:rsidP="00372A0B">
      <w:pPr>
        <w:jc w:val="center"/>
        <w:rPr>
          <w:rFonts w:ascii="Times New Roman" w:hAnsi="Times New Roman" w:cs="Times New Roman"/>
          <w:b/>
          <w:sz w:val="28"/>
          <w:szCs w:val="24"/>
        </w:rPr>
      </w:pPr>
    </w:p>
    <w:p w14:paraId="09FA4B3C" w14:textId="77777777" w:rsidR="00BC70F9" w:rsidRPr="00BC70F9" w:rsidRDefault="00BC70F9" w:rsidP="00372A0B">
      <w:pPr>
        <w:jc w:val="center"/>
        <w:rPr>
          <w:rFonts w:ascii="Times New Roman" w:hAnsi="Times New Roman" w:cs="Times New Roman"/>
          <w:b/>
          <w:sz w:val="28"/>
          <w:szCs w:val="24"/>
        </w:rPr>
      </w:pPr>
    </w:p>
    <w:p w14:paraId="6224F24B" w14:textId="77777777" w:rsidR="00BC70F9" w:rsidRPr="00BC70F9" w:rsidRDefault="00BC70F9" w:rsidP="00372A0B">
      <w:pPr>
        <w:jc w:val="center"/>
        <w:rPr>
          <w:rFonts w:ascii="Times New Roman" w:hAnsi="Times New Roman" w:cs="Times New Roman"/>
          <w:b/>
          <w:sz w:val="28"/>
          <w:szCs w:val="24"/>
        </w:rPr>
      </w:pPr>
    </w:p>
    <w:p w14:paraId="3E701B9C" w14:textId="77777777" w:rsidR="00BC70F9" w:rsidRPr="00BC70F9" w:rsidRDefault="00BC70F9" w:rsidP="00372A0B">
      <w:pPr>
        <w:jc w:val="center"/>
        <w:rPr>
          <w:rFonts w:ascii="Times New Roman" w:hAnsi="Times New Roman" w:cs="Times New Roman"/>
          <w:b/>
          <w:sz w:val="28"/>
          <w:szCs w:val="24"/>
        </w:rPr>
      </w:pPr>
    </w:p>
    <w:p w14:paraId="6DE00CE1" w14:textId="77777777" w:rsidR="00BC70F9" w:rsidRPr="00BC70F9" w:rsidRDefault="00BC70F9" w:rsidP="00372A0B">
      <w:pPr>
        <w:jc w:val="center"/>
        <w:rPr>
          <w:rFonts w:ascii="Times New Roman" w:hAnsi="Times New Roman" w:cs="Times New Roman"/>
          <w:b/>
          <w:sz w:val="28"/>
          <w:szCs w:val="24"/>
        </w:rPr>
      </w:pPr>
    </w:p>
    <w:p w14:paraId="475B1271" w14:textId="77777777" w:rsidR="00BC70F9" w:rsidRPr="00BC70F9" w:rsidRDefault="00BC70F9" w:rsidP="00372A0B">
      <w:pPr>
        <w:jc w:val="center"/>
        <w:rPr>
          <w:rFonts w:ascii="Times New Roman" w:hAnsi="Times New Roman" w:cs="Times New Roman"/>
          <w:b/>
          <w:sz w:val="28"/>
          <w:szCs w:val="24"/>
        </w:rPr>
      </w:pPr>
    </w:p>
    <w:p w14:paraId="0BDF58E3" w14:textId="77777777" w:rsidR="00BC70F9" w:rsidRPr="00BC70F9" w:rsidRDefault="00BC70F9" w:rsidP="00372A0B">
      <w:pPr>
        <w:jc w:val="center"/>
        <w:rPr>
          <w:rFonts w:ascii="Times New Roman" w:hAnsi="Times New Roman" w:cs="Times New Roman"/>
          <w:b/>
          <w:sz w:val="28"/>
          <w:szCs w:val="24"/>
        </w:rPr>
      </w:pPr>
    </w:p>
    <w:p w14:paraId="1261BC28" w14:textId="77777777" w:rsidR="00F20A48" w:rsidRPr="00BC70F9" w:rsidRDefault="00F20A48" w:rsidP="00372A0B">
      <w:pPr>
        <w:jc w:val="center"/>
        <w:rPr>
          <w:rFonts w:ascii="Times New Roman" w:hAnsi="Times New Roman" w:cs="Times New Roman"/>
          <w:b/>
          <w:sz w:val="28"/>
          <w:szCs w:val="24"/>
        </w:rPr>
      </w:pPr>
    </w:p>
    <w:p w14:paraId="4A7C0D24" w14:textId="77777777" w:rsidR="00F20A48" w:rsidRPr="00BC70F9" w:rsidRDefault="00F20A48" w:rsidP="00372A0B">
      <w:pPr>
        <w:jc w:val="center"/>
        <w:rPr>
          <w:rFonts w:ascii="Times New Roman" w:hAnsi="Times New Roman" w:cs="Times New Roman"/>
          <w:b/>
          <w:sz w:val="28"/>
          <w:szCs w:val="24"/>
        </w:rPr>
      </w:pPr>
      <w:r w:rsidRPr="00BC70F9">
        <w:rPr>
          <w:rFonts w:ascii="Times New Roman" w:hAnsi="Times New Roman" w:cs="Times New Roman"/>
          <w:b/>
          <w:sz w:val="28"/>
          <w:szCs w:val="24"/>
        </w:rPr>
        <w:t>Randall Lee Landry</w:t>
      </w:r>
    </w:p>
    <w:p w14:paraId="14110A47" w14:textId="7D6895FD" w:rsidR="002D5377" w:rsidRDefault="008014FB" w:rsidP="00372A0B">
      <w:pPr>
        <w:jc w:val="center"/>
        <w:rPr>
          <w:rFonts w:ascii="Times New Roman" w:hAnsi="Times New Roman" w:cs="Times New Roman"/>
          <w:b/>
          <w:sz w:val="28"/>
          <w:szCs w:val="24"/>
        </w:rPr>
        <w:sectPr w:rsidR="002D5377" w:rsidSect="0035568D">
          <w:footerReference w:type="default" r:id="rId10"/>
          <w:pgSz w:w="12240" w:h="15840"/>
          <w:pgMar w:top="1440" w:right="1440" w:bottom="1440" w:left="1440" w:header="720" w:footer="720" w:gutter="0"/>
          <w:cols w:space="720"/>
          <w:titlePg/>
          <w:docGrid w:linePitch="360"/>
        </w:sectPr>
      </w:pPr>
      <w:r>
        <w:rPr>
          <w:rFonts w:ascii="Times New Roman" w:hAnsi="Times New Roman" w:cs="Times New Roman"/>
          <w:b/>
          <w:sz w:val="28"/>
          <w:szCs w:val="24"/>
        </w:rPr>
        <w:t>May</w:t>
      </w:r>
      <w:r w:rsidR="00F20A48" w:rsidRPr="00BC70F9">
        <w:rPr>
          <w:rFonts w:ascii="Times New Roman" w:hAnsi="Times New Roman" w:cs="Times New Roman"/>
          <w:b/>
          <w:sz w:val="28"/>
          <w:szCs w:val="24"/>
        </w:rPr>
        <w:t xml:space="preserve"> 2022</w:t>
      </w:r>
    </w:p>
    <w:p w14:paraId="6CC4045B" w14:textId="77777777" w:rsidR="00F20A48" w:rsidRPr="002D5377" w:rsidRDefault="002D5377" w:rsidP="00372A0B">
      <w:pPr>
        <w:jc w:val="center"/>
        <w:rPr>
          <w:rFonts w:ascii="Times New Roman" w:hAnsi="Times New Roman" w:cs="Times New Roman"/>
          <w:b/>
          <w:sz w:val="24"/>
          <w:szCs w:val="24"/>
        </w:rPr>
      </w:pPr>
      <w:r w:rsidRPr="002D5377">
        <w:rPr>
          <w:rFonts w:ascii="Times New Roman" w:hAnsi="Times New Roman" w:cs="Times New Roman"/>
          <w:b/>
          <w:sz w:val="24"/>
          <w:szCs w:val="24"/>
        </w:rPr>
        <w:lastRenderedPageBreak/>
        <w:t>DEDICATION</w:t>
      </w:r>
    </w:p>
    <w:p w14:paraId="36E80A99" w14:textId="77777777" w:rsidR="005A5089" w:rsidRDefault="002D5377" w:rsidP="00E03E3F">
      <w:pPr>
        <w:spacing w:line="480" w:lineRule="auto"/>
        <w:ind w:firstLine="720"/>
        <w:rPr>
          <w:rFonts w:ascii="Times New Roman" w:hAnsi="Times New Roman" w:cs="Times New Roman"/>
          <w:sz w:val="24"/>
          <w:szCs w:val="24"/>
        </w:rPr>
        <w:sectPr w:rsidR="005A5089" w:rsidSect="0035568D">
          <w:pgSz w:w="12240" w:h="15840"/>
          <w:pgMar w:top="1440" w:right="1440" w:bottom="1440" w:left="1440" w:header="720" w:footer="720" w:gutter="0"/>
          <w:pgNumType w:fmt="lowerRoman" w:start="2"/>
          <w:cols w:space="720"/>
          <w:docGrid w:linePitch="360"/>
        </w:sectPr>
      </w:pPr>
      <w:r>
        <w:rPr>
          <w:rFonts w:ascii="Times New Roman" w:hAnsi="Times New Roman" w:cs="Times New Roman"/>
          <w:sz w:val="24"/>
          <w:szCs w:val="24"/>
        </w:rPr>
        <w:t>This manuscript is dedicated to</w:t>
      </w:r>
      <w:r w:rsidR="000B0872">
        <w:rPr>
          <w:rFonts w:ascii="Times New Roman" w:hAnsi="Times New Roman" w:cs="Times New Roman"/>
          <w:sz w:val="24"/>
          <w:szCs w:val="24"/>
        </w:rPr>
        <w:t xml:space="preserve"> my family</w:t>
      </w:r>
      <w:r>
        <w:rPr>
          <w:rFonts w:ascii="Times New Roman" w:hAnsi="Times New Roman" w:cs="Times New Roman"/>
          <w:sz w:val="24"/>
          <w:szCs w:val="24"/>
        </w:rPr>
        <w:t>, who I love with all my heart</w:t>
      </w:r>
      <w:r w:rsidR="000B0872">
        <w:rPr>
          <w:rFonts w:ascii="Times New Roman" w:hAnsi="Times New Roman" w:cs="Times New Roman"/>
          <w:sz w:val="24"/>
          <w:szCs w:val="24"/>
        </w:rPr>
        <w:t xml:space="preserve">.  Dana, my wife, </w:t>
      </w:r>
      <w:r w:rsidR="006F6E39">
        <w:rPr>
          <w:rFonts w:ascii="Times New Roman" w:hAnsi="Times New Roman" w:cs="Times New Roman"/>
          <w:sz w:val="24"/>
          <w:szCs w:val="24"/>
        </w:rPr>
        <w:t xml:space="preserve">who </w:t>
      </w:r>
      <w:r w:rsidR="000B0872">
        <w:rPr>
          <w:rFonts w:ascii="Times New Roman" w:hAnsi="Times New Roman" w:cs="Times New Roman"/>
          <w:sz w:val="24"/>
          <w:szCs w:val="24"/>
        </w:rPr>
        <w:t xml:space="preserve">selflessly kept encouraging me to </w:t>
      </w:r>
      <w:r w:rsidR="006F6E39">
        <w:rPr>
          <w:rFonts w:ascii="Times New Roman" w:hAnsi="Times New Roman" w:cs="Times New Roman"/>
          <w:sz w:val="24"/>
          <w:szCs w:val="24"/>
        </w:rPr>
        <w:t xml:space="preserve">pursue this degree.  Ruby, my daughter, </w:t>
      </w:r>
      <w:r w:rsidR="00063376">
        <w:rPr>
          <w:rFonts w:ascii="Times New Roman" w:hAnsi="Times New Roman" w:cs="Times New Roman"/>
          <w:sz w:val="24"/>
          <w:szCs w:val="24"/>
        </w:rPr>
        <w:t xml:space="preserve">the sweetest soul, </w:t>
      </w:r>
      <w:r w:rsidR="006F6E39">
        <w:rPr>
          <w:rFonts w:ascii="Times New Roman" w:hAnsi="Times New Roman" w:cs="Times New Roman"/>
          <w:sz w:val="24"/>
          <w:szCs w:val="24"/>
        </w:rPr>
        <w:t xml:space="preserve">who always thought she </w:t>
      </w:r>
      <w:r w:rsidR="002069F3">
        <w:rPr>
          <w:rFonts w:ascii="Times New Roman" w:hAnsi="Times New Roman" w:cs="Times New Roman"/>
          <w:sz w:val="24"/>
          <w:szCs w:val="24"/>
        </w:rPr>
        <w:t>needed</w:t>
      </w:r>
      <w:r w:rsidR="006F6E39">
        <w:rPr>
          <w:rFonts w:ascii="Times New Roman" w:hAnsi="Times New Roman" w:cs="Times New Roman"/>
          <w:sz w:val="24"/>
          <w:szCs w:val="24"/>
        </w:rPr>
        <w:t xml:space="preserve"> to ‘work just like daddy’.  Leo, my son, whose laugh and relentless courage </w:t>
      </w:r>
      <w:r w:rsidR="00063376">
        <w:rPr>
          <w:rFonts w:ascii="Times New Roman" w:hAnsi="Times New Roman" w:cs="Times New Roman"/>
          <w:sz w:val="24"/>
          <w:szCs w:val="24"/>
        </w:rPr>
        <w:t xml:space="preserve">kept me going each day.  I will work and strive each day to give you all </w:t>
      </w:r>
      <w:r w:rsidR="002069F3">
        <w:rPr>
          <w:rFonts w:ascii="Times New Roman" w:hAnsi="Times New Roman" w:cs="Times New Roman"/>
          <w:sz w:val="24"/>
          <w:szCs w:val="24"/>
        </w:rPr>
        <w:t xml:space="preserve">the </w:t>
      </w:r>
      <w:r w:rsidR="00063376">
        <w:rPr>
          <w:rFonts w:ascii="Times New Roman" w:hAnsi="Times New Roman" w:cs="Times New Roman"/>
          <w:sz w:val="24"/>
          <w:szCs w:val="24"/>
        </w:rPr>
        <w:t>opportunities you deserve.</w:t>
      </w:r>
    </w:p>
    <w:p w14:paraId="7EEB6D04" w14:textId="2A72190A" w:rsidR="002D5377" w:rsidRDefault="005A5089" w:rsidP="00D46B25">
      <w:pPr>
        <w:spacing w:line="480" w:lineRule="auto"/>
        <w:jc w:val="center"/>
        <w:rPr>
          <w:rFonts w:ascii="Times New Roman" w:hAnsi="Times New Roman" w:cs="Times New Roman"/>
          <w:b/>
          <w:sz w:val="24"/>
          <w:szCs w:val="24"/>
        </w:rPr>
      </w:pPr>
      <w:r w:rsidRPr="005A5089">
        <w:rPr>
          <w:rFonts w:ascii="Times New Roman" w:hAnsi="Times New Roman" w:cs="Times New Roman"/>
          <w:b/>
          <w:sz w:val="24"/>
          <w:szCs w:val="24"/>
        </w:rPr>
        <w:lastRenderedPageBreak/>
        <w:t>A</w:t>
      </w:r>
      <w:r>
        <w:rPr>
          <w:rFonts w:ascii="Times New Roman" w:hAnsi="Times New Roman" w:cs="Times New Roman"/>
          <w:b/>
          <w:sz w:val="24"/>
          <w:szCs w:val="24"/>
        </w:rPr>
        <w:t>CKNOWLEDGEMENTS</w:t>
      </w:r>
    </w:p>
    <w:p w14:paraId="558E6EA7" w14:textId="18603CC1" w:rsidR="00DF38F6" w:rsidRDefault="00277473" w:rsidP="00DF38F6">
      <w:pPr>
        <w:spacing w:line="480" w:lineRule="auto"/>
        <w:ind w:firstLine="720"/>
        <w:rPr>
          <w:rFonts w:ascii="Times New Roman" w:hAnsi="Times New Roman" w:cs="Times New Roman"/>
          <w:sz w:val="24"/>
          <w:szCs w:val="24"/>
        </w:rPr>
      </w:pPr>
      <w:r>
        <w:rPr>
          <w:rFonts w:ascii="Times New Roman" w:hAnsi="Times New Roman" w:cs="Times New Roman"/>
          <w:sz w:val="24"/>
          <w:szCs w:val="24"/>
        </w:rPr>
        <w:t>First and foremost, I wish to thank</w:t>
      </w:r>
      <w:r w:rsidR="00DF38F6">
        <w:rPr>
          <w:rFonts w:ascii="Times New Roman" w:hAnsi="Times New Roman" w:cs="Times New Roman"/>
          <w:sz w:val="24"/>
          <w:szCs w:val="24"/>
        </w:rPr>
        <w:t xml:space="preserve"> my Lord and Savior, Jesus Christ.  Without His love, grace, and sacrifice, I would not be who I am today.</w:t>
      </w:r>
    </w:p>
    <w:p w14:paraId="0BBCBC5B" w14:textId="63CC7C0E" w:rsidR="002C7F95" w:rsidRDefault="00DF38F6" w:rsidP="00DF38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wife, Dana, for her love, </w:t>
      </w:r>
      <w:r w:rsidR="000D3312">
        <w:rPr>
          <w:rFonts w:ascii="Times New Roman" w:hAnsi="Times New Roman" w:cs="Times New Roman"/>
          <w:sz w:val="24"/>
          <w:szCs w:val="24"/>
        </w:rPr>
        <w:t xml:space="preserve">patience, </w:t>
      </w:r>
      <w:r w:rsidR="002C7F95">
        <w:rPr>
          <w:rFonts w:ascii="Times New Roman" w:hAnsi="Times New Roman" w:cs="Times New Roman"/>
          <w:sz w:val="24"/>
          <w:szCs w:val="24"/>
        </w:rPr>
        <w:t xml:space="preserve">support, and </w:t>
      </w:r>
      <w:r w:rsidR="000D3312">
        <w:rPr>
          <w:rFonts w:ascii="Times New Roman" w:hAnsi="Times New Roman" w:cs="Times New Roman"/>
          <w:sz w:val="24"/>
          <w:szCs w:val="24"/>
        </w:rPr>
        <w:t>encouragement through life and all endeavors</w:t>
      </w:r>
      <w:r w:rsidR="002C7F95">
        <w:rPr>
          <w:rFonts w:ascii="Times New Roman" w:hAnsi="Times New Roman" w:cs="Times New Roman"/>
          <w:sz w:val="24"/>
          <w:szCs w:val="24"/>
        </w:rPr>
        <w:t xml:space="preserve"> we have taken on</w:t>
      </w:r>
      <w:r w:rsidR="000D3312">
        <w:rPr>
          <w:rFonts w:ascii="Times New Roman" w:hAnsi="Times New Roman" w:cs="Times New Roman"/>
          <w:sz w:val="24"/>
          <w:szCs w:val="24"/>
        </w:rPr>
        <w:t xml:space="preserve">.  </w:t>
      </w:r>
      <w:r w:rsidR="002C7F95">
        <w:rPr>
          <w:rFonts w:ascii="Times New Roman" w:hAnsi="Times New Roman" w:cs="Times New Roman"/>
          <w:sz w:val="24"/>
          <w:szCs w:val="24"/>
        </w:rPr>
        <w:t xml:space="preserve">She means so much more and deserves much more than I could ever attempt to put into words.  My kids, Leo and Ruby, who have taught me to take on every day fearlessly and with a smile on my face.  I am thankful for my </w:t>
      </w:r>
      <w:r w:rsidR="003209DC">
        <w:rPr>
          <w:rFonts w:ascii="Times New Roman" w:hAnsi="Times New Roman" w:cs="Times New Roman"/>
          <w:sz w:val="24"/>
          <w:szCs w:val="24"/>
        </w:rPr>
        <w:t xml:space="preserve">parents, sister, and family for </w:t>
      </w:r>
      <w:r w:rsidR="002C7F95">
        <w:rPr>
          <w:rFonts w:ascii="Times New Roman" w:hAnsi="Times New Roman" w:cs="Times New Roman"/>
          <w:sz w:val="24"/>
          <w:szCs w:val="24"/>
        </w:rPr>
        <w:t xml:space="preserve">their love and support in everything I </w:t>
      </w:r>
      <w:r w:rsidR="0018750E">
        <w:rPr>
          <w:rFonts w:ascii="Times New Roman" w:hAnsi="Times New Roman" w:cs="Times New Roman"/>
          <w:sz w:val="24"/>
          <w:szCs w:val="24"/>
        </w:rPr>
        <w:t xml:space="preserve">have </w:t>
      </w:r>
      <w:r w:rsidR="002C7F95">
        <w:rPr>
          <w:rFonts w:ascii="Times New Roman" w:hAnsi="Times New Roman" w:cs="Times New Roman"/>
          <w:sz w:val="24"/>
          <w:szCs w:val="24"/>
        </w:rPr>
        <w:t>pursued.  My friends, co-workers, and neighbors for their camaraderie in life and work.</w:t>
      </w:r>
    </w:p>
    <w:p w14:paraId="0D1EC671" w14:textId="693270E0" w:rsidR="00D46B25" w:rsidRDefault="00D46B25" w:rsidP="00DF38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I would like to thank Dr Thomas Mueller and his family.  That fateful day back in 2014 when he tried on convince me </w:t>
      </w:r>
      <w:r w:rsidR="006D2EE7">
        <w:rPr>
          <w:rFonts w:ascii="Times New Roman" w:hAnsi="Times New Roman" w:cs="Times New Roman"/>
          <w:sz w:val="24"/>
          <w:szCs w:val="24"/>
        </w:rPr>
        <w:t>to be mentored</w:t>
      </w:r>
      <w:r>
        <w:rPr>
          <w:rFonts w:ascii="Times New Roman" w:hAnsi="Times New Roman" w:cs="Times New Roman"/>
          <w:sz w:val="24"/>
          <w:szCs w:val="24"/>
        </w:rPr>
        <w:t xml:space="preserve"> for a PhD, I had politely declined as I was not quite ready.  Fast forward to 2019, I contacted him about the possibility of the degree and he accepted.  He and his family accepted my family with open arms.  They</w:t>
      </w:r>
      <w:r w:rsidR="0018750E">
        <w:rPr>
          <w:rFonts w:ascii="Times New Roman" w:hAnsi="Times New Roman" w:cs="Times New Roman"/>
          <w:sz w:val="24"/>
          <w:szCs w:val="24"/>
        </w:rPr>
        <w:t xml:space="preserve"> were instrumental in</w:t>
      </w:r>
      <w:r>
        <w:rPr>
          <w:rFonts w:ascii="Times New Roman" w:hAnsi="Times New Roman" w:cs="Times New Roman"/>
          <w:sz w:val="24"/>
          <w:szCs w:val="24"/>
        </w:rPr>
        <w:t xml:space="preserve"> help</w:t>
      </w:r>
      <w:r w:rsidR="0018750E">
        <w:rPr>
          <w:rFonts w:ascii="Times New Roman" w:hAnsi="Times New Roman" w:cs="Times New Roman"/>
          <w:sz w:val="24"/>
          <w:szCs w:val="24"/>
        </w:rPr>
        <w:t>ing</w:t>
      </w:r>
      <w:r>
        <w:rPr>
          <w:rFonts w:ascii="Times New Roman" w:hAnsi="Times New Roman" w:cs="Times New Roman"/>
          <w:sz w:val="24"/>
          <w:szCs w:val="24"/>
        </w:rPr>
        <w:t xml:space="preserve"> us find housing, a pediatrician for our kids, a dentist, and the list continues to grow.  We will forever be grateful for him and his family.  His guidance and mentorship will forever be engrained in </w:t>
      </w:r>
      <w:r w:rsidR="003209DC">
        <w:rPr>
          <w:rFonts w:ascii="Times New Roman" w:hAnsi="Times New Roman" w:cs="Times New Roman"/>
          <w:sz w:val="24"/>
          <w:szCs w:val="24"/>
        </w:rPr>
        <w:t>my approach to life and work</w:t>
      </w:r>
      <w:r>
        <w:rPr>
          <w:rFonts w:ascii="Times New Roman" w:hAnsi="Times New Roman" w:cs="Times New Roman"/>
          <w:sz w:val="24"/>
          <w:szCs w:val="24"/>
        </w:rPr>
        <w:t xml:space="preserve"> that</w:t>
      </w:r>
      <w:r w:rsidR="0018750E">
        <w:rPr>
          <w:rFonts w:ascii="Times New Roman" w:hAnsi="Times New Roman" w:cs="Times New Roman"/>
          <w:sz w:val="24"/>
          <w:szCs w:val="24"/>
        </w:rPr>
        <w:t xml:space="preserve"> I come across in my career.  Finally, I am grateful for the friendship, guidance, and knowledge that each one of my committee members has offered</w:t>
      </w:r>
      <w:r w:rsidR="0023592A">
        <w:rPr>
          <w:rFonts w:ascii="Times New Roman" w:hAnsi="Times New Roman" w:cs="Times New Roman"/>
          <w:sz w:val="24"/>
          <w:szCs w:val="24"/>
        </w:rPr>
        <w:t xml:space="preserve">.  </w:t>
      </w:r>
      <w:r w:rsidR="002F47A4">
        <w:rPr>
          <w:rFonts w:ascii="Times New Roman" w:hAnsi="Times New Roman" w:cs="Times New Roman"/>
          <w:sz w:val="24"/>
          <w:szCs w:val="24"/>
        </w:rPr>
        <w:t xml:space="preserve">Dr Mark Radosevich, Dr Dustin Lewis, and Dr Lawrence Steckel have truly enriched </w:t>
      </w:r>
      <w:r w:rsidR="0018750E">
        <w:rPr>
          <w:rFonts w:ascii="Times New Roman" w:hAnsi="Times New Roman" w:cs="Times New Roman"/>
          <w:sz w:val="24"/>
          <w:szCs w:val="24"/>
        </w:rPr>
        <w:t>my</w:t>
      </w:r>
      <w:r w:rsidR="002F47A4">
        <w:rPr>
          <w:rFonts w:ascii="Times New Roman" w:hAnsi="Times New Roman" w:cs="Times New Roman"/>
          <w:sz w:val="24"/>
          <w:szCs w:val="24"/>
        </w:rPr>
        <w:t xml:space="preserve"> experience</w:t>
      </w:r>
      <w:r w:rsidR="0018750E">
        <w:rPr>
          <w:rFonts w:ascii="Times New Roman" w:hAnsi="Times New Roman" w:cs="Times New Roman"/>
          <w:sz w:val="24"/>
          <w:szCs w:val="24"/>
        </w:rPr>
        <w:t xml:space="preserve"> at The University of Tennessee</w:t>
      </w:r>
      <w:r w:rsidR="002F47A4">
        <w:rPr>
          <w:rFonts w:ascii="Times New Roman" w:hAnsi="Times New Roman" w:cs="Times New Roman"/>
          <w:sz w:val="24"/>
          <w:szCs w:val="24"/>
        </w:rPr>
        <w:t>.</w:t>
      </w:r>
    </w:p>
    <w:p w14:paraId="3A46E993" w14:textId="77777777" w:rsidR="005A5089" w:rsidRDefault="005A5089" w:rsidP="005A5089">
      <w:pPr>
        <w:jc w:val="center"/>
        <w:rPr>
          <w:rFonts w:ascii="Times New Roman" w:hAnsi="Times New Roman" w:cs="Times New Roman"/>
          <w:b/>
          <w:sz w:val="24"/>
          <w:szCs w:val="24"/>
        </w:rPr>
      </w:pPr>
    </w:p>
    <w:p w14:paraId="4D7B742F" w14:textId="77777777" w:rsidR="005A5089" w:rsidRDefault="005A5089" w:rsidP="005A5089">
      <w:pPr>
        <w:jc w:val="center"/>
        <w:rPr>
          <w:rFonts w:ascii="Times New Roman" w:hAnsi="Times New Roman" w:cs="Times New Roman"/>
          <w:b/>
          <w:sz w:val="24"/>
          <w:szCs w:val="24"/>
        </w:rPr>
        <w:sectPr w:rsidR="005A5089" w:rsidSect="0035568D">
          <w:footerReference w:type="default" r:id="rId11"/>
          <w:pgSz w:w="12240" w:h="15840"/>
          <w:pgMar w:top="1440" w:right="1440" w:bottom="1440" w:left="1440" w:header="720" w:footer="720" w:gutter="0"/>
          <w:pgNumType w:fmt="lowerRoman"/>
          <w:cols w:space="720"/>
          <w:docGrid w:linePitch="360"/>
        </w:sectPr>
      </w:pPr>
    </w:p>
    <w:p w14:paraId="1425095E" w14:textId="77777777" w:rsidR="005A5089" w:rsidRDefault="005A5089" w:rsidP="005A5089">
      <w:pPr>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14:paraId="7430A585" w14:textId="3852D49B" w:rsidR="009A220C" w:rsidRDefault="009A220C" w:rsidP="006351FA">
      <w:pPr>
        <w:pStyle w:val="paragraph"/>
        <w:spacing w:line="420" w:lineRule="auto"/>
        <w:ind w:firstLine="720"/>
        <w:textAlignment w:val="baseline"/>
      </w:pPr>
      <w:r>
        <w:rPr>
          <w:rStyle w:val="normaltextrun"/>
        </w:rPr>
        <w:t>Widespread herbicide resistant weeds over the last several years have fueled a renewed interest in the utility of soil-applied residual herbicides.  Residual activity of a herbicide is based on a myriad of factors within and among environments. A common assumption used in simulation models examining herbicide persistence is that herbicide degradation is independent of application rate.  These studies compared herbicide concentration on dissipation with three commonly used residual herbicides under field and lab conditions.  Atrazine, pyroxasulfone, and saflufenacil represent herbicides with a relative field persistence of medium, high, and low, respectively.  Field studies were conducted over two years where herbicides and rates were assembled in a factorial arrangement of treatments and herbicides were applied at rates of 100, 1000, and 10000 g ai ha</w:t>
      </w:r>
      <w:r>
        <w:rPr>
          <w:rStyle w:val="normaltextrun"/>
          <w:sz w:val="19"/>
          <w:szCs w:val="19"/>
          <w:vertAlign w:val="superscript"/>
        </w:rPr>
        <w:t>-1</w:t>
      </w:r>
      <w:r>
        <w:rPr>
          <w:rStyle w:val="normaltextrun"/>
        </w:rPr>
        <w:t xml:space="preserve">.  These application rates are quite divergent from labeled rates, and were used to elucidate the effect of herbicide dose on subsequent dissipation. Soil samples were collected on selected intervals over the course of </w:t>
      </w:r>
      <w:r w:rsidR="006351FA">
        <w:rPr>
          <w:rStyle w:val="normaltextrun"/>
        </w:rPr>
        <w:t>365</w:t>
      </w:r>
      <w:r>
        <w:rPr>
          <w:rStyle w:val="normaltextrun"/>
        </w:rPr>
        <w:t xml:space="preserve"> </w:t>
      </w:r>
      <w:r w:rsidR="006351FA">
        <w:rPr>
          <w:rStyle w:val="normaltextrun"/>
        </w:rPr>
        <w:t>days</w:t>
      </w:r>
      <w:r>
        <w:rPr>
          <w:rStyle w:val="normaltextrun"/>
        </w:rPr>
        <w:t xml:space="preserve"> to detect dissipation of the herbicides.  The field study indicated that persistence is affected by herbicide concentration.  </w:t>
      </w:r>
      <w:r w:rsidR="00FD2456">
        <w:rPr>
          <w:rStyle w:val="normaltextrun"/>
        </w:rPr>
        <w:t>Generally, h</w:t>
      </w:r>
      <w:r>
        <w:rPr>
          <w:rStyle w:val="normaltextrun"/>
        </w:rPr>
        <w:t xml:space="preserve">igher herbicide concentrations exhibited slower dissipation rates while lower herbicide concentrations exhibited more rapid dissipation.  Lab studies used a factorial arrangement of treatments where the three herbicides were combined with high and low rates based on water solubility.  </w:t>
      </w:r>
      <w:r w:rsidR="00AE41BA">
        <w:rPr>
          <w:rStyle w:val="normaltextrun"/>
        </w:rPr>
        <w:t>S</w:t>
      </w:r>
      <w:r>
        <w:rPr>
          <w:rStyle w:val="normaltextrun"/>
        </w:rPr>
        <w:t>oil</w:t>
      </w:r>
      <w:r w:rsidR="00AE41BA">
        <w:rPr>
          <w:rStyle w:val="normaltextrun"/>
        </w:rPr>
        <w:t>s</w:t>
      </w:r>
      <w:r>
        <w:rPr>
          <w:rStyle w:val="normaltextrun"/>
        </w:rPr>
        <w:t xml:space="preserve"> were placed in an incubator set for ambient temperature conditions.  Lab studies generally agreed with the field studies, and indicated higher herbicide concentrations showed slower herbicide dissipation compared with the lower herbicide concentrations.  These studies suggest that herbicide concentration has an effect on the dissipation of atrazine </w:t>
      </w:r>
      <w:r w:rsidR="000E10F5">
        <w:rPr>
          <w:rStyle w:val="normaltextrun"/>
        </w:rPr>
        <w:t xml:space="preserve">and </w:t>
      </w:r>
      <w:r>
        <w:rPr>
          <w:rStyle w:val="normaltextrun"/>
        </w:rPr>
        <w:t xml:space="preserve">pyroxasulfone in field and lab conditions. </w:t>
      </w:r>
      <w:r w:rsidR="00AE41BA">
        <w:rPr>
          <w:rStyle w:val="normaltextrun"/>
        </w:rPr>
        <w:t xml:space="preserve"> Pyroxasulfone dissipated slower at higher rates where lower rates were correlated with faster dissipation.  </w:t>
      </w:r>
      <w:r>
        <w:rPr>
          <w:rStyle w:val="normaltextrun"/>
        </w:rPr>
        <w:t>This finding would be important for those using herbicide degradation rates in simulation modeling, since herbicide degradation is often assumed to be independent of rate applied.</w:t>
      </w:r>
    </w:p>
    <w:p w14:paraId="6BE509E7" w14:textId="77777777" w:rsidR="005A5089" w:rsidRDefault="005A5089" w:rsidP="005A5089">
      <w:pPr>
        <w:jc w:val="center"/>
        <w:rPr>
          <w:rFonts w:ascii="Times New Roman" w:hAnsi="Times New Roman" w:cs="Times New Roman"/>
          <w:b/>
          <w:sz w:val="24"/>
          <w:szCs w:val="24"/>
        </w:rPr>
      </w:pPr>
    </w:p>
    <w:p w14:paraId="232EA7D3" w14:textId="77777777" w:rsidR="005A5089" w:rsidRDefault="005A5089" w:rsidP="005A5089">
      <w:pPr>
        <w:jc w:val="center"/>
        <w:rPr>
          <w:rFonts w:ascii="Times New Roman" w:hAnsi="Times New Roman" w:cs="Times New Roman"/>
          <w:b/>
          <w:sz w:val="24"/>
          <w:szCs w:val="24"/>
        </w:rPr>
        <w:sectPr w:rsidR="005A5089" w:rsidSect="0035568D">
          <w:pgSz w:w="12240" w:h="15840"/>
          <w:pgMar w:top="1440" w:right="1440" w:bottom="1440" w:left="1440" w:header="720" w:footer="720" w:gutter="0"/>
          <w:pgNumType w:fmt="lowerRoman"/>
          <w:cols w:space="720"/>
          <w:docGrid w:linePitch="360"/>
        </w:sectPr>
      </w:pPr>
    </w:p>
    <w:sdt>
      <w:sdtPr>
        <w:rPr>
          <w:rFonts w:asciiTheme="minorHAnsi" w:eastAsiaTheme="minorHAnsi" w:hAnsiTheme="minorHAnsi" w:cstheme="minorBidi"/>
          <w:color w:val="auto"/>
          <w:sz w:val="22"/>
          <w:szCs w:val="22"/>
        </w:rPr>
        <w:id w:val="2044244053"/>
        <w:docPartObj>
          <w:docPartGallery w:val="Table of Contents"/>
          <w:docPartUnique/>
        </w:docPartObj>
      </w:sdtPr>
      <w:sdtEndPr>
        <w:rPr>
          <w:rFonts w:ascii="Times New Roman" w:hAnsi="Times New Roman" w:cs="Times New Roman"/>
          <w:b/>
          <w:bCs/>
          <w:noProof/>
        </w:rPr>
      </w:sdtEndPr>
      <w:sdtContent>
        <w:p w14:paraId="1BCA7312" w14:textId="25F71563" w:rsidR="00557AF5" w:rsidRPr="00557AF5" w:rsidRDefault="00557AF5" w:rsidP="00557AF5">
          <w:pPr>
            <w:pStyle w:val="TOCHeading"/>
            <w:jc w:val="center"/>
            <w:rPr>
              <w:rFonts w:ascii="Times New Roman" w:hAnsi="Times New Roman" w:cs="Times New Roman"/>
              <w:b/>
              <w:color w:val="000000" w:themeColor="text1"/>
              <w:sz w:val="24"/>
            </w:rPr>
          </w:pPr>
          <w:r w:rsidRPr="00557AF5">
            <w:rPr>
              <w:rFonts w:ascii="Times New Roman" w:hAnsi="Times New Roman" w:cs="Times New Roman"/>
              <w:b/>
              <w:color w:val="000000" w:themeColor="text1"/>
              <w:sz w:val="24"/>
            </w:rPr>
            <w:t>TABLE OF CONTENTS</w:t>
          </w:r>
        </w:p>
        <w:p w14:paraId="12FC41D2" w14:textId="77777777" w:rsidR="00557AF5" w:rsidRPr="00557AF5" w:rsidRDefault="00557AF5" w:rsidP="00557AF5"/>
        <w:p w14:paraId="7E25B271" w14:textId="3900C5A9" w:rsidR="005F14A1" w:rsidRPr="00C906A1" w:rsidRDefault="00557AF5" w:rsidP="004235F3">
          <w:pPr>
            <w:pStyle w:val="TOC1"/>
            <w:rPr>
              <w:rFonts w:ascii="Times New Roman" w:hAnsi="Times New Roman"/>
              <w:noProof/>
            </w:rPr>
          </w:pPr>
          <w:r w:rsidRPr="00C906A1">
            <w:rPr>
              <w:rFonts w:ascii="Times New Roman" w:hAnsi="Times New Roman"/>
            </w:rPr>
            <w:fldChar w:fldCharType="begin"/>
          </w:r>
          <w:r w:rsidRPr="00C906A1">
            <w:rPr>
              <w:rFonts w:ascii="Times New Roman" w:hAnsi="Times New Roman"/>
            </w:rPr>
            <w:instrText xml:space="preserve"> TOC \o "1-3" \h \z \u </w:instrText>
          </w:r>
          <w:r w:rsidRPr="00C906A1">
            <w:rPr>
              <w:rFonts w:ascii="Times New Roman" w:hAnsi="Times New Roman"/>
            </w:rPr>
            <w:fldChar w:fldCharType="separate"/>
          </w:r>
          <w:hyperlink w:anchor="_Toc99089476" w:history="1">
            <w:r w:rsidR="005F14A1" w:rsidRPr="00C906A1">
              <w:rPr>
                <w:rStyle w:val="Hyperlink"/>
                <w:rFonts w:ascii="Times New Roman" w:hAnsi="Times New Roman"/>
                <w:noProof/>
              </w:rPr>
              <w:t>INTRODUCTION</w:t>
            </w:r>
            <w:r w:rsidR="005F14A1" w:rsidRPr="00C906A1">
              <w:rPr>
                <w:rFonts w:ascii="Times New Roman" w:hAnsi="Times New Roman"/>
                <w:noProof/>
                <w:webHidden/>
              </w:rPr>
              <w:tab/>
            </w:r>
            <w:r w:rsidR="005F14A1" w:rsidRPr="00C906A1">
              <w:rPr>
                <w:rFonts w:ascii="Times New Roman" w:hAnsi="Times New Roman"/>
                <w:noProof/>
                <w:webHidden/>
              </w:rPr>
              <w:fldChar w:fldCharType="begin"/>
            </w:r>
            <w:r w:rsidR="005F14A1" w:rsidRPr="00C906A1">
              <w:rPr>
                <w:rFonts w:ascii="Times New Roman" w:hAnsi="Times New Roman"/>
                <w:noProof/>
                <w:webHidden/>
              </w:rPr>
              <w:instrText xml:space="preserve"> PAGEREF _Toc99089476 \h </w:instrText>
            </w:r>
            <w:r w:rsidR="005F14A1" w:rsidRPr="00C906A1">
              <w:rPr>
                <w:rFonts w:ascii="Times New Roman" w:hAnsi="Times New Roman"/>
                <w:noProof/>
                <w:webHidden/>
              </w:rPr>
            </w:r>
            <w:r w:rsidR="005F14A1" w:rsidRPr="00C906A1">
              <w:rPr>
                <w:rFonts w:ascii="Times New Roman" w:hAnsi="Times New Roman"/>
                <w:noProof/>
                <w:webHidden/>
              </w:rPr>
              <w:fldChar w:fldCharType="separate"/>
            </w:r>
            <w:r w:rsidR="001A53A1">
              <w:rPr>
                <w:rFonts w:ascii="Times New Roman" w:hAnsi="Times New Roman"/>
                <w:noProof/>
                <w:webHidden/>
              </w:rPr>
              <w:t>1</w:t>
            </w:r>
            <w:r w:rsidR="005F14A1" w:rsidRPr="00C906A1">
              <w:rPr>
                <w:rFonts w:ascii="Times New Roman" w:hAnsi="Times New Roman"/>
                <w:noProof/>
                <w:webHidden/>
              </w:rPr>
              <w:fldChar w:fldCharType="end"/>
            </w:r>
          </w:hyperlink>
        </w:p>
        <w:p w14:paraId="073B8A6C" w14:textId="4C78D0B1" w:rsidR="005F14A1" w:rsidRPr="00C906A1" w:rsidRDefault="00593FFF">
          <w:pPr>
            <w:pStyle w:val="TOC2"/>
            <w:tabs>
              <w:tab w:val="right" w:leader="dot" w:pos="9350"/>
            </w:tabs>
            <w:rPr>
              <w:rFonts w:ascii="Times New Roman" w:hAnsi="Times New Roman"/>
              <w:noProof/>
            </w:rPr>
          </w:pPr>
          <w:hyperlink w:anchor="_Toc99089477" w:history="1">
            <w:r w:rsidR="005F14A1" w:rsidRPr="00C906A1">
              <w:rPr>
                <w:rStyle w:val="Hyperlink"/>
                <w:rFonts w:ascii="Times New Roman" w:hAnsi="Times New Roman"/>
                <w:noProof/>
              </w:rPr>
              <w:t>Objectives and Hypotheses</w:t>
            </w:r>
            <w:r w:rsidR="005F14A1" w:rsidRPr="00C906A1">
              <w:rPr>
                <w:rFonts w:ascii="Times New Roman" w:hAnsi="Times New Roman"/>
                <w:noProof/>
                <w:webHidden/>
              </w:rPr>
              <w:tab/>
            </w:r>
            <w:r w:rsidR="005F14A1" w:rsidRPr="00C906A1">
              <w:rPr>
                <w:rFonts w:ascii="Times New Roman" w:hAnsi="Times New Roman"/>
                <w:noProof/>
                <w:webHidden/>
              </w:rPr>
              <w:fldChar w:fldCharType="begin"/>
            </w:r>
            <w:r w:rsidR="005F14A1" w:rsidRPr="00C906A1">
              <w:rPr>
                <w:rFonts w:ascii="Times New Roman" w:hAnsi="Times New Roman"/>
                <w:noProof/>
                <w:webHidden/>
              </w:rPr>
              <w:instrText xml:space="preserve"> PAGEREF _Toc99089477 \h </w:instrText>
            </w:r>
            <w:r w:rsidR="005F14A1" w:rsidRPr="00C906A1">
              <w:rPr>
                <w:rFonts w:ascii="Times New Roman" w:hAnsi="Times New Roman"/>
                <w:noProof/>
                <w:webHidden/>
              </w:rPr>
            </w:r>
            <w:r w:rsidR="005F14A1" w:rsidRPr="00C906A1">
              <w:rPr>
                <w:rFonts w:ascii="Times New Roman" w:hAnsi="Times New Roman"/>
                <w:noProof/>
                <w:webHidden/>
              </w:rPr>
              <w:fldChar w:fldCharType="separate"/>
            </w:r>
            <w:r w:rsidR="001A53A1">
              <w:rPr>
                <w:rFonts w:ascii="Times New Roman" w:hAnsi="Times New Roman"/>
                <w:noProof/>
                <w:webHidden/>
              </w:rPr>
              <w:t>3</w:t>
            </w:r>
            <w:r w:rsidR="005F14A1" w:rsidRPr="00C906A1">
              <w:rPr>
                <w:rFonts w:ascii="Times New Roman" w:hAnsi="Times New Roman"/>
                <w:noProof/>
                <w:webHidden/>
              </w:rPr>
              <w:fldChar w:fldCharType="end"/>
            </w:r>
          </w:hyperlink>
        </w:p>
        <w:p w14:paraId="1239FDF8" w14:textId="3C986BEC" w:rsidR="005F14A1" w:rsidRPr="00C906A1" w:rsidRDefault="00593FFF">
          <w:pPr>
            <w:pStyle w:val="TOC2"/>
            <w:tabs>
              <w:tab w:val="right" w:leader="dot" w:pos="9350"/>
            </w:tabs>
            <w:rPr>
              <w:rFonts w:ascii="Times New Roman" w:hAnsi="Times New Roman"/>
              <w:noProof/>
            </w:rPr>
          </w:pPr>
          <w:hyperlink w:anchor="_Toc99089478" w:history="1">
            <w:r w:rsidR="005F14A1" w:rsidRPr="00C906A1">
              <w:rPr>
                <w:rStyle w:val="Hyperlink"/>
                <w:rFonts w:ascii="Times New Roman" w:hAnsi="Times New Roman"/>
                <w:noProof/>
              </w:rPr>
              <w:t>Materials and Methods</w:t>
            </w:r>
            <w:r w:rsidR="005F14A1" w:rsidRPr="00C906A1">
              <w:rPr>
                <w:rFonts w:ascii="Times New Roman" w:hAnsi="Times New Roman"/>
                <w:noProof/>
                <w:webHidden/>
              </w:rPr>
              <w:tab/>
            </w:r>
            <w:r w:rsidR="005F14A1" w:rsidRPr="00C906A1">
              <w:rPr>
                <w:rFonts w:ascii="Times New Roman" w:hAnsi="Times New Roman"/>
                <w:noProof/>
                <w:webHidden/>
              </w:rPr>
              <w:fldChar w:fldCharType="begin"/>
            </w:r>
            <w:r w:rsidR="005F14A1" w:rsidRPr="00C906A1">
              <w:rPr>
                <w:rFonts w:ascii="Times New Roman" w:hAnsi="Times New Roman"/>
                <w:noProof/>
                <w:webHidden/>
              </w:rPr>
              <w:instrText xml:space="preserve"> PAGEREF _Toc99089478 \h </w:instrText>
            </w:r>
            <w:r w:rsidR="005F14A1" w:rsidRPr="00C906A1">
              <w:rPr>
                <w:rFonts w:ascii="Times New Roman" w:hAnsi="Times New Roman"/>
                <w:noProof/>
                <w:webHidden/>
              </w:rPr>
            </w:r>
            <w:r w:rsidR="005F14A1" w:rsidRPr="00C906A1">
              <w:rPr>
                <w:rFonts w:ascii="Times New Roman" w:hAnsi="Times New Roman"/>
                <w:noProof/>
                <w:webHidden/>
              </w:rPr>
              <w:fldChar w:fldCharType="separate"/>
            </w:r>
            <w:r w:rsidR="001A53A1">
              <w:rPr>
                <w:rFonts w:ascii="Times New Roman" w:hAnsi="Times New Roman"/>
                <w:noProof/>
                <w:webHidden/>
              </w:rPr>
              <w:t>4</w:t>
            </w:r>
            <w:r w:rsidR="005F14A1" w:rsidRPr="00C906A1">
              <w:rPr>
                <w:rFonts w:ascii="Times New Roman" w:hAnsi="Times New Roman"/>
                <w:noProof/>
                <w:webHidden/>
              </w:rPr>
              <w:fldChar w:fldCharType="end"/>
            </w:r>
          </w:hyperlink>
        </w:p>
        <w:p w14:paraId="55D0D76D" w14:textId="151F8432" w:rsidR="005F14A1" w:rsidRPr="00C906A1" w:rsidRDefault="00593FFF">
          <w:pPr>
            <w:pStyle w:val="TOC2"/>
            <w:tabs>
              <w:tab w:val="right" w:leader="dot" w:pos="9350"/>
            </w:tabs>
            <w:rPr>
              <w:rFonts w:ascii="Times New Roman" w:hAnsi="Times New Roman"/>
              <w:noProof/>
            </w:rPr>
          </w:pPr>
          <w:hyperlink w:anchor="_Toc99089479" w:history="1">
            <w:r w:rsidR="005F14A1" w:rsidRPr="00C906A1">
              <w:rPr>
                <w:rStyle w:val="Hyperlink"/>
                <w:rFonts w:ascii="Times New Roman" w:hAnsi="Times New Roman"/>
                <w:noProof/>
              </w:rPr>
              <w:t>Literature Cited</w:t>
            </w:r>
            <w:r w:rsidR="005F14A1" w:rsidRPr="00C906A1">
              <w:rPr>
                <w:rFonts w:ascii="Times New Roman" w:hAnsi="Times New Roman"/>
                <w:noProof/>
                <w:webHidden/>
              </w:rPr>
              <w:tab/>
            </w:r>
            <w:r w:rsidR="005F14A1" w:rsidRPr="00C906A1">
              <w:rPr>
                <w:rFonts w:ascii="Times New Roman" w:hAnsi="Times New Roman"/>
                <w:noProof/>
                <w:webHidden/>
              </w:rPr>
              <w:fldChar w:fldCharType="begin"/>
            </w:r>
            <w:r w:rsidR="005F14A1" w:rsidRPr="00C906A1">
              <w:rPr>
                <w:rFonts w:ascii="Times New Roman" w:hAnsi="Times New Roman"/>
                <w:noProof/>
                <w:webHidden/>
              </w:rPr>
              <w:instrText xml:space="preserve"> PAGEREF _Toc99089479 \h </w:instrText>
            </w:r>
            <w:r w:rsidR="005F14A1" w:rsidRPr="00C906A1">
              <w:rPr>
                <w:rFonts w:ascii="Times New Roman" w:hAnsi="Times New Roman"/>
                <w:noProof/>
                <w:webHidden/>
              </w:rPr>
            </w:r>
            <w:r w:rsidR="005F14A1" w:rsidRPr="00C906A1">
              <w:rPr>
                <w:rFonts w:ascii="Times New Roman" w:hAnsi="Times New Roman"/>
                <w:noProof/>
                <w:webHidden/>
              </w:rPr>
              <w:fldChar w:fldCharType="separate"/>
            </w:r>
            <w:r w:rsidR="001A53A1">
              <w:rPr>
                <w:rFonts w:ascii="Times New Roman" w:hAnsi="Times New Roman"/>
                <w:noProof/>
                <w:webHidden/>
              </w:rPr>
              <w:t>9</w:t>
            </w:r>
            <w:r w:rsidR="005F14A1" w:rsidRPr="00C906A1">
              <w:rPr>
                <w:rFonts w:ascii="Times New Roman" w:hAnsi="Times New Roman"/>
                <w:noProof/>
                <w:webHidden/>
              </w:rPr>
              <w:fldChar w:fldCharType="end"/>
            </w:r>
          </w:hyperlink>
        </w:p>
        <w:p w14:paraId="47E5639D" w14:textId="48B44213" w:rsidR="005F14A1" w:rsidRPr="00C906A1" w:rsidRDefault="00593FFF" w:rsidP="004235F3">
          <w:pPr>
            <w:pStyle w:val="TOC1"/>
            <w:rPr>
              <w:rFonts w:ascii="Times New Roman" w:hAnsi="Times New Roman"/>
              <w:noProof/>
            </w:rPr>
          </w:pPr>
          <w:hyperlink w:anchor="_Toc99089480" w:history="1">
            <w:r w:rsidR="005F14A1" w:rsidRPr="00C906A1">
              <w:rPr>
                <w:rStyle w:val="Hyperlink"/>
                <w:rFonts w:ascii="Times New Roman" w:hAnsi="Times New Roman"/>
                <w:noProof/>
              </w:rPr>
              <w:t>CHAPTER I EFFECT OF HERBICIDE CONCENTRATION ON ATRAZINE, PYROXASULFONE, AND SAFLUFENACIL DISSIPATION UNDER FIELD AND LAB CONDITIONS</w:t>
            </w:r>
            <w:r w:rsidR="005F14A1" w:rsidRPr="00C906A1">
              <w:rPr>
                <w:rFonts w:ascii="Times New Roman" w:hAnsi="Times New Roman"/>
                <w:noProof/>
                <w:webHidden/>
              </w:rPr>
              <w:tab/>
            </w:r>
            <w:r w:rsidR="005F14A1" w:rsidRPr="00C906A1">
              <w:rPr>
                <w:rFonts w:ascii="Times New Roman" w:hAnsi="Times New Roman"/>
                <w:noProof/>
                <w:webHidden/>
              </w:rPr>
              <w:fldChar w:fldCharType="begin"/>
            </w:r>
            <w:r w:rsidR="005F14A1" w:rsidRPr="00C906A1">
              <w:rPr>
                <w:rFonts w:ascii="Times New Roman" w:hAnsi="Times New Roman"/>
                <w:noProof/>
                <w:webHidden/>
              </w:rPr>
              <w:instrText xml:space="preserve"> PAGEREF _Toc99089480 \h </w:instrText>
            </w:r>
            <w:r w:rsidR="005F14A1" w:rsidRPr="00C906A1">
              <w:rPr>
                <w:rFonts w:ascii="Times New Roman" w:hAnsi="Times New Roman"/>
                <w:noProof/>
                <w:webHidden/>
              </w:rPr>
            </w:r>
            <w:r w:rsidR="005F14A1" w:rsidRPr="00C906A1">
              <w:rPr>
                <w:rFonts w:ascii="Times New Roman" w:hAnsi="Times New Roman"/>
                <w:noProof/>
                <w:webHidden/>
              </w:rPr>
              <w:fldChar w:fldCharType="separate"/>
            </w:r>
            <w:r w:rsidR="001A53A1">
              <w:rPr>
                <w:rFonts w:ascii="Times New Roman" w:hAnsi="Times New Roman"/>
                <w:noProof/>
                <w:webHidden/>
              </w:rPr>
              <w:t>14</w:t>
            </w:r>
            <w:r w:rsidR="005F14A1" w:rsidRPr="00C906A1">
              <w:rPr>
                <w:rFonts w:ascii="Times New Roman" w:hAnsi="Times New Roman"/>
                <w:noProof/>
                <w:webHidden/>
              </w:rPr>
              <w:fldChar w:fldCharType="end"/>
            </w:r>
          </w:hyperlink>
        </w:p>
        <w:p w14:paraId="462B50E8" w14:textId="2DE3B72D" w:rsidR="005F14A1" w:rsidRPr="00C906A1" w:rsidRDefault="00593FFF">
          <w:pPr>
            <w:pStyle w:val="TOC2"/>
            <w:tabs>
              <w:tab w:val="right" w:leader="dot" w:pos="9350"/>
            </w:tabs>
            <w:rPr>
              <w:rFonts w:ascii="Times New Roman" w:hAnsi="Times New Roman"/>
              <w:noProof/>
            </w:rPr>
          </w:pPr>
          <w:hyperlink w:anchor="_Toc99089481" w:history="1">
            <w:r w:rsidR="005F14A1" w:rsidRPr="00C906A1">
              <w:rPr>
                <w:rStyle w:val="Hyperlink"/>
                <w:rFonts w:ascii="Times New Roman" w:hAnsi="Times New Roman"/>
                <w:noProof/>
              </w:rPr>
              <w:t>Abstract</w:t>
            </w:r>
            <w:r w:rsidR="005F14A1" w:rsidRPr="00C906A1">
              <w:rPr>
                <w:rFonts w:ascii="Times New Roman" w:hAnsi="Times New Roman"/>
                <w:noProof/>
                <w:webHidden/>
              </w:rPr>
              <w:tab/>
            </w:r>
            <w:r w:rsidR="005F14A1" w:rsidRPr="00C906A1">
              <w:rPr>
                <w:rFonts w:ascii="Times New Roman" w:hAnsi="Times New Roman"/>
                <w:noProof/>
                <w:webHidden/>
              </w:rPr>
              <w:fldChar w:fldCharType="begin"/>
            </w:r>
            <w:r w:rsidR="005F14A1" w:rsidRPr="00C906A1">
              <w:rPr>
                <w:rFonts w:ascii="Times New Roman" w:hAnsi="Times New Roman"/>
                <w:noProof/>
                <w:webHidden/>
              </w:rPr>
              <w:instrText xml:space="preserve"> PAGEREF _Toc99089481 \h </w:instrText>
            </w:r>
            <w:r w:rsidR="005F14A1" w:rsidRPr="00C906A1">
              <w:rPr>
                <w:rFonts w:ascii="Times New Roman" w:hAnsi="Times New Roman"/>
                <w:noProof/>
                <w:webHidden/>
              </w:rPr>
            </w:r>
            <w:r w:rsidR="005F14A1" w:rsidRPr="00C906A1">
              <w:rPr>
                <w:rFonts w:ascii="Times New Roman" w:hAnsi="Times New Roman"/>
                <w:noProof/>
                <w:webHidden/>
              </w:rPr>
              <w:fldChar w:fldCharType="separate"/>
            </w:r>
            <w:r w:rsidR="001A53A1">
              <w:rPr>
                <w:rFonts w:ascii="Times New Roman" w:hAnsi="Times New Roman"/>
                <w:noProof/>
                <w:webHidden/>
              </w:rPr>
              <w:t>15</w:t>
            </w:r>
            <w:r w:rsidR="005F14A1" w:rsidRPr="00C906A1">
              <w:rPr>
                <w:rFonts w:ascii="Times New Roman" w:hAnsi="Times New Roman"/>
                <w:noProof/>
                <w:webHidden/>
              </w:rPr>
              <w:fldChar w:fldCharType="end"/>
            </w:r>
          </w:hyperlink>
        </w:p>
        <w:p w14:paraId="06CBAA14" w14:textId="0937A3A6" w:rsidR="005F14A1" w:rsidRPr="00C906A1" w:rsidRDefault="00593FFF">
          <w:pPr>
            <w:pStyle w:val="TOC2"/>
            <w:tabs>
              <w:tab w:val="right" w:leader="dot" w:pos="9350"/>
            </w:tabs>
            <w:rPr>
              <w:rFonts w:ascii="Times New Roman" w:hAnsi="Times New Roman"/>
              <w:noProof/>
            </w:rPr>
          </w:pPr>
          <w:hyperlink w:anchor="_Toc99089482" w:history="1">
            <w:r w:rsidR="005F14A1" w:rsidRPr="00C906A1">
              <w:rPr>
                <w:rStyle w:val="Hyperlink"/>
                <w:rFonts w:ascii="Times New Roman" w:hAnsi="Times New Roman"/>
                <w:noProof/>
              </w:rPr>
              <w:t>Introduction</w:t>
            </w:r>
            <w:r w:rsidR="005F14A1" w:rsidRPr="00C906A1">
              <w:rPr>
                <w:rFonts w:ascii="Times New Roman" w:hAnsi="Times New Roman"/>
                <w:noProof/>
                <w:webHidden/>
              </w:rPr>
              <w:tab/>
            </w:r>
            <w:r w:rsidR="005F14A1" w:rsidRPr="00C906A1">
              <w:rPr>
                <w:rFonts w:ascii="Times New Roman" w:hAnsi="Times New Roman"/>
                <w:noProof/>
                <w:webHidden/>
              </w:rPr>
              <w:fldChar w:fldCharType="begin"/>
            </w:r>
            <w:r w:rsidR="005F14A1" w:rsidRPr="00C906A1">
              <w:rPr>
                <w:rFonts w:ascii="Times New Roman" w:hAnsi="Times New Roman"/>
                <w:noProof/>
                <w:webHidden/>
              </w:rPr>
              <w:instrText xml:space="preserve"> PAGEREF _Toc99089482 \h </w:instrText>
            </w:r>
            <w:r w:rsidR="005F14A1" w:rsidRPr="00C906A1">
              <w:rPr>
                <w:rFonts w:ascii="Times New Roman" w:hAnsi="Times New Roman"/>
                <w:noProof/>
                <w:webHidden/>
              </w:rPr>
            </w:r>
            <w:r w:rsidR="005F14A1" w:rsidRPr="00C906A1">
              <w:rPr>
                <w:rFonts w:ascii="Times New Roman" w:hAnsi="Times New Roman"/>
                <w:noProof/>
                <w:webHidden/>
              </w:rPr>
              <w:fldChar w:fldCharType="separate"/>
            </w:r>
            <w:r w:rsidR="001A53A1">
              <w:rPr>
                <w:rFonts w:ascii="Times New Roman" w:hAnsi="Times New Roman"/>
                <w:noProof/>
                <w:webHidden/>
              </w:rPr>
              <w:t>17</w:t>
            </w:r>
            <w:r w:rsidR="005F14A1" w:rsidRPr="00C906A1">
              <w:rPr>
                <w:rFonts w:ascii="Times New Roman" w:hAnsi="Times New Roman"/>
                <w:noProof/>
                <w:webHidden/>
              </w:rPr>
              <w:fldChar w:fldCharType="end"/>
            </w:r>
          </w:hyperlink>
        </w:p>
        <w:p w14:paraId="4E4873EB" w14:textId="7675C5AC" w:rsidR="005F14A1" w:rsidRPr="00C906A1" w:rsidRDefault="00593FFF">
          <w:pPr>
            <w:pStyle w:val="TOC2"/>
            <w:tabs>
              <w:tab w:val="right" w:leader="dot" w:pos="9350"/>
            </w:tabs>
            <w:rPr>
              <w:rFonts w:ascii="Times New Roman" w:hAnsi="Times New Roman"/>
              <w:noProof/>
            </w:rPr>
          </w:pPr>
          <w:hyperlink w:anchor="_Toc99089483" w:history="1">
            <w:r w:rsidR="005F14A1" w:rsidRPr="00C906A1">
              <w:rPr>
                <w:rStyle w:val="Hyperlink"/>
                <w:rFonts w:ascii="Times New Roman" w:hAnsi="Times New Roman"/>
                <w:noProof/>
              </w:rPr>
              <w:t>Materials and Methods</w:t>
            </w:r>
            <w:r w:rsidR="005F14A1" w:rsidRPr="00C906A1">
              <w:rPr>
                <w:rFonts w:ascii="Times New Roman" w:hAnsi="Times New Roman"/>
                <w:noProof/>
                <w:webHidden/>
              </w:rPr>
              <w:tab/>
            </w:r>
            <w:r w:rsidR="005F14A1" w:rsidRPr="00C906A1">
              <w:rPr>
                <w:rFonts w:ascii="Times New Roman" w:hAnsi="Times New Roman"/>
                <w:noProof/>
                <w:webHidden/>
              </w:rPr>
              <w:fldChar w:fldCharType="begin"/>
            </w:r>
            <w:r w:rsidR="005F14A1" w:rsidRPr="00C906A1">
              <w:rPr>
                <w:rFonts w:ascii="Times New Roman" w:hAnsi="Times New Roman"/>
                <w:noProof/>
                <w:webHidden/>
              </w:rPr>
              <w:instrText xml:space="preserve"> PAGEREF _Toc99089483 \h </w:instrText>
            </w:r>
            <w:r w:rsidR="005F14A1" w:rsidRPr="00C906A1">
              <w:rPr>
                <w:rFonts w:ascii="Times New Roman" w:hAnsi="Times New Roman"/>
                <w:noProof/>
                <w:webHidden/>
              </w:rPr>
            </w:r>
            <w:r w:rsidR="005F14A1" w:rsidRPr="00C906A1">
              <w:rPr>
                <w:rFonts w:ascii="Times New Roman" w:hAnsi="Times New Roman"/>
                <w:noProof/>
                <w:webHidden/>
              </w:rPr>
              <w:fldChar w:fldCharType="separate"/>
            </w:r>
            <w:r w:rsidR="001A53A1">
              <w:rPr>
                <w:rFonts w:ascii="Times New Roman" w:hAnsi="Times New Roman"/>
                <w:noProof/>
                <w:webHidden/>
              </w:rPr>
              <w:t>22</w:t>
            </w:r>
            <w:r w:rsidR="005F14A1" w:rsidRPr="00C906A1">
              <w:rPr>
                <w:rFonts w:ascii="Times New Roman" w:hAnsi="Times New Roman"/>
                <w:noProof/>
                <w:webHidden/>
              </w:rPr>
              <w:fldChar w:fldCharType="end"/>
            </w:r>
          </w:hyperlink>
        </w:p>
        <w:p w14:paraId="4C93D01E" w14:textId="29C909D7" w:rsidR="005F14A1" w:rsidRPr="00C906A1" w:rsidRDefault="00593FFF">
          <w:pPr>
            <w:pStyle w:val="TOC2"/>
            <w:tabs>
              <w:tab w:val="right" w:leader="dot" w:pos="9350"/>
            </w:tabs>
            <w:rPr>
              <w:rFonts w:ascii="Times New Roman" w:hAnsi="Times New Roman"/>
              <w:noProof/>
            </w:rPr>
          </w:pPr>
          <w:hyperlink w:anchor="_Toc99089484" w:history="1">
            <w:r w:rsidR="005F14A1" w:rsidRPr="00C906A1">
              <w:rPr>
                <w:rStyle w:val="Hyperlink"/>
                <w:rFonts w:ascii="Times New Roman" w:hAnsi="Times New Roman"/>
                <w:noProof/>
              </w:rPr>
              <w:t>Results and Discussion</w:t>
            </w:r>
            <w:r w:rsidR="005F14A1" w:rsidRPr="00C906A1">
              <w:rPr>
                <w:rFonts w:ascii="Times New Roman" w:hAnsi="Times New Roman"/>
                <w:noProof/>
                <w:webHidden/>
              </w:rPr>
              <w:tab/>
            </w:r>
            <w:r w:rsidR="005F14A1" w:rsidRPr="00C906A1">
              <w:rPr>
                <w:rFonts w:ascii="Times New Roman" w:hAnsi="Times New Roman"/>
                <w:noProof/>
                <w:webHidden/>
              </w:rPr>
              <w:fldChar w:fldCharType="begin"/>
            </w:r>
            <w:r w:rsidR="005F14A1" w:rsidRPr="00C906A1">
              <w:rPr>
                <w:rFonts w:ascii="Times New Roman" w:hAnsi="Times New Roman"/>
                <w:noProof/>
                <w:webHidden/>
              </w:rPr>
              <w:instrText xml:space="preserve"> PAGEREF _Toc99089484 \h </w:instrText>
            </w:r>
            <w:r w:rsidR="005F14A1" w:rsidRPr="00C906A1">
              <w:rPr>
                <w:rFonts w:ascii="Times New Roman" w:hAnsi="Times New Roman"/>
                <w:noProof/>
                <w:webHidden/>
              </w:rPr>
            </w:r>
            <w:r w:rsidR="005F14A1" w:rsidRPr="00C906A1">
              <w:rPr>
                <w:rFonts w:ascii="Times New Roman" w:hAnsi="Times New Roman"/>
                <w:noProof/>
                <w:webHidden/>
              </w:rPr>
              <w:fldChar w:fldCharType="separate"/>
            </w:r>
            <w:r w:rsidR="001A53A1">
              <w:rPr>
                <w:rFonts w:ascii="Times New Roman" w:hAnsi="Times New Roman"/>
                <w:noProof/>
                <w:webHidden/>
              </w:rPr>
              <w:t>27</w:t>
            </w:r>
            <w:r w:rsidR="005F14A1" w:rsidRPr="00C906A1">
              <w:rPr>
                <w:rFonts w:ascii="Times New Roman" w:hAnsi="Times New Roman"/>
                <w:noProof/>
                <w:webHidden/>
              </w:rPr>
              <w:fldChar w:fldCharType="end"/>
            </w:r>
          </w:hyperlink>
        </w:p>
        <w:p w14:paraId="5DA3EF41" w14:textId="1B76C064" w:rsidR="005F14A1" w:rsidRPr="00C906A1" w:rsidRDefault="00593FFF">
          <w:pPr>
            <w:pStyle w:val="TOC2"/>
            <w:tabs>
              <w:tab w:val="right" w:leader="dot" w:pos="9350"/>
            </w:tabs>
            <w:rPr>
              <w:rFonts w:ascii="Times New Roman" w:hAnsi="Times New Roman"/>
              <w:noProof/>
            </w:rPr>
          </w:pPr>
          <w:hyperlink w:anchor="_Toc99089485" w:history="1">
            <w:r w:rsidR="005F14A1" w:rsidRPr="00C906A1">
              <w:rPr>
                <w:rStyle w:val="Hyperlink"/>
                <w:rFonts w:ascii="Times New Roman" w:hAnsi="Times New Roman"/>
                <w:noProof/>
              </w:rPr>
              <w:t>Literature Cited</w:t>
            </w:r>
            <w:r w:rsidR="005F14A1" w:rsidRPr="00C906A1">
              <w:rPr>
                <w:rFonts w:ascii="Times New Roman" w:hAnsi="Times New Roman"/>
                <w:noProof/>
                <w:webHidden/>
              </w:rPr>
              <w:tab/>
            </w:r>
            <w:r w:rsidR="005F14A1" w:rsidRPr="00C906A1">
              <w:rPr>
                <w:rFonts w:ascii="Times New Roman" w:hAnsi="Times New Roman"/>
                <w:noProof/>
                <w:webHidden/>
              </w:rPr>
              <w:fldChar w:fldCharType="begin"/>
            </w:r>
            <w:r w:rsidR="005F14A1" w:rsidRPr="00C906A1">
              <w:rPr>
                <w:rFonts w:ascii="Times New Roman" w:hAnsi="Times New Roman"/>
                <w:noProof/>
                <w:webHidden/>
              </w:rPr>
              <w:instrText xml:space="preserve"> PAGEREF _Toc99089485 \h </w:instrText>
            </w:r>
            <w:r w:rsidR="005F14A1" w:rsidRPr="00C906A1">
              <w:rPr>
                <w:rFonts w:ascii="Times New Roman" w:hAnsi="Times New Roman"/>
                <w:noProof/>
                <w:webHidden/>
              </w:rPr>
            </w:r>
            <w:r w:rsidR="005F14A1" w:rsidRPr="00C906A1">
              <w:rPr>
                <w:rFonts w:ascii="Times New Roman" w:hAnsi="Times New Roman"/>
                <w:noProof/>
                <w:webHidden/>
              </w:rPr>
              <w:fldChar w:fldCharType="separate"/>
            </w:r>
            <w:r w:rsidR="001A53A1">
              <w:rPr>
                <w:rFonts w:ascii="Times New Roman" w:hAnsi="Times New Roman"/>
                <w:noProof/>
                <w:webHidden/>
              </w:rPr>
              <w:t>37</w:t>
            </w:r>
            <w:r w:rsidR="005F14A1" w:rsidRPr="00C906A1">
              <w:rPr>
                <w:rFonts w:ascii="Times New Roman" w:hAnsi="Times New Roman"/>
                <w:noProof/>
                <w:webHidden/>
              </w:rPr>
              <w:fldChar w:fldCharType="end"/>
            </w:r>
          </w:hyperlink>
        </w:p>
        <w:p w14:paraId="751E8114" w14:textId="0FC5FA42" w:rsidR="005F14A1" w:rsidRPr="00C906A1" w:rsidRDefault="00593FFF" w:rsidP="004235F3">
          <w:pPr>
            <w:pStyle w:val="TOC1"/>
            <w:rPr>
              <w:rFonts w:ascii="Times New Roman" w:hAnsi="Times New Roman"/>
              <w:noProof/>
            </w:rPr>
          </w:pPr>
          <w:hyperlink w:anchor="_Toc99089486" w:history="1">
            <w:r w:rsidR="005F14A1" w:rsidRPr="00C906A1">
              <w:rPr>
                <w:rStyle w:val="Hyperlink"/>
                <w:rFonts w:ascii="Times New Roman" w:hAnsi="Times New Roman"/>
                <w:noProof/>
              </w:rPr>
              <w:t>CONCLUSIONS</w:t>
            </w:r>
            <w:r w:rsidR="005F14A1" w:rsidRPr="00C906A1">
              <w:rPr>
                <w:rFonts w:ascii="Times New Roman" w:hAnsi="Times New Roman"/>
                <w:noProof/>
                <w:webHidden/>
              </w:rPr>
              <w:tab/>
            </w:r>
            <w:r w:rsidR="005F14A1" w:rsidRPr="00C906A1">
              <w:rPr>
                <w:rFonts w:ascii="Times New Roman" w:hAnsi="Times New Roman"/>
                <w:noProof/>
                <w:webHidden/>
              </w:rPr>
              <w:fldChar w:fldCharType="begin"/>
            </w:r>
            <w:r w:rsidR="005F14A1" w:rsidRPr="00C906A1">
              <w:rPr>
                <w:rFonts w:ascii="Times New Roman" w:hAnsi="Times New Roman"/>
                <w:noProof/>
                <w:webHidden/>
              </w:rPr>
              <w:instrText xml:space="preserve"> PAGEREF _Toc99089486 \h </w:instrText>
            </w:r>
            <w:r w:rsidR="005F14A1" w:rsidRPr="00C906A1">
              <w:rPr>
                <w:rFonts w:ascii="Times New Roman" w:hAnsi="Times New Roman"/>
                <w:noProof/>
                <w:webHidden/>
              </w:rPr>
            </w:r>
            <w:r w:rsidR="005F14A1" w:rsidRPr="00C906A1">
              <w:rPr>
                <w:rFonts w:ascii="Times New Roman" w:hAnsi="Times New Roman"/>
                <w:noProof/>
                <w:webHidden/>
              </w:rPr>
              <w:fldChar w:fldCharType="separate"/>
            </w:r>
            <w:r w:rsidR="001A53A1">
              <w:rPr>
                <w:rFonts w:ascii="Times New Roman" w:hAnsi="Times New Roman"/>
                <w:noProof/>
                <w:webHidden/>
              </w:rPr>
              <w:t>63</w:t>
            </w:r>
            <w:r w:rsidR="005F14A1" w:rsidRPr="00C906A1">
              <w:rPr>
                <w:rFonts w:ascii="Times New Roman" w:hAnsi="Times New Roman"/>
                <w:noProof/>
                <w:webHidden/>
              </w:rPr>
              <w:fldChar w:fldCharType="end"/>
            </w:r>
          </w:hyperlink>
        </w:p>
        <w:p w14:paraId="2E4ACEC2" w14:textId="5D254B4E" w:rsidR="005F14A1" w:rsidRPr="00C906A1" w:rsidRDefault="00593FFF" w:rsidP="004235F3">
          <w:pPr>
            <w:pStyle w:val="TOC1"/>
            <w:rPr>
              <w:rFonts w:ascii="Times New Roman" w:hAnsi="Times New Roman"/>
              <w:noProof/>
            </w:rPr>
          </w:pPr>
          <w:hyperlink w:anchor="_Toc99089487" w:history="1">
            <w:r w:rsidR="005F14A1" w:rsidRPr="00C906A1">
              <w:rPr>
                <w:rStyle w:val="Hyperlink"/>
                <w:rFonts w:ascii="Times New Roman" w:hAnsi="Times New Roman"/>
                <w:noProof/>
              </w:rPr>
              <w:t>VITA</w:t>
            </w:r>
            <w:r w:rsidR="005F14A1" w:rsidRPr="00C906A1">
              <w:rPr>
                <w:rFonts w:ascii="Times New Roman" w:hAnsi="Times New Roman"/>
                <w:noProof/>
                <w:webHidden/>
              </w:rPr>
              <w:tab/>
            </w:r>
            <w:r w:rsidR="005F14A1" w:rsidRPr="00C906A1">
              <w:rPr>
                <w:rFonts w:ascii="Times New Roman" w:hAnsi="Times New Roman"/>
                <w:noProof/>
                <w:webHidden/>
              </w:rPr>
              <w:fldChar w:fldCharType="begin"/>
            </w:r>
            <w:r w:rsidR="005F14A1" w:rsidRPr="00C906A1">
              <w:rPr>
                <w:rFonts w:ascii="Times New Roman" w:hAnsi="Times New Roman"/>
                <w:noProof/>
                <w:webHidden/>
              </w:rPr>
              <w:instrText xml:space="preserve"> PAGEREF _Toc99089487 \h </w:instrText>
            </w:r>
            <w:r w:rsidR="005F14A1" w:rsidRPr="00C906A1">
              <w:rPr>
                <w:rFonts w:ascii="Times New Roman" w:hAnsi="Times New Roman"/>
                <w:noProof/>
                <w:webHidden/>
              </w:rPr>
            </w:r>
            <w:r w:rsidR="005F14A1" w:rsidRPr="00C906A1">
              <w:rPr>
                <w:rFonts w:ascii="Times New Roman" w:hAnsi="Times New Roman"/>
                <w:noProof/>
                <w:webHidden/>
              </w:rPr>
              <w:fldChar w:fldCharType="separate"/>
            </w:r>
            <w:r w:rsidR="001A53A1">
              <w:rPr>
                <w:rFonts w:ascii="Times New Roman" w:hAnsi="Times New Roman"/>
                <w:noProof/>
                <w:webHidden/>
              </w:rPr>
              <w:t>67</w:t>
            </w:r>
            <w:r w:rsidR="005F14A1" w:rsidRPr="00C906A1">
              <w:rPr>
                <w:rFonts w:ascii="Times New Roman" w:hAnsi="Times New Roman"/>
                <w:noProof/>
                <w:webHidden/>
              </w:rPr>
              <w:fldChar w:fldCharType="end"/>
            </w:r>
          </w:hyperlink>
        </w:p>
        <w:p w14:paraId="40AD4764" w14:textId="316B5842" w:rsidR="00557AF5" w:rsidRPr="00C906A1" w:rsidRDefault="00557AF5">
          <w:pPr>
            <w:rPr>
              <w:rFonts w:ascii="Times New Roman" w:hAnsi="Times New Roman" w:cs="Times New Roman"/>
            </w:rPr>
          </w:pPr>
          <w:r w:rsidRPr="00C906A1">
            <w:rPr>
              <w:rFonts w:ascii="Times New Roman" w:hAnsi="Times New Roman" w:cs="Times New Roman"/>
              <w:bCs/>
              <w:noProof/>
            </w:rPr>
            <w:fldChar w:fldCharType="end"/>
          </w:r>
        </w:p>
      </w:sdtContent>
    </w:sdt>
    <w:p w14:paraId="06A1BF47" w14:textId="5F0E4040" w:rsidR="00210521" w:rsidRDefault="00210521" w:rsidP="00210521">
      <w:pPr>
        <w:rPr>
          <w:rFonts w:ascii="Times New Roman" w:hAnsi="Times New Roman" w:cs="Times New Roman"/>
          <w:sz w:val="24"/>
          <w:szCs w:val="24"/>
        </w:rPr>
      </w:pPr>
    </w:p>
    <w:p w14:paraId="14581A9D" w14:textId="2A687B20" w:rsidR="00210521" w:rsidRPr="00210521" w:rsidRDefault="00210521" w:rsidP="00210521">
      <w:pPr>
        <w:rPr>
          <w:rFonts w:ascii="Times New Roman" w:hAnsi="Times New Roman" w:cs="Times New Roman"/>
          <w:sz w:val="24"/>
          <w:szCs w:val="24"/>
        </w:rPr>
      </w:pPr>
    </w:p>
    <w:p w14:paraId="3A09D83A" w14:textId="77777777" w:rsidR="005A5089" w:rsidRDefault="005A5089" w:rsidP="005A5089">
      <w:pPr>
        <w:jc w:val="center"/>
        <w:rPr>
          <w:rFonts w:ascii="Times New Roman" w:hAnsi="Times New Roman" w:cs="Times New Roman"/>
          <w:b/>
          <w:sz w:val="24"/>
          <w:szCs w:val="24"/>
        </w:rPr>
      </w:pPr>
    </w:p>
    <w:p w14:paraId="26B90383" w14:textId="77777777" w:rsidR="005A5089" w:rsidRDefault="005A5089" w:rsidP="005A5089">
      <w:pPr>
        <w:jc w:val="center"/>
        <w:rPr>
          <w:rFonts w:ascii="Times New Roman" w:hAnsi="Times New Roman" w:cs="Times New Roman"/>
          <w:b/>
          <w:sz w:val="24"/>
          <w:szCs w:val="24"/>
        </w:rPr>
      </w:pPr>
    </w:p>
    <w:p w14:paraId="22C87549" w14:textId="77777777" w:rsidR="005A5089" w:rsidRDefault="005A5089" w:rsidP="005A5089">
      <w:pPr>
        <w:jc w:val="center"/>
        <w:rPr>
          <w:rFonts w:ascii="Times New Roman" w:hAnsi="Times New Roman" w:cs="Times New Roman"/>
          <w:b/>
          <w:sz w:val="24"/>
          <w:szCs w:val="24"/>
        </w:rPr>
      </w:pPr>
    </w:p>
    <w:p w14:paraId="7F4829F0" w14:textId="77777777" w:rsidR="005A5089" w:rsidRDefault="005A5089" w:rsidP="005A5089">
      <w:pPr>
        <w:jc w:val="center"/>
        <w:rPr>
          <w:rFonts w:ascii="Times New Roman" w:hAnsi="Times New Roman" w:cs="Times New Roman"/>
          <w:b/>
          <w:sz w:val="24"/>
          <w:szCs w:val="24"/>
        </w:rPr>
        <w:sectPr w:rsidR="005A5089" w:rsidSect="0035568D">
          <w:pgSz w:w="12240" w:h="15840"/>
          <w:pgMar w:top="1440" w:right="1440" w:bottom="1440" w:left="1440" w:header="720" w:footer="720" w:gutter="0"/>
          <w:pgNumType w:fmt="lowerRoman"/>
          <w:cols w:space="720"/>
          <w:docGrid w:linePitch="360"/>
        </w:sectPr>
      </w:pPr>
    </w:p>
    <w:p w14:paraId="7AE498A2" w14:textId="2733DB8F" w:rsidR="003E4C1F" w:rsidRDefault="003E4C1F" w:rsidP="003E4C1F">
      <w:pPr>
        <w:jc w:val="center"/>
        <w:rPr>
          <w:rFonts w:ascii="Times New Roman" w:hAnsi="Times New Roman" w:cs="Times New Roman"/>
          <w:b/>
          <w:sz w:val="24"/>
          <w:szCs w:val="24"/>
        </w:rPr>
      </w:pPr>
      <w:r>
        <w:rPr>
          <w:rFonts w:ascii="Times New Roman" w:hAnsi="Times New Roman" w:cs="Times New Roman"/>
          <w:b/>
          <w:sz w:val="24"/>
          <w:szCs w:val="24"/>
        </w:rPr>
        <w:lastRenderedPageBreak/>
        <w:t>LIST OF TABLES</w:t>
      </w:r>
    </w:p>
    <w:p w14:paraId="0B7AD5AB" w14:textId="77777777" w:rsidR="00D14E3B" w:rsidRDefault="00D14E3B" w:rsidP="003E4C1F">
      <w:pPr>
        <w:jc w:val="center"/>
        <w:rPr>
          <w:rFonts w:ascii="Times New Roman" w:hAnsi="Times New Roman" w:cs="Times New Roman"/>
          <w:b/>
          <w:sz w:val="24"/>
          <w:szCs w:val="24"/>
        </w:rPr>
      </w:pPr>
    </w:p>
    <w:p w14:paraId="76CC7EAE" w14:textId="467BAFB1" w:rsidR="005F14A1" w:rsidRPr="00C906A1" w:rsidRDefault="003E4C1F" w:rsidP="004235F3">
      <w:pPr>
        <w:pStyle w:val="TableofFigures"/>
        <w:tabs>
          <w:tab w:val="right" w:leader="dot" w:pos="9350"/>
        </w:tabs>
        <w:spacing w:after="100"/>
        <w:rPr>
          <w:rFonts w:ascii="Times New Roman" w:eastAsiaTheme="minorEastAsia" w:hAnsi="Times New Roman" w:cs="Times New Roman"/>
          <w:noProof/>
        </w:rPr>
      </w:pPr>
      <w:r>
        <w:rPr>
          <w:rFonts w:ascii="Times New Roman" w:hAnsi="Times New Roman" w:cs="Times New Roman"/>
          <w:b/>
          <w:sz w:val="24"/>
          <w:szCs w:val="24"/>
        </w:rPr>
        <w:fldChar w:fldCharType="begin"/>
      </w:r>
      <w:r>
        <w:rPr>
          <w:rFonts w:ascii="Times New Roman" w:hAnsi="Times New Roman" w:cs="Times New Roman"/>
          <w:b/>
          <w:sz w:val="24"/>
          <w:szCs w:val="24"/>
        </w:rPr>
        <w:instrText xml:space="preserve"> TOC \h \z \c "Table" </w:instrText>
      </w:r>
      <w:r>
        <w:rPr>
          <w:rFonts w:ascii="Times New Roman" w:hAnsi="Times New Roman" w:cs="Times New Roman"/>
          <w:b/>
          <w:sz w:val="24"/>
          <w:szCs w:val="24"/>
        </w:rPr>
        <w:fldChar w:fldCharType="separate"/>
      </w:r>
      <w:hyperlink w:anchor="_Toc99089426" w:history="1">
        <w:r w:rsidR="005F14A1" w:rsidRPr="00C906A1">
          <w:rPr>
            <w:rStyle w:val="Hyperlink"/>
            <w:rFonts w:ascii="Times New Roman" w:hAnsi="Times New Roman" w:cs="Times New Roman"/>
            <w:noProof/>
          </w:rPr>
          <w:t>Table 1. Pertinent properties of soils used in dissipation experiments</w:t>
        </w:r>
        <w:r w:rsidR="005F14A1" w:rsidRPr="00C906A1">
          <w:rPr>
            <w:rStyle w:val="Hyperlink"/>
            <w:rFonts w:ascii="Times New Roman" w:hAnsi="Times New Roman" w:cs="Times New Roman"/>
            <w:noProof/>
            <w:vertAlign w:val="superscript"/>
          </w:rPr>
          <w:t>a</w:t>
        </w:r>
        <w:r w:rsidR="005F14A1" w:rsidRPr="00C906A1">
          <w:rPr>
            <w:rFonts w:ascii="Times New Roman" w:hAnsi="Times New Roman" w:cs="Times New Roman"/>
            <w:noProof/>
            <w:webHidden/>
          </w:rPr>
          <w:tab/>
        </w:r>
        <w:r w:rsidR="005F14A1" w:rsidRPr="00C906A1">
          <w:rPr>
            <w:rFonts w:ascii="Times New Roman" w:hAnsi="Times New Roman" w:cs="Times New Roman"/>
            <w:noProof/>
            <w:webHidden/>
          </w:rPr>
          <w:fldChar w:fldCharType="begin"/>
        </w:r>
        <w:r w:rsidR="005F14A1" w:rsidRPr="00C906A1">
          <w:rPr>
            <w:rFonts w:ascii="Times New Roman" w:hAnsi="Times New Roman" w:cs="Times New Roman"/>
            <w:noProof/>
            <w:webHidden/>
          </w:rPr>
          <w:instrText xml:space="preserve"> PAGEREF _Toc99089426 \h </w:instrText>
        </w:r>
        <w:r w:rsidR="005F14A1" w:rsidRPr="00C906A1">
          <w:rPr>
            <w:rFonts w:ascii="Times New Roman" w:hAnsi="Times New Roman" w:cs="Times New Roman"/>
            <w:noProof/>
            <w:webHidden/>
          </w:rPr>
        </w:r>
        <w:r w:rsidR="005F14A1" w:rsidRPr="00C906A1">
          <w:rPr>
            <w:rFonts w:ascii="Times New Roman" w:hAnsi="Times New Roman" w:cs="Times New Roman"/>
            <w:noProof/>
            <w:webHidden/>
          </w:rPr>
          <w:fldChar w:fldCharType="separate"/>
        </w:r>
        <w:r w:rsidR="001A53A1">
          <w:rPr>
            <w:rFonts w:ascii="Times New Roman" w:hAnsi="Times New Roman" w:cs="Times New Roman"/>
            <w:noProof/>
            <w:webHidden/>
          </w:rPr>
          <w:t>49</w:t>
        </w:r>
        <w:r w:rsidR="005F14A1" w:rsidRPr="00C906A1">
          <w:rPr>
            <w:rFonts w:ascii="Times New Roman" w:hAnsi="Times New Roman" w:cs="Times New Roman"/>
            <w:noProof/>
            <w:webHidden/>
          </w:rPr>
          <w:fldChar w:fldCharType="end"/>
        </w:r>
      </w:hyperlink>
    </w:p>
    <w:p w14:paraId="1E24C329" w14:textId="081DA732" w:rsidR="005F14A1" w:rsidRPr="00C906A1" w:rsidRDefault="00593FFF" w:rsidP="004235F3">
      <w:pPr>
        <w:pStyle w:val="TableofFigures"/>
        <w:tabs>
          <w:tab w:val="right" w:leader="dot" w:pos="9350"/>
        </w:tabs>
        <w:spacing w:after="100"/>
        <w:ind w:left="187" w:hanging="187"/>
        <w:rPr>
          <w:rFonts w:ascii="Times New Roman" w:eastAsiaTheme="minorEastAsia" w:hAnsi="Times New Roman" w:cs="Times New Roman"/>
          <w:noProof/>
        </w:rPr>
      </w:pPr>
      <w:hyperlink w:anchor="_Toc99089427" w:history="1">
        <w:r w:rsidR="005F14A1" w:rsidRPr="00C906A1">
          <w:rPr>
            <w:rStyle w:val="Hyperlink"/>
            <w:rFonts w:ascii="Times New Roman" w:hAnsi="Times New Roman" w:cs="Times New Roman"/>
            <w:noProof/>
          </w:rPr>
          <w:t>Table 2. Liquid chromatography - mass spectrometry methods for atrazine, pyroxasulfone, and saflufenacil</w:t>
        </w:r>
        <w:r w:rsidR="005F14A1" w:rsidRPr="00C906A1">
          <w:rPr>
            <w:rFonts w:ascii="Times New Roman" w:hAnsi="Times New Roman" w:cs="Times New Roman"/>
            <w:noProof/>
            <w:webHidden/>
          </w:rPr>
          <w:tab/>
        </w:r>
        <w:r w:rsidR="005F14A1" w:rsidRPr="00C906A1">
          <w:rPr>
            <w:rFonts w:ascii="Times New Roman" w:hAnsi="Times New Roman" w:cs="Times New Roman"/>
            <w:noProof/>
            <w:webHidden/>
          </w:rPr>
          <w:fldChar w:fldCharType="begin"/>
        </w:r>
        <w:r w:rsidR="005F14A1" w:rsidRPr="00C906A1">
          <w:rPr>
            <w:rFonts w:ascii="Times New Roman" w:hAnsi="Times New Roman" w:cs="Times New Roman"/>
            <w:noProof/>
            <w:webHidden/>
          </w:rPr>
          <w:instrText xml:space="preserve"> PAGEREF _Toc99089427 \h </w:instrText>
        </w:r>
        <w:r w:rsidR="005F14A1" w:rsidRPr="00C906A1">
          <w:rPr>
            <w:rFonts w:ascii="Times New Roman" w:hAnsi="Times New Roman" w:cs="Times New Roman"/>
            <w:noProof/>
            <w:webHidden/>
          </w:rPr>
        </w:r>
        <w:r w:rsidR="005F14A1" w:rsidRPr="00C906A1">
          <w:rPr>
            <w:rFonts w:ascii="Times New Roman" w:hAnsi="Times New Roman" w:cs="Times New Roman"/>
            <w:noProof/>
            <w:webHidden/>
          </w:rPr>
          <w:fldChar w:fldCharType="separate"/>
        </w:r>
        <w:r w:rsidR="001A53A1">
          <w:rPr>
            <w:rFonts w:ascii="Times New Roman" w:hAnsi="Times New Roman" w:cs="Times New Roman"/>
            <w:noProof/>
            <w:webHidden/>
          </w:rPr>
          <w:t>50</w:t>
        </w:r>
        <w:r w:rsidR="005F14A1" w:rsidRPr="00C906A1">
          <w:rPr>
            <w:rFonts w:ascii="Times New Roman" w:hAnsi="Times New Roman" w:cs="Times New Roman"/>
            <w:noProof/>
            <w:webHidden/>
          </w:rPr>
          <w:fldChar w:fldCharType="end"/>
        </w:r>
      </w:hyperlink>
    </w:p>
    <w:p w14:paraId="035FCFBE" w14:textId="4C5A3C80" w:rsidR="005F14A1" w:rsidRPr="00C906A1" w:rsidRDefault="00593FFF" w:rsidP="004235F3">
      <w:pPr>
        <w:pStyle w:val="TableofFigures"/>
        <w:tabs>
          <w:tab w:val="right" w:leader="dot" w:pos="9350"/>
        </w:tabs>
        <w:spacing w:after="100"/>
        <w:ind w:left="187" w:hanging="187"/>
        <w:rPr>
          <w:rFonts w:ascii="Times New Roman" w:eastAsiaTheme="minorEastAsia" w:hAnsi="Times New Roman" w:cs="Times New Roman"/>
          <w:noProof/>
        </w:rPr>
      </w:pPr>
      <w:hyperlink w:anchor="_Toc99089428" w:history="1">
        <w:r w:rsidR="005F14A1" w:rsidRPr="00C906A1">
          <w:rPr>
            <w:rStyle w:val="Hyperlink"/>
            <w:rFonts w:ascii="Times New Roman" w:hAnsi="Times New Roman" w:cs="Times New Roman"/>
            <w:noProof/>
          </w:rPr>
          <w:t>Table 3. 2019-2020 Field study regression coefficients, r</w:t>
        </w:r>
        <w:r w:rsidR="005F14A1" w:rsidRPr="00C906A1">
          <w:rPr>
            <w:rStyle w:val="Hyperlink"/>
            <w:rFonts w:ascii="Times New Roman" w:hAnsi="Times New Roman" w:cs="Times New Roman"/>
            <w:noProof/>
            <w:vertAlign w:val="superscript"/>
          </w:rPr>
          <w:t>2</w:t>
        </w:r>
        <w:r w:rsidR="005F14A1" w:rsidRPr="00C906A1">
          <w:rPr>
            <w:rStyle w:val="Hyperlink"/>
            <w:rFonts w:ascii="Times New Roman" w:hAnsi="Times New Roman" w:cs="Times New Roman"/>
            <w:noProof/>
          </w:rPr>
          <w:t xml:space="preserve"> values, and DT50 for atrazine, pyroxasulfone, and saflufenacil</w:t>
        </w:r>
        <w:r w:rsidR="005F14A1" w:rsidRPr="00C906A1">
          <w:rPr>
            <w:rFonts w:ascii="Times New Roman" w:hAnsi="Times New Roman" w:cs="Times New Roman"/>
            <w:noProof/>
            <w:webHidden/>
          </w:rPr>
          <w:tab/>
        </w:r>
        <w:r w:rsidR="005F14A1" w:rsidRPr="00C906A1">
          <w:rPr>
            <w:rFonts w:ascii="Times New Roman" w:hAnsi="Times New Roman" w:cs="Times New Roman"/>
            <w:noProof/>
            <w:webHidden/>
          </w:rPr>
          <w:fldChar w:fldCharType="begin"/>
        </w:r>
        <w:r w:rsidR="005F14A1" w:rsidRPr="00C906A1">
          <w:rPr>
            <w:rFonts w:ascii="Times New Roman" w:hAnsi="Times New Roman" w:cs="Times New Roman"/>
            <w:noProof/>
            <w:webHidden/>
          </w:rPr>
          <w:instrText xml:space="preserve"> PAGEREF _Toc99089428 \h </w:instrText>
        </w:r>
        <w:r w:rsidR="005F14A1" w:rsidRPr="00C906A1">
          <w:rPr>
            <w:rFonts w:ascii="Times New Roman" w:hAnsi="Times New Roman" w:cs="Times New Roman"/>
            <w:noProof/>
            <w:webHidden/>
          </w:rPr>
        </w:r>
        <w:r w:rsidR="005F14A1" w:rsidRPr="00C906A1">
          <w:rPr>
            <w:rFonts w:ascii="Times New Roman" w:hAnsi="Times New Roman" w:cs="Times New Roman"/>
            <w:noProof/>
            <w:webHidden/>
          </w:rPr>
          <w:fldChar w:fldCharType="separate"/>
        </w:r>
        <w:r w:rsidR="001A53A1">
          <w:rPr>
            <w:rFonts w:ascii="Times New Roman" w:hAnsi="Times New Roman" w:cs="Times New Roman"/>
            <w:noProof/>
            <w:webHidden/>
          </w:rPr>
          <w:t>51</w:t>
        </w:r>
        <w:r w:rsidR="005F14A1" w:rsidRPr="00C906A1">
          <w:rPr>
            <w:rFonts w:ascii="Times New Roman" w:hAnsi="Times New Roman" w:cs="Times New Roman"/>
            <w:noProof/>
            <w:webHidden/>
          </w:rPr>
          <w:fldChar w:fldCharType="end"/>
        </w:r>
      </w:hyperlink>
    </w:p>
    <w:p w14:paraId="0DB16951" w14:textId="0E004909" w:rsidR="005F14A1" w:rsidRPr="00C906A1" w:rsidRDefault="00593FFF" w:rsidP="004235F3">
      <w:pPr>
        <w:pStyle w:val="TableofFigures"/>
        <w:tabs>
          <w:tab w:val="right" w:leader="dot" w:pos="9350"/>
        </w:tabs>
        <w:spacing w:after="100"/>
        <w:ind w:left="187" w:hanging="187"/>
        <w:rPr>
          <w:rFonts w:ascii="Times New Roman" w:eastAsiaTheme="minorEastAsia" w:hAnsi="Times New Roman" w:cs="Times New Roman"/>
          <w:noProof/>
        </w:rPr>
      </w:pPr>
      <w:hyperlink w:anchor="_Toc99089429" w:history="1">
        <w:r w:rsidR="005F14A1" w:rsidRPr="00C906A1">
          <w:rPr>
            <w:rStyle w:val="Hyperlink"/>
            <w:rFonts w:ascii="Times New Roman" w:hAnsi="Times New Roman" w:cs="Times New Roman"/>
            <w:noProof/>
          </w:rPr>
          <w:t>Table 4. TN lab studies regression coefficients, r</w:t>
        </w:r>
        <w:r w:rsidR="005F14A1" w:rsidRPr="00C906A1">
          <w:rPr>
            <w:rStyle w:val="Hyperlink"/>
            <w:rFonts w:ascii="Times New Roman" w:hAnsi="Times New Roman" w:cs="Times New Roman"/>
            <w:noProof/>
            <w:vertAlign w:val="superscript"/>
          </w:rPr>
          <w:t>2</w:t>
        </w:r>
        <w:r w:rsidR="005F14A1" w:rsidRPr="00C906A1">
          <w:rPr>
            <w:rStyle w:val="Hyperlink"/>
            <w:rFonts w:ascii="Times New Roman" w:hAnsi="Times New Roman" w:cs="Times New Roman"/>
            <w:noProof/>
          </w:rPr>
          <w:t xml:space="preserve"> values, and DT50 for atrazine, pyroxasulfone, and saflufenacil</w:t>
        </w:r>
        <w:r w:rsidR="005F14A1" w:rsidRPr="00C906A1">
          <w:rPr>
            <w:rFonts w:ascii="Times New Roman" w:hAnsi="Times New Roman" w:cs="Times New Roman"/>
            <w:noProof/>
            <w:webHidden/>
          </w:rPr>
          <w:tab/>
        </w:r>
        <w:r w:rsidR="005F14A1" w:rsidRPr="00C906A1">
          <w:rPr>
            <w:rFonts w:ascii="Times New Roman" w:hAnsi="Times New Roman" w:cs="Times New Roman"/>
            <w:noProof/>
            <w:webHidden/>
          </w:rPr>
          <w:fldChar w:fldCharType="begin"/>
        </w:r>
        <w:r w:rsidR="005F14A1" w:rsidRPr="00C906A1">
          <w:rPr>
            <w:rFonts w:ascii="Times New Roman" w:hAnsi="Times New Roman" w:cs="Times New Roman"/>
            <w:noProof/>
            <w:webHidden/>
          </w:rPr>
          <w:instrText xml:space="preserve"> PAGEREF _Toc99089429 \h </w:instrText>
        </w:r>
        <w:r w:rsidR="005F14A1" w:rsidRPr="00C906A1">
          <w:rPr>
            <w:rFonts w:ascii="Times New Roman" w:hAnsi="Times New Roman" w:cs="Times New Roman"/>
            <w:noProof/>
            <w:webHidden/>
          </w:rPr>
        </w:r>
        <w:r w:rsidR="005F14A1" w:rsidRPr="00C906A1">
          <w:rPr>
            <w:rFonts w:ascii="Times New Roman" w:hAnsi="Times New Roman" w:cs="Times New Roman"/>
            <w:noProof/>
            <w:webHidden/>
          </w:rPr>
          <w:fldChar w:fldCharType="separate"/>
        </w:r>
        <w:r w:rsidR="001A53A1">
          <w:rPr>
            <w:rFonts w:ascii="Times New Roman" w:hAnsi="Times New Roman" w:cs="Times New Roman"/>
            <w:noProof/>
            <w:webHidden/>
          </w:rPr>
          <w:t>52</w:t>
        </w:r>
        <w:r w:rsidR="005F14A1" w:rsidRPr="00C906A1">
          <w:rPr>
            <w:rFonts w:ascii="Times New Roman" w:hAnsi="Times New Roman" w:cs="Times New Roman"/>
            <w:noProof/>
            <w:webHidden/>
          </w:rPr>
          <w:fldChar w:fldCharType="end"/>
        </w:r>
      </w:hyperlink>
    </w:p>
    <w:p w14:paraId="6A22123A" w14:textId="331B3C2D" w:rsidR="005F14A1" w:rsidRPr="00C906A1" w:rsidRDefault="00593FFF" w:rsidP="005F14A1">
      <w:pPr>
        <w:pStyle w:val="TableofFigures"/>
        <w:tabs>
          <w:tab w:val="right" w:leader="dot" w:pos="9350"/>
        </w:tabs>
        <w:ind w:left="180" w:hanging="180"/>
        <w:rPr>
          <w:rFonts w:ascii="Times New Roman" w:eastAsiaTheme="minorEastAsia" w:hAnsi="Times New Roman" w:cs="Times New Roman"/>
          <w:noProof/>
        </w:rPr>
      </w:pPr>
      <w:hyperlink w:anchor="_Toc99089430" w:history="1">
        <w:r w:rsidR="005F14A1" w:rsidRPr="00C906A1">
          <w:rPr>
            <w:rStyle w:val="Hyperlink"/>
            <w:rFonts w:ascii="Times New Roman" w:hAnsi="Times New Roman" w:cs="Times New Roman"/>
            <w:noProof/>
          </w:rPr>
          <w:t>Table 5. Soil lab studies regression coefficients, r</w:t>
        </w:r>
        <w:r w:rsidR="005F14A1" w:rsidRPr="00C906A1">
          <w:rPr>
            <w:rStyle w:val="Hyperlink"/>
            <w:rFonts w:ascii="Times New Roman" w:hAnsi="Times New Roman" w:cs="Times New Roman"/>
            <w:noProof/>
            <w:vertAlign w:val="superscript"/>
          </w:rPr>
          <w:t>2</w:t>
        </w:r>
        <w:r w:rsidR="005F14A1" w:rsidRPr="00C906A1">
          <w:rPr>
            <w:rStyle w:val="Hyperlink"/>
            <w:rFonts w:ascii="Times New Roman" w:hAnsi="Times New Roman" w:cs="Times New Roman"/>
            <w:noProof/>
          </w:rPr>
          <w:t xml:space="preserve"> values, and DT50 for atrazine, pyroxasulfone, and saflufenacil</w:t>
        </w:r>
        <w:r w:rsidR="005F14A1" w:rsidRPr="00C906A1">
          <w:rPr>
            <w:rFonts w:ascii="Times New Roman" w:hAnsi="Times New Roman" w:cs="Times New Roman"/>
            <w:noProof/>
            <w:webHidden/>
          </w:rPr>
          <w:tab/>
        </w:r>
        <w:r w:rsidR="005F14A1" w:rsidRPr="00C906A1">
          <w:rPr>
            <w:rFonts w:ascii="Times New Roman" w:hAnsi="Times New Roman" w:cs="Times New Roman"/>
            <w:noProof/>
            <w:webHidden/>
          </w:rPr>
          <w:fldChar w:fldCharType="begin"/>
        </w:r>
        <w:r w:rsidR="005F14A1" w:rsidRPr="00C906A1">
          <w:rPr>
            <w:rFonts w:ascii="Times New Roman" w:hAnsi="Times New Roman" w:cs="Times New Roman"/>
            <w:noProof/>
            <w:webHidden/>
          </w:rPr>
          <w:instrText xml:space="preserve"> PAGEREF _Toc99089430 \h </w:instrText>
        </w:r>
        <w:r w:rsidR="005F14A1" w:rsidRPr="00C906A1">
          <w:rPr>
            <w:rFonts w:ascii="Times New Roman" w:hAnsi="Times New Roman" w:cs="Times New Roman"/>
            <w:noProof/>
            <w:webHidden/>
          </w:rPr>
        </w:r>
        <w:r w:rsidR="005F14A1" w:rsidRPr="00C906A1">
          <w:rPr>
            <w:rFonts w:ascii="Times New Roman" w:hAnsi="Times New Roman" w:cs="Times New Roman"/>
            <w:noProof/>
            <w:webHidden/>
          </w:rPr>
          <w:fldChar w:fldCharType="separate"/>
        </w:r>
        <w:r w:rsidR="001A53A1">
          <w:rPr>
            <w:rFonts w:ascii="Times New Roman" w:hAnsi="Times New Roman" w:cs="Times New Roman"/>
            <w:noProof/>
            <w:webHidden/>
          </w:rPr>
          <w:t>54</w:t>
        </w:r>
        <w:r w:rsidR="005F14A1" w:rsidRPr="00C906A1">
          <w:rPr>
            <w:rFonts w:ascii="Times New Roman" w:hAnsi="Times New Roman" w:cs="Times New Roman"/>
            <w:noProof/>
            <w:webHidden/>
          </w:rPr>
          <w:fldChar w:fldCharType="end"/>
        </w:r>
      </w:hyperlink>
    </w:p>
    <w:p w14:paraId="211D903C" w14:textId="006B42EA" w:rsidR="003E4C1F" w:rsidRDefault="003E4C1F" w:rsidP="005A5089">
      <w:pPr>
        <w:jc w:val="center"/>
        <w:rPr>
          <w:rFonts w:ascii="Times New Roman" w:hAnsi="Times New Roman" w:cs="Times New Roman"/>
          <w:b/>
          <w:sz w:val="24"/>
          <w:szCs w:val="24"/>
        </w:rPr>
      </w:pPr>
      <w:r>
        <w:rPr>
          <w:rFonts w:ascii="Times New Roman" w:hAnsi="Times New Roman" w:cs="Times New Roman"/>
          <w:b/>
          <w:sz w:val="24"/>
          <w:szCs w:val="24"/>
        </w:rPr>
        <w:fldChar w:fldCharType="end"/>
      </w:r>
    </w:p>
    <w:p w14:paraId="6FE113C9" w14:textId="77777777" w:rsidR="003E4C1F" w:rsidRDefault="003E4C1F" w:rsidP="005A5089">
      <w:pPr>
        <w:jc w:val="center"/>
        <w:rPr>
          <w:rFonts w:ascii="Times New Roman" w:hAnsi="Times New Roman" w:cs="Times New Roman"/>
          <w:b/>
          <w:sz w:val="24"/>
          <w:szCs w:val="24"/>
        </w:rPr>
      </w:pPr>
    </w:p>
    <w:p w14:paraId="7B56D9F6" w14:textId="77777777" w:rsidR="005A5089" w:rsidRDefault="005A5089" w:rsidP="005A5089">
      <w:pPr>
        <w:jc w:val="center"/>
        <w:rPr>
          <w:rFonts w:ascii="Times New Roman" w:hAnsi="Times New Roman" w:cs="Times New Roman"/>
          <w:b/>
          <w:sz w:val="24"/>
          <w:szCs w:val="24"/>
        </w:rPr>
      </w:pPr>
    </w:p>
    <w:p w14:paraId="4DF4A23C" w14:textId="77777777" w:rsidR="005A5089" w:rsidRDefault="005A5089" w:rsidP="005A5089">
      <w:pPr>
        <w:jc w:val="center"/>
        <w:rPr>
          <w:rFonts w:ascii="Times New Roman" w:hAnsi="Times New Roman" w:cs="Times New Roman"/>
          <w:b/>
          <w:sz w:val="24"/>
          <w:szCs w:val="24"/>
        </w:rPr>
      </w:pPr>
    </w:p>
    <w:p w14:paraId="3D00B8FB" w14:textId="77777777" w:rsidR="005A5089" w:rsidRDefault="005A5089" w:rsidP="005A5089">
      <w:pPr>
        <w:jc w:val="center"/>
        <w:rPr>
          <w:rFonts w:ascii="Times New Roman" w:hAnsi="Times New Roman" w:cs="Times New Roman"/>
          <w:b/>
          <w:sz w:val="24"/>
          <w:szCs w:val="24"/>
        </w:rPr>
        <w:sectPr w:rsidR="005A5089" w:rsidSect="0035568D">
          <w:pgSz w:w="12240" w:h="15840"/>
          <w:pgMar w:top="1440" w:right="1440" w:bottom="1440" w:left="1440" w:header="720" w:footer="720" w:gutter="0"/>
          <w:pgNumType w:fmt="lowerRoman"/>
          <w:cols w:space="720"/>
          <w:docGrid w:linePitch="360"/>
        </w:sectPr>
      </w:pPr>
    </w:p>
    <w:p w14:paraId="5FC53F36" w14:textId="72109A15" w:rsidR="005A5089" w:rsidRDefault="005A5089" w:rsidP="005A5089">
      <w:pPr>
        <w:jc w:val="center"/>
        <w:rPr>
          <w:rFonts w:ascii="Times New Roman" w:hAnsi="Times New Roman" w:cs="Times New Roman"/>
          <w:b/>
          <w:sz w:val="24"/>
          <w:szCs w:val="24"/>
        </w:rPr>
      </w:pPr>
      <w:r>
        <w:rPr>
          <w:rFonts w:ascii="Times New Roman" w:hAnsi="Times New Roman" w:cs="Times New Roman"/>
          <w:b/>
          <w:sz w:val="24"/>
          <w:szCs w:val="24"/>
        </w:rPr>
        <w:lastRenderedPageBreak/>
        <w:t>LIST OF FIGURES</w:t>
      </w:r>
    </w:p>
    <w:p w14:paraId="6575CF05" w14:textId="588A6174" w:rsidR="00A644F3" w:rsidRPr="00A329BD" w:rsidRDefault="004235F3" w:rsidP="00A644F3">
      <w:pPr>
        <w:pStyle w:val="TableofFigures"/>
        <w:tabs>
          <w:tab w:val="right" w:leader="dot" w:pos="9350"/>
        </w:tabs>
        <w:spacing w:after="100"/>
        <w:rPr>
          <w:rFonts w:ascii="Times New Roman" w:eastAsiaTheme="minorEastAsia" w:hAnsi="Times New Roman" w:cs="Times New Roman"/>
          <w:noProof/>
        </w:rPr>
      </w:pPr>
      <w:r>
        <w:rPr>
          <w:rFonts w:ascii="Times New Roman" w:hAnsi="Times New Roman" w:cs="Times New Roman"/>
          <w:b/>
          <w:sz w:val="24"/>
          <w:szCs w:val="24"/>
        </w:rPr>
        <w:fldChar w:fldCharType="begin"/>
      </w:r>
      <w:r>
        <w:rPr>
          <w:rFonts w:ascii="Times New Roman" w:hAnsi="Times New Roman" w:cs="Times New Roman"/>
          <w:b/>
          <w:sz w:val="24"/>
          <w:szCs w:val="24"/>
        </w:rPr>
        <w:instrText xml:space="preserve"> TOC \h \z \c "Figure" </w:instrText>
      </w:r>
      <w:r>
        <w:rPr>
          <w:rFonts w:ascii="Times New Roman" w:hAnsi="Times New Roman" w:cs="Times New Roman"/>
          <w:b/>
          <w:sz w:val="24"/>
          <w:szCs w:val="24"/>
        </w:rPr>
        <w:fldChar w:fldCharType="separate"/>
      </w:r>
      <w:hyperlink w:anchor="_Toc99092009" w:history="1">
        <w:r w:rsidR="00A644F3" w:rsidRPr="00A329BD">
          <w:rPr>
            <w:rStyle w:val="Hyperlink"/>
            <w:rFonts w:ascii="Times New Roman" w:hAnsi="Times New Roman" w:cs="Times New Roman"/>
            <w:noProof/>
          </w:rPr>
          <w:t>Figure 1. 2019 Field study average, minimum, and maximum weekly temperature and precipitation</w:t>
        </w:r>
        <w:r w:rsidR="00A644F3" w:rsidRPr="00A329BD">
          <w:rPr>
            <w:rFonts w:ascii="Times New Roman" w:hAnsi="Times New Roman" w:cs="Times New Roman"/>
            <w:noProof/>
            <w:webHidden/>
          </w:rPr>
          <w:tab/>
        </w:r>
        <w:r w:rsidR="00A644F3" w:rsidRPr="00A329BD">
          <w:rPr>
            <w:rFonts w:ascii="Times New Roman" w:hAnsi="Times New Roman" w:cs="Times New Roman"/>
            <w:noProof/>
            <w:webHidden/>
          </w:rPr>
          <w:fldChar w:fldCharType="begin"/>
        </w:r>
        <w:r w:rsidR="00A644F3" w:rsidRPr="00A329BD">
          <w:rPr>
            <w:rFonts w:ascii="Times New Roman" w:hAnsi="Times New Roman" w:cs="Times New Roman"/>
            <w:noProof/>
            <w:webHidden/>
          </w:rPr>
          <w:instrText xml:space="preserve"> PAGEREF _Toc99092009 \h </w:instrText>
        </w:r>
        <w:r w:rsidR="00A644F3" w:rsidRPr="00A329BD">
          <w:rPr>
            <w:rFonts w:ascii="Times New Roman" w:hAnsi="Times New Roman" w:cs="Times New Roman"/>
            <w:noProof/>
            <w:webHidden/>
          </w:rPr>
        </w:r>
        <w:r w:rsidR="00A644F3" w:rsidRPr="00A329BD">
          <w:rPr>
            <w:rFonts w:ascii="Times New Roman" w:hAnsi="Times New Roman" w:cs="Times New Roman"/>
            <w:noProof/>
            <w:webHidden/>
          </w:rPr>
          <w:fldChar w:fldCharType="separate"/>
        </w:r>
        <w:r w:rsidR="001A53A1">
          <w:rPr>
            <w:rFonts w:ascii="Times New Roman" w:hAnsi="Times New Roman" w:cs="Times New Roman"/>
            <w:noProof/>
            <w:webHidden/>
          </w:rPr>
          <w:t>56</w:t>
        </w:r>
        <w:r w:rsidR="00A644F3" w:rsidRPr="00A329BD">
          <w:rPr>
            <w:rFonts w:ascii="Times New Roman" w:hAnsi="Times New Roman" w:cs="Times New Roman"/>
            <w:noProof/>
            <w:webHidden/>
          </w:rPr>
          <w:fldChar w:fldCharType="end"/>
        </w:r>
      </w:hyperlink>
    </w:p>
    <w:p w14:paraId="7393DC63" w14:textId="028BA052" w:rsidR="00A644F3" w:rsidRPr="00A329BD" w:rsidRDefault="00593FFF" w:rsidP="00A644F3">
      <w:pPr>
        <w:pStyle w:val="TableofFigures"/>
        <w:tabs>
          <w:tab w:val="right" w:leader="dot" w:pos="9350"/>
        </w:tabs>
        <w:spacing w:after="100"/>
        <w:rPr>
          <w:rFonts w:ascii="Times New Roman" w:eastAsiaTheme="minorEastAsia" w:hAnsi="Times New Roman" w:cs="Times New Roman"/>
          <w:noProof/>
        </w:rPr>
      </w:pPr>
      <w:hyperlink w:anchor="_Toc99092010" w:history="1">
        <w:r w:rsidR="00A644F3" w:rsidRPr="00A329BD">
          <w:rPr>
            <w:rStyle w:val="Hyperlink"/>
            <w:rFonts w:ascii="Times New Roman" w:hAnsi="Times New Roman" w:cs="Times New Roman"/>
            <w:noProof/>
          </w:rPr>
          <w:t>Figure 2. 2020 Field study average, minimum, and maximum weekly temperature and precipitation</w:t>
        </w:r>
        <w:r w:rsidR="00A644F3" w:rsidRPr="00A329BD">
          <w:rPr>
            <w:rFonts w:ascii="Times New Roman" w:hAnsi="Times New Roman" w:cs="Times New Roman"/>
            <w:noProof/>
            <w:webHidden/>
          </w:rPr>
          <w:tab/>
        </w:r>
        <w:r w:rsidR="00A644F3" w:rsidRPr="00A329BD">
          <w:rPr>
            <w:rFonts w:ascii="Times New Roman" w:hAnsi="Times New Roman" w:cs="Times New Roman"/>
            <w:noProof/>
            <w:webHidden/>
          </w:rPr>
          <w:fldChar w:fldCharType="begin"/>
        </w:r>
        <w:r w:rsidR="00A644F3" w:rsidRPr="00A329BD">
          <w:rPr>
            <w:rFonts w:ascii="Times New Roman" w:hAnsi="Times New Roman" w:cs="Times New Roman"/>
            <w:noProof/>
            <w:webHidden/>
          </w:rPr>
          <w:instrText xml:space="preserve"> PAGEREF _Toc99092010 \h </w:instrText>
        </w:r>
        <w:r w:rsidR="00A644F3" w:rsidRPr="00A329BD">
          <w:rPr>
            <w:rFonts w:ascii="Times New Roman" w:hAnsi="Times New Roman" w:cs="Times New Roman"/>
            <w:noProof/>
            <w:webHidden/>
          </w:rPr>
        </w:r>
        <w:r w:rsidR="00A644F3" w:rsidRPr="00A329BD">
          <w:rPr>
            <w:rFonts w:ascii="Times New Roman" w:hAnsi="Times New Roman" w:cs="Times New Roman"/>
            <w:noProof/>
            <w:webHidden/>
          </w:rPr>
          <w:fldChar w:fldCharType="separate"/>
        </w:r>
        <w:r w:rsidR="001A53A1">
          <w:rPr>
            <w:rFonts w:ascii="Times New Roman" w:hAnsi="Times New Roman" w:cs="Times New Roman"/>
            <w:noProof/>
            <w:webHidden/>
          </w:rPr>
          <w:t>57</w:t>
        </w:r>
        <w:r w:rsidR="00A644F3" w:rsidRPr="00A329BD">
          <w:rPr>
            <w:rFonts w:ascii="Times New Roman" w:hAnsi="Times New Roman" w:cs="Times New Roman"/>
            <w:noProof/>
            <w:webHidden/>
          </w:rPr>
          <w:fldChar w:fldCharType="end"/>
        </w:r>
      </w:hyperlink>
    </w:p>
    <w:p w14:paraId="0A7ABF8C" w14:textId="1D570CEF" w:rsidR="00A644F3" w:rsidRPr="00A329BD" w:rsidRDefault="00593FFF" w:rsidP="00A644F3">
      <w:pPr>
        <w:pStyle w:val="TableofFigures"/>
        <w:tabs>
          <w:tab w:val="right" w:leader="dot" w:pos="9350"/>
        </w:tabs>
        <w:spacing w:after="100"/>
        <w:ind w:left="180" w:hanging="180"/>
        <w:rPr>
          <w:rFonts w:ascii="Times New Roman" w:eastAsiaTheme="minorEastAsia" w:hAnsi="Times New Roman" w:cs="Times New Roman"/>
          <w:noProof/>
        </w:rPr>
      </w:pPr>
      <w:hyperlink r:id="rId12" w:anchor="_Toc99092011" w:history="1">
        <w:r w:rsidR="00A644F3" w:rsidRPr="00A329BD">
          <w:rPr>
            <w:rStyle w:val="Hyperlink"/>
            <w:rFonts w:ascii="Times New Roman" w:hAnsi="Times New Roman" w:cs="Times New Roman"/>
            <w:noProof/>
          </w:rPr>
          <w:t>Figure 3. 2020 Atrazine dissipation in field TN soil as a function of initial herbicide concentration and days after treatment.</w:t>
        </w:r>
        <w:r w:rsidR="00A644F3" w:rsidRPr="00A329BD">
          <w:rPr>
            <w:rFonts w:ascii="Times New Roman" w:hAnsi="Times New Roman" w:cs="Times New Roman"/>
            <w:noProof/>
            <w:webHidden/>
          </w:rPr>
          <w:tab/>
        </w:r>
        <w:r w:rsidR="00A644F3" w:rsidRPr="00A329BD">
          <w:rPr>
            <w:rFonts w:ascii="Times New Roman" w:hAnsi="Times New Roman" w:cs="Times New Roman"/>
            <w:noProof/>
            <w:webHidden/>
          </w:rPr>
          <w:fldChar w:fldCharType="begin"/>
        </w:r>
        <w:r w:rsidR="00A644F3" w:rsidRPr="00A329BD">
          <w:rPr>
            <w:rFonts w:ascii="Times New Roman" w:hAnsi="Times New Roman" w:cs="Times New Roman"/>
            <w:noProof/>
            <w:webHidden/>
          </w:rPr>
          <w:instrText xml:space="preserve"> PAGEREF _Toc99092011 \h </w:instrText>
        </w:r>
        <w:r w:rsidR="00A644F3" w:rsidRPr="00A329BD">
          <w:rPr>
            <w:rFonts w:ascii="Times New Roman" w:hAnsi="Times New Roman" w:cs="Times New Roman"/>
            <w:noProof/>
            <w:webHidden/>
          </w:rPr>
        </w:r>
        <w:r w:rsidR="00A644F3" w:rsidRPr="00A329BD">
          <w:rPr>
            <w:rFonts w:ascii="Times New Roman" w:hAnsi="Times New Roman" w:cs="Times New Roman"/>
            <w:noProof/>
            <w:webHidden/>
          </w:rPr>
          <w:fldChar w:fldCharType="separate"/>
        </w:r>
        <w:r w:rsidR="001A53A1">
          <w:rPr>
            <w:rFonts w:ascii="Times New Roman" w:hAnsi="Times New Roman" w:cs="Times New Roman"/>
            <w:noProof/>
            <w:webHidden/>
          </w:rPr>
          <w:t>58</w:t>
        </w:r>
        <w:r w:rsidR="00A644F3" w:rsidRPr="00A329BD">
          <w:rPr>
            <w:rFonts w:ascii="Times New Roman" w:hAnsi="Times New Roman" w:cs="Times New Roman"/>
            <w:noProof/>
            <w:webHidden/>
          </w:rPr>
          <w:fldChar w:fldCharType="end"/>
        </w:r>
      </w:hyperlink>
    </w:p>
    <w:p w14:paraId="221321D2" w14:textId="6FCFA3CA" w:rsidR="00A644F3" w:rsidRPr="00A329BD" w:rsidRDefault="00593FFF" w:rsidP="00A644F3">
      <w:pPr>
        <w:pStyle w:val="TableofFigures"/>
        <w:tabs>
          <w:tab w:val="right" w:leader="dot" w:pos="9350"/>
        </w:tabs>
        <w:spacing w:after="100"/>
        <w:ind w:left="180" w:hanging="180"/>
        <w:rPr>
          <w:rFonts w:ascii="Times New Roman" w:eastAsiaTheme="minorEastAsia" w:hAnsi="Times New Roman" w:cs="Times New Roman"/>
          <w:noProof/>
        </w:rPr>
      </w:pPr>
      <w:hyperlink w:anchor="_Toc99092012" w:history="1">
        <w:r w:rsidR="00A644F3" w:rsidRPr="00A329BD">
          <w:rPr>
            <w:rStyle w:val="Hyperlink"/>
            <w:rFonts w:ascii="Times New Roman" w:hAnsi="Times New Roman" w:cs="Times New Roman"/>
            <w:noProof/>
          </w:rPr>
          <w:t>Figure 4. 2020 Pyroxasulfone dissipation in field TN soil as a function of initial herbicide concentration and days after treatment.</w:t>
        </w:r>
        <w:r w:rsidR="00A644F3" w:rsidRPr="00A329BD">
          <w:rPr>
            <w:rFonts w:ascii="Times New Roman" w:hAnsi="Times New Roman" w:cs="Times New Roman"/>
            <w:noProof/>
            <w:webHidden/>
          </w:rPr>
          <w:tab/>
        </w:r>
        <w:r w:rsidR="00A644F3" w:rsidRPr="00A329BD">
          <w:rPr>
            <w:rFonts w:ascii="Times New Roman" w:hAnsi="Times New Roman" w:cs="Times New Roman"/>
            <w:noProof/>
            <w:webHidden/>
          </w:rPr>
          <w:fldChar w:fldCharType="begin"/>
        </w:r>
        <w:r w:rsidR="00A644F3" w:rsidRPr="00A329BD">
          <w:rPr>
            <w:rFonts w:ascii="Times New Roman" w:hAnsi="Times New Roman" w:cs="Times New Roman"/>
            <w:noProof/>
            <w:webHidden/>
          </w:rPr>
          <w:instrText xml:space="preserve"> PAGEREF _Toc99092012 \h </w:instrText>
        </w:r>
        <w:r w:rsidR="00A644F3" w:rsidRPr="00A329BD">
          <w:rPr>
            <w:rFonts w:ascii="Times New Roman" w:hAnsi="Times New Roman" w:cs="Times New Roman"/>
            <w:noProof/>
            <w:webHidden/>
          </w:rPr>
        </w:r>
        <w:r w:rsidR="00A644F3" w:rsidRPr="00A329BD">
          <w:rPr>
            <w:rFonts w:ascii="Times New Roman" w:hAnsi="Times New Roman" w:cs="Times New Roman"/>
            <w:noProof/>
            <w:webHidden/>
          </w:rPr>
          <w:fldChar w:fldCharType="separate"/>
        </w:r>
        <w:r w:rsidR="001A53A1">
          <w:rPr>
            <w:rFonts w:ascii="Times New Roman" w:hAnsi="Times New Roman" w:cs="Times New Roman"/>
            <w:noProof/>
            <w:webHidden/>
          </w:rPr>
          <w:t>59</w:t>
        </w:r>
        <w:r w:rsidR="00A644F3" w:rsidRPr="00A329BD">
          <w:rPr>
            <w:rFonts w:ascii="Times New Roman" w:hAnsi="Times New Roman" w:cs="Times New Roman"/>
            <w:noProof/>
            <w:webHidden/>
          </w:rPr>
          <w:fldChar w:fldCharType="end"/>
        </w:r>
      </w:hyperlink>
    </w:p>
    <w:p w14:paraId="53054576" w14:textId="1710087C" w:rsidR="00A644F3" w:rsidRPr="00A329BD" w:rsidRDefault="00593FFF" w:rsidP="00A644F3">
      <w:pPr>
        <w:pStyle w:val="TableofFigures"/>
        <w:tabs>
          <w:tab w:val="right" w:leader="dot" w:pos="9350"/>
        </w:tabs>
        <w:spacing w:after="100"/>
        <w:ind w:left="180" w:hanging="180"/>
        <w:rPr>
          <w:rFonts w:ascii="Times New Roman" w:eastAsiaTheme="minorEastAsia" w:hAnsi="Times New Roman" w:cs="Times New Roman"/>
          <w:noProof/>
        </w:rPr>
      </w:pPr>
      <w:hyperlink w:anchor="_Toc99092013" w:history="1">
        <w:r w:rsidR="00A644F3" w:rsidRPr="00A329BD">
          <w:rPr>
            <w:rStyle w:val="Hyperlink"/>
            <w:rFonts w:ascii="Times New Roman" w:hAnsi="Times New Roman" w:cs="Times New Roman"/>
            <w:noProof/>
          </w:rPr>
          <w:t>Figure 5. 2020 Saflufenacil dissipation in field TN soil as a function of initial herbicide concentration and days after treatment.</w:t>
        </w:r>
        <w:r w:rsidR="00A644F3" w:rsidRPr="00A329BD">
          <w:rPr>
            <w:rFonts w:ascii="Times New Roman" w:hAnsi="Times New Roman" w:cs="Times New Roman"/>
            <w:noProof/>
            <w:webHidden/>
          </w:rPr>
          <w:tab/>
        </w:r>
        <w:r w:rsidR="00A644F3" w:rsidRPr="00A329BD">
          <w:rPr>
            <w:rFonts w:ascii="Times New Roman" w:hAnsi="Times New Roman" w:cs="Times New Roman"/>
            <w:noProof/>
            <w:webHidden/>
          </w:rPr>
          <w:fldChar w:fldCharType="begin"/>
        </w:r>
        <w:r w:rsidR="00A644F3" w:rsidRPr="00A329BD">
          <w:rPr>
            <w:rFonts w:ascii="Times New Roman" w:hAnsi="Times New Roman" w:cs="Times New Roman"/>
            <w:noProof/>
            <w:webHidden/>
          </w:rPr>
          <w:instrText xml:space="preserve"> PAGEREF _Toc99092013 \h </w:instrText>
        </w:r>
        <w:r w:rsidR="00A644F3" w:rsidRPr="00A329BD">
          <w:rPr>
            <w:rFonts w:ascii="Times New Roman" w:hAnsi="Times New Roman" w:cs="Times New Roman"/>
            <w:noProof/>
            <w:webHidden/>
          </w:rPr>
        </w:r>
        <w:r w:rsidR="00A644F3" w:rsidRPr="00A329BD">
          <w:rPr>
            <w:rFonts w:ascii="Times New Roman" w:hAnsi="Times New Roman" w:cs="Times New Roman"/>
            <w:noProof/>
            <w:webHidden/>
          </w:rPr>
          <w:fldChar w:fldCharType="separate"/>
        </w:r>
        <w:r w:rsidR="001A53A1">
          <w:rPr>
            <w:rFonts w:ascii="Times New Roman" w:hAnsi="Times New Roman" w:cs="Times New Roman"/>
            <w:noProof/>
            <w:webHidden/>
          </w:rPr>
          <w:t>60</w:t>
        </w:r>
        <w:r w:rsidR="00A644F3" w:rsidRPr="00A329BD">
          <w:rPr>
            <w:rFonts w:ascii="Times New Roman" w:hAnsi="Times New Roman" w:cs="Times New Roman"/>
            <w:noProof/>
            <w:webHidden/>
          </w:rPr>
          <w:fldChar w:fldCharType="end"/>
        </w:r>
      </w:hyperlink>
    </w:p>
    <w:p w14:paraId="0C46A759" w14:textId="026784F8" w:rsidR="00A644F3" w:rsidRPr="00A329BD" w:rsidRDefault="00593FFF" w:rsidP="00A644F3">
      <w:pPr>
        <w:pStyle w:val="TableofFigures"/>
        <w:tabs>
          <w:tab w:val="right" w:leader="dot" w:pos="9350"/>
        </w:tabs>
        <w:spacing w:after="100"/>
        <w:ind w:left="180" w:hanging="180"/>
        <w:rPr>
          <w:rFonts w:ascii="Times New Roman" w:eastAsiaTheme="minorEastAsia" w:hAnsi="Times New Roman" w:cs="Times New Roman"/>
          <w:noProof/>
        </w:rPr>
      </w:pPr>
      <w:hyperlink w:anchor="_Toc99092014" w:history="1">
        <w:r w:rsidR="00A644F3" w:rsidRPr="00A329BD">
          <w:rPr>
            <w:rStyle w:val="Hyperlink"/>
            <w:rFonts w:ascii="Times New Roman" w:hAnsi="Times New Roman" w:cs="Times New Roman"/>
            <w:noProof/>
          </w:rPr>
          <w:t>Figure 6. 2019-2020 Field studies dissipation of pyroxasulfone, atrazine, and saflufenacil as a function of initial herbicide concentration and the DT50.</w:t>
        </w:r>
        <w:r w:rsidR="00A644F3" w:rsidRPr="00A329BD">
          <w:rPr>
            <w:rFonts w:ascii="Times New Roman" w:hAnsi="Times New Roman" w:cs="Times New Roman"/>
            <w:noProof/>
            <w:webHidden/>
          </w:rPr>
          <w:tab/>
        </w:r>
        <w:r w:rsidR="00A644F3" w:rsidRPr="00A329BD">
          <w:rPr>
            <w:rFonts w:ascii="Times New Roman" w:hAnsi="Times New Roman" w:cs="Times New Roman"/>
            <w:noProof/>
            <w:webHidden/>
          </w:rPr>
          <w:fldChar w:fldCharType="begin"/>
        </w:r>
        <w:r w:rsidR="00A644F3" w:rsidRPr="00A329BD">
          <w:rPr>
            <w:rFonts w:ascii="Times New Roman" w:hAnsi="Times New Roman" w:cs="Times New Roman"/>
            <w:noProof/>
            <w:webHidden/>
          </w:rPr>
          <w:instrText xml:space="preserve"> PAGEREF _Toc99092014 \h </w:instrText>
        </w:r>
        <w:r w:rsidR="00A644F3" w:rsidRPr="00A329BD">
          <w:rPr>
            <w:rFonts w:ascii="Times New Roman" w:hAnsi="Times New Roman" w:cs="Times New Roman"/>
            <w:noProof/>
            <w:webHidden/>
          </w:rPr>
        </w:r>
        <w:r w:rsidR="00A644F3" w:rsidRPr="00A329BD">
          <w:rPr>
            <w:rFonts w:ascii="Times New Roman" w:hAnsi="Times New Roman" w:cs="Times New Roman"/>
            <w:noProof/>
            <w:webHidden/>
          </w:rPr>
          <w:fldChar w:fldCharType="separate"/>
        </w:r>
        <w:r w:rsidR="001A53A1">
          <w:rPr>
            <w:rFonts w:ascii="Times New Roman" w:hAnsi="Times New Roman" w:cs="Times New Roman"/>
            <w:noProof/>
            <w:webHidden/>
          </w:rPr>
          <w:t>61</w:t>
        </w:r>
        <w:r w:rsidR="00A644F3" w:rsidRPr="00A329BD">
          <w:rPr>
            <w:rFonts w:ascii="Times New Roman" w:hAnsi="Times New Roman" w:cs="Times New Roman"/>
            <w:noProof/>
            <w:webHidden/>
          </w:rPr>
          <w:fldChar w:fldCharType="end"/>
        </w:r>
      </w:hyperlink>
    </w:p>
    <w:p w14:paraId="0D8EAEE4" w14:textId="2F83774F" w:rsidR="00A644F3" w:rsidRPr="00A329BD" w:rsidRDefault="00593FFF" w:rsidP="00A644F3">
      <w:pPr>
        <w:pStyle w:val="TableofFigures"/>
        <w:tabs>
          <w:tab w:val="right" w:leader="dot" w:pos="9350"/>
        </w:tabs>
        <w:spacing w:after="100"/>
        <w:ind w:left="180" w:hanging="180"/>
        <w:rPr>
          <w:rFonts w:ascii="Times New Roman" w:eastAsiaTheme="minorEastAsia" w:hAnsi="Times New Roman" w:cs="Times New Roman"/>
          <w:noProof/>
        </w:rPr>
      </w:pPr>
      <w:hyperlink r:id="rId13" w:anchor="_Toc99092015" w:history="1">
        <w:r w:rsidR="00A644F3" w:rsidRPr="00A329BD">
          <w:rPr>
            <w:rStyle w:val="Hyperlink"/>
            <w:rFonts w:ascii="Times New Roman" w:hAnsi="Times New Roman" w:cs="Times New Roman"/>
            <w:noProof/>
          </w:rPr>
          <w:t>Figure 7. TN lab studies data degradation of pyroxasulfone, atrazine, and saflufenacil as a function of initial herbicide concentration and the DT50.</w:t>
        </w:r>
        <w:r w:rsidR="00A644F3" w:rsidRPr="00A329BD">
          <w:rPr>
            <w:rFonts w:ascii="Times New Roman" w:hAnsi="Times New Roman" w:cs="Times New Roman"/>
            <w:noProof/>
            <w:webHidden/>
          </w:rPr>
          <w:tab/>
        </w:r>
        <w:r w:rsidR="00A644F3" w:rsidRPr="00A329BD">
          <w:rPr>
            <w:rFonts w:ascii="Times New Roman" w:hAnsi="Times New Roman" w:cs="Times New Roman"/>
            <w:noProof/>
            <w:webHidden/>
          </w:rPr>
          <w:fldChar w:fldCharType="begin"/>
        </w:r>
        <w:r w:rsidR="00A644F3" w:rsidRPr="00A329BD">
          <w:rPr>
            <w:rFonts w:ascii="Times New Roman" w:hAnsi="Times New Roman" w:cs="Times New Roman"/>
            <w:noProof/>
            <w:webHidden/>
          </w:rPr>
          <w:instrText xml:space="preserve"> PAGEREF _Toc99092015 \h </w:instrText>
        </w:r>
        <w:r w:rsidR="00A644F3" w:rsidRPr="00A329BD">
          <w:rPr>
            <w:rFonts w:ascii="Times New Roman" w:hAnsi="Times New Roman" w:cs="Times New Roman"/>
            <w:noProof/>
            <w:webHidden/>
          </w:rPr>
        </w:r>
        <w:r w:rsidR="00A644F3" w:rsidRPr="00A329BD">
          <w:rPr>
            <w:rFonts w:ascii="Times New Roman" w:hAnsi="Times New Roman" w:cs="Times New Roman"/>
            <w:noProof/>
            <w:webHidden/>
          </w:rPr>
          <w:fldChar w:fldCharType="separate"/>
        </w:r>
        <w:r w:rsidR="001A53A1">
          <w:rPr>
            <w:rFonts w:ascii="Times New Roman" w:hAnsi="Times New Roman" w:cs="Times New Roman"/>
            <w:noProof/>
            <w:webHidden/>
          </w:rPr>
          <w:t>62</w:t>
        </w:r>
        <w:r w:rsidR="00A644F3" w:rsidRPr="00A329BD">
          <w:rPr>
            <w:rFonts w:ascii="Times New Roman" w:hAnsi="Times New Roman" w:cs="Times New Roman"/>
            <w:noProof/>
            <w:webHidden/>
          </w:rPr>
          <w:fldChar w:fldCharType="end"/>
        </w:r>
      </w:hyperlink>
    </w:p>
    <w:p w14:paraId="35D82517" w14:textId="410838EE" w:rsidR="00A644F3" w:rsidRPr="00A329BD" w:rsidRDefault="00593FFF" w:rsidP="00A644F3">
      <w:pPr>
        <w:pStyle w:val="TableofFigures"/>
        <w:tabs>
          <w:tab w:val="right" w:leader="dot" w:pos="9350"/>
        </w:tabs>
        <w:ind w:left="180" w:hanging="180"/>
        <w:rPr>
          <w:rFonts w:ascii="Times New Roman" w:eastAsiaTheme="minorEastAsia" w:hAnsi="Times New Roman" w:cs="Times New Roman"/>
          <w:noProof/>
        </w:rPr>
      </w:pPr>
      <w:hyperlink w:anchor="_Toc99092016" w:history="1">
        <w:r w:rsidR="00A644F3" w:rsidRPr="00A329BD">
          <w:rPr>
            <w:rStyle w:val="Hyperlink"/>
            <w:rFonts w:ascii="Times New Roman" w:hAnsi="Times New Roman" w:cs="Times New Roman"/>
            <w:noProof/>
          </w:rPr>
          <w:t>Figure 8. All lab studies data degradation of pyroxasulfone, atrazine, and saflufenacil as a function of initial herbicide concentration and the DT50.</w:t>
        </w:r>
        <w:r w:rsidR="00A644F3" w:rsidRPr="00A329BD">
          <w:rPr>
            <w:rFonts w:ascii="Times New Roman" w:hAnsi="Times New Roman" w:cs="Times New Roman"/>
            <w:noProof/>
            <w:webHidden/>
          </w:rPr>
          <w:tab/>
        </w:r>
        <w:r w:rsidR="00A644F3" w:rsidRPr="00A329BD">
          <w:rPr>
            <w:rFonts w:ascii="Times New Roman" w:hAnsi="Times New Roman" w:cs="Times New Roman"/>
            <w:noProof/>
            <w:webHidden/>
          </w:rPr>
          <w:fldChar w:fldCharType="begin"/>
        </w:r>
        <w:r w:rsidR="00A644F3" w:rsidRPr="00A329BD">
          <w:rPr>
            <w:rFonts w:ascii="Times New Roman" w:hAnsi="Times New Roman" w:cs="Times New Roman"/>
            <w:noProof/>
            <w:webHidden/>
          </w:rPr>
          <w:instrText xml:space="preserve"> PAGEREF _Toc99092016 \h </w:instrText>
        </w:r>
        <w:r w:rsidR="00A644F3" w:rsidRPr="00A329BD">
          <w:rPr>
            <w:rFonts w:ascii="Times New Roman" w:hAnsi="Times New Roman" w:cs="Times New Roman"/>
            <w:noProof/>
            <w:webHidden/>
          </w:rPr>
        </w:r>
        <w:r w:rsidR="00A644F3" w:rsidRPr="00A329BD">
          <w:rPr>
            <w:rFonts w:ascii="Times New Roman" w:hAnsi="Times New Roman" w:cs="Times New Roman"/>
            <w:noProof/>
            <w:webHidden/>
          </w:rPr>
          <w:fldChar w:fldCharType="separate"/>
        </w:r>
        <w:r w:rsidR="001A53A1">
          <w:rPr>
            <w:rFonts w:ascii="Times New Roman" w:hAnsi="Times New Roman" w:cs="Times New Roman"/>
            <w:noProof/>
            <w:webHidden/>
          </w:rPr>
          <w:t>63</w:t>
        </w:r>
        <w:r w:rsidR="00A644F3" w:rsidRPr="00A329BD">
          <w:rPr>
            <w:rFonts w:ascii="Times New Roman" w:hAnsi="Times New Roman" w:cs="Times New Roman"/>
            <w:noProof/>
            <w:webHidden/>
          </w:rPr>
          <w:fldChar w:fldCharType="end"/>
        </w:r>
      </w:hyperlink>
    </w:p>
    <w:p w14:paraId="01F4040E" w14:textId="0ACC94D1" w:rsidR="00A45709" w:rsidRDefault="004235F3" w:rsidP="005A5089">
      <w:pPr>
        <w:jc w:val="center"/>
        <w:rPr>
          <w:rFonts w:ascii="Times New Roman" w:hAnsi="Times New Roman" w:cs="Times New Roman"/>
          <w:b/>
          <w:sz w:val="24"/>
          <w:szCs w:val="24"/>
        </w:rPr>
      </w:pPr>
      <w:r>
        <w:rPr>
          <w:rFonts w:ascii="Times New Roman" w:hAnsi="Times New Roman" w:cs="Times New Roman"/>
          <w:b/>
          <w:sz w:val="24"/>
          <w:szCs w:val="24"/>
        </w:rPr>
        <w:fldChar w:fldCharType="end"/>
      </w:r>
    </w:p>
    <w:p w14:paraId="2D16E624" w14:textId="77777777" w:rsidR="005A5089" w:rsidRDefault="005A5089" w:rsidP="005A5089">
      <w:pPr>
        <w:jc w:val="center"/>
        <w:rPr>
          <w:rFonts w:ascii="Times New Roman" w:hAnsi="Times New Roman" w:cs="Times New Roman"/>
          <w:b/>
          <w:sz w:val="24"/>
          <w:szCs w:val="24"/>
        </w:rPr>
      </w:pPr>
    </w:p>
    <w:p w14:paraId="6287BFA7" w14:textId="77777777" w:rsidR="005A5089" w:rsidRDefault="005A5089" w:rsidP="005A5089">
      <w:pPr>
        <w:jc w:val="center"/>
        <w:rPr>
          <w:rFonts w:ascii="Times New Roman" w:hAnsi="Times New Roman" w:cs="Times New Roman"/>
          <w:b/>
          <w:sz w:val="24"/>
          <w:szCs w:val="24"/>
        </w:rPr>
      </w:pPr>
    </w:p>
    <w:p w14:paraId="0CD05BF0" w14:textId="77777777" w:rsidR="005A5089" w:rsidRDefault="005A5089" w:rsidP="005A5089">
      <w:pPr>
        <w:jc w:val="center"/>
        <w:rPr>
          <w:rFonts w:ascii="Times New Roman" w:hAnsi="Times New Roman" w:cs="Times New Roman"/>
          <w:b/>
          <w:sz w:val="24"/>
          <w:szCs w:val="24"/>
        </w:rPr>
      </w:pPr>
    </w:p>
    <w:p w14:paraId="3063B9BD" w14:textId="77777777" w:rsidR="005A5089" w:rsidRDefault="005A5089" w:rsidP="005A5089">
      <w:pPr>
        <w:jc w:val="center"/>
        <w:rPr>
          <w:rFonts w:ascii="Times New Roman" w:hAnsi="Times New Roman" w:cs="Times New Roman"/>
          <w:b/>
          <w:sz w:val="24"/>
          <w:szCs w:val="24"/>
        </w:rPr>
        <w:sectPr w:rsidR="005A5089" w:rsidSect="0035568D">
          <w:pgSz w:w="12240" w:h="15840"/>
          <w:pgMar w:top="1440" w:right="1440" w:bottom="1440" w:left="1440" w:header="720" w:footer="720" w:gutter="0"/>
          <w:pgNumType w:fmt="lowerRoman"/>
          <w:cols w:space="720"/>
          <w:docGrid w:linePitch="360"/>
        </w:sectPr>
      </w:pPr>
    </w:p>
    <w:p w14:paraId="1B1DF331" w14:textId="68CB9E56" w:rsidR="00C00C68" w:rsidRDefault="00AD335B" w:rsidP="00EC3EE6">
      <w:pPr>
        <w:pStyle w:val="Heading1"/>
        <w:jc w:val="center"/>
        <w:rPr>
          <w:rFonts w:ascii="Times New Roman" w:hAnsi="Times New Roman" w:cs="Times New Roman"/>
          <w:b/>
          <w:color w:val="000000" w:themeColor="text1"/>
          <w:sz w:val="24"/>
        </w:rPr>
      </w:pPr>
      <w:bookmarkStart w:id="0" w:name="_Toc99089476"/>
      <w:r w:rsidRPr="00EC3EE6">
        <w:rPr>
          <w:rFonts w:ascii="Times New Roman" w:hAnsi="Times New Roman" w:cs="Times New Roman"/>
          <w:b/>
          <w:color w:val="000000" w:themeColor="text1"/>
          <w:sz w:val="24"/>
        </w:rPr>
        <w:lastRenderedPageBreak/>
        <w:t>INTRODUCTION</w:t>
      </w:r>
      <w:bookmarkEnd w:id="0"/>
    </w:p>
    <w:p w14:paraId="668640E7" w14:textId="77777777" w:rsidR="00EC3EE6" w:rsidRPr="00EC3EE6" w:rsidRDefault="00EC3EE6" w:rsidP="00EC3EE6"/>
    <w:p w14:paraId="4AA87270" w14:textId="59659A0B" w:rsidR="00BA4CAC" w:rsidRPr="00BA4CAC" w:rsidRDefault="00BA4CAC" w:rsidP="00E13198">
      <w:pPr>
        <w:spacing w:after="200" w:line="480" w:lineRule="auto"/>
        <w:ind w:firstLine="720"/>
        <w:rPr>
          <w:rFonts w:ascii="Times New Roman" w:hAnsi="Times New Roman" w:cs="Times New Roman"/>
          <w:b/>
          <w:sz w:val="24"/>
          <w:szCs w:val="28"/>
        </w:rPr>
      </w:pPr>
      <w:r w:rsidRPr="00BA4CAC">
        <w:rPr>
          <w:rFonts w:ascii="Times New Roman" w:hAnsi="Times New Roman" w:cs="Times New Roman"/>
          <w:sz w:val="24"/>
          <w:szCs w:val="28"/>
        </w:rPr>
        <w:t>Tennessee growers have had to adapt, over the past several years, to changes in production practices to manage herbicide resistant weeds. Currently, there are twenty (20) confirmed resistant weeds in Tennessee due to continual use of herbicides with the same mode of action (Heap 2021).  Furthermore, corn, cotton, and soybean production in Tennessee contributed more than $1.5 billion dollars to the state’s economy in 2020, adding more pressure to incorporate residual herbicides to weed control programs (USDA-NASS 2020).</w:t>
      </w:r>
    </w:p>
    <w:p w14:paraId="3B3B0BDA" w14:textId="77777777" w:rsidR="00BA4CAC" w:rsidRPr="00BA4CAC" w:rsidRDefault="00BA4CAC" w:rsidP="00BA4CAC">
      <w:pPr>
        <w:spacing w:after="200" w:line="480" w:lineRule="auto"/>
        <w:ind w:firstLine="720"/>
        <w:rPr>
          <w:rFonts w:ascii="Times New Roman" w:hAnsi="Times New Roman" w:cs="Times New Roman"/>
          <w:sz w:val="24"/>
          <w:szCs w:val="28"/>
        </w:rPr>
      </w:pPr>
      <w:r w:rsidRPr="00BA4CAC">
        <w:rPr>
          <w:rFonts w:ascii="Times New Roman" w:hAnsi="Times New Roman" w:cs="Times New Roman"/>
          <w:sz w:val="24"/>
          <w:szCs w:val="28"/>
        </w:rPr>
        <w:t>Residual herbicides should be in high enough concentration in the soil to provide effective weed control, but also in low enough concentration to have minimal impacts on the environment (Walker 1987).  The U.S. Environmental Protection Agency (EPA) regulates herbicide registrations and suggests that products be tested in regions where it will be used in significant acreage (U.S. EPA 1998).  Moreover, registration guidelines suggest only one (1) test per distinct geographic region for efficacy and environmental impacts (U.S. EPA 1998).  These data generated could vary widely in field persistence depending on breadth of applicability in crop production regions.  As more residual herbicides are used, increased research is needed to accurately depict field persistence of molecules in different soils and local environmental conditions.  This could help alleviate problems that could be associated with herbicide carryover in production systems, especially ones that use cover crops (</w:t>
      </w:r>
      <w:proofErr w:type="spellStart"/>
      <w:r w:rsidRPr="00BA4CAC">
        <w:rPr>
          <w:rFonts w:ascii="Times New Roman" w:hAnsi="Times New Roman" w:cs="Times New Roman"/>
          <w:sz w:val="24"/>
          <w:szCs w:val="28"/>
        </w:rPr>
        <w:t>Palhano</w:t>
      </w:r>
      <w:proofErr w:type="spellEnd"/>
      <w:r w:rsidRPr="00BA4CAC">
        <w:rPr>
          <w:rFonts w:ascii="Times New Roman" w:hAnsi="Times New Roman" w:cs="Times New Roman"/>
          <w:sz w:val="24"/>
          <w:szCs w:val="28"/>
        </w:rPr>
        <w:t xml:space="preserve"> et al. 2018).</w:t>
      </w:r>
    </w:p>
    <w:p w14:paraId="634289E0" w14:textId="77777777" w:rsidR="00BA4CAC" w:rsidRPr="00BA4CAC" w:rsidRDefault="00BA4CAC" w:rsidP="00BA4CAC">
      <w:pPr>
        <w:spacing w:after="200" w:line="480" w:lineRule="auto"/>
        <w:ind w:firstLine="720"/>
        <w:rPr>
          <w:rFonts w:ascii="Times New Roman" w:hAnsi="Times New Roman" w:cs="Times New Roman"/>
          <w:sz w:val="24"/>
          <w:szCs w:val="28"/>
        </w:rPr>
      </w:pPr>
      <w:r w:rsidRPr="00BA4CAC">
        <w:rPr>
          <w:rFonts w:ascii="Times New Roman" w:hAnsi="Times New Roman" w:cs="Times New Roman"/>
          <w:sz w:val="24"/>
          <w:szCs w:val="28"/>
        </w:rPr>
        <w:t xml:space="preserve">Herbicides are labeled for weed control in many types of environments.  The EPA assesses herbicides for use in such environments as they can behave and move differently.  Terrestrial field dissipation (TFD) studies are one type of assessment to study pesticide fate in soils (U.S. EPA 2008).  Data generated by TFDs and other studies are used to compare and </w:t>
      </w:r>
      <w:r w:rsidRPr="00BA4CAC">
        <w:rPr>
          <w:rFonts w:ascii="Times New Roman" w:hAnsi="Times New Roman" w:cs="Times New Roman"/>
          <w:sz w:val="24"/>
          <w:szCs w:val="28"/>
        </w:rPr>
        <w:lastRenderedPageBreak/>
        <w:t>refine the models to assess ecological risk (U.S. EPA 2008).  Herbicide data can be modeled with either Pesticide Root Zone Model (PRZM) and/or Exposure Analysis Modeling System (EXAMS).  PRZM modeling looks to assess ecological risk of pesticides due to runoff and erosion, whereas EXAMS explore the possibility of pesticide movement in surface waters (U.S. EPA 2000).  These models are not used exclusively for assessment of herbicide movement and persistence, but will give a general idea of each, respectively.</w:t>
      </w:r>
    </w:p>
    <w:p w14:paraId="0AB054DC" w14:textId="77777777" w:rsidR="00BA4CAC" w:rsidRPr="00BA4CAC" w:rsidRDefault="00BA4CAC" w:rsidP="00BA4CAC">
      <w:pPr>
        <w:spacing w:after="200" w:line="480" w:lineRule="auto"/>
        <w:ind w:firstLine="720"/>
        <w:rPr>
          <w:rFonts w:ascii="Times New Roman" w:hAnsi="Times New Roman" w:cs="Times New Roman"/>
          <w:sz w:val="24"/>
          <w:szCs w:val="28"/>
        </w:rPr>
      </w:pPr>
      <w:r w:rsidRPr="00BA4CAC">
        <w:rPr>
          <w:rFonts w:ascii="Times New Roman" w:hAnsi="Times New Roman" w:cs="Times New Roman"/>
          <w:sz w:val="24"/>
          <w:szCs w:val="28"/>
        </w:rPr>
        <w:t>Mitigating weed resistance issues in Tennessee has brought about increased use of residual herbicides.  Saflufenacil (Sharpen</w:t>
      </w:r>
      <w:r w:rsidRPr="00BA4CAC">
        <w:rPr>
          <w:rFonts w:ascii="Times New Roman" w:hAnsi="Times New Roman" w:cs="Times New Roman"/>
          <w:sz w:val="24"/>
          <w:szCs w:val="28"/>
          <w:vertAlign w:val="superscript"/>
        </w:rPr>
        <w:t>®</w:t>
      </w:r>
      <w:r w:rsidRPr="00BA4CAC">
        <w:rPr>
          <w:rFonts w:ascii="Times New Roman" w:hAnsi="Times New Roman" w:cs="Times New Roman"/>
          <w:sz w:val="24"/>
          <w:szCs w:val="28"/>
        </w:rPr>
        <w:t xml:space="preserve">) is a group 14 herbicide that inhibits protoporphyrinogen IX oxidase (PPO) for use as preplant burndown and preemergence weed control in several crops (Grossmann et al. 2010).  Saflufenacil molecular weight is 500.6 g/mole, melting point 189.9 C, water solubility of 0.21 g/100 mL at pH 7 (Grossman et al. 2010 and 2011, </w:t>
      </w:r>
      <w:proofErr w:type="spellStart"/>
      <w:r w:rsidRPr="00BA4CAC">
        <w:rPr>
          <w:rFonts w:ascii="Times New Roman" w:hAnsi="Times New Roman" w:cs="Times New Roman"/>
          <w:sz w:val="24"/>
          <w:szCs w:val="28"/>
        </w:rPr>
        <w:t>Shaner</w:t>
      </w:r>
      <w:proofErr w:type="spellEnd"/>
      <w:r w:rsidRPr="00BA4CAC">
        <w:rPr>
          <w:rFonts w:ascii="Times New Roman" w:hAnsi="Times New Roman" w:cs="Times New Roman"/>
          <w:sz w:val="24"/>
          <w:szCs w:val="28"/>
        </w:rPr>
        <w:t xml:space="preserve"> 2014).  Atrazine (</w:t>
      </w:r>
      <w:proofErr w:type="spellStart"/>
      <w:r w:rsidRPr="00BA4CAC">
        <w:rPr>
          <w:rFonts w:ascii="Times New Roman" w:hAnsi="Times New Roman" w:cs="Times New Roman"/>
          <w:sz w:val="24"/>
          <w:szCs w:val="28"/>
        </w:rPr>
        <w:t>AAtrex</w:t>
      </w:r>
      <w:proofErr w:type="spellEnd"/>
      <w:r w:rsidRPr="00BA4CAC">
        <w:rPr>
          <w:rFonts w:ascii="Times New Roman" w:hAnsi="Times New Roman" w:cs="Times New Roman"/>
          <w:sz w:val="24"/>
          <w:szCs w:val="28"/>
          <w:vertAlign w:val="superscript"/>
        </w:rPr>
        <w:t>®</w:t>
      </w:r>
      <w:r w:rsidRPr="00BA4CAC">
        <w:rPr>
          <w:rFonts w:ascii="Times New Roman" w:hAnsi="Times New Roman" w:cs="Times New Roman"/>
          <w:sz w:val="24"/>
          <w:szCs w:val="28"/>
        </w:rPr>
        <w:t>) is a group 5 herbicide that acts as a photosystem II inhibitor for use as preplant, preemergence, and postemergence in many crops (</w:t>
      </w:r>
      <w:proofErr w:type="spellStart"/>
      <w:r w:rsidRPr="00BA4CAC">
        <w:rPr>
          <w:rFonts w:ascii="Times New Roman" w:hAnsi="Times New Roman" w:cs="Times New Roman"/>
          <w:sz w:val="24"/>
          <w:szCs w:val="28"/>
        </w:rPr>
        <w:t>Shaner</w:t>
      </w:r>
      <w:proofErr w:type="spellEnd"/>
      <w:r w:rsidRPr="00BA4CAC">
        <w:rPr>
          <w:rFonts w:ascii="Times New Roman" w:hAnsi="Times New Roman" w:cs="Times New Roman"/>
          <w:sz w:val="24"/>
          <w:szCs w:val="28"/>
        </w:rPr>
        <w:t xml:space="preserve"> 2014).  Atrazine molecular weight is 215.69 g/mole, melting point </w:t>
      </w:r>
      <w:r w:rsidRPr="00BA4CAC">
        <w:rPr>
          <w:rFonts w:ascii="Times New Roman" w:hAnsi="Times New Roman" w:cs="Times New Roman"/>
          <w:sz w:val="24"/>
          <w:szCs w:val="24"/>
        </w:rPr>
        <w:t>⁓</w:t>
      </w:r>
      <w:r w:rsidRPr="00BA4CAC">
        <w:rPr>
          <w:rFonts w:ascii="Times New Roman" w:hAnsi="Times New Roman" w:cs="Times New Roman"/>
          <w:sz w:val="24"/>
          <w:szCs w:val="28"/>
        </w:rPr>
        <w:t xml:space="preserve">176 C, water solubility of 33 mg/L (pH 7, 22 C) (Andreu and </w:t>
      </w:r>
      <w:proofErr w:type="spellStart"/>
      <w:r w:rsidRPr="00BA4CAC">
        <w:rPr>
          <w:rFonts w:ascii="Times New Roman" w:hAnsi="Times New Roman" w:cs="Times New Roman"/>
          <w:sz w:val="24"/>
          <w:szCs w:val="28"/>
        </w:rPr>
        <w:t>Picó</w:t>
      </w:r>
      <w:proofErr w:type="spellEnd"/>
      <w:r w:rsidRPr="00BA4CAC">
        <w:rPr>
          <w:rFonts w:ascii="Times New Roman" w:hAnsi="Times New Roman" w:cs="Times New Roman"/>
          <w:sz w:val="24"/>
          <w:szCs w:val="28"/>
        </w:rPr>
        <w:t xml:space="preserve"> 2004, Dean et al. 1996, </w:t>
      </w:r>
      <w:proofErr w:type="spellStart"/>
      <w:r w:rsidRPr="00BA4CAC">
        <w:rPr>
          <w:rFonts w:ascii="Times New Roman" w:hAnsi="Times New Roman" w:cs="Times New Roman"/>
          <w:sz w:val="24"/>
          <w:szCs w:val="28"/>
        </w:rPr>
        <w:t>Garcinuño</w:t>
      </w:r>
      <w:proofErr w:type="spellEnd"/>
      <w:r w:rsidRPr="00BA4CAC">
        <w:rPr>
          <w:rFonts w:ascii="Times New Roman" w:hAnsi="Times New Roman" w:cs="Times New Roman"/>
          <w:sz w:val="24"/>
          <w:szCs w:val="28"/>
        </w:rPr>
        <w:t xml:space="preserve"> et al. 2003, </w:t>
      </w:r>
      <w:proofErr w:type="spellStart"/>
      <w:r w:rsidRPr="00BA4CAC">
        <w:rPr>
          <w:rFonts w:ascii="Times New Roman" w:hAnsi="Times New Roman" w:cs="Times New Roman"/>
          <w:sz w:val="24"/>
          <w:szCs w:val="28"/>
        </w:rPr>
        <w:t>Shaner</w:t>
      </w:r>
      <w:proofErr w:type="spellEnd"/>
      <w:r w:rsidRPr="00BA4CAC">
        <w:rPr>
          <w:rFonts w:ascii="Times New Roman" w:hAnsi="Times New Roman" w:cs="Times New Roman"/>
          <w:sz w:val="24"/>
          <w:szCs w:val="28"/>
        </w:rPr>
        <w:t xml:space="preserve"> 2014).  Pyroxasulfone (</w:t>
      </w:r>
      <w:proofErr w:type="spellStart"/>
      <w:r w:rsidRPr="00BA4CAC">
        <w:rPr>
          <w:rFonts w:ascii="Times New Roman" w:hAnsi="Times New Roman" w:cs="Times New Roman"/>
          <w:sz w:val="24"/>
          <w:szCs w:val="28"/>
        </w:rPr>
        <w:t>Zidua</w:t>
      </w:r>
      <w:proofErr w:type="spellEnd"/>
      <w:r w:rsidRPr="00BA4CAC">
        <w:rPr>
          <w:rFonts w:ascii="Times New Roman" w:hAnsi="Times New Roman" w:cs="Times New Roman"/>
          <w:sz w:val="24"/>
          <w:szCs w:val="28"/>
        </w:rPr>
        <w:t xml:space="preserve"> SC</w:t>
      </w:r>
      <w:r w:rsidRPr="00BA4CAC">
        <w:rPr>
          <w:rFonts w:ascii="Times New Roman" w:hAnsi="Times New Roman" w:cs="Times New Roman"/>
          <w:sz w:val="24"/>
          <w:szCs w:val="28"/>
          <w:vertAlign w:val="superscript"/>
        </w:rPr>
        <w:t>®</w:t>
      </w:r>
      <w:r w:rsidRPr="00BA4CAC">
        <w:rPr>
          <w:rFonts w:ascii="Times New Roman" w:hAnsi="Times New Roman" w:cs="Times New Roman"/>
          <w:sz w:val="24"/>
          <w:szCs w:val="28"/>
        </w:rPr>
        <w:t>) is a group 15 herbicide that inhibits the production of very long chain fatty acids (VLCFA) and can be used preplant, preemergence, and postemergence in several crops (</w:t>
      </w:r>
      <w:proofErr w:type="spellStart"/>
      <w:r w:rsidRPr="00BA4CAC">
        <w:rPr>
          <w:rFonts w:ascii="Times New Roman" w:hAnsi="Times New Roman" w:cs="Times New Roman"/>
          <w:sz w:val="24"/>
          <w:szCs w:val="28"/>
        </w:rPr>
        <w:t>Shaner</w:t>
      </w:r>
      <w:proofErr w:type="spellEnd"/>
      <w:r w:rsidRPr="00BA4CAC">
        <w:rPr>
          <w:rFonts w:ascii="Times New Roman" w:hAnsi="Times New Roman" w:cs="Times New Roman"/>
          <w:sz w:val="24"/>
          <w:szCs w:val="28"/>
        </w:rPr>
        <w:t xml:space="preserve"> 2014).  Pyroxasulfone molecular weight is 391.3 g/mol, melting point 130.7 C, and water solubility of 3.49 mg/L (20 C) (</w:t>
      </w:r>
      <w:bookmarkStart w:id="1" w:name="_Hlk66449547"/>
      <w:proofErr w:type="spellStart"/>
      <w:r w:rsidRPr="00BA4CAC">
        <w:rPr>
          <w:rFonts w:ascii="Times New Roman" w:hAnsi="Times New Roman" w:cs="Times New Roman"/>
          <w:sz w:val="24"/>
          <w:szCs w:val="28"/>
        </w:rPr>
        <w:t>Shaner</w:t>
      </w:r>
      <w:proofErr w:type="spellEnd"/>
      <w:r w:rsidRPr="00BA4CAC">
        <w:rPr>
          <w:rFonts w:ascii="Times New Roman" w:hAnsi="Times New Roman" w:cs="Times New Roman"/>
          <w:sz w:val="24"/>
          <w:szCs w:val="28"/>
        </w:rPr>
        <w:t xml:space="preserve"> 2014, </w:t>
      </w:r>
      <w:proofErr w:type="spellStart"/>
      <w:r w:rsidRPr="00BA4CAC">
        <w:rPr>
          <w:rFonts w:ascii="Times New Roman" w:hAnsi="Times New Roman" w:cs="Times New Roman"/>
          <w:sz w:val="24"/>
          <w:szCs w:val="28"/>
        </w:rPr>
        <w:t>Tanetani</w:t>
      </w:r>
      <w:proofErr w:type="spellEnd"/>
      <w:r w:rsidRPr="00BA4CAC">
        <w:rPr>
          <w:rFonts w:ascii="Times New Roman" w:hAnsi="Times New Roman" w:cs="Times New Roman"/>
          <w:sz w:val="24"/>
          <w:szCs w:val="28"/>
        </w:rPr>
        <w:t xml:space="preserve"> et al. 2009 and 2013</w:t>
      </w:r>
      <w:bookmarkEnd w:id="1"/>
      <w:r w:rsidRPr="00BA4CAC">
        <w:rPr>
          <w:rFonts w:ascii="Times New Roman" w:hAnsi="Times New Roman" w:cs="Times New Roman"/>
          <w:sz w:val="24"/>
          <w:szCs w:val="28"/>
        </w:rPr>
        <w:t>).  These herbicides play a major role in weed control and weed resistance management.</w:t>
      </w:r>
    </w:p>
    <w:p w14:paraId="29B4206A" w14:textId="61DE0C49" w:rsidR="00BA4CAC" w:rsidRPr="00BA4CAC" w:rsidRDefault="00BA4CAC" w:rsidP="00BA4CAC">
      <w:pPr>
        <w:spacing w:after="200" w:line="480" w:lineRule="auto"/>
        <w:ind w:firstLine="720"/>
        <w:rPr>
          <w:rFonts w:ascii="Times New Roman" w:hAnsi="Times New Roman" w:cs="Times New Roman"/>
          <w:sz w:val="24"/>
          <w:szCs w:val="28"/>
        </w:rPr>
      </w:pPr>
      <w:r w:rsidRPr="00BA4CAC">
        <w:rPr>
          <w:rFonts w:ascii="Times New Roman" w:hAnsi="Times New Roman" w:cs="Times New Roman"/>
          <w:sz w:val="24"/>
          <w:szCs w:val="28"/>
        </w:rPr>
        <w:t xml:space="preserve">Following application, herbicides are exposed to many factors and conditions, such as differing soil texture, pH, organic matter, moisture fluctuation, microbial populations, and tillage just to name a few.  These all have potential impacts on degradation of pesticides in soils as </w:t>
      </w:r>
      <w:r w:rsidRPr="00BA4CAC">
        <w:rPr>
          <w:rFonts w:ascii="Times New Roman" w:hAnsi="Times New Roman" w:cs="Times New Roman"/>
          <w:sz w:val="24"/>
          <w:szCs w:val="28"/>
        </w:rPr>
        <w:lastRenderedPageBreak/>
        <w:t xml:space="preserve">suggested by </w:t>
      </w:r>
      <w:proofErr w:type="spellStart"/>
      <w:r w:rsidRPr="00BA4CAC">
        <w:rPr>
          <w:rFonts w:ascii="Times New Roman" w:hAnsi="Times New Roman" w:cs="Times New Roman"/>
          <w:sz w:val="24"/>
          <w:szCs w:val="28"/>
        </w:rPr>
        <w:t>Kah</w:t>
      </w:r>
      <w:proofErr w:type="spellEnd"/>
      <w:r w:rsidRPr="00BA4CAC">
        <w:rPr>
          <w:rFonts w:ascii="Times New Roman" w:hAnsi="Times New Roman" w:cs="Times New Roman"/>
          <w:sz w:val="24"/>
          <w:szCs w:val="28"/>
        </w:rPr>
        <w:t xml:space="preserve"> et. al. 2007 (Burnside et al. 1969, </w:t>
      </w:r>
      <w:proofErr w:type="spellStart"/>
      <w:r w:rsidRPr="00BA4CAC">
        <w:rPr>
          <w:rFonts w:ascii="Times New Roman" w:hAnsi="Times New Roman" w:cs="Times New Roman"/>
          <w:sz w:val="24"/>
          <w:szCs w:val="28"/>
        </w:rPr>
        <w:t>Barriuso</w:t>
      </w:r>
      <w:proofErr w:type="spellEnd"/>
      <w:r w:rsidRPr="00BA4CAC">
        <w:rPr>
          <w:rFonts w:ascii="Times New Roman" w:hAnsi="Times New Roman" w:cs="Times New Roman"/>
          <w:sz w:val="24"/>
          <w:szCs w:val="28"/>
        </w:rPr>
        <w:t xml:space="preserve"> et al. 1997, Curran 2016, Dyson et al. 2002, Jones et al. 1990, </w:t>
      </w:r>
      <w:proofErr w:type="spellStart"/>
      <w:r w:rsidRPr="00BA4CAC">
        <w:rPr>
          <w:rFonts w:ascii="Times New Roman" w:hAnsi="Times New Roman" w:cs="Times New Roman"/>
          <w:sz w:val="24"/>
          <w:szCs w:val="28"/>
        </w:rPr>
        <w:t>Kah</w:t>
      </w:r>
      <w:proofErr w:type="spellEnd"/>
      <w:r w:rsidRPr="00BA4CAC">
        <w:rPr>
          <w:rFonts w:ascii="Times New Roman" w:hAnsi="Times New Roman" w:cs="Times New Roman"/>
          <w:sz w:val="24"/>
          <w:szCs w:val="28"/>
        </w:rPr>
        <w:t xml:space="preserve"> et al. 2006, </w:t>
      </w:r>
      <w:proofErr w:type="spellStart"/>
      <w:r w:rsidRPr="00BA4CAC">
        <w:rPr>
          <w:rFonts w:ascii="Times New Roman" w:hAnsi="Times New Roman" w:cs="Times New Roman"/>
          <w:sz w:val="24"/>
          <w:szCs w:val="28"/>
        </w:rPr>
        <w:t>Kells</w:t>
      </w:r>
      <w:proofErr w:type="spellEnd"/>
      <w:r w:rsidRPr="00BA4CAC">
        <w:rPr>
          <w:rFonts w:ascii="Times New Roman" w:hAnsi="Times New Roman" w:cs="Times New Roman"/>
          <w:sz w:val="24"/>
          <w:szCs w:val="28"/>
        </w:rPr>
        <w:t xml:space="preserve"> et al. 1980, Radosevich et al. 1996).  Mueller and Steckel reported differences in weed control and degradation rate of pyroxasulfone and chloroacetamide herbicides in 2007 and 2008 due to differences in rainfall accumulation.  Camargo et al. 201</w:t>
      </w:r>
      <w:r w:rsidR="00981251">
        <w:rPr>
          <w:rFonts w:ascii="Times New Roman" w:hAnsi="Times New Roman" w:cs="Times New Roman"/>
          <w:sz w:val="24"/>
          <w:szCs w:val="28"/>
        </w:rPr>
        <w:t>3</w:t>
      </w:r>
      <w:r w:rsidRPr="00BA4CAC">
        <w:rPr>
          <w:rFonts w:ascii="Times New Roman" w:hAnsi="Times New Roman" w:cs="Times New Roman"/>
          <w:sz w:val="24"/>
          <w:szCs w:val="28"/>
        </w:rPr>
        <w:t xml:space="preserve"> reported differences in dissipation of saflufenacil depending on soil moisture and soil type.  These factors can fluctuate erratically or mildly depending on the time frame and react together to influence field persistence of a herbicide.</w:t>
      </w:r>
    </w:p>
    <w:p w14:paraId="7E4C4797" w14:textId="77777777" w:rsidR="00BA4CAC" w:rsidRPr="00BA4CAC" w:rsidRDefault="00BA4CAC" w:rsidP="00BA4CAC">
      <w:pPr>
        <w:spacing w:after="200" w:line="480" w:lineRule="auto"/>
        <w:ind w:firstLine="720"/>
        <w:rPr>
          <w:rFonts w:ascii="Times New Roman" w:hAnsi="Times New Roman" w:cs="Times New Roman"/>
          <w:sz w:val="24"/>
          <w:szCs w:val="28"/>
        </w:rPr>
      </w:pPr>
      <w:r w:rsidRPr="00BA4CAC">
        <w:rPr>
          <w:rFonts w:ascii="Times New Roman" w:hAnsi="Times New Roman" w:cs="Times New Roman"/>
          <w:sz w:val="24"/>
          <w:szCs w:val="28"/>
        </w:rPr>
        <w:t>The return of more diverse weed control practices following the wake of weed resistance, herbicide degradation and field persistence should get more attention as producers increase use of residuals to control problematic weeds.</w:t>
      </w:r>
    </w:p>
    <w:p w14:paraId="4F6357D4" w14:textId="078D1324" w:rsidR="00BA4CAC" w:rsidRPr="00EC3EE6" w:rsidRDefault="00BA4CAC" w:rsidP="00EC3EE6">
      <w:pPr>
        <w:pStyle w:val="Heading2"/>
        <w:jc w:val="center"/>
        <w:rPr>
          <w:rFonts w:ascii="Times New Roman" w:hAnsi="Times New Roman" w:cs="Times New Roman"/>
          <w:b/>
          <w:color w:val="000000" w:themeColor="text1"/>
          <w:sz w:val="24"/>
        </w:rPr>
      </w:pPr>
      <w:bookmarkStart w:id="2" w:name="_Toc99089477"/>
      <w:r w:rsidRPr="00EC3EE6">
        <w:rPr>
          <w:rFonts w:ascii="Times New Roman" w:hAnsi="Times New Roman" w:cs="Times New Roman"/>
          <w:b/>
          <w:color w:val="000000" w:themeColor="text1"/>
          <w:sz w:val="24"/>
        </w:rPr>
        <w:t>Objectives and Hypotheses</w:t>
      </w:r>
      <w:bookmarkEnd w:id="2"/>
    </w:p>
    <w:p w14:paraId="4A240EEA" w14:textId="77777777" w:rsidR="00EC3EE6" w:rsidRPr="00EC3EE6" w:rsidRDefault="00EC3EE6" w:rsidP="00EC3EE6"/>
    <w:p w14:paraId="312D301D" w14:textId="77777777" w:rsidR="00BA4CAC" w:rsidRPr="00BA4CAC" w:rsidRDefault="00BA4CAC" w:rsidP="00BA4CAC">
      <w:pPr>
        <w:spacing w:after="200" w:line="480" w:lineRule="auto"/>
        <w:ind w:firstLine="720"/>
        <w:rPr>
          <w:rFonts w:ascii="Times New Roman" w:hAnsi="Times New Roman" w:cs="Times New Roman"/>
          <w:sz w:val="24"/>
          <w:szCs w:val="28"/>
        </w:rPr>
      </w:pPr>
      <w:r w:rsidRPr="00BA4CAC">
        <w:rPr>
          <w:rFonts w:ascii="Times New Roman" w:hAnsi="Times New Roman" w:cs="Times New Roman"/>
          <w:sz w:val="24"/>
          <w:szCs w:val="28"/>
        </w:rPr>
        <w:t>These studies are designed to investigate the possible change of field dissipation rates based on herbicide concentration in field conditions.  More specifically to understand the change in calculated first order rate constants (K) and its effects on modeling herbicide rate decline over time.  The field study will offer insights on residual herbicides commonly used in Tennessee that are considered short, medium and long residual with application rates classified as low, medium, and high.  This study could help with the understanding of how herbicides degrade over time with respect to applied rates and environmental persistence of the molecule.</w:t>
      </w:r>
    </w:p>
    <w:p w14:paraId="2D9BA90B" w14:textId="77777777" w:rsidR="00BA4CAC" w:rsidRPr="00BA4CAC" w:rsidRDefault="00BA4CAC" w:rsidP="00BA4CAC">
      <w:pPr>
        <w:spacing w:after="200" w:line="480" w:lineRule="auto"/>
        <w:ind w:firstLine="720"/>
        <w:rPr>
          <w:rFonts w:ascii="Times New Roman" w:hAnsi="Times New Roman" w:cs="Times New Roman"/>
          <w:sz w:val="24"/>
          <w:szCs w:val="28"/>
        </w:rPr>
      </w:pPr>
      <w:r w:rsidRPr="00BA4CAC">
        <w:rPr>
          <w:rFonts w:ascii="Times New Roman" w:hAnsi="Times New Roman" w:cs="Times New Roman"/>
          <w:sz w:val="24"/>
          <w:szCs w:val="28"/>
        </w:rPr>
        <w:t xml:space="preserve">The lab research will examine microbial degradation rate when soils are not subject to varying environmental influences as temperature, moisture, and sunlight.  This lab study could offer more evidence of biological degradation changes when influenced by rate and molecule </w:t>
      </w:r>
      <w:r w:rsidRPr="00BA4CAC">
        <w:rPr>
          <w:rFonts w:ascii="Times New Roman" w:hAnsi="Times New Roman" w:cs="Times New Roman"/>
          <w:sz w:val="24"/>
          <w:szCs w:val="28"/>
        </w:rPr>
        <w:lastRenderedPageBreak/>
        <w:t>environmental persistence. Furthermore, the tank-mix of all three herbicides (all three molecules present) could influence persistence when compared to the herbicides applied alone.</w:t>
      </w:r>
    </w:p>
    <w:p w14:paraId="47B0E309" w14:textId="77777777" w:rsidR="00BA4CAC" w:rsidRPr="00BA4CAC" w:rsidRDefault="00BA4CAC" w:rsidP="00BA4CAC">
      <w:pPr>
        <w:spacing w:after="200" w:line="480" w:lineRule="auto"/>
        <w:ind w:firstLine="720"/>
        <w:rPr>
          <w:rFonts w:ascii="Times New Roman" w:hAnsi="Times New Roman" w:cs="Times New Roman"/>
          <w:sz w:val="24"/>
          <w:szCs w:val="28"/>
        </w:rPr>
      </w:pPr>
      <w:r w:rsidRPr="00BA4CAC">
        <w:rPr>
          <w:rFonts w:ascii="Times New Roman" w:hAnsi="Times New Roman" w:cs="Times New Roman"/>
          <w:sz w:val="24"/>
          <w:szCs w:val="28"/>
        </w:rPr>
        <w:t>We hypothesize that the higher concentrations of some herbicides could dissipate at slower rates as compared to the lower concentrations.  Mueller and Steckel (2011) suggested a similar hypothesis, that 5X pyroxasulfone rate could dissipate slower than a lower concentration of the same herbicide.  Also, we postulate that the herbicides in the lab study, will dissipate more rapidly as adequate moisture will be available and the temperatures will be stable for maximum biological degradation, but we also theorize that higher herbicide concentrations will slow degradation and prolong persistence similarly as the field study.</w:t>
      </w:r>
    </w:p>
    <w:p w14:paraId="6802BA84" w14:textId="6ECBF5D8" w:rsidR="00BA4CAC" w:rsidRDefault="00BA4CAC" w:rsidP="00EC3EE6">
      <w:pPr>
        <w:pStyle w:val="Heading2"/>
        <w:jc w:val="center"/>
        <w:rPr>
          <w:rFonts w:ascii="Times New Roman" w:hAnsi="Times New Roman" w:cs="Times New Roman"/>
          <w:b/>
          <w:color w:val="000000" w:themeColor="text1"/>
          <w:sz w:val="24"/>
        </w:rPr>
      </w:pPr>
      <w:bookmarkStart w:id="3" w:name="_Toc99089478"/>
      <w:r w:rsidRPr="00EC3EE6">
        <w:rPr>
          <w:rFonts w:ascii="Times New Roman" w:hAnsi="Times New Roman" w:cs="Times New Roman"/>
          <w:b/>
          <w:color w:val="000000" w:themeColor="text1"/>
          <w:sz w:val="24"/>
        </w:rPr>
        <w:t>Materials and Methods</w:t>
      </w:r>
      <w:bookmarkEnd w:id="3"/>
    </w:p>
    <w:p w14:paraId="21A36525" w14:textId="77777777" w:rsidR="00EC3EE6" w:rsidRPr="00EC3EE6" w:rsidRDefault="00EC3EE6" w:rsidP="00EC3EE6"/>
    <w:p w14:paraId="4BBA4985" w14:textId="77777777" w:rsidR="00BA4CAC" w:rsidRPr="00BA4CAC" w:rsidRDefault="00BA4CAC" w:rsidP="00BA4CAC">
      <w:pPr>
        <w:spacing w:after="200" w:line="480" w:lineRule="auto"/>
        <w:rPr>
          <w:rFonts w:ascii="Times New Roman" w:hAnsi="Times New Roman" w:cs="Times New Roman"/>
          <w:sz w:val="24"/>
          <w:szCs w:val="24"/>
        </w:rPr>
      </w:pPr>
      <w:r w:rsidRPr="00BA4CAC">
        <w:rPr>
          <w:rFonts w:ascii="Times New Roman" w:hAnsi="Times New Roman" w:cs="Times New Roman"/>
          <w:b/>
          <w:sz w:val="24"/>
          <w:szCs w:val="24"/>
        </w:rPr>
        <w:tab/>
      </w:r>
      <w:r w:rsidRPr="00BA4CAC">
        <w:rPr>
          <w:rFonts w:ascii="Times New Roman" w:hAnsi="Times New Roman" w:cs="Times New Roman"/>
          <w:sz w:val="24"/>
          <w:szCs w:val="24"/>
        </w:rPr>
        <w:t>Field experiments will be conducted at the East Tennessee Research and Extension Center (ETREC) - Holston Unit in Knoxville, Tennessee.  Laboratory experiments will be conducted in the Weed Science Lab and TVA Greenhouse at University of Tennessee, Knoxville.  Data generated in these studies will be subject to analysis using Statistical Analysis System (SAS) version 9.4 and Sigma Plot v.14.</w:t>
      </w:r>
    </w:p>
    <w:p w14:paraId="44A35EEA" w14:textId="48CC8CC2" w:rsidR="00BA4CAC" w:rsidRPr="00BA4CAC" w:rsidRDefault="00BA4CAC" w:rsidP="00BA4CAC">
      <w:pPr>
        <w:spacing w:after="200" w:line="480" w:lineRule="auto"/>
        <w:ind w:firstLine="720"/>
        <w:rPr>
          <w:rFonts w:ascii="Times New Roman" w:hAnsi="Times New Roman" w:cs="Times New Roman"/>
          <w:sz w:val="24"/>
          <w:szCs w:val="24"/>
        </w:rPr>
      </w:pPr>
      <w:r w:rsidRPr="00BA4CAC">
        <w:rPr>
          <w:rFonts w:ascii="Times New Roman" w:hAnsi="Times New Roman" w:cs="Times New Roman"/>
          <w:sz w:val="24"/>
          <w:szCs w:val="24"/>
        </w:rPr>
        <w:t xml:space="preserve">Experimental design for field studies are a factorial arrangement of treatments in a randomized complete block with three (3) replications, also, there will be an additional treatment with all herbicides co-applied.  A major challenge of conducting herbicide dissipation in field research is accurately and uniformly applying the herbicides.  Day 0 sampling errors have widely been an issue on these types of studies (McAllister 1994, </w:t>
      </w:r>
      <w:proofErr w:type="spellStart"/>
      <w:r w:rsidRPr="00BA4CAC">
        <w:rPr>
          <w:rFonts w:ascii="Times New Roman" w:hAnsi="Times New Roman" w:cs="Times New Roman"/>
          <w:sz w:val="24"/>
          <w:szCs w:val="24"/>
        </w:rPr>
        <w:t>Blumhorst</w:t>
      </w:r>
      <w:proofErr w:type="spellEnd"/>
      <w:r w:rsidRPr="00BA4CAC">
        <w:rPr>
          <w:rFonts w:ascii="Times New Roman" w:hAnsi="Times New Roman" w:cs="Times New Roman"/>
          <w:sz w:val="24"/>
          <w:szCs w:val="24"/>
        </w:rPr>
        <w:t xml:space="preserve"> and Mueller 1997).  To facilitate uniform application, especially of the higher mixture loads, the herbicides will be mixed at one half (1/2) the applied rate and applied to each plot twice, spraying in opposite </w:t>
      </w:r>
      <w:r w:rsidRPr="00BA4CAC">
        <w:rPr>
          <w:rFonts w:ascii="Times New Roman" w:hAnsi="Times New Roman" w:cs="Times New Roman"/>
          <w:sz w:val="24"/>
          <w:szCs w:val="24"/>
        </w:rPr>
        <w:lastRenderedPageBreak/>
        <w:t>directions.  The application technique of two (2) applications per plot will result in a more uniform distribution of test material and continuity of spray solution by thorough agitation of each mix.</w:t>
      </w:r>
    </w:p>
    <w:p w14:paraId="4A7D0A8D" w14:textId="77777777" w:rsidR="00BA4CAC" w:rsidRPr="00BA4CAC" w:rsidRDefault="00BA4CAC" w:rsidP="00BA4CAC">
      <w:pPr>
        <w:spacing w:after="200" w:line="480" w:lineRule="auto"/>
        <w:ind w:firstLine="720"/>
        <w:rPr>
          <w:rFonts w:ascii="Times New Roman" w:hAnsi="Times New Roman" w:cs="Times New Roman"/>
          <w:sz w:val="24"/>
          <w:szCs w:val="24"/>
        </w:rPr>
      </w:pPr>
      <w:r w:rsidRPr="00BA4CAC">
        <w:rPr>
          <w:rFonts w:ascii="Times New Roman" w:hAnsi="Times New Roman" w:cs="Times New Roman"/>
          <w:sz w:val="24"/>
          <w:szCs w:val="24"/>
        </w:rPr>
        <w:t>The first factor will be herbicide rates of 100, 1,000, and 10,000 g ai/ha</w:t>
      </w:r>
      <w:r w:rsidRPr="00BA4CAC">
        <w:rPr>
          <w:rFonts w:ascii="Times New Roman" w:hAnsi="Times New Roman" w:cs="Times New Roman"/>
          <w:sz w:val="24"/>
          <w:szCs w:val="24"/>
          <w:vertAlign w:val="superscript"/>
        </w:rPr>
        <w:t>-1</w:t>
      </w:r>
      <w:r w:rsidRPr="00BA4CAC">
        <w:rPr>
          <w:rFonts w:ascii="Times New Roman" w:hAnsi="Times New Roman" w:cs="Times New Roman"/>
          <w:sz w:val="24"/>
          <w:szCs w:val="24"/>
        </w:rPr>
        <w:t xml:space="preserve"> which will be referred to as low, medium, and high, respectively.  The second factor will be herbicides of saflufenacil (Sharpen</w:t>
      </w:r>
      <w:r w:rsidRPr="00BA4CAC">
        <w:rPr>
          <w:rFonts w:ascii="Times New Roman" w:hAnsi="Times New Roman" w:cs="Times New Roman"/>
          <w:sz w:val="24"/>
          <w:szCs w:val="24"/>
          <w:vertAlign w:val="superscript"/>
        </w:rPr>
        <w:t>®</w:t>
      </w:r>
      <w:r w:rsidRPr="00BA4CAC">
        <w:rPr>
          <w:rFonts w:ascii="Times New Roman" w:hAnsi="Times New Roman" w:cs="Times New Roman"/>
          <w:sz w:val="24"/>
          <w:szCs w:val="24"/>
        </w:rPr>
        <w:t>), atrazine (</w:t>
      </w:r>
      <w:proofErr w:type="spellStart"/>
      <w:r w:rsidRPr="00BA4CAC">
        <w:rPr>
          <w:rFonts w:ascii="Times New Roman" w:hAnsi="Times New Roman" w:cs="Times New Roman"/>
          <w:sz w:val="24"/>
          <w:szCs w:val="24"/>
        </w:rPr>
        <w:t>AAtrex</w:t>
      </w:r>
      <w:proofErr w:type="spellEnd"/>
      <w:r w:rsidRPr="00BA4CAC">
        <w:rPr>
          <w:rFonts w:ascii="Times New Roman" w:hAnsi="Times New Roman" w:cs="Times New Roman"/>
          <w:sz w:val="24"/>
          <w:szCs w:val="24"/>
          <w:vertAlign w:val="superscript"/>
        </w:rPr>
        <w:t>®</w:t>
      </w:r>
      <w:r w:rsidRPr="00BA4CAC">
        <w:rPr>
          <w:rFonts w:ascii="Times New Roman" w:hAnsi="Times New Roman" w:cs="Times New Roman"/>
          <w:sz w:val="24"/>
          <w:szCs w:val="24"/>
        </w:rPr>
        <w:t>), and pyroxasulfone (</w:t>
      </w:r>
      <w:proofErr w:type="spellStart"/>
      <w:r w:rsidRPr="00BA4CAC">
        <w:rPr>
          <w:rFonts w:ascii="Times New Roman" w:hAnsi="Times New Roman" w:cs="Times New Roman"/>
          <w:sz w:val="24"/>
          <w:szCs w:val="24"/>
        </w:rPr>
        <w:t>Zidua</w:t>
      </w:r>
      <w:proofErr w:type="spellEnd"/>
      <w:r w:rsidRPr="00BA4CAC">
        <w:rPr>
          <w:rFonts w:ascii="Times New Roman" w:hAnsi="Times New Roman" w:cs="Times New Roman"/>
          <w:sz w:val="24"/>
          <w:szCs w:val="24"/>
          <w:vertAlign w:val="superscript"/>
        </w:rPr>
        <w:t>®</w:t>
      </w:r>
      <w:r w:rsidRPr="00BA4CAC">
        <w:rPr>
          <w:rFonts w:ascii="Times New Roman" w:hAnsi="Times New Roman" w:cs="Times New Roman"/>
          <w:sz w:val="24"/>
          <w:szCs w:val="24"/>
        </w:rPr>
        <w:t xml:space="preserve">) which have a relative field persistence of short (1-36 days) (Grossman et al. 2010 and 2011, </w:t>
      </w:r>
      <w:proofErr w:type="spellStart"/>
      <w:r w:rsidRPr="00BA4CAC">
        <w:rPr>
          <w:rFonts w:ascii="Times New Roman" w:hAnsi="Times New Roman" w:cs="Times New Roman"/>
          <w:sz w:val="24"/>
          <w:szCs w:val="24"/>
        </w:rPr>
        <w:t>Shaner</w:t>
      </w:r>
      <w:proofErr w:type="spellEnd"/>
      <w:r w:rsidRPr="00BA4CAC">
        <w:rPr>
          <w:rFonts w:ascii="Times New Roman" w:hAnsi="Times New Roman" w:cs="Times New Roman"/>
          <w:sz w:val="24"/>
          <w:szCs w:val="24"/>
        </w:rPr>
        <w:t xml:space="preserve"> 2014, Mueller et al. 2014), medium (avg 60 days) (Andreu and </w:t>
      </w:r>
      <w:proofErr w:type="spellStart"/>
      <w:r w:rsidRPr="00BA4CAC">
        <w:rPr>
          <w:rFonts w:ascii="Times New Roman" w:hAnsi="Times New Roman" w:cs="Times New Roman"/>
          <w:sz w:val="24"/>
          <w:szCs w:val="24"/>
        </w:rPr>
        <w:t>Picó</w:t>
      </w:r>
      <w:proofErr w:type="spellEnd"/>
      <w:r w:rsidRPr="00BA4CAC">
        <w:rPr>
          <w:rFonts w:ascii="Times New Roman" w:hAnsi="Times New Roman" w:cs="Times New Roman"/>
          <w:sz w:val="24"/>
          <w:szCs w:val="24"/>
        </w:rPr>
        <w:t xml:space="preserve"> 2004), and long (47-134 days) (</w:t>
      </w:r>
      <w:proofErr w:type="spellStart"/>
      <w:r w:rsidRPr="00BA4CAC">
        <w:rPr>
          <w:rFonts w:ascii="Times New Roman" w:hAnsi="Times New Roman" w:cs="Times New Roman"/>
          <w:sz w:val="24"/>
          <w:szCs w:val="24"/>
        </w:rPr>
        <w:t>Westra</w:t>
      </w:r>
      <w:proofErr w:type="spellEnd"/>
      <w:r w:rsidRPr="00BA4CAC">
        <w:rPr>
          <w:rFonts w:ascii="Times New Roman" w:hAnsi="Times New Roman" w:cs="Times New Roman"/>
          <w:sz w:val="24"/>
          <w:szCs w:val="24"/>
        </w:rPr>
        <w:t xml:space="preserve"> et al. 2017), respectively.  Classification of atrazine as a medium field persistence herbicide in this study is based on the phenomena that soils exposed to atrazine previously could exhibit enhanced microbial degradation as discussed by Mueller et al. 2017.  Soils where this study is conducted has been previously exposed to atrazine (TC Mueller personal communication), but residues will be analyzed before the start of the study to ensure non-detection.</w:t>
      </w:r>
    </w:p>
    <w:p w14:paraId="3A0AB15E" w14:textId="77284B12" w:rsidR="00BA4CAC" w:rsidRPr="00BA4CAC" w:rsidRDefault="00BA4CAC" w:rsidP="00BA4CAC">
      <w:pPr>
        <w:spacing w:after="200" w:line="480" w:lineRule="auto"/>
        <w:ind w:firstLine="720"/>
        <w:rPr>
          <w:rFonts w:ascii="Times New Roman" w:hAnsi="Times New Roman" w:cs="Times New Roman"/>
          <w:sz w:val="24"/>
          <w:szCs w:val="24"/>
        </w:rPr>
      </w:pPr>
      <w:r w:rsidRPr="00BA4CAC">
        <w:rPr>
          <w:rFonts w:ascii="Times New Roman" w:hAnsi="Times New Roman" w:cs="Times New Roman"/>
          <w:sz w:val="24"/>
          <w:szCs w:val="24"/>
        </w:rPr>
        <w:t>Plot sizes measure 3 m wide by 12 m in length with 1 m buffer between treated areas.  All field treatments will be applied using a CO</w:t>
      </w:r>
      <w:r w:rsidRPr="00BA4CAC">
        <w:rPr>
          <w:rFonts w:ascii="Times New Roman" w:hAnsi="Times New Roman" w:cs="Times New Roman"/>
          <w:sz w:val="24"/>
          <w:szCs w:val="24"/>
          <w:vertAlign w:val="subscript"/>
        </w:rPr>
        <w:t xml:space="preserve">2 </w:t>
      </w:r>
      <w:r w:rsidRPr="00BA4CAC">
        <w:rPr>
          <w:rFonts w:ascii="Times New Roman" w:hAnsi="Times New Roman" w:cs="Times New Roman"/>
          <w:sz w:val="24"/>
          <w:szCs w:val="24"/>
        </w:rPr>
        <w:t>compressed backpack sprayer calibrated to deliver 187 L/ ha</w:t>
      </w:r>
      <w:r w:rsidRPr="00BA4CAC">
        <w:rPr>
          <w:rFonts w:ascii="Times New Roman" w:hAnsi="Times New Roman" w:cs="Times New Roman"/>
          <w:sz w:val="24"/>
          <w:szCs w:val="24"/>
          <w:vertAlign w:val="superscript"/>
        </w:rPr>
        <w:t>-1</w:t>
      </w:r>
      <w:r w:rsidRPr="00BA4CAC">
        <w:rPr>
          <w:rFonts w:ascii="Times New Roman" w:hAnsi="Times New Roman" w:cs="Times New Roman"/>
          <w:sz w:val="24"/>
          <w:szCs w:val="24"/>
        </w:rPr>
        <w:t xml:space="preserve"> at 276 kPa.  The spray boom is 305 cm wide and equipped with Tee Jet 8002 Flat Fan nozzles on 51 cm centers.  Sprayer nozzles will be approximately 76 cm above soil surface during application.  Application timing will coincide with typical preemergent (PRE) herbicide timings in Tennessee.  Test plots will be tilled to ensure no plant residue prior to trial initiation.  Plots will be maintained weed free via applying nonselective herbicides (excluding glyphosate) with no residual activity during the course of the study.  Weed free test plots allow for uniformity in all plots and for soil sample collection.  EPA terrestrial field studies usually use bare ground. Sample collections will be made at approximately</w:t>
      </w:r>
      <w:r w:rsidR="00277473">
        <w:rPr>
          <w:rFonts w:ascii="Times New Roman" w:hAnsi="Times New Roman" w:cs="Times New Roman"/>
          <w:sz w:val="24"/>
          <w:szCs w:val="24"/>
        </w:rPr>
        <w:t xml:space="preserve"> </w:t>
      </w:r>
      <w:r w:rsidR="00277473">
        <w:rPr>
          <w:rFonts w:ascii="Times New Roman" w:hAnsi="Times New Roman" w:cs="Times New Roman"/>
          <w:sz w:val="24"/>
        </w:rPr>
        <w:t xml:space="preserve">0, 3, 7, 14, 21, 28, 42, 56, 79, 84, </w:t>
      </w:r>
      <w:r w:rsidR="00277473">
        <w:rPr>
          <w:rFonts w:ascii="Times New Roman" w:hAnsi="Times New Roman" w:cs="Times New Roman"/>
          <w:sz w:val="24"/>
        </w:rPr>
        <w:lastRenderedPageBreak/>
        <w:t>98, 112, 140, 168, 196, 224, 280, and 365</w:t>
      </w:r>
      <w:r w:rsidRPr="00BA4CAC">
        <w:rPr>
          <w:rFonts w:ascii="Times New Roman" w:hAnsi="Times New Roman" w:cs="Times New Roman"/>
          <w:sz w:val="24"/>
          <w:szCs w:val="24"/>
        </w:rPr>
        <w:t xml:space="preserve"> </w:t>
      </w:r>
      <w:r w:rsidR="00277473">
        <w:rPr>
          <w:rFonts w:ascii="Times New Roman" w:hAnsi="Times New Roman" w:cs="Times New Roman"/>
          <w:sz w:val="24"/>
          <w:szCs w:val="24"/>
        </w:rPr>
        <w:t>days</w:t>
      </w:r>
      <w:r w:rsidRPr="00BA4CAC">
        <w:rPr>
          <w:rFonts w:ascii="Times New Roman" w:hAnsi="Times New Roman" w:cs="Times New Roman"/>
          <w:sz w:val="24"/>
          <w:szCs w:val="24"/>
        </w:rPr>
        <w:t xml:space="preserve"> after treatment (</w:t>
      </w:r>
      <w:r w:rsidR="00277473">
        <w:rPr>
          <w:rFonts w:ascii="Times New Roman" w:hAnsi="Times New Roman" w:cs="Times New Roman"/>
          <w:sz w:val="24"/>
          <w:szCs w:val="24"/>
        </w:rPr>
        <w:t>D</w:t>
      </w:r>
      <w:r w:rsidRPr="00BA4CAC">
        <w:rPr>
          <w:rFonts w:ascii="Times New Roman" w:hAnsi="Times New Roman" w:cs="Times New Roman"/>
          <w:sz w:val="24"/>
          <w:szCs w:val="24"/>
        </w:rPr>
        <w:t>AT), similarly described by Mueller and Senseman, 2015.  More samples collected early in the interval will be made to more accurately define the steep initial herbicide dissipation that many herbicides exhibit in field settings.</w:t>
      </w:r>
    </w:p>
    <w:p w14:paraId="47433D70" w14:textId="77777777" w:rsidR="00BA4CAC" w:rsidRPr="00BA4CAC" w:rsidRDefault="00BA4CAC" w:rsidP="00BA4CAC">
      <w:pPr>
        <w:spacing w:after="200" w:line="480" w:lineRule="auto"/>
        <w:ind w:firstLine="720"/>
        <w:rPr>
          <w:rFonts w:ascii="Times New Roman" w:hAnsi="Times New Roman" w:cs="Times New Roman"/>
          <w:sz w:val="24"/>
          <w:szCs w:val="24"/>
        </w:rPr>
      </w:pPr>
      <w:r w:rsidRPr="00BA4CAC">
        <w:rPr>
          <w:rFonts w:ascii="Times New Roman" w:hAnsi="Times New Roman" w:cs="Times New Roman"/>
          <w:sz w:val="24"/>
          <w:szCs w:val="24"/>
        </w:rPr>
        <w:t>Soil samples will be collected using a golf cup cutter (Par Aide Products Company St. Paul, MN) and will sample soil to 8 cm depth and 10 cm width resulting in an approximate soil sample of 800 cm</w:t>
      </w:r>
      <w:r w:rsidRPr="00BA4CAC">
        <w:rPr>
          <w:rFonts w:ascii="Times New Roman" w:hAnsi="Times New Roman" w:cs="Times New Roman"/>
          <w:sz w:val="24"/>
          <w:szCs w:val="24"/>
          <w:vertAlign w:val="superscript"/>
        </w:rPr>
        <w:t>3</w:t>
      </w:r>
      <w:r w:rsidRPr="00BA4CAC">
        <w:rPr>
          <w:rFonts w:ascii="Times New Roman" w:hAnsi="Times New Roman" w:cs="Times New Roman"/>
          <w:sz w:val="24"/>
          <w:szCs w:val="24"/>
        </w:rPr>
        <w:t>, or about 1.2 kg.  Soil samples will be labeled with date and plot number and immediately placed in a cooler to slow degradation and limit herbicide exposure to UV light.  Soils will be placed in freezer within one (1) hour of collection to minimize degradation processes and samples will remain frozen at -20 C until analysis.</w:t>
      </w:r>
    </w:p>
    <w:p w14:paraId="7998C6CE" w14:textId="7AA2934F" w:rsidR="00BA4CAC" w:rsidRPr="00BA4CAC" w:rsidRDefault="00BA4CAC" w:rsidP="00BA4CAC">
      <w:pPr>
        <w:spacing w:after="200" w:line="480" w:lineRule="auto"/>
        <w:rPr>
          <w:rFonts w:ascii="Times New Roman" w:hAnsi="Times New Roman" w:cs="Times New Roman"/>
          <w:sz w:val="24"/>
          <w:szCs w:val="24"/>
        </w:rPr>
      </w:pPr>
      <w:r w:rsidRPr="00BA4CAC">
        <w:rPr>
          <w:rFonts w:ascii="Times New Roman" w:hAnsi="Times New Roman" w:cs="Times New Roman"/>
          <w:b/>
          <w:sz w:val="24"/>
          <w:szCs w:val="24"/>
        </w:rPr>
        <w:tab/>
      </w:r>
      <w:r w:rsidRPr="00BA4CAC">
        <w:rPr>
          <w:rFonts w:ascii="Times New Roman" w:hAnsi="Times New Roman" w:cs="Times New Roman"/>
          <w:sz w:val="24"/>
          <w:szCs w:val="24"/>
        </w:rPr>
        <w:t>For extraction, collected samples will be removed from freezer and allowed to come to room temperature.  Samples will be thoroughly homogenized several times to ensure herbicide/soil mix is equally distributed.  Then a portion (⁓15 g) will be weighed into 50 mL conical centrifuge tube (</w:t>
      </w:r>
      <w:proofErr w:type="spellStart"/>
      <w:r w:rsidRPr="00BA4CAC">
        <w:rPr>
          <w:rFonts w:ascii="Times New Roman" w:hAnsi="Times New Roman" w:cs="Times New Roman"/>
          <w:sz w:val="24"/>
          <w:szCs w:val="24"/>
        </w:rPr>
        <w:t>Nunc</w:t>
      </w:r>
      <w:r w:rsidRPr="00BA4CAC">
        <w:rPr>
          <w:rFonts w:ascii="Times New Roman" w:hAnsi="Times New Roman" w:cs="Times New Roman"/>
          <w:sz w:val="24"/>
          <w:szCs w:val="24"/>
          <w:vertAlign w:val="superscript"/>
        </w:rPr>
        <w:t>TM</w:t>
      </w:r>
      <w:proofErr w:type="spellEnd"/>
      <w:r w:rsidRPr="00BA4CAC">
        <w:rPr>
          <w:rFonts w:ascii="Times New Roman" w:hAnsi="Times New Roman" w:cs="Times New Roman"/>
          <w:sz w:val="24"/>
          <w:szCs w:val="24"/>
        </w:rPr>
        <w:t xml:space="preserve"> Thermo Fisher Scientific Waltham, MA) for extraction.  Methanol (30 mL) will be added to the conical tube, placed on shaker (⁓1 </w:t>
      </w:r>
      <w:proofErr w:type="spellStart"/>
      <w:r w:rsidRPr="00BA4CAC">
        <w:rPr>
          <w:rFonts w:ascii="Times New Roman" w:hAnsi="Times New Roman" w:cs="Times New Roman"/>
          <w:sz w:val="24"/>
          <w:szCs w:val="24"/>
        </w:rPr>
        <w:t>hr</w:t>
      </w:r>
      <w:proofErr w:type="spellEnd"/>
      <w:r w:rsidRPr="00BA4CAC">
        <w:rPr>
          <w:rFonts w:ascii="Times New Roman" w:hAnsi="Times New Roman" w:cs="Times New Roman"/>
          <w:sz w:val="24"/>
          <w:szCs w:val="24"/>
        </w:rPr>
        <w:t xml:space="preserve">) (Harrison et al. 2013), filtered and analyzed via LC-MS.  Mobile phase will be acetonitrile + 0.1% formic acid + water + 0.1% formic acid and utilize phenyl-hexyl analytical column (Agilent Santa Clara, California). Concentrations will then be regressed by days after treatment (DAT) using first-order kinetics by </w:t>
      </w:r>
      <w:proofErr w:type="spellStart"/>
      <w:r w:rsidRPr="00BA4CAC">
        <w:rPr>
          <w:rFonts w:ascii="Times New Roman" w:hAnsi="Times New Roman" w:cs="Times New Roman"/>
          <w:sz w:val="24"/>
          <w:szCs w:val="24"/>
        </w:rPr>
        <w:t>Sigmaplot</w:t>
      </w:r>
      <w:proofErr w:type="spellEnd"/>
      <w:r w:rsidRPr="00BA4CAC">
        <w:rPr>
          <w:rFonts w:ascii="Times New Roman" w:hAnsi="Times New Roman" w:cs="Times New Roman"/>
          <w:sz w:val="24"/>
          <w:szCs w:val="24"/>
        </w:rPr>
        <w:t xml:space="preserve"> v14.  First order rate constant will be determined and chemical half-life (t</w:t>
      </w:r>
      <w:r w:rsidRPr="00BA4CAC">
        <w:rPr>
          <w:rFonts w:ascii="Times New Roman" w:hAnsi="Times New Roman" w:cs="Times New Roman"/>
          <w:sz w:val="24"/>
          <w:szCs w:val="24"/>
          <w:vertAlign w:val="subscript"/>
        </w:rPr>
        <w:t>1/2</w:t>
      </w:r>
      <w:r w:rsidRPr="00BA4CAC">
        <w:rPr>
          <w:rFonts w:ascii="Times New Roman" w:hAnsi="Times New Roman" w:cs="Times New Roman"/>
          <w:sz w:val="24"/>
          <w:szCs w:val="24"/>
        </w:rPr>
        <w:t>) will be calculated using the equation t</w:t>
      </w:r>
      <w:r w:rsidRPr="00BA4CAC">
        <w:rPr>
          <w:rFonts w:ascii="Times New Roman" w:hAnsi="Times New Roman" w:cs="Times New Roman"/>
          <w:sz w:val="24"/>
          <w:szCs w:val="24"/>
          <w:vertAlign w:val="subscript"/>
        </w:rPr>
        <w:t>1/2</w:t>
      </w:r>
      <w:r w:rsidRPr="00BA4CAC">
        <w:rPr>
          <w:rFonts w:ascii="Times New Roman" w:hAnsi="Times New Roman" w:cs="Times New Roman"/>
          <w:sz w:val="24"/>
          <w:szCs w:val="24"/>
        </w:rPr>
        <w:t>= 0.693/K.  Herbicide dissipation rates will be compared between herbicide application rates and within herbicides.</w:t>
      </w:r>
    </w:p>
    <w:p w14:paraId="750FB3DC" w14:textId="015EDD79" w:rsidR="00BA4CAC" w:rsidRPr="00BA4CAC" w:rsidRDefault="00BA4CAC" w:rsidP="00BA4CAC">
      <w:pPr>
        <w:spacing w:after="200" w:line="480" w:lineRule="auto"/>
        <w:rPr>
          <w:rFonts w:ascii="Times New Roman" w:hAnsi="Times New Roman" w:cs="Times New Roman"/>
          <w:sz w:val="24"/>
          <w:szCs w:val="24"/>
        </w:rPr>
      </w:pPr>
      <w:r w:rsidRPr="00BA4CAC">
        <w:rPr>
          <w:rFonts w:ascii="Times New Roman" w:hAnsi="Times New Roman" w:cs="Times New Roman"/>
          <w:sz w:val="24"/>
          <w:szCs w:val="24"/>
        </w:rPr>
        <w:lastRenderedPageBreak/>
        <w:tab/>
        <w:t xml:space="preserve">A lab study will utilize soil from same location as the field study, similarly with no detectable residues of atrazine, saflufenacil, and pyroxasulfone.  Soil will be sieved using 2.0 mm sieve to remove rocks and large debris; soils will be saturated and allowed to drain overnight.  A portion of soil (⁓5g moist soil) will be added to 20 mL vials and fortified with analytical herbicides of each dissolved in water (warm heating overnight as needed), filtered to remove any undissolved particles and 500 µL added to the soil in each vial (250 µL in the </w:t>
      </w:r>
      <w:r w:rsidR="005D2AA7" w:rsidRPr="00BA4CAC">
        <w:rPr>
          <w:rFonts w:ascii="Times New Roman" w:hAnsi="Times New Roman" w:cs="Times New Roman"/>
          <w:sz w:val="24"/>
          <w:szCs w:val="24"/>
        </w:rPr>
        <w:t>3-way</w:t>
      </w:r>
      <w:r w:rsidRPr="00BA4CAC">
        <w:rPr>
          <w:rFonts w:ascii="Times New Roman" w:hAnsi="Times New Roman" w:cs="Times New Roman"/>
          <w:sz w:val="24"/>
          <w:szCs w:val="24"/>
        </w:rPr>
        <w:t xml:space="preserve"> mix).  Atrazine and </w:t>
      </w:r>
      <w:proofErr w:type="spellStart"/>
      <w:r w:rsidRPr="00BA4CAC">
        <w:rPr>
          <w:rFonts w:ascii="Times New Roman" w:hAnsi="Times New Roman" w:cs="Times New Roman"/>
          <w:sz w:val="24"/>
          <w:szCs w:val="24"/>
        </w:rPr>
        <w:t>salfufenacil</w:t>
      </w:r>
      <w:proofErr w:type="spellEnd"/>
      <w:r w:rsidRPr="00BA4CAC">
        <w:rPr>
          <w:rFonts w:ascii="Times New Roman" w:hAnsi="Times New Roman" w:cs="Times New Roman"/>
          <w:sz w:val="24"/>
          <w:szCs w:val="24"/>
        </w:rPr>
        <w:t xml:space="preserve"> with 30 mg/L (high) and 3 mg/L (low).  Also, 4 mg/L (high) and 400 µg/L (low) of pyroxasulfone will be added to vials.  A lower rate of pyroxasulfone is used in this study due to lower solubility in water (</w:t>
      </w:r>
      <w:proofErr w:type="spellStart"/>
      <w:r w:rsidRPr="00BA4CAC">
        <w:rPr>
          <w:rFonts w:ascii="Times New Roman" w:hAnsi="Times New Roman" w:cs="Times New Roman"/>
          <w:sz w:val="24"/>
          <w:szCs w:val="28"/>
        </w:rPr>
        <w:t>Shaner</w:t>
      </w:r>
      <w:proofErr w:type="spellEnd"/>
      <w:r w:rsidRPr="00BA4CAC">
        <w:rPr>
          <w:rFonts w:ascii="Times New Roman" w:hAnsi="Times New Roman" w:cs="Times New Roman"/>
          <w:sz w:val="24"/>
          <w:szCs w:val="28"/>
        </w:rPr>
        <w:t xml:space="preserve"> 2014, </w:t>
      </w:r>
      <w:proofErr w:type="spellStart"/>
      <w:r w:rsidRPr="00BA4CAC">
        <w:rPr>
          <w:rFonts w:ascii="Times New Roman" w:hAnsi="Times New Roman" w:cs="Times New Roman"/>
          <w:sz w:val="24"/>
          <w:szCs w:val="28"/>
        </w:rPr>
        <w:t>Tanetani</w:t>
      </w:r>
      <w:proofErr w:type="spellEnd"/>
      <w:r w:rsidRPr="00BA4CAC">
        <w:rPr>
          <w:rFonts w:ascii="Times New Roman" w:hAnsi="Times New Roman" w:cs="Times New Roman"/>
          <w:sz w:val="24"/>
          <w:szCs w:val="28"/>
        </w:rPr>
        <w:t xml:space="preserve"> et al. 2009 and 2013</w:t>
      </w:r>
      <w:r w:rsidRPr="00BA4CAC">
        <w:rPr>
          <w:rFonts w:ascii="Times New Roman" w:hAnsi="Times New Roman" w:cs="Times New Roman"/>
          <w:sz w:val="24"/>
          <w:szCs w:val="24"/>
        </w:rPr>
        <w:t xml:space="preserve">). Furthermore, a mix of all 3 herbicides (low-3 mg/L atrazine and saflufenacil, + 400 µg/L pyroxasulfone, high-30 mg/L atrazine and saflufenacil + 4 mg/L of pyroxasulfone) will be added to vials.  Vials will then be allowed to equilibrate.  Samples will be placed in incubator at 22.0 C for the duration of the study.  Vials will be opened and allowed to vent for a short time at approximately 56 DAT, then again at 126 DAT. Vials will be removed from incubator at -1, 0, 3, 7, 14, 21, 28, 42, 56, 70, 84, 98, 126, 154, 182 DAT and placed in freezer until extraction.  Soil processing of lab samples will be similar to field collected samples.  Methanol (⁓14 mL) will be added to vials, placed on shaker (⁓1 </w:t>
      </w:r>
      <w:proofErr w:type="spellStart"/>
      <w:r w:rsidRPr="00BA4CAC">
        <w:rPr>
          <w:rFonts w:ascii="Times New Roman" w:hAnsi="Times New Roman" w:cs="Times New Roman"/>
          <w:sz w:val="24"/>
          <w:szCs w:val="24"/>
        </w:rPr>
        <w:t>hr</w:t>
      </w:r>
      <w:proofErr w:type="spellEnd"/>
      <w:r w:rsidRPr="00BA4CAC">
        <w:rPr>
          <w:rFonts w:ascii="Times New Roman" w:hAnsi="Times New Roman" w:cs="Times New Roman"/>
          <w:sz w:val="24"/>
          <w:szCs w:val="24"/>
        </w:rPr>
        <w:t>), filtered and analyzed via LC-MS.</w:t>
      </w:r>
    </w:p>
    <w:p w14:paraId="7673F5D5" w14:textId="5B76AB0E" w:rsidR="00BA4CAC" w:rsidRPr="00BA4CAC" w:rsidRDefault="00BA4CAC" w:rsidP="00BA4CAC">
      <w:pPr>
        <w:spacing w:after="200" w:line="480" w:lineRule="auto"/>
        <w:rPr>
          <w:rFonts w:ascii="Times New Roman" w:hAnsi="Times New Roman" w:cs="Times New Roman"/>
          <w:sz w:val="24"/>
          <w:szCs w:val="24"/>
        </w:rPr>
      </w:pPr>
      <w:r w:rsidRPr="00BA4CAC">
        <w:rPr>
          <w:rFonts w:ascii="Times New Roman" w:hAnsi="Times New Roman" w:cs="Times New Roman"/>
          <w:sz w:val="24"/>
          <w:szCs w:val="24"/>
        </w:rPr>
        <w:tab/>
        <w:t xml:space="preserve">Furthermore, another lab study will utilize soils collected from Georgia, Illinois, and Tennessee that have low, high, and medium organic matter, respectively.  These soils will be tested similarly as previous studies for detectable residues of atrazine, saflufenacil, and pyroxasulfone.   Soil will be sieved using 2.0 mm sieve to remove rocks and large debris; soils will be saturated and allowed to drain overnight.  A portion of soil (⁓5g moist soil) will be added to 20 mL vials and fortified with analytical herbicides of each dissolved in water (warm heating </w:t>
      </w:r>
      <w:r w:rsidRPr="00BA4CAC">
        <w:rPr>
          <w:rFonts w:ascii="Times New Roman" w:hAnsi="Times New Roman" w:cs="Times New Roman"/>
          <w:sz w:val="24"/>
          <w:szCs w:val="24"/>
        </w:rPr>
        <w:lastRenderedPageBreak/>
        <w:t xml:space="preserve">overnight as needed), filtered to remove any undissolved particles and 500 µL added to the soil in each vial (250 µL in the 3-way mix).  All vials will receive the same rate of herbicide (3 mg/L).  Furthermore, a mix of all 3 herbicides (3 mg/L atrazine, saflufenacil, and pyroxasulfone) will be added to vials.  Vials will then be allowed to equilibrate.  Samples will be placed in incubator at 22.0 C for the duration of the study.  Vials will be opened and allowed to vent for a short time at approximately 56 DAT, then again at 112 DAT. Vials will be removed from incubator at -1, 0, 3, 7, 14, 21, 28, 42, 56, 84, 112, 140, 154 DAT and placed in freezer until extraction.  Methanol (⁓14 mL) will be added to vials, placed on shaker (⁓1 </w:t>
      </w:r>
      <w:proofErr w:type="spellStart"/>
      <w:r w:rsidRPr="00BA4CAC">
        <w:rPr>
          <w:rFonts w:ascii="Times New Roman" w:hAnsi="Times New Roman" w:cs="Times New Roman"/>
          <w:sz w:val="24"/>
          <w:szCs w:val="24"/>
        </w:rPr>
        <w:t>hr</w:t>
      </w:r>
      <w:proofErr w:type="spellEnd"/>
      <w:r w:rsidRPr="00BA4CAC">
        <w:rPr>
          <w:rFonts w:ascii="Times New Roman" w:hAnsi="Times New Roman" w:cs="Times New Roman"/>
          <w:sz w:val="24"/>
          <w:szCs w:val="24"/>
        </w:rPr>
        <w:t xml:space="preserve">), filtered and analyzed via LC-MS. </w:t>
      </w:r>
    </w:p>
    <w:p w14:paraId="624E35EC" w14:textId="18FA8E0E" w:rsidR="00982072" w:rsidRDefault="00BA4CAC" w:rsidP="00BA4CAC">
      <w:pPr>
        <w:spacing w:after="200" w:line="480" w:lineRule="auto"/>
        <w:ind w:firstLine="720"/>
        <w:rPr>
          <w:rFonts w:ascii="Times New Roman" w:hAnsi="Times New Roman" w:cs="Times New Roman"/>
          <w:sz w:val="24"/>
          <w:szCs w:val="24"/>
        </w:rPr>
        <w:sectPr w:rsidR="00982072" w:rsidSect="00CA7909">
          <w:footerReference w:type="default" r:id="rId14"/>
          <w:pgSz w:w="12240" w:h="15840"/>
          <w:pgMar w:top="1440" w:right="1440" w:bottom="1440" w:left="1440" w:header="720" w:footer="720" w:gutter="0"/>
          <w:pgNumType w:start="1"/>
          <w:cols w:space="720"/>
          <w:docGrid w:linePitch="360"/>
        </w:sectPr>
      </w:pPr>
      <w:r w:rsidRPr="00BA4CAC">
        <w:rPr>
          <w:rFonts w:ascii="Times New Roman" w:hAnsi="Times New Roman" w:cs="Times New Roman"/>
          <w:sz w:val="24"/>
          <w:szCs w:val="24"/>
        </w:rPr>
        <w:t>Concentrations will then be regressed as previously described for field sample data.  Herbicide dissipation rates will be compared between low and high rates and within herbicides.  The lab assay should offer insight on dissipation of the herbicides by rate while keeping the temperature and moisture constant.  Furthermore, the soil will be void of sunlight to prevent photolysis of the herbicide molecules and negatively impacting the microbial populations via UVA and UVB light (Jordan et al. 1965).</w:t>
      </w:r>
    </w:p>
    <w:p w14:paraId="07ABEA00" w14:textId="7ECD516B" w:rsidR="00982072" w:rsidRDefault="00982072" w:rsidP="00EC3EE6">
      <w:pPr>
        <w:pStyle w:val="Heading2"/>
        <w:jc w:val="center"/>
        <w:rPr>
          <w:rFonts w:ascii="Times New Roman" w:hAnsi="Times New Roman" w:cs="Times New Roman"/>
          <w:b/>
          <w:color w:val="000000" w:themeColor="text1"/>
          <w:sz w:val="24"/>
        </w:rPr>
      </w:pPr>
      <w:bookmarkStart w:id="4" w:name="_Toc99089479"/>
      <w:r w:rsidRPr="00EC3EE6">
        <w:rPr>
          <w:rFonts w:ascii="Times New Roman" w:hAnsi="Times New Roman" w:cs="Times New Roman"/>
          <w:b/>
          <w:color w:val="000000" w:themeColor="text1"/>
          <w:sz w:val="24"/>
        </w:rPr>
        <w:lastRenderedPageBreak/>
        <w:t>Literature Cited</w:t>
      </w:r>
      <w:bookmarkEnd w:id="4"/>
    </w:p>
    <w:p w14:paraId="25B960CC" w14:textId="77777777" w:rsidR="00EC3EE6" w:rsidRPr="00EC3EE6" w:rsidRDefault="00EC3EE6" w:rsidP="00EC3EE6"/>
    <w:p w14:paraId="051B2462" w14:textId="77777777" w:rsidR="00982072" w:rsidRPr="00982072" w:rsidRDefault="00982072" w:rsidP="00982072">
      <w:pPr>
        <w:spacing w:after="200" w:line="480" w:lineRule="auto"/>
        <w:ind w:left="720" w:hanging="720"/>
        <w:rPr>
          <w:rFonts w:ascii="Times New Roman" w:hAnsi="Times New Roman" w:cs="Times New Roman"/>
          <w:sz w:val="24"/>
          <w:szCs w:val="24"/>
        </w:rPr>
      </w:pPr>
      <w:r w:rsidRPr="00982072">
        <w:rPr>
          <w:rFonts w:ascii="Times New Roman" w:hAnsi="Times New Roman" w:cs="Times New Roman"/>
          <w:sz w:val="24"/>
          <w:szCs w:val="24"/>
        </w:rPr>
        <w:t xml:space="preserve">Andreu V and </w:t>
      </w:r>
      <w:proofErr w:type="spellStart"/>
      <w:r w:rsidRPr="00982072">
        <w:rPr>
          <w:rFonts w:ascii="Times New Roman" w:hAnsi="Times New Roman" w:cs="Times New Roman"/>
          <w:sz w:val="24"/>
          <w:szCs w:val="24"/>
        </w:rPr>
        <w:t>Picó</w:t>
      </w:r>
      <w:proofErr w:type="spellEnd"/>
      <w:r w:rsidRPr="00982072">
        <w:rPr>
          <w:rFonts w:ascii="Times New Roman" w:hAnsi="Times New Roman" w:cs="Times New Roman"/>
          <w:sz w:val="24"/>
          <w:szCs w:val="24"/>
        </w:rPr>
        <w:t xml:space="preserve"> Y (2004) Determination of pesticides and their degradation products in soil: critical review and comparison of methods. </w:t>
      </w:r>
      <w:proofErr w:type="spellStart"/>
      <w:r w:rsidRPr="00982072">
        <w:rPr>
          <w:rFonts w:ascii="Times New Roman" w:hAnsi="Times New Roman" w:cs="Times New Roman"/>
          <w:sz w:val="24"/>
          <w:szCs w:val="24"/>
        </w:rPr>
        <w:t>TrAC</w:t>
      </w:r>
      <w:proofErr w:type="spellEnd"/>
      <w:r w:rsidRPr="00982072">
        <w:rPr>
          <w:rFonts w:ascii="Times New Roman" w:hAnsi="Times New Roman" w:cs="Times New Roman"/>
          <w:sz w:val="24"/>
          <w:szCs w:val="24"/>
        </w:rPr>
        <w:t xml:space="preserve"> Trends in Analytical Chemistry 23:772-789.</w:t>
      </w:r>
    </w:p>
    <w:p w14:paraId="7D4F6F95" w14:textId="77777777" w:rsidR="00982072" w:rsidRPr="00982072" w:rsidRDefault="00982072" w:rsidP="00982072">
      <w:pPr>
        <w:spacing w:after="200" w:line="480" w:lineRule="auto"/>
        <w:ind w:left="720" w:hanging="720"/>
        <w:rPr>
          <w:rFonts w:ascii="Times New Roman" w:hAnsi="Times New Roman" w:cs="Times New Roman"/>
          <w:sz w:val="24"/>
          <w:szCs w:val="24"/>
        </w:rPr>
      </w:pPr>
      <w:proofErr w:type="spellStart"/>
      <w:r w:rsidRPr="00982072">
        <w:rPr>
          <w:rFonts w:ascii="Times New Roman" w:hAnsi="Times New Roman" w:cs="Times New Roman"/>
          <w:sz w:val="24"/>
          <w:szCs w:val="24"/>
        </w:rPr>
        <w:t>Barriuso</w:t>
      </w:r>
      <w:proofErr w:type="spellEnd"/>
      <w:r w:rsidRPr="00982072">
        <w:rPr>
          <w:rFonts w:ascii="Times New Roman" w:hAnsi="Times New Roman" w:cs="Times New Roman"/>
          <w:sz w:val="24"/>
          <w:szCs w:val="24"/>
        </w:rPr>
        <w:t xml:space="preserve"> E, </w:t>
      </w:r>
      <w:proofErr w:type="spellStart"/>
      <w:r w:rsidRPr="00982072">
        <w:rPr>
          <w:rFonts w:ascii="Times New Roman" w:hAnsi="Times New Roman" w:cs="Times New Roman"/>
          <w:sz w:val="24"/>
          <w:szCs w:val="24"/>
        </w:rPr>
        <w:t>Houot</w:t>
      </w:r>
      <w:proofErr w:type="spellEnd"/>
      <w:r w:rsidRPr="00982072">
        <w:rPr>
          <w:rFonts w:ascii="Times New Roman" w:hAnsi="Times New Roman" w:cs="Times New Roman"/>
          <w:sz w:val="24"/>
          <w:szCs w:val="24"/>
        </w:rPr>
        <w:t xml:space="preserve"> S, Serra-</w:t>
      </w:r>
      <w:proofErr w:type="spellStart"/>
      <w:r w:rsidRPr="00982072">
        <w:rPr>
          <w:rFonts w:ascii="Times New Roman" w:hAnsi="Times New Roman" w:cs="Times New Roman"/>
          <w:sz w:val="24"/>
          <w:szCs w:val="24"/>
        </w:rPr>
        <w:t>Wittling</w:t>
      </w:r>
      <w:proofErr w:type="spellEnd"/>
      <w:r w:rsidRPr="00982072">
        <w:rPr>
          <w:rFonts w:ascii="Times New Roman" w:hAnsi="Times New Roman" w:cs="Times New Roman"/>
          <w:sz w:val="24"/>
          <w:szCs w:val="24"/>
        </w:rPr>
        <w:t xml:space="preserve"> C (1997) Influence of compost addition to soil on the behavior of herbicides. Pesticide Science 49:65-75.</w:t>
      </w:r>
    </w:p>
    <w:p w14:paraId="6B7898DE" w14:textId="77777777" w:rsidR="00982072" w:rsidRPr="00982072" w:rsidRDefault="00982072" w:rsidP="00982072">
      <w:pPr>
        <w:spacing w:after="200" w:line="480" w:lineRule="auto"/>
        <w:ind w:left="720" w:hanging="720"/>
        <w:rPr>
          <w:rFonts w:ascii="Times New Roman" w:hAnsi="Times New Roman" w:cs="Times New Roman"/>
          <w:sz w:val="24"/>
          <w:szCs w:val="24"/>
        </w:rPr>
      </w:pPr>
      <w:proofErr w:type="spellStart"/>
      <w:r w:rsidRPr="00982072">
        <w:rPr>
          <w:rFonts w:ascii="Times New Roman" w:hAnsi="Times New Roman" w:cs="Times New Roman"/>
          <w:sz w:val="24"/>
          <w:szCs w:val="24"/>
        </w:rPr>
        <w:t>Blumhorst</w:t>
      </w:r>
      <w:proofErr w:type="spellEnd"/>
      <w:r w:rsidRPr="00982072">
        <w:rPr>
          <w:rFonts w:ascii="Times New Roman" w:hAnsi="Times New Roman" w:cs="Times New Roman"/>
          <w:sz w:val="24"/>
          <w:szCs w:val="24"/>
        </w:rPr>
        <w:t xml:space="preserve"> MR, Mueller TC (1997) Quality control procedures in herbicide field dissipation studies. Weed Technology 11:832-837.</w:t>
      </w:r>
    </w:p>
    <w:p w14:paraId="0C8D72AA" w14:textId="77777777" w:rsidR="00982072" w:rsidRPr="00982072" w:rsidRDefault="00982072" w:rsidP="00982072">
      <w:pPr>
        <w:spacing w:after="200" w:line="480" w:lineRule="auto"/>
        <w:ind w:left="720" w:hanging="720"/>
        <w:rPr>
          <w:rFonts w:ascii="Times New Roman" w:hAnsi="Times New Roman" w:cs="Times New Roman"/>
          <w:sz w:val="24"/>
          <w:szCs w:val="24"/>
        </w:rPr>
      </w:pPr>
      <w:r w:rsidRPr="00982072">
        <w:rPr>
          <w:rFonts w:ascii="Times New Roman" w:hAnsi="Times New Roman" w:cs="Times New Roman"/>
          <w:sz w:val="24"/>
          <w:szCs w:val="24"/>
        </w:rPr>
        <w:t>Burnside OC, Fenster CR, Wicks GA, Drew JV (1969) Effect of soil and climate on herbicide dissipation. Weed Science 17:241-245.</w:t>
      </w:r>
    </w:p>
    <w:p w14:paraId="29749A88" w14:textId="39713001" w:rsidR="00982072" w:rsidRPr="00982072" w:rsidRDefault="00982072" w:rsidP="00982072">
      <w:pPr>
        <w:spacing w:after="200" w:line="480" w:lineRule="auto"/>
        <w:ind w:left="720" w:hanging="720"/>
        <w:rPr>
          <w:rFonts w:ascii="Times New Roman" w:hAnsi="Times New Roman" w:cs="Times New Roman"/>
          <w:sz w:val="24"/>
          <w:szCs w:val="24"/>
        </w:rPr>
      </w:pPr>
      <w:r w:rsidRPr="00982072">
        <w:rPr>
          <w:rFonts w:ascii="Times New Roman" w:hAnsi="Times New Roman" w:cs="Times New Roman"/>
          <w:sz w:val="24"/>
          <w:szCs w:val="24"/>
        </w:rPr>
        <w:t xml:space="preserve">Camargo ER, Senseman SA, Haney RL, </w:t>
      </w:r>
      <w:proofErr w:type="spellStart"/>
      <w:r w:rsidRPr="00982072">
        <w:rPr>
          <w:rFonts w:ascii="Times New Roman" w:hAnsi="Times New Roman" w:cs="Times New Roman"/>
          <w:sz w:val="24"/>
          <w:szCs w:val="24"/>
        </w:rPr>
        <w:t>Guice</w:t>
      </w:r>
      <w:proofErr w:type="spellEnd"/>
      <w:r w:rsidRPr="00982072">
        <w:rPr>
          <w:rFonts w:ascii="Times New Roman" w:hAnsi="Times New Roman" w:cs="Times New Roman"/>
          <w:sz w:val="24"/>
          <w:szCs w:val="24"/>
        </w:rPr>
        <w:t xml:space="preserve"> JB, McCauley GN (201</w:t>
      </w:r>
      <w:r w:rsidR="00981251">
        <w:rPr>
          <w:rFonts w:ascii="Times New Roman" w:hAnsi="Times New Roman" w:cs="Times New Roman"/>
          <w:sz w:val="24"/>
          <w:szCs w:val="24"/>
        </w:rPr>
        <w:t>3</w:t>
      </w:r>
      <w:r w:rsidRPr="00982072">
        <w:rPr>
          <w:rFonts w:ascii="Times New Roman" w:hAnsi="Times New Roman" w:cs="Times New Roman"/>
          <w:sz w:val="24"/>
          <w:szCs w:val="24"/>
        </w:rPr>
        <w:t>) Soil residue analysis and degradation of saflufenacil as affected by moisture content and soil characteristics. Pest Management Science 69:1291-1297.</w:t>
      </w:r>
    </w:p>
    <w:p w14:paraId="795924C6" w14:textId="77777777" w:rsidR="00982072" w:rsidRPr="00982072" w:rsidRDefault="00982072" w:rsidP="00982072">
      <w:pPr>
        <w:spacing w:after="200" w:line="480" w:lineRule="auto"/>
        <w:ind w:left="720" w:hanging="720"/>
        <w:rPr>
          <w:rFonts w:ascii="Times New Roman" w:hAnsi="Times New Roman" w:cs="Times New Roman"/>
          <w:sz w:val="24"/>
          <w:szCs w:val="24"/>
        </w:rPr>
      </w:pPr>
      <w:r w:rsidRPr="00982072">
        <w:rPr>
          <w:rFonts w:ascii="Times New Roman" w:hAnsi="Times New Roman" w:cs="Times New Roman"/>
          <w:sz w:val="24"/>
          <w:szCs w:val="24"/>
        </w:rPr>
        <w:t>Curran WS (2016) Persistence of herbicides in soil. Crops and Soils 49:16-21. https://doi.org/10.2134/cs2016-49-0504.</w:t>
      </w:r>
    </w:p>
    <w:p w14:paraId="6BE4CA2C" w14:textId="77777777" w:rsidR="00982072" w:rsidRPr="00982072" w:rsidRDefault="00982072" w:rsidP="00982072">
      <w:pPr>
        <w:spacing w:after="200" w:line="480" w:lineRule="auto"/>
        <w:ind w:left="720" w:hanging="720"/>
        <w:rPr>
          <w:rFonts w:ascii="Times New Roman" w:hAnsi="Times New Roman" w:cs="Times New Roman"/>
          <w:sz w:val="24"/>
          <w:szCs w:val="24"/>
        </w:rPr>
      </w:pPr>
      <w:r w:rsidRPr="00982072">
        <w:rPr>
          <w:rFonts w:ascii="Times New Roman" w:hAnsi="Times New Roman" w:cs="Times New Roman"/>
          <w:sz w:val="24"/>
          <w:szCs w:val="24"/>
        </w:rPr>
        <w:t>Dean JR, Wade G, Barnabas J (1996) Determination of triazine herbicides in environmental samples. J Chromatography A 733:295-335.</w:t>
      </w:r>
    </w:p>
    <w:p w14:paraId="432CD8C5" w14:textId="77777777" w:rsidR="00982072" w:rsidRPr="00982072" w:rsidRDefault="00982072" w:rsidP="00982072">
      <w:pPr>
        <w:spacing w:after="200" w:line="480" w:lineRule="auto"/>
        <w:ind w:left="720" w:hanging="720"/>
        <w:rPr>
          <w:rFonts w:ascii="Times New Roman" w:hAnsi="Times New Roman" w:cs="Times New Roman"/>
          <w:sz w:val="24"/>
          <w:szCs w:val="24"/>
        </w:rPr>
      </w:pPr>
      <w:r w:rsidRPr="00982072">
        <w:rPr>
          <w:rFonts w:ascii="Times New Roman" w:hAnsi="Times New Roman" w:cs="Times New Roman"/>
          <w:sz w:val="24"/>
          <w:szCs w:val="24"/>
        </w:rPr>
        <w:t xml:space="preserve">Dyson JS, </w:t>
      </w:r>
      <w:proofErr w:type="spellStart"/>
      <w:r w:rsidRPr="00982072">
        <w:rPr>
          <w:rFonts w:ascii="Times New Roman" w:hAnsi="Times New Roman" w:cs="Times New Roman"/>
          <w:sz w:val="24"/>
          <w:szCs w:val="24"/>
        </w:rPr>
        <w:t>Beulke</w:t>
      </w:r>
      <w:proofErr w:type="spellEnd"/>
      <w:r w:rsidRPr="00982072">
        <w:rPr>
          <w:rFonts w:ascii="Times New Roman" w:hAnsi="Times New Roman" w:cs="Times New Roman"/>
          <w:sz w:val="24"/>
          <w:szCs w:val="24"/>
        </w:rPr>
        <w:t xml:space="preserve"> S, Brown CD, Lane MCG (2002) Adsorption and degradation of the weak acid </w:t>
      </w:r>
      <w:proofErr w:type="spellStart"/>
      <w:r w:rsidRPr="00982072">
        <w:rPr>
          <w:rFonts w:ascii="Times New Roman" w:hAnsi="Times New Roman" w:cs="Times New Roman"/>
          <w:sz w:val="24"/>
          <w:szCs w:val="24"/>
        </w:rPr>
        <w:t>mesotrione</w:t>
      </w:r>
      <w:proofErr w:type="spellEnd"/>
      <w:r w:rsidRPr="00982072">
        <w:rPr>
          <w:rFonts w:ascii="Times New Roman" w:hAnsi="Times New Roman" w:cs="Times New Roman"/>
          <w:sz w:val="24"/>
          <w:szCs w:val="24"/>
        </w:rPr>
        <w:t xml:space="preserve"> in soil and environmental fate implications. J. Environ. Qual. 31:613-618.</w:t>
      </w:r>
    </w:p>
    <w:p w14:paraId="2A84CEDE" w14:textId="77777777" w:rsidR="00982072" w:rsidRPr="00982072" w:rsidRDefault="00982072" w:rsidP="00982072">
      <w:pPr>
        <w:spacing w:after="200" w:line="480" w:lineRule="auto"/>
        <w:ind w:left="720" w:hanging="720"/>
        <w:rPr>
          <w:rFonts w:ascii="Times New Roman" w:hAnsi="Times New Roman" w:cs="Times New Roman"/>
          <w:sz w:val="24"/>
          <w:szCs w:val="24"/>
        </w:rPr>
      </w:pPr>
      <w:proofErr w:type="spellStart"/>
      <w:r w:rsidRPr="00982072">
        <w:rPr>
          <w:rFonts w:ascii="Times New Roman" w:hAnsi="Times New Roman" w:cs="Times New Roman"/>
          <w:sz w:val="24"/>
          <w:szCs w:val="24"/>
        </w:rPr>
        <w:lastRenderedPageBreak/>
        <w:t>Garcinuño</w:t>
      </w:r>
      <w:proofErr w:type="spellEnd"/>
      <w:r w:rsidRPr="00982072">
        <w:rPr>
          <w:rFonts w:ascii="Times New Roman" w:hAnsi="Times New Roman" w:cs="Times New Roman"/>
          <w:sz w:val="24"/>
          <w:szCs w:val="24"/>
        </w:rPr>
        <w:t xml:space="preserve"> RM, Fernández-Hernando P, Cámara C (2003) Evaluation of pesticide uptake by </w:t>
      </w:r>
      <w:r w:rsidRPr="00982072">
        <w:rPr>
          <w:rFonts w:ascii="Times New Roman" w:hAnsi="Times New Roman" w:cs="Times New Roman"/>
          <w:i/>
          <w:sz w:val="24"/>
          <w:szCs w:val="24"/>
        </w:rPr>
        <w:t>Lupinus</w:t>
      </w:r>
      <w:r w:rsidRPr="00982072">
        <w:rPr>
          <w:rFonts w:ascii="Times New Roman" w:hAnsi="Times New Roman" w:cs="Times New Roman"/>
          <w:sz w:val="24"/>
          <w:szCs w:val="24"/>
        </w:rPr>
        <w:t xml:space="preserve"> seeds. Water Research 37:3481-3489.</w:t>
      </w:r>
    </w:p>
    <w:p w14:paraId="4400D132" w14:textId="77777777" w:rsidR="00982072" w:rsidRPr="00982072" w:rsidRDefault="00982072" w:rsidP="00982072">
      <w:pPr>
        <w:spacing w:after="200" w:line="480" w:lineRule="auto"/>
        <w:ind w:left="720" w:hanging="720"/>
        <w:rPr>
          <w:rFonts w:ascii="Times New Roman" w:hAnsi="Times New Roman" w:cs="Times New Roman"/>
          <w:sz w:val="24"/>
          <w:szCs w:val="24"/>
        </w:rPr>
      </w:pPr>
      <w:r w:rsidRPr="00982072">
        <w:rPr>
          <w:rFonts w:ascii="Times New Roman" w:hAnsi="Times New Roman" w:cs="Times New Roman"/>
          <w:sz w:val="24"/>
          <w:szCs w:val="24"/>
        </w:rPr>
        <w:t xml:space="preserve">Grossman K, </w:t>
      </w:r>
      <w:proofErr w:type="spellStart"/>
      <w:r w:rsidRPr="00982072">
        <w:rPr>
          <w:rFonts w:ascii="Times New Roman" w:hAnsi="Times New Roman" w:cs="Times New Roman"/>
          <w:sz w:val="24"/>
          <w:szCs w:val="24"/>
        </w:rPr>
        <w:t>Niggeweg</w:t>
      </w:r>
      <w:proofErr w:type="spellEnd"/>
      <w:r w:rsidRPr="00982072">
        <w:rPr>
          <w:rFonts w:ascii="Times New Roman" w:hAnsi="Times New Roman" w:cs="Times New Roman"/>
          <w:sz w:val="24"/>
          <w:szCs w:val="24"/>
        </w:rPr>
        <w:t xml:space="preserve"> R, Christiansen N, Looser R, Ehrhardt T (2010) The herbicide saflufenacil (</w:t>
      </w:r>
      <w:proofErr w:type="spellStart"/>
      <w:r w:rsidRPr="00982072">
        <w:rPr>
          <w:rFonts w:ascii="Times New Roman" w:hAnsi="Times New Roman" w:cs="Times New Roman"/>
          <w:sz w:val="24"/>
          <w:szCs w:val="24"/>
        </w:rPr>
        <w:t>Kixor</w:t>
      </w:r>
      <w:proofErr w:type="spellEnd"/>
      <w:r w:rsidRPr="00982072">
        <w:rPr>
          <w:rFonts w:ascii="Times New Roman" w:hAnsi="Times New Roman" w:cs="Times New Roman"/>
          <w:sz w:val="24"/>
          <w:szCs w:val="24"/>
          <w:vertAlign w:val="superscript"/>
        </w:rPr>
        <w:t>™</w:t>
      </w:r>
      <w:r w:rsidRPr="00982072">
        <w:rPr>
          <w:rFonts w:ascii="Times New Roman" w:hAnsi="Times New Roman" w:cs="Times New Roman"/>
          <w:sz w:val="24"/>
          <w:szCs w:val="24"/>
        </w:rPr>
        <w:t>) is a new inhibitor of protoporphyrinogen IX oxidase activity. Weed Science 58:1-9.</w:t>
      </w:r>
    </w:p>
    <w:p w14:paraId="6E664DFE" w14:textId="77777777" w:rsidR="00982072" w:rsidRPr="00982072" w:rsidRDefault="00982072" w:rsidP="00982072">
      <w:pPr>
        <w:spacing w:after="200" w:line="480" w:lineRule="auto"/>
        <w:ind w:left="720" w:hanging="720"/>
        <w:rPr>
          <w:rFonts w:ascii="Times New Roman" w:hAnsi="Times New Roman" w:cs="Times New Roman"/>
          <w:sz w:val="24"/>
          <w:szCs w:val="24"/>
        </w:rPr>
      </w:pPr>
      <w:r w:rsidRPr="00982072">
        <w:rPr>
          <w:rFonts w:ascii="Times New Roman" w:hAnsi="Times New Roman" w:cs="Times New Roman"/>
          <w:sz w:val="24"/>
          <w:szCs w:val="24"/>
        </w:rPr>
        <w:t xml:space="preserve">Grossman K, </w:t>
      </w:r>
      <w:proofErr w:type="spellStart"/>
      <w:r w:rsidRPr="00982072">
        <w:rPr>
          <w:rFonts w:ascii="Times New Roman" w:hAnsi="Times New Roman" w:cs="Times New Roman"/>
          <w:sz w:val="24"/>
          <w:szCs w:val="24"/>
        </w:rPr>
        <w:t>Hutzler</w:t>
      </w:r>
      <w:proofErr w:type="spellEnd"/>
      <w:r w:rsidRPr="00982072">
        <w:rPr>
          <w:rFonts w:ascii="Times New Roman" w:hAnsi="Times New Roman" w:cs="Times New Roman"/>
          <w:sz w:val="24"/>
          <w:szCs w:val="24"/>
        </w:rPr>
        <w:t xml:space="preserve"> J, Caspar G, Kwiatkowski J, </w:t>
      </w:r>
      <w:proofErr w:type="spellStart"/>
      <w:r w:rsidRPr="00982072">
        <w:rPr>
          <w:rFonts w:ascii="Times New Roman" w:hAnsi="Times New Roman" w:cs="Times New Roman"/>
          <w:sz w:val="24"/>
          <w:szCs w:val="24"/>
        </w:rPr>
        <w:t>Brommer</w:t>
      </w:r>
      <w:proofErr w:type="spellEnd"/>
      <w:r w:rsidRPr="00982072">
        <w:rPr>
          <w:rFonts w:ascii="Times New Roman" w:hAnsi="Times New Roman" w:cs="Times New Roman"/>
          <w:sz w:val="24"/>
          <w:szCs w:val="24"/>
        </w:rPr>
        <w:t xml:space="preserve"> C (2011) Saflufenacil (</w:t>
      </w:r>
      <w:proofErr w:type="spellStart"/>
      <w:r w:rsidRPr="00982072">
        <w:rPr>
          <w:rFonts w:ascii="Times New Roman" w:hAnsi="Times New Roman" w:cs="Times New Roman"/>
          <w:sz w:val="24"/>
          <w:szCs w:val="24"/>
        </w:rPr>
        <w:t>Kixor</w:t>
      </w:r>
      <w:proofErr w:type="spellEnd"/>
      <w:r w:rsidRPr="00982072">
        <w:rPr>
          <w:rFonts w:ascii="Times New Roman" w:hAnsi="Times New Roman" w:cs="Times New Roman"/>
          <w:sz w:val="24"/>
          <w:szCs w:val="24"/>
          <w:vertAlign w:val="superscript"/>
        </w:rPr>
        <w:t>™</w:t>
      </w:r>
      <w:r w:rsidRPr="00982072">
        <w:rPr>
          <w:rFonts w:ascii="Times New Roman" w:hAnsi="Times New Roman" w:cs="Times New Roman"/>
          <w:sz w:val="24"/>
          <w:szCs w:val="24"/>
        </w:rPr>
        <w:t>): biokinetic properties and mechanism of selectivity of a new protoporphyrinogen IX oxidase inhibiting herbicide. Weed Science 59:290-298.</w:t>
      </w:r>
    </w:p>
    <w:p w14:paraId="65CAF984" w14:textId="77777777" w:rsidR="00982072" w:rsidRPr="00982072" w:rsidRDefault="00982072" w:rsidP="00982072">
      <w:pPr>
        <w:spacing w:after="200" w:line="480" w:lineRule="auto"/>
        <w:ind w:left="720" w:hanging="720"/>
        <w:rPr>
          <w:rFonts w:ascii="Times New Roman" w:hAnsi="Times New Roman" w:cs="Times New Roman"/>
          <w:sz w:val="24"/>
          <w:szCs w:val="24"/>
        </w:rPr>
      </w:pPr>
      <w:r w:rsidRPr="00982072">
        <w:rPr>
          <w:rFonts w:ascii="Times New Roman" w:hAnsi="Times New Roman" w:cs="Times New Roman"/>
          <w:sz w:val="24"/>
          <w:szCs w:val="24"/>
        </w:rPr>
        <w:t xml:space="preserve">Harrison R, Bull I, </w:t>
      </w:r>
      <w:proofErr w:type="spellStart"/>
      <w:r w:rsidRPr="00982072">
        <w:rPr>
          <w:rFonts w:ascii="Times New Roman" w:hAnsi="Times New Roman" w:cs="Times New Roman"/>
          <w:sz w:val="24"/>
          <w:szCs w:val="24"/>
        </w:rPr>
        <w:t>Michaelides</w:t>
      </w:r>
      <w:proofErr w:type="spellEnd"/>
      <w:r w:rsidRPr="00982072">
        <w:rPr>
          <w:rFonts w:ascii="Times New Roman" w:hAnsi="Times New Roman" w:cs="Times New Roman"/>
          <w:sz w:val="24"/>
          <w:szCs w:val="24"/>
        </w:rPr>
        <w:t xml:space="preserve"> K (2013) A method for the simultaneous extraction of seven pesticides from soil and sediment. Anal. Methods 5:2053.</w:t>
      </w:r>
    </w:p>
    <w:p w14:paraId="36D31AB0" w14:textId="77777777" w:rsidR="00982072" w:rsidRPr="00982072" w:rsidRDefault="00982072" w:rsidP="00982072">
      <w:pPr>
        <w:spacing w:after="200" w:line="480" w:lineRule="auto"/>
        <w:ind w:left="720" w:hanging="720"/>
        <w:rPr>
          <w:rFonts w:ascii="Times New Roman" w:hAnsi="Times New Roman" w:cs="Times New Roman"/>
          <w:sz w:val="24"/>
          <w:szCs w:val="24"/>
        </w:rPr>
      </w:pPr>
      <w:r w:rsidRPr="00982072">
        <w:rPr>
          <w:rFonts w:ascii="Times New Roman" w:hAnsi="Times New Roman" w:cs="Times New Roman"/>
          <w:sz w:val="24"/>
          <w:szCs w:val="24"/>
        </w:rPr>
        <w:t>Heap I (2021) The international herbicide-resistant weed databases. Online. Thursday, March 4, 2021. Available www.weedscience.org.</w:t>
      </w:r>
    </w:p>
    <w:p w14:paraId="5BB3B4B1" w14:textId="77777777" w:rsidR="00982072" w:rsidRPr="00982072" w:rsidRDefault="00982072" w:rsidP="00982072">
      <w:pPr>
        <w:spacing w:after="200" w:line="480" w:lineRule="auto"/>
        <w:ind w:left="720" w:hanging="720"/>
        <w:rPr>
          <w:rFonts w:ascii="Times New Roman" w:hAnsi="Times New Roman" w:cs="Times New Roman"/>
          <w:sz w:val="24"/>
          <w:szCs w:val="24"/>
        </w:rPr>
      </w:pPr>
      <w:r w:rsidRPr="00982072">
        <w:rPr>
          <w:rFonts w:ascii="Times New Roman" w:hAnsi="Times New Roman" w:cs="Times New Roman"/>
          <w:sz w:val="24"/>
          <w:szCs w:val="24"/>
        </w:rPr>
        <w:t>Jones RE, Banks PA, Radcliffe DE (1990) Alachlor and metribuzin movement through the soil profile as influenced by soil surface conditions Weed Science 38:589-597.</w:t>
      </w:r>
    </w:p>
    <w:p w14:paraId="1827D394" w14:textId="77777777" w:rsidR="00982072" w:rsidRPr="00982072" w:rsidRDefault="00982072" w:rsidP="00982072">
      <w:pPr>
        <w:spacing w:after="200" w:line="480" w:lineRule="auto"/>
        <w:ind w:left="720" w:hanging="720"/>
        <w:rPr>
          <w:rFonts w:ascii="Times New Roman" w:hAnsi="Times New Roman" w:cs="Times New Roman"/>
          <w:sz w:val="24"/>
          <w:szCs w:val="24"/>
        </w:rPr>
      </w:pPr>
      <w:r w:rsidRPr="00982072">
        <w:rPr>
          <w:rFonts w:ascii="Times New Roman" w:hAnsi="Times New Roman" w:cs="Times New Roman"/>
          <w:sz w:val="24"/>
          <w:szCs w:val="24"/>
        </w:rPr>
        <w:t>Jordan LS, Mann JD, Day BE (1965) Effects of ultraviolet light on herbicides. Weeds 13:43-46.</w:t>
      </w:r>
    </w:p>
    <w:p w14:paraId="4AEC901C" w14:textId="77777777" w:rsidR="00982072" w:rsidRPr="00982072" w:rsidRDefault="00982072" w:rsidP="00982072">
      <w:pPr>
        <w:spacing w:after="200" w:line="480" w:lineRule="auto"/>
        <w:ind w:left="720" w:hanging="720"/>
        <w:rPr>
          <w:rFonts w:ascii="Times New Roman" w:hAnsi="Times New Roman" w:cs="Times New Roman"/>
          <w:sz w:val="24"/>
          <w:szCs w:val="24"/>
        </w:rPr>
      </w:pPr>
      <w:proofErr w:type="spellStart"/>
      <w:r w:rsidRPr="00982072">
        <w:rPr>
          <w:rFonts w:ascii="Times New Roman" w:hAnsi="Times New Roman" w:cs="Times New Roman"/>
          <w:sz w:val="24"/>
          <w:szCs w:val="24"/>
        </w:rPr>
        <w:t>Kah</w:t>
      </w:r>
      <w:proofErr w:type="spellEnd"/>
      <w:r w:rsidRPr="00982072">
        <w:rPr>
          <w:rFonts w:ascii="Times New Roman" w:hAnsi="Times New Roman" w:cs="Times New Roman"/>
          <w:sz w:val="24"/>
          <w:szCs w:val="24"/>
        </w:rPr>
        <w:t xml:space="preserve"> M, </w:t>
      </w:r>
      <w:proofErr w:type="spellStart"/>
      <w:r w:rsidRPr="00982072">
        <w:rPr>
          <w:rFonts w:ascii="Times New Roman" w:hAnsi="Times New Roman" w:cs="Times New Roman"/>
          <w:sz w:val="24"/>
          <w:szCs w:val="24"/>
        </w:rPr>
        <w:t>Beulke</w:t>
      </w:r>
      <w:proofErr w:type="spellEnd"/>
      <w:r w:rsidRPr="00982072">
        <w:rPr>
          <w:rFonts w:ascii="Times New Roman" w:hAnsi="Times New Roman" w:cs="Times New Roman"/>
          <w:sz w:val="24"/>
          <w:szCs w:val="24"/>
        </w:rPr>
        <w:t xml:space="preserve"> S, Brown C (2007) Factors influencing degradation of pesticides in soil. J. Agric. Food Chem. 55:4487-4492.</w:t>
      </w:r>
    </w:p>
    <w:p w14:paraId="7061569D" w14:textId="77777777" w:rsidR="00982072" w:rsidRPr="00982072" w:rsidRDefault="00982072" w:rsidP="00982072">
      <w:pPr>
        <w:spacing w:after="200" w:line="480" w:lineRule="auto"/>
        <w:ind w:left="720" w:hanging="720"/>
        <w:rPr>
          <w:rFonts w:ascii="Times New Roman" w:hAnsi="Times New Roman" w:cs="Times New Roman"/>
          <w:sz w:val="24"/>
          <w:szCs w:val="24"/>
        </w:rPr>
      </w:pPr>
      <w:proofErr w:type="spellStart"/>
      <w:r w:rsidRPr="00982072">
        <w:rPr>
          <w:rFonts w:ascii="Times New Roman" w:hAnsi="Times New Roman" w:cs="Times New Roman"/>
          <w:sz w:val="24"/>
          <w:szCs w:val="24"/>
        </w:rPr>
        <w:t>Kah</w:t>
      </w:r>
      <w:proofErr w:type="spellEnd"/>
      <w:r w:rsidRPr="00982072">
        <w:rPr>
          <w:rFonts w:ascii="Times New Roman" w:hAnsi="Times New Roman" w:cs="Times New Roman"/>
          <w:sz w:val="24"/>
          <w:szCs w:val="24"/>
        </w:rPr>
        <w:t xml:space="preserve"> M, Brown CD (2006) Adsorption of ionizable pesticides in soils. Rev. Environmental Contamination Toxicology 188:149-218.</w:t>
      </w:r>
    </w:p>
    <w:p w14:paraId="6144BA12" w14:textId="77777777" w:rsidR="00982072" w:rsidRPr="00982072" w:rsidRDefault="00982072" w:rsidP="00982072">
      <w:pPr>
        <w:spacing w:after="200" w:line="480" w:lineRule="auto"/>
        <w:ind w:left="720" w:hanging="720"/>
        <w:rPr>
          <w:rFonts w:ascii="Times New Roman" w:hAnsi="Times New Roman" w:cs="Times New Roman"/>
          <w:sz w:val="24"/>
          <w:szCs w:val="24"/>
        </w:rPr>
      </w:pPr>
      <w:proofErr w:type="spellStart"/>
      <w:r w:rsidRPr="00982072">
        <w:rPr>
          <w:rFonts w:ascii="Times New Roman" w:hAnsi="Times New Roman" w:cs="Times New Roman"/>
          <w:sz w:val="24"/>
          <w:szCs w:val="24"/>
        </w:rPr>
        <w:lastRenderedPageBreak/>
        <w:t>Kells</w:t>
      </w:r>
      <w:proofErr w:type="spellEnd"/>
      <w:r w:rsidRPr="00982072">
        <w:rPr>
          <w:rFonts w:ascii="Times New Roman" w:hAnsi="Times New Roman" w:cs="Times New Roman"/>
          <w:sz w:val="24"/>
          <w:szCs w:val="24"/>
        </w:rPr>
        <w:t xml:space="preserve"> JJ, </w:t>
      </w:r>
      <w:proofErr w:type="spellStart"/>
      <w:r w:rsidRPr="00982072">
        <w:rPr>
          <w:rFonts w:ascii="Times New Roman" w:hAnsi="Times New Roman" w:cs="Times New Roman"/>
          <w:sz w:val="24"/>
          <w:szCs w:val="24"/>
        </w:rPr>
        <w:t>Rieck</w:t>
      </w:r>
      <w:proofErr w:type="spellEnd"/>
      <w:r w:rsidRPr="00982072">
        <w:rPr>
          <w:rFonts w:ascii="Times New Roman" w:hAnsi="Times New Roman" w:cs="Times New Roman"/>
          <w:sz w:val="24"/>
          <w:szCs w:val="24"/>
        </w:rPr>
        <w:t xml:space="preserve"> CE, Blevins RL, Muir WM (1980) Atrazine dissipation as affected by surface pH and tillage. Weed Science 28:101-104.</w:t>
      </w:r>
    </w:p>
    <w:p w14:paraId="24A33A41" w14:textId="77777777" w:rsidR="00982072" w:rsidRPr="00982072" w:rsidRDefault="00982072" w:rsidP="00982072">
      <w:pPr>
        <w:spacing w:after="200" w:line="480" w:lineRule="auto"/>
        <w:ind w:left="720" w:hanging="720"/>
        <w:rPr>
          <w:rFonts w:ascii="Times New Roman" w:hAnsi="Times New Roman" w:cs="Times New Roman"/>
          <w:sz w:val="24"/>
          <w:szCs w:val="24"/>
        </w:rPr>
      </w:pPr>
      <w:r w:rsidRPr="00982072">
        <w:rPr>
          <w:rFonts w:ascii="Times New Roman" w:hAnsi="Times New Roman" w:cs="Times New Roman"/>
          <w:sz w:val="24"/>
          <w:szCs w:val="24"/>
        </w:rPr>
        <w:t>McAllister RS (1994) Memorandum to NACA principal contacts concerning: 1) field dissipation studies-zero-time recovery; and 2) a request for participation in research project. Washington, DC: American Crop Protection Association (formerly NACA).</w:t>
      </w:r>
    </w:p>
    <w:p w14:paraId="24FE90CE" w14:textId="77777777" w:rsidR="00982072" w:rsidRPr="00982072" w:rsidRDefault="00982072" w:rsidP="00982072">
      <w:pPr>
        <w:spacing w:after="200" w:line="480" w:lineRule="auto"/>
        <w:ind w:left="720" w:hanging="720"/>
        <w:rPr>
          <w:rFonts w:ascii="Times New Roman" w:hAnsi="Times New Roman" w:cs="Times New Roman"/>
          <w:sz w:val="24"/>
          <w:szCs w:val="24"/>
        </w:rPr>
      </w:pPr>
      <w:r w:rsidRPr="00982072">
        <w:rPr>
          <w:rFonts w:ascii="Times New Roman" w:hAnsi="Times New Roman" w:cs="Times New Roman"/>
          <w:sz w:val="24"/>
          <w:szCs w:val="24"/>
        </w:rPr>
        <w:t xml:space="preserve">Mueller TC, Boswell BW, Mueller SS, Steckel LE (2014) Dissipation of </w:t>
      </w:r>
      <w:proofErr w:type="spellStart"/>
      <w:r w:rsidRPr="00982072">
        <w:rPr>
          <w:rFonts w:ascii="Times New Roman" w:hAnsi="Times New Roman" w:cs="Times New Roman"/>
          <w:sz w:val="24"/>
          <w:szCs w:val="24"/>
        </w:rPr>
        <w:t>fomesafen</w:t>
      </w:r>
      <w:proofErr w:type="spellEnd"/>
      <w:r w:rsidRPr="00982072">
        <w:rPr>
          <w:rFonts w:ascii="Times New Roman" w:hAnsi="Times New Roman" w:cs="Times New Roman"/>
          <w:sz w:val="24"/>
          <w:szCs w:val="24"/>
        </w:rPr>
        <w:t xml:space="preserve">, saflufenacil, </w:t>
      </w:r>
      <w:proofErr w:type="spellStart"/>
      <w:r w:rsidRPr="00982072">
        <w:rPr>
          <w:rFonts w:ascii="Times New Roman" w:hAnsi="Times New Roman" w:cs="Times New Roman"/>
          <w:sz w:val="24"/>
          <w:szCs w:val="24"/>
        </w:rPr>
        <w:t>sulfentrazone</w:t>
      </w:r>
      <w:proofErr w:type="spellEnd"/>
      <w:r w:rsidRPr="00982072">
        <w:rPr>
          <w:rFonts w:ascii="Times New Roman" w:hAnsi="Times New Roman" w:cs="Times New Roman"/>
          <w:sz w:val="24"/>
          <w:szCs w:val="24"/>
        </w:rPr>
        <w:t>, and flumioxazin from a Tennessee soil under field conditions. Weed Science 62:664-671.</w:t>
      </w:r>
    </w:p>
    <w:p w14:paraId="5505E35C" w14:textId="77777777" w:rsidR="00982072" w:rsidRPr="00982072" w:rsidRDefault="00982072" w:rsidP="00982072">
      <w:pPr>
        <w:spacing w:after="200" w:line="480" w:lineRule="auto"/>
        <w:ind w:left="720" w:hanging="720"/>
        <w:rPr>
          <w:rFonts w:ascii="Times New Roman" w:hAnsi="Times New Roman" w:cs="Times New Roman"/>
          <w:sz w:val="24"/>
          <w:szCs w:val="24"/>
        </w:rPr>
      </w:pPr>
      <w:r w:rsidRPr="00982072">
        <w:rPr>
          <w:rFonts w:ascii="Times New Roman" w:hAnsi="Times New Roman" w:cs="Times New Roman"/>
          <w:sz w:val="24"/>
          <w:szCs w:val="24"/>
        </w:rPr>
        <w:t xml:space="preserve">Mueller TC, Parker ET, Steckel L, Clay SA, Owen MDK, Curran WS, Currie R, Scott R, Sprague C, Stephenson DO, Miller DK, </w:t>
      </w:r>
      <w:proofErr w:type="spellStart"/>
      <w:r w:rsidRPr="00982072">
        <w:rPr>
          <w:rFonts w:ascii="Times New Roman" w:hAnsi="Times New Roman" w:cs="Times New Roman"/>
          <w:sz w:val="24"/>
          <w:szCs w:val="24"/>
        </w:rPr>
        <w:t>Prostko</w:t>
      </w:r>
      <w:proofErr w:type="spellEnd"/>
      <w:r w:rsidRPr="00982072">
        <w:rPr>
          <w:rFonts w:ascii="Times New Roman" w:hAnsi="Times New Roman" w:cs="Times New Roman"/>
          <w:sz w:val="24"/>
          <w:szCs w:val="24"/>
        </w:rPr>
        <w:t xml:space="preserve"> EP, </w:t>
      </w:r>
      <w:proofErr w:type="spellStart"/>
      <w:r w:rsidRPr="00982072">
        <w:rPr>
          <w:rFonts w:ascii="Times New Roman" w:hAnsi="Times New Roman" w:cs="Times New Roman"/>
          <w:sz w:val="24"/>
          <w:szCs w:val="24"/>
        </w:rPr>
        <w:t>Grichar</w:t>
      </w:r>
      <w:proofErr w:type="spellEnd"/>
      <w:r w:rsidRPr="00982072">
        <w:rPr>
          <w:rFonts w:ascii="Times New Roman" w:hAnsi="Times New Roman" w:cs="Times New Roman"/>
          <w:sz w:val="24"/>
          <w:szCs w:val="24"/>
        </w:rPr>
        <w:t xml:space="preserve"> WJ, Martin J, </w:t>
      </w:r>
      <w:proofErr w:type="spellStart"/>
      <w:r w:rsidRPr="00982072">
        <w:rPr>
          <w:rFonts w:ascii="Times New Roman" w:hAnsi="Times New Roman" w:cs="Times New Roman"/>
          <w:sz w:val="24"/>
          <w:szCs w:val="24"/>
        </w:rPr>
        <w:t>Kruz</w:t>
      </w:r>
      <w:proofErr w:type="spellEnd"/>
      <w:r w:rsidRPr="00982072">
        <w:rPr>
          <w:rFonts w:ascii="Times New Roman" w:hAnsi="Times New Roman" w:cs="Times New Roman"/>
          <w:sz w:val="24"/>
          <w:szCs w:val="24"/>
        </w:rPr>
        <w:t xml:space="preserve"> LJ, Bradley K, </w:t>
      </w:r>
      <w:proofErr w:type="spellStart"/>
      <w:r w:rsidRPr="00982072">
        <w:rPr>
          <w:rFonts w:ascii="Times New Roman" w:hAnsi="Times New Roman" w:cs="Times New Roman"/>
          <w:sz w:val="24"/>
          <w:szCs w:val="24"/>
        </w:rPr>
        <w:t>Bernards</w:t>
      </w:r>
      <w:proofErr w:type="spellEnd"/>
      <w:r w:rsidRPr="00982072">
        <w:rPr>
          <w:rFonts w:ascii="Times New Roman" w:hAnsi="Times New Roman" w:cs="Times New Roman"/>
          <w:sz w:val="24"/>
          <w:szCs w:val="24"/>
        </w:rPr>
        <w:t xml:space="preserve"> ML, </w:t>
      </w:r>
      <w:proofErr w:type="spellStart"/>
      <w:r w:rsidRPr="00982072">
        <w:rPr>
          <w:rFonts w:ascii="Times New Roman" w:hAnsi="Times New Roman" w:cs="Times New Roman"/>
          <w:sz w:val="24"/>
          <w:szCs w:val="24"/>
        </w:rPr>
        <w:t>Dotray</w:t>
      </w:r>
      <w:proofErr w:type="spellEnd"/>
      <w:r w:rsidRPr="00982072">
        <w:rPr>
          <w:rFonts w:ascii="Times New Roman" w:hAnsi="Times New Roman" w:cs="Times New Roman"/>
          <w:sz w:val="24"/>
          <w:szCs w:val="24"/>
        </w:rPr>
        <w:t xml:space="preserve"> P, </w:t>
      </w:r>
      <w:proofErr w:type="spellStart"/>
      <w:r w:rsidRPr="00982072">
        <w:rPr>
          <w:rFonts w:ascii="Times New Roman" w:hAnsi="Times New Roman" w:cs="Times New Roman"/>
          <w:sz w:val="24"/>
          <w:szCs w:val="24"/>
        </w:rPr>
        <w:t>Knezevic</w:t>
      </w:r>
      <w:proofErr w:type="spellEnd"/>
      <w:r w:rsidRPr="00982072">
        <w:rPr>
          <w:rFonts w:ascii="Times New Roman" w:hAnsi="Times New Roman" w:cs="Times New Roman"/>
          <w:sz w:val="24"/>
          <w:szCs w:val="24"/>
        </w:rPr>
        <w:t xml:space="preserve"> S, Davis V, Klein R. (2017) Enhanced atrazine degradation is widespread across the United States. Pest </w:t>
      </w:r>
      <w:proofErr w:type="spellStart"/>
      <w:r w:rsidRPr="00982072">
        <w:rPr>
          <w:rFonts w:ascii="Times New Roman" w:hAnsi="Times New Roman" w:cs="Times New Roman"/>
          <w:sz w:val="24"/>
          <w:szCs w:val="24"/>
        </w:rPr>
        <w:t>Manag</w:t>
      </w:r>
      <w:proofErr w:type="spellEnd"/>
      <w:r w:rsidRPr="00982072">
        <w:rPr>
          <w:rFonts w:ascii="Times New Roman" w:hAnsi="Times New Roman" w:cs="Times New Roman"/>
          <w:sz w:val="24"/>
          <w:szCs w:val="24"/>
        </w:rPr>
        <w:t xml:space="preserve"> Sci 73:1953-1961.</w:t>
      </w:r>
    </w:p>
    <w:p w14:paraId="5DF026EC" w14:textId="77777777" w:rsidR="00982072" w:rsidRPr="00982072" w:rsidRDefault="00982072" w:rsidP="00982072">
      <w:pPr>
        <w:spacing w:after="200" w:line="480" w:lineRule="auto"/>
        <w:ind w:left="720" w:hanging="720"/>
        <w:rPr>
          <w:rFonts w:ascii="Times New Roman" w:hAnsi="Times New Roman" w:cs="Times New Roman"/>
          <w:sz w:val="24"/>
          <w:szCs w:val="24"/>
        </w:rPr>
      </w:pPr>
      <w:r w:rsidRPr="00982072">
        <w:rPr>
          <w:rFonts w:ascii="Times New Roman" w:hAnsi="Times New Roman" w:cs="Times New Roman"/>
          <w:sz w:val="24"/>
          <w:szCs w:val="24"/>
        </w:rPr>
        <w:t>Mueller TC, Senseman SA (2015) Methods related to herbicide dissipation or degradation under field or laboratory conditions. Weed Science Special Issue:133-139.</w:t>
      </w:r>
    </w:p>
    <w:p w14:paraId="61121827" w14:textId="77777777" w:rsidR="00982072" w:rsidRPr="00982072" w:rsidRDefault="00982072" w:rsidP="00982072">
      <w:pPr>
        <w:spacing w:after="200" w:line="480" w:lineRule="auto"/>
        <w:ind w:left="720" w:hanging="720"/>
        <w:rPr>
          <w:rFonts w:ascii="Times New Roman" w:hAnsi="Times New Roman" w:cs="Times New Roman"/>
          <w:sz w:val="24"/>
          <w:szCs w:val="24"/>
        </w:rPr>
      </w:pPr>
      <w:r w:rsidRPr="00982072">
        <w:rPr>
          <w:rFonts w:ascii="Times New Roman" w:hAnsi="Times New Roman" w:cs="Times New Roman"/>
          <w:sz w:val="24"/>
          <w:szCs w:val="24"/>
        </w:rPr>
        <w:t xml:space="preserve">Mueller TC, Steckel LE (2011) Efficacy and dissipation of pyroxasulfone and three </w:t>
      </w:r>
      <w:proofErr w:type="spellStart"/>
      <w:r w:rsidRPr="00982072">
        <w:rPr>
          <w:rFonts w:ascii="Times New Roman" w:hAnsi="Times New Roman" w:cs="Times New Roman"/>
          <w:sz w:val="24"/>
          <w:szCs w:val="24"/>
        </w:rPr>
        <w:t>chloroacetamides</w:t>
      </w:r>
      <w:proofErr w:type="spellEnd"/>
      <w:r w:rsidRPr="00982072">
        <w:rPr>
          <w:rFonts w:ascii="Times New Roman" w:hAnsi="Times New Roman" w:cs="Times New Roman"/>
          <w:sz w:val="24"/>
          <w:szCs w:val="24"/>
        </w:rPr>
        <w:t xml:space="preserve"> in a Tennessee field soil. Weed Science 59:574-579.</w:t>
      </w:r>
    </w:p>
    <w:p w14:paraId="0E358A01" w14:textId="77777777" w:rsidR="00982072" w:rsidRPr="00982072" w:rsidRDefault="00982072" w:rsidP="00982072">
      <w:pPr>
        <w:spacing w:after="200" w:line="480" w:lineRule="auto"/>
        <w:ind w:left="720" w:hanging="720"/>
        <w:rPr>
          <w:rFonts w:ascii="Times New Roman" w:hAnsi="Times New Roman" w:cs="Times New Roman"/>
          <w:sz w:val="24"/>
          <w:szCs w:val="24"/>
        </w:rPr>
      </w:pPr>
      <w:proofErr w:type="spellStart"/>
      <w:r w:rsidRPr="00982072">
        <w:rPr>
          <w:rFonts w:ascii="Times New Roman" w:hAnsi="Times New Roman" w:cs="Times New Roman"/>
          <w:sz w:val="24"/>
          <w:szCs w:val="24"/>
        </w:rPr>
        <w:t>Palhano</w:t>
      </w:r>
      <w:proofErr w:type="spellEnd"/>
      <w:r w:rsidRPr="00982072">
        <w:rPr>
          <w:rFonts w:ascii="Times New Roman" w:hAnsi="Times New Roman" w:cs="Times New Roman"/>
          <w:sz w:val="24"/>
          <w:szCs w:val="24"/>
        </w:rPr>
        <w:t xml:space="preserve"> MG, </w:t>
      </w:r>
      <w:proofErr w:type="spellStart"/>
      <w:r w:rsidRPr="00982072">
        <w:rPr>
          <w:rFonts w:ascii="Times New Roman" w:hAnsi="Times New Roman" w:cs="Times New Roman"/>
          <w:sz w:val="24"/>
          <w:szCs w:val="24"/>
        </w:rPr>
        <w:t>Norsworthy</w:t>
      </w:r>
      <w:proofErr w:type="spellEnd"/>
      <w:r w:rsidRPr="00982072">
        <w:rPr>
          <w:rFonts w:ascii="Times New Roman" w:hAnsi="Times New Roman" w:cs="Times New Roman"/>
          <w:sz w:val="24"/>
          <w:szCs w:val="24"/>
        </w:rPr>
        <w:t xml:space="preserve"> JK, Barber T (2018) Sensitivity and likelihood of residual carryover to cover crops. Weed Technology 32:236-243. Doi: 10.1017/wet.2018.7</w:t>
      </w:r>
    </w:p>
    <w:p w14:paraId="36FC092D" w14:textId="77777777" w:rsidR="00982072" w:rsidRPr="00982072" w:rsidRDefault="00982072" w:rsidP="00982072">
      <w:pPr>
        <w:spacing w:after="200" w:line="480" w:lineRule="auto"/>
        <w:ind w:left="720" w:hanging="720"/>
        <w:rPr>
          <w:rFonts w:ascii="Times New Roman" w:hAnsi="Times New Roman" w:cs="Times New Roman"/>
          <w:sz w:val="24"/>
          <w:szCs w:val="24"/>
        </w:rPr>
      </w:pPr>
      <w:r w:rsidRPr="00982072">
        <w:rPr>
          <w:rFonts w:ascii="Times New Roman" w:hAnsi="Times New Roman" w:cs="Times New Roman"/>
          <w:sz w:val="24"/>
          <w:szCs w:val="24"/>
        </w:rPr>
        <w:lastRenderedPageBreak/>
        <w:t xml:space="preserve">Radosevich M, </w:t>
      </w:r>
      <w:proofErr w:type="spellStart"/>
      <w:r w:rsidRPr="00982072">
        <w:rPr>
          <w:rFonts w:ascii="Times New Roman" w:hAnsi="Times New Roman" w:cs="Times New Roman"/>
          <w:sz w:val="24"/>
          <w:szCs w:val="24"/>
        </w:rPr>
        <w:t>Traina</w:t>
      </w:r>
      <w:proofErr w:type="spellEnd"/>
      <w:r w:rsidRPr="00982072">
        <w:rPr>
          <w:rFonts w:ascii="Times New Roman" w:hAnsi="Times New Roman" w:cs="Times New Roman"/>
          <w:sz w:val="24"/>
          <w:szCs w:val="24"/>
        </w:rPr>
        <w:t xml:space="preserve"> SJ, </w:t>
      </w:r>
      <w:proofErr w:type="spellStart"/>
      <w:r w:rsidRPr="00982072">
        <w:rPr>
          <w:rFonts w:ascii="Times New Roman" w:hAnsi="Times New Roman" w:cs="Times New Roman"/>
          <w:sz w:val="24"/>
          <w:szCs w:val="24"/>
        </w:rPr>
        <w:t>Tuovinen</w:t>
      </w:r>
      <w:proofErr w:type="spellEnd"/>
      <w:r w:rsidRPr="00982072">
        <w:rPr>
          <w:rFonts w:ascii="Times New Roman" w:hAnsi="Times New Roman" w:cs="Times New Roman"/>
          <w:sz w:val="24"/>
          <w:szCs w:val="24"/>
        </w:rPr>
        <w:t xml:space="preserve"> OH (1996) Biodegradation of atrazine in surface soils and subsurface sediments collected from an agricultural research farm. Biodegradation 7:137-149.</w:t>
      </w:r>
    </w:p>
    <w:p w14:paraId="7DF8E1C1" w14:textId="77777777" w:rsidR="00982072" w:rsidRPr="00982072" w:rsidRDefault="00982072" w:rsidP="00982072">
      <w:pPr>
        <w:spacing w:after="200" w:line="480" w:lineRule="auto"/>
        <w:ind w:left="720" w:hanging="720"/>
        <w:rPr>
          <w:rFonts w:ascii="Times New Roman" w:hAnsi="Times New Roman" w:cs="Times New Roman"/>
          <w:sz w:val="24"/>
          <w:szCs w:val="24"/>
        </w:rPr>
      </w:pPr>
      <w:proofErr w:type="spellStart"/>
      <w:r w:rsidRPr="00982072">
        <w:rPr>
          <w:rFonts w:ascii="Times New Roman" w:hAnsi="Times New Roman" w:cs="Times New Roman"/>
          <w:sz w:val="24"/>
          <w:szCs w:val="24"/>
        </w:rPr>
        <w:t>Shaner</w:t>
      </w:r>
      <w:proofErr w:type="spellEnd"/>
      <w:r w:rsidRPr="00982072">
        <w:rPr>
          <w:rFonts w:ascii="Times New Roman" w:hAnsi="Times New Roman" w:cs="Times New Roman"/>
          <w:sz w:val="24"/>
          <w:szCs w:val="24"/>
        </w:rPr>
        <w:t xml:space="preserve"> DL (2014) Herbicide handbook. 10</w:t>
      </w:r>
      <w:r w:rsidRPr="00982072">
        <w:rPr>
          <w:rFonts w:ascii="Times New Roman" w:hAnsi="Times New Roman" w:cs="Times New Roman"/>
          <w:sz w:val="24"/>
          <w:szCs w:val="24"/>
          <w:vertAlign w:val="superscript"/>
        </w:rPr>
        <w:t>th</w:t>
      </w:r>
      <w:r w:rsidRPr="00982072">
        <w:rPr>
          <w:rFonts w:ascii="Times New Roman" w:hAnsi="Times New Roman" w:cs="Times New Roman"/>
          <w:sz w:val="24"/>
          <w:szCs w:val="24"/>
        </w:rPr>
        <w:t xml:space="preserve"> Edition, Weed Science Society of America, Champaign, 513.</w:t>
      </w:r>
    </w:p>
    <w:p w14:paraId="4FF9A438" w14:textId="77777777" w:rsidR="00982072" w:rsidRPr="00982072" w:rsidRDefault="00982072" w:rsidP="00982072">
      <w:pPr>
        <w:spacing w:after="200" w:line="480" w:lineRule="auto"/>
        <w:ind w:left="720" w:hanging="720"/>
        <w:rPr>
          <w:rFonts w:ascii="Times New Roman" w:hAnsi="Times New Roman" w:cs="Times New Roman"/>
          <w:sz w:val="24"/>
          <w:szCs w:val="24"/>
        </w:rPr>
      </w:pPr>
      <w:proofErr w:type="spellStart"/>
      <w:r w:rsidRPr="00982072">
        <w:rPr>
          <w:rFonts w:ascii="Times New Roman" w:hAnsi="Times New Roman" w:cs="Times New Roman"/>
          <w:sz w:val="24"/>
          <w:szCs w:val="24"/>
        </w:rPr>
        <w:t>Tanetani</w:t>
      </w:r>
      <w:proofErr w:type="spellEnd"/>
      <w:r w:rsidRPr="00982072">
        <w:rPr>
          <w:rFonts w:ascii="Times New Roman" w:hAnsi="Times New Roman" w:cs="Times New Roman"/>
          <w:sz w:val="24"/>
          <w:szCs w:val="24"/>
        </w:rPr>
        <w:t xml:space="preserve"> Y, Kaku K, Kawai K, Fujioka T, Shimizu T (2009) Action mechanism of a novel herbicide, pyroxasulfone. Pesticide </w:t>
      </w:r>
      <w:proofErr w:type="spellStart"/>
      <w:r w:rsidRPr="00982072">
        <w:rPr>
          <w:rFonts w:ascii="Times New Roman" w:hAnsi="Times New Roman" w:cs="Times New Roman"/>
          <w:sz w:val="24"/>
          <w:szCs w:val="24"/>
        </w:rPr>
        <w:t>Biochem</w:t>
      </w:r>
      <w:proofErr w:type="spellEnd"/>
      <w:r w:rsidRPr="00982072">
        <w:rPr>
          <w:rFonts w:ascii="Times New Roman" w:hAnsi="Times New Roman" w:cs="Times New Roman"/>
          <w:sz w:val="24"/>
          <w:szCs w:val="24"/>
        </w:rPr>
        <w:t>. Physio. 95:47-55.</w:t>
      </w:r>
    </w:p>
    <w:p w14:paraId="371DE2F8" w14:textId="77777777" w:rsidR="00982072" w:rsidRPr="00982072" w:rsidRDefault="00982072" w:rsidP="00982072">
      <w:pPr>
        <w:spacing w:after="200" w:line="480" w:lineRule="auto"/>
        <w:ind w:left="720" w:hanging="720"/>
        <w:rPr>
          <w:rFonts w:ascii="Times New Roman" w:hAnsi="Times New Roman" w:cs="Times New Roman"/>
          <w:sz w:val="24"/>
          <w:szCs w:val="24"/>
        </w:rPr>
      </w:pPr>
      <w:proofErr w:type="spellStart"/>
      <w:r w:rsidRPr="00982072">
        <w:rPr>
          <w:rFonts w:ascii="Times New Roman" w:hAnsi="Times New Roman" w:cs="Times New Roman"/>
          <w:sz w:val="24"/>
          <w:szCs w:val="24"/>
        </w:rPr>
        <w:t>Tanetani</w:t>
      </w:r>
      <w:proofErr w:type="spellEnd"/>
      <w:r w:rsidRPr="00982072">
        <w:rPr>
          <w:rFonts w:ascii="Times New Roman" w:hAnsi="Times New Roman" w:cs="Times New Roman"/>
          <w:sz w:val="24"/>
          <w:szCs w:val="24"/>
        </w:rPr>
        <w:t xml:space="preserve"> Y, Ikeda M, Kaku K, Shimizu T, Matsumoto H (2013) Role of metabolism in the selectivity of a herbicide, pyroxasulfone, between wheat and rigid ryegrass seedlings. J. </w:t>
      </w:r>
      <w:proofErr w:type="spellStart"/>
      <w:r w:rsidRPr="00982072">
        <w:rPr>
          <w:rFonts w:ascii="Times New Roman" w:hAnsi="Times New Roman" w:cs="Times New Roman"/>
          <w:sz w:val="24"/>
          <w:szCs w:val="24"/>
        </w:rPr>
        <w:t>Pestic</w:t>
      </w:r>
      <w:proofErr w:type="spellEnd"/>
      <w:r w:rsidRPr="00982072">
        <w:rPr>
          <w:rFonts w:ascii="Times New Roman" w:hAnsi="Times New Roman" w:cs="Times New Roman"/>
          <w:sz w:val="24"/>
          <w:szCs w:val="24"/>
        </w:rPr>
        <w:t>. Sci. 38:152-156.</w:t>
      </w:r>
    </w:p>
    <w:p w14:paraId="109909C8" w14:textId="77777777" w:rsidR="00982072" w:rsidRPr="00982072" w:rsidRDefault="00982072" w:rsidP="00982072">
      <w:pPr>
        <w:spacing w:after="200" w:line="480" w:lineRule="auto"/>
        <w:ind w:left="720" w:hanging="720"/>
        <w:rPr>
          <w:rFonts w:ascii="Times New Roman" w:hAnsi="Times New Roman" w:cs="Times New Roman"/>
          <w:sz w:val="24"/>
          <w:szCs w:val="24"/>
        </w:rPr>
      </w:pPr>
      <w:r w:rsidRPr="00982072">
        <w:rPr>
          <w:rFonts w:ascii="Times New Roman" w:hAnsi="Times New Roman" w:cs="Times New Roman"/>
          <w:sz w:val="24"/>
          <w:szCs w:val="24"/>
        </w:rPr>
        <w:t>USDA National Agricultural Statistics Service (2020) 2020 State agriculture overview - Tennessee. Online. Thursday March 4, 2020. www.nass.usda.gov/Quick_Stats/Ag_Overview/stateOverview.php?state=TENNESSEE</w:t>
      </w:r>
    </w:p>
    <w:p w14:paraId="5A18EE49" w14:textId="77777777" w:rsidR="00982072" w:rsidRPr="00982072" w:rsidRDefault="00982072" w:rsidP="00982072">
      <w:pPr>
        <w:spacing w:after="200" w:line="480" w:lineRule="auto"/>
        <w:ind w:left="720" w:hanging="720"/>
        <w:rPr>
          <w:rFonts w:ascii="Times New Roman" w:hAnsi="Times New Roman" w:cs="Times New Roman"/>
          <w:sz w:val="24"/>
          <w:szCs w:val="24"/>
        </w:rPr>
      </w:pPr>
      <w:r w:rsidRPr="00982072">
        <w:rPr>
          <w:rFonts w:ascii="Times New Roman" w:hAnsi="Times New Roman" w:cs="Times New Roman"/>
          <w:sz w:val="24"/>
          <w:szCs w:val="24"/>
        </w:rPr>
        <w:t>US EPA Prevention, Pesticides and Toxic Substances (1998) Product performance test guidelines OPPTS 810.1000 overview, definitions, and general considerations Online. Thursday, March 4, 2020.  www.regulations.gov/document/EPA-HQ-OPPT-2009-0150-0002.</w:t>
      </w:r>
    </w:p>
    <w:p w14:paraId="097A3BF1" w14:textId="77777777" w:rsidR="00982072" w:rsidRPr="00982072" w:rsidRDefault="00982072" w:rsidP="00982072">
      <w:pPr>
        <w:spacing w:after="200" w:line="480" w:lineRule="auto"/>
        <w:ind w:left="720" w:hanging="720"/>
        <w:rPr>
          <w:rFonts w:ascii="Times New Roman" w:hAnsi="Times New Roman" w:cs="Times New Roman"/>
          <w:sz w:val="24"/>
          <w:szCs w:val="24"/>
        </w:rPr>
      </w:pPr>
      <w:r w:rsidRPr="00982072">
        <w:rPr>
          <w:rFonts w:ascii="Times New Roman" w:hAnsi="Times New Roman" w:cs="Times New Roman"/>
          <w:sz w:val="24"/>
          <w:szCs w:val="24"/>
        </w:rPr>
        <w:t>US EPA National Exposure Research Laboratory Burns LA (2004) Exposure analysis modeling system (EXAMS): user manual and system documentation. Online. Friday, March 12, 2021.  www.epa.gov/ceam/exposure-analysis-modeling-system-exams-user-manual-and-system-documentation.</w:t>
      </w:r>
    </w:p>
    <w:p w14:paraId="315A42BA" w14:textId="77777777" w:rsidR="00982072" w:rsidRPr="00982072" w:rsidRDefault="00982072" w:rsidP="00982072">
      <w:pPr>
        <w:spacing w:after="200" w:line="480" w:lineRule="auto"/>
        <w:ind w:left="720" w:hanging="720"/>
        <w:rPr>
          <w:rFonts w:ascii="Times New Roman" w:hAnsi="Times New Roman" w:cs="Times New Roman"/>
          <w:sz w:val="24"/>
          <w:szCs w:val="24"/>
        </w:rPr>
      </w:pPr>
      <w:r w:rsidRPr="00982072">
        <w:rPr>
          <w:rFonts w:ascii="Times New Roman" w:hAnsi="Times New Roman" w:cs="Times New Roman"/>
          <w:sz w:val="24"/>
          <w:szCs w:val="24"/>
        </w:rPr>
        <w:lastRenderedPageBreak/>
        <w:t>US EPA Prevention, Pesticides and Toxic Substances (2008) Fate, transport and transformation test guidelines OPPTS 835.6100 terrestrial field dissipation. Online. Friday, March 12, 2021.  www.regulations.gov/document/EPA-HQ-OPPT-2009-0152-0040.</w:t>
      </w:r>
    </w:p>
    <w:p w14:paraId="6EBE998E" w14:textId="77777777" w:rsidR="00982072" w:rsidRPr="00982072" w:rsidRDefault="00982072" w:rsidP="00982072">
      <w:pPr>
        <w:spacing w:after="200" w:line="480" w:lineRule="auto"/>
        <w:ind w:left="720" w:hanging="720"/>
        <w:rPr>
          <w:rFonts w:ascii="Times New Roman" w:hAnsi="Times New Roman" w:cs="Times New Roman"/>
          <w:sz w:val="24"/>
          <w:szCs w:val="24"/>
        </w:rPr>
      </w:pPr>
      <w:r w:rsidRPr="00982072">
        <w:rPr>
          <w:rFonts w:ascii="Times New Roman" w:hAnsi="Times New Roman" w:cs="Times New Roman"/>
          <w:sz w:val="24"/>
          <w:szCs w:val="24"/>
        </w:rPr>
        <w:t>Walker A (1987) Herbicide persistence in soil. Rev. Weed Science 3:1.</w:t>
      </w:r>
    </w:p>
    <w:p w14:paraId="2115E170" w14:textId="77777777" w:rsidR="00982072" w:rsidRPr="00982072" w:rsidRDefault="00982072" w:rsidP="00982072">
      <w:pPr>
        <w:spacing w:after="200" w:line="480" w:lineRule="auto"/>
        <w:ind w:left="720" w:hanging="720"/>
        <w:rPr>
          <w:rFonts w:ascii="Times New Roman" w:hAnsi="Times New Roman" w:cs="Times New Roman"/>
          <w:sz w:val="24"/>
          <w:szCs w:val="24"/>
        </w:rPr>
      </w:pPr>
      <w:proofErr w:type="spellStart"/>
      <w:r w:rsidRPr="00982072">
        <w:rPr>
          <w:rFonts w:ascii="Times New Roman" w:hAnsi="Times New Roman" w:cs="Times New Roman"/>
          <w:sz w:val="24"/>
          <w:szCs w:val="24"/>
        </w:rPr>
        <w:t>Westra</w:t>
      </w:r>
      <w:proofErr w:type="spellEnd"/>
      <w:r w:rsidRPr="00982072">
        <w:rPr>
          <w:rFonts w:ascii="Times New Roman" w:hAnsi="Times New Roman" w:cs="Times New Roman"/>
          <w:sz w:val="24"/>
          <w:szCs w:val="24"/>
        </w:rPr>
        <w:t xml:space="preserve"> EP, </w:t>
      </w:r>
      <w:proofErr w:type="spellStart"/>
      <w:r w:rsidRPr="00982072">
        <w:rPr>
          <w:rFonts w:ascii="Times New Roman" w:hAnsi="Times New Roman" w:cs="Times New Roman"/>
          <w:sz w:val="24"/>
          <w:szCs w:val="24"/>
        </w:rPr>
        <w:t>Shaner</w:t>
      </w:r>
      <w:proofErr w:type="spellEnd"/>
      <w:r w:rsidRPr="00982072">
        <w:rPr>
          <w:rFonts w:ascii="Times New Roman" w:hAnsi="Times New Roman" w:cs="Times New Roman"/>
          <w:sz w:val="24"/>
          <w:szCs w:val="24"/>
        </w:rPr>
        <w:t xml:space="preserve"> DL, </w:t>
      </w:r>
      <w:proofErr w:type="spellStart"/>
      <w:r w:rsidRPr="00982072">
        <w:rPr>
          <w:rFonts w:ascii="Times New Roman" w:hAnsi="Times New Roman" w:cs="Times New Roman"/>
          <w:sz w:val="24"/>
          <w:szCs w:val="24"/>
        </w:rPr>
        <w:t>Westra</w:t>
      </w:r>
      <w:proofErr w:type="spellEnd"/>
      <w:r w:rsidRPr="00982072">
        <w:rPr>
          <w:rFonts w:ascii="Times New Roman" w:hAnsi="Times New Roman" w:cs="Times New Roman"/>
          <w:sz w:val="24"/>
          <w:szCs w:val="24"/>
        </w:rPr>
        <w:t xml:space="preserve"> PH, Chapman PL (2017) Dissipation and leaching of pyroxasulfone and s-metolachlor. Weed Technology 28:72-81.</w:t>
      </w:r>
    </w:p>
    <w:p w14:paraId="2EA3A7EC" w14:textId="77777777" w:rsidR="00BA4CAC" w:rsidRDefault="00BA4CAC" w:rsidP="00BA4CAC">
      <w:pPr>
        <w:spacing w:after="200" w:line="480" w:lineRule="auto"/>
        <w:ind w:firstLine="720"/>
        <w:rPr>
          <w:rFonts w:ascii="Times New Roman" w:hAnsi="Times New Roman" w:cs="Times New Roman"/>
          <w:sz w:val="24"/>
          <w:szCs w:val="24"/>
        </w:rPr>
      </w:pPr>
    </w:p>
    <w:p w14:paraId="59AAD068" w14:textId="188B2F56" w:rsidR="00982072" w:rsidRPr="00BA4CAC" w:rsidRDefault="00982072" w:rsidP="00BA4CAC">
      <w:pPr>
        <w:spacing w:after="200" w:line="480" w:lineRule="auto"/>
        <w:ind w:firstLine="720"/>
        <w:rPr>
          <w:rFonts w:ascii="Times New Roman" w:hAnsi="Times New Roman" w:cs="Times New Roman"/>
          <w:sz w:val="24"/>
          <w:szCs w:val="24"/>
        </w:rPr>
        <w:sectPr w:rsidR="00982072" w:rsidRPr="00BA4CAC" w:rsidSect="00CA7909">
          <w:pgSz w:w="12240" w:h="15840"/>
          <w:pgMar w:top="1440" w:right="1440" w:bottom="1440" w:left="1440" w:header="720" w:footer="720" w:gutter="0"/>
          <w:cols w:space="720"/>
          <w:docGrid w:linePitch="360"/>
        </w:sectPr>
      </w:pPr>
    </w:p>
    <w:p w14:paraId="407029C8" w14:textId="1592BBA5" w:rsidR="0035568D" w:rsidRPr="00EC3EE6" w:rsidRDefault="00D0457B" w:rsidP="00EC3EE6">
      <w:pPr>
        <w:pStyle w:val="Heading1"/>
        <w:jc w:val="center"/>
        <w:rPr>
          <w:rFonts w:ascii="Times New Roman" w:hAnsi="Times New Roman" w:cs="Times New Roman"/>
          <w:color w:val="000000" w:themeColor="text1"/>
          <w:sz w:val="24"/>
        </w:rPr>
      </w:pPr>
      <w:bookmarkStart w:id="5" w:name="_Toc99089480"/>
      <w:r w:rsidRPr="00EC3EE6">
        <w:rPr>
          <w:rFonts w:ascii="Times New Roman" w:hAnsi="Times New Roman" w:cs="Times New Roman"/>
          <w:b/>
          <w:color w:val="000000" w:themeColor="text1"/>
          <w:sz w:val="24"/>
        </w:rPr>
        <w:lastRenderedPageBreak/>
        <w:t>C</w:t>
      </w:r>
      <w:r w:rsidR="0035568D" w:rsidRPr="00EC3EE6">
        <w:rPr>
          <w:rFonts w:ascii="Times New Roman" w:hAnsi="Times New Roman" w:cs="Times New Roman"/>
          <w:b/>
          <w:color w:val="000000" w:themeColor="text1"/>
          <w:sz w:val="24"/>
        </w:rPr>
        <w:t>HAPTER I</w:t>
      </w:r>
      <w:bookmarkStart w:id="6" w:name="_Hlk98323113"/>
      <w:r w:rsidR="00EC3EE6">
        <w:rPr>
          <w:rFonts w:ascii="Times New Roman" w:hAnsi="Times New Roman" w:cs="Times New Roman"/>
          <w:color w:val="000000" w:themeColor="text1"/>
          <w:sz w:val="24"/>
        </w:rPr>
        <w:t xml:space="preserve"> </w:t>
      </w:r>
      <w:r w:rsidR="00F73168" w:rsidRPr="00EC3EE6">
        <w:rPr>
          <w:rFonts w:ascii="Times New Roman" w:hAnsi="Times New Roman" w:cs="Times New Roman"/>
          <w:b/>
          <w:color w:val="000000" w:themeColor="text1"/>
          <w:sz w:val="24"/>
        </w:rPr>
        <w:t xml:space="preserve">EFFECT OF </w:t>
      </w:r>
      <w:r w:rsidR="0035568D" w:rsidRPr="00EC3EE6">
        <w:rPr>
          <w:rFonts w:ascii="Times New Roman" w:hAnsi="Times New Roman" w:cs="Times New Roman"/>
          <w:b/>
          <w:color w:val="000000" w:themeColor="text1"/>
          <w:sz w:val="24"/>
        </w:rPr>
        <w:t>HERBICIDE CONCENTRATION ON ATRAZINE, PYROXASULFONE, AND SAFLUFENACIL DISSIPATION UNDER FIELD AND LAB CONDITIONS</w:t>
      </w:r>
      <w:bookmarkEnd w:id="5"/>
      <w:bookmarkEnd w:id="6"/>
    </w:p>
    <w:p w14:paraId="4258DF99" w14:textId="77777777" w:rsidR="005A5089" w:rsidRDefault="005A5089" w:rsidP="005A5089">
      <w:pPr>
        <w:jc w:val="center"/>
        <w:rPr>
          <w:rFonts w:ascii="Times New Roman" w:hAnsi="Times New Roman" w:cs="Times New Roman"/>
          <w:b/>
          <w:sz w:val="24"/>
          <w:szCs w:val="24"/>
        </w:rPr>
      </w:pPr>
    </w:p>
    <w:p w14:paraId="6686C613" w14:textId="77777777" w:rsidR="005A5089" w:rsidRDefault="005A5089" w:rsidP="005A5089">
      <w:pPr>
        <w:jc w:val="center"/>
        <w:rPr>
          <w:rFonts w:ascii="Times New Roman" w:hAnsi="Times New Roman" w:cs="Times New Roman"/>
          <w:b/>
          <w:sz w:val="24"/>
          <w:szCs w:val="24"/>
        </w:rPr>
        <w:sectPr w:rsidR="005A5089">
          <w:pgSz w:w="12240" w:h="15840"/>
          <w:pgMar w:top="1440" w:right="1440" w:bottom="1440" w:left="1440" w:header="720" w:footer="720" w:gutter="0"/>
          <w:cols w:space="720"/>
          <w:docGrid w:linePitch="360"/>
        </w:sectPr>
      </w:pPr>
    </w:p>
    <w:p w14:paraId="6EFD3AE6" w14:textId="508FCAF3" w:rsidR="00E03E3F" w:rsidRDefault="00AC115C" w:rsidP="00E03E3F">
      <w:pPr>
        <w:spacing w:line="480" w:lineRule="auto"/>
        <w:rPr>
          <w:rFonts w:ascii="Times New Roman" w:hAnsi="Times New Roman" w:cs="Times New Roman"/>
          <w:i/>
          <w:sz w:val="24"/>
        </w:rPr>
      </w:pPr>
      <w:r>
        <w:rPr>
          <w:rFonts w:ascii="Times New Roman" w:hAnsi="Times New Roman" w:cs="Times New Roman"/>
          <w:sz w:val="24"/>
        </w:rPr>
        <w:lastRenderedPageBreak/>
        <w:t>T</w:t>
      </w:r>
      <w:r w:rsidR="00E03E3F">
        <w:rPr>
          <w:rFonts w:ascii="Times New Roman" w:hAnsi="Times New Roman" w:cs="Times New Roman"/>
          <w:sz w:val="24"/>
        </w:rPr>
        <w:t xml:space="preserve">his chapter to be submitted for publication by Randall L. Landry, Thomas C. Mueller, and Lawrence E. Steckel in </w:t>
      </w:r>
      <w:r w:rsidR="00E03E3F" w:rsidRPr="00E03E3F">
        <w:rPr>
          <w:rFonts w:ascii="Times New Roman" w:hAnsi="Times New Roman" w:cs="Times New Roman"/>
          <w:i/>
          <w:sz w:val="24"/>
        </w:rPr>
        <w:t>Weed Technology</w:t>
      </w:r>
    </w:p>
    <w:p w14:paraId="22C9D9AA" w14:textId="77777777" w:rsidR="00E03E3F" w:rsidRDefault="00E03E3F" w:rsidP="00E03E3F">
      <w:pPr>
        <w:spacing w:line="480" w:lineRule="auto"/>
        <w:rPr>
          <w:rFonts w:ascii="Times New Roman" w:hAnsi="Times New Roman" w:cs="Times New Roman"/>
          <w:sz w:val="24"/>
        </w:rPr>
      </w:pPr>
    </w:p>
    <w:p w14:paraId="42D98F20" w14:textId="7EA26945" w:rsidR="00E03E3F" w:rsidRDefault="00E03E3F" w:rsidP="00E03E3F">
      <w:pPr>
        <w:spacing w:line="480" w:lineRule="auto"/>
        <w:rPr>
          <w:rFonts w:ascii="Times New Roman" w:hAnsi="Times New Roman" w:cs="Times New Roman"/>
          <w:sz w:val="24"/>
        </w:rPr>
      </w:pPr>
      <w:r w:rsidRPr="00B73FD0">
        <w:rPr>
          <w:rFonts w:ascii="Times New Roman" w:hAnsi="Times New Roman" w:cs="Times New Roman"/>
          <w:sz w:val="24"/>
        </w:rPr>
        <w:t>Running title:</w:t>
      </w:r>
      <w:r>
        <w:rPr>
          <w:rFonts w:ascii="Times New Roman" w:hAnsi="Times New Roman" w:cs="Times New Roman"/>
          <w:sz w:val="24"/>
        </w:rPr>
        <w:t xml:space="preserve"> </w:t>
      </w:r>
      <w:r w:rsidR="00804133">
        <w:rPr>
          <w:rFonts w:ascii="Times New Roman" w:hAnsi="Times New Roman" w:cs="Times New Roman"/>
          <w:sz w:val="24"/>
        </w:rPr>
        <w:t>herbicide</w:t>
      </w:r>
      <w:r>
        <w:rPr>
          <w:rFonts w:ascii="Times New Roman" w:hAnsi="Times New Roman" w:cs="Times New Roman"/>
          <w:sz w:val="24"/>
        </w:rPr>
        <w:t xml:space="preserve"> dissipation</w:t>
      </w:r>
      <w:r w:rsidR="00AC115C">
        <w:rPr>
          <w:rFonts w:ascii="Times New Roman" w:hAnsi="Times New Roman" w:cs="Times New Roman"/>
          <w:sz w:val="24"/>
        </w:rPr>
        <w:t xml:space="preserve"> in soil</w:t>
      </w:r>
    </w:p>
    <w:p w14:paraId="2F5486A2" w14:textId="77777777" w:rsidR="00E03E3F" w:rsidRDefault="00E03E3F" w:rsidP="00E03E3F">
      <w:pPr>
        <w:spacing w:line="480" w:lineRule="auto"/>
        <w:jc w:val="center"/>
        <w:rPr>
          <w:rFonts w:ascii="Times New Roman" w:hAnsi="Times New Roman" w:cs="Times New Roman"/>
          <w:b/>
          <w:sz w:val="24"/>
        </w:rPr>
      </w:pPr>
      <w:r>
        <w:rPr>
          <w:rFonts w:ascii="Times New Roman" w:hAnsi="Times New Roman" w:cs="Times New Roman"/>
          <w:b/>
          <w:sz w:val="24"/>
        </w:rPr>
        <w:t>Effect of herbicide concentration of atrazine, pyroxasulfone, and saflufenacil dissipation under field and lab conditions</w:t>
      </w:r>
    </w:p>
    <w:p w14:paraId="58BDBDAE" w14:textId="6F3D12D2" w:rsidR="00E03E3F" w:rsidRPr="00AC115C" w:rsidRDefault="00E03E3F" w:rsidP="00E03E3F">
      <w:pPr>
        <w:spacing w:line="480" w:lineRule="auto"/>
        <w:rPr>
          <w:rFonts w:ascii="Times New Roman" w:hAnsi="Times New Roman" w:cs="Times New Roman"/>
          <w:sz w:val="24"/>
          <w:vertAlign w:val="superscript"/>
        </w:rPr>
      </w:pPr>
      <w:r>
        <w:rPr>
          <w:rFonts w:ascii="Times New Roman" w:hAnsi="Times New Roman" w:cs="Times New Roman"/>
          <w:sz w:val="24"/>
        </w:rPr>
        <w:t>Randall L. Landry</w:t>
      </w:r>
      <w:r>
        <w:rPr>
          <w:rFonts w:ascii="Times New Roman" w:hAnsi="Times New Roman" w:cs="Times New Roman"/>
          <w:sz w:val="24"/>
          <w:vertAlign w:val="superscript"/>
        </w:rPr>
        <w:t>1</w:t>
      </w:r>
      <w:r>
        <w:rPr>
          <w:rFonts w:ascii="Times New Roman" w:hAnsi="Times New Roman" w:cs="Times New Roman"/>
          <w:sz w:val="24"/>
        </w:rPr>
        <w:t>,</w:t>
      </w:r>
      <w:r w:rsidR="00AC115C">
        <w:rPr>
          <w:rFonts w:ascii="Times New Roman" w:hAnsi="Times New Roman" w:cs="Times New Roman"/>
          <w:sz w:val="24"/>
        </w:rPr>
        <w:t xml:space="preserve"> </w:t>
      </w:r>
      <w:r>
        <w:rPr>
          <w:rFonts w:ascii="Times New Roman" w:hAnsi="Times New Roman" w:cs="Times New Roman"/>
          <w:sz w:val="24"/>
        </w:rPr>
        <w:t>Lawrence E. Steckel</w:t>
      </w:r>
      <w:r w:rsidR="00AC115C">
        <w:rPr>
          <w:rFonts w:ascii="Times New Roman" w:hAnsi="Times New Roman" w:cs="Times New Roman"/>
          <w:sz w:val="24"/>
          <w:vertAlign w:val="superscript"/>
        </w:rPr>
        <w:t>2</w:t>
      </w:r>
      <w:r w:rsidR="00AC115C">
        <w:rPr>
          <w:rFonts w:ascii="Times New Roman" w:hAnsi="Times New Roman" w:cs="Times New Roman"/>
          <w:sz w:val="24"/>
        </w:rPr>
        <w:t>, and Thomas C. Mueller</w:t>
      </w:r>
      <w:r w:rsidR="00AC115C">
        <w:rPr>
          <w:rFonts w:ascii="Times New Roman" w:hAnsi="Times New Roman" w:cs="Times New Roman"/>
          <w:sz w:val="24"/>
          <w:vertAlign w:val="superscript"/>
        </w:rPr>
        <w:t>3</w:t>
      </w:r>
    </w:p>
    <w:p w14:paraId="0222AB55" w14:textId="0F6759F9" w:rsidR="00E03E3F" w:rsidRDefault="00E03E3F" w:rsidP="00E03E3F">
      <w:pPr>
        <w:spacing w:line="480" w:lineRule="auto"/>
        <w:rPr>
          <w:rFonts w:ascii="Times New Roman" w:hAnsi="Times New Roman" w:cs="Times New Roman"/>
          <w:sz w:val="24"/>
        </w:rPr>
      </w:pPr>
      <w:r>
        <w:rPr>
          <w:rFonts w:ascii="Times New Roman" w:hAnsi="Times New Roman" w:cs="Times New Roman"/>
          <w:sz w:val="24"/>
          <w:vertAlign w:val="superscript"/>
        </w:rPr>
        <w:t>1</w:t>
      </w:r>
      <w:r>
        <w:rPr>
          <w:rFonts w:ascii="Times New Roman" w:hAnsi="Times New Roman" w:cs="Times New Roman"/>
          <w:sz w:val="24"/>
        </w:rPr>
        <w:t xml:space="preserve">Research Assistant, Department of Plant Sciences, University of Tennessee, Knoxville, TN, USA; </w:t>
      </w:r>
      <w:r w:rsidR="00AC115C">
        <w:rPr>
          <w:rFonts w:ascii="Times New Roman" w:hAnsi="Times New Roman" w:cs="Times New Roman"/>
          <w:sz w:val="24"/>
          <w:vertAlign w:val="superscript"/>
        </w:rPr>
        <w:t>2</w:t>
      </w:r>
      <w:r>
        <w:rPr>
          <w:rFonts w:ascii="Times New Roman" w:hAnsi="Times New Roman" w:cs="Times New Roman"/>
          <w:sz w:val="24"/>
        </w:rPr>
        <w:t xml:space="preserve">Professor, University of Tennessee, Knoxville, TN, USA, </w:t>
      </w:r>
      <w:r>
        <w:rPr>
          <w:rFonts w:ascii="Times New Roman" w:hAnsi="Times New Roman" w:cs="Times New Roman"/>
          <w:sz w:val="24"/>
          <w:vertAlign w:val="superscript"/>
        </w:rPr>
        <w:t>3</w:t>
      </w:r>
      <w:r>
        <w:rPr>
          <w:rFonts w:ascii="Times New Roman" w:hAnsi="Times New Roman" w:cs="Times New Roman"/>
          <w:sz w:val="24"/>
        </w:rPr>
        <w:t>Professor, University of Tennessee, Knoxville, TN, USA</w:t>
      </w:r>
    </w:p>
    <w:p w14:paraId="07139DAB" w14:textId="77777777" w:rsidR="00E03E3F" w:rsidRDefault="00E03E3F" w:rsidP="00E03E3F">
      <w:pPr>
        <w:spacing w:line="480" w:lineRule="auto"/>
        <w:rPr>
          <w:rFonts w:ascii="Times New Roman" w:hAnsi="Times New Roman" w:cs="Times New Roman"/>
          <w:sz w:val="24"/>
        </w:rPr>
      </w:pPr>
      <w:r>
        <w:rPr>
          <w:rFonts w:ascii="Times New Roman" w:hAnsi="Times New Roman" w:cs="Times New Roman"/>
          <w:sz w:val="24"/>
        </w:rPr>
        <w:t>Corresponding author: Thomas C. Mueller, Department of Plant Sciences, University of Tennessee, Knoxville, TN 37996.</w:t>
      </w:r>
    </w:p>
    <w:p w14:paraId="16946F09" w14:textId="5490E6A6" w:rsidR="00E03E3F" w:rsidRDefault="00E03E3F" w:rsidP="00E03E3F">
      <w:pPr>
        <w:spacing w:line="480" w:lineRule="auto"/>
        <w:rPr>
          <w:rFonts w:ascii="Times New Roman" w:hAnsi="Times New Roman" w:cs="Times New Roman"/>
          <w:sz w:val="24"/>
        </w:rPr>
      </w:pPr>
      <w:r>
        <w:rPr>
          <w:rFonts w:ascii="Times New Roman" w:hAnsi="Times New Roman" w:cs="Times New Roman"/>
          <w:sz w:val="24"/>
        </w:rPr>
        <w:t xml:space="preserve">Email: </w:t>
      </w:r>
      <w:r w:rsidRPr="00007E56">
        <w:rPr>
          <w:rFonts w:ascii="Times New Roman" w:hAnsi="Times New Roman" w:cs="Times New Roman"/>
          <w:sz w:val="24"/>
        </w:rPr>
        <w:t>tmueller@utk.edu</w:t>
      </w:r>
    </w:p>
    <w:p w14:paraId="5774626F" w14:textId="3C3DCA40" w:rsidR="00E03E3F" w:rsidRDefault="00E03E3F" w:rsidP="00EC3EE6">
      <w:pPr>
        <w:pStyle w:val="Heading2"/>
        <w:rPr>
          <w:rFonts w:ascii="Times New Roman" w:hAnsi="Times New Roman" w:cs="Times New Roman"/>
          <w:b/>
          <w:color w:val="000000" w:themeColor="text1"/>
          <w:sz w:val="24"/>
        </w:rPr>
      </w:pPr>
      <w:bookmarkStart w:id="7" w:name="_Toc99089481"/>
      <w:r w:rsidRPr="00EC3EE6">
        <w:rPr>
          <w:rFonts w:ascii="Times New Roman" w:hAnsi="Times New Roman" w:cs="Times New Roman"/>
          <w:b/>
          <w:color w:val="000000" w:themeColor="text1"/>
          <w:sz w:val="24"/>
        </w:rPr>
        <w:t>Abstract</w:t>
      </w:r>
      <w:bookmarkEnd w:id="7"/>
    </w:p>
    <w:p w14:paraId="2984DDF5" w14:textId="77777777" w:rsidR="00EC3EE6" w:rsidRPr="00EC3EE6" w:rsidRDefault="00EC3EE6" w:rsidP="00EC3EE6"/>
    <w:p w14:paraId="23199DC6" w14:textId="69905915" w:rsidR="00E2133B" w:rsidRPr="00E2133B" w:rsidRDefault="00E2133B" w:rsidP="00553180">
      <w:pPr>
        <w:spacing w:line="480" w:lineRule="auto"/>
        <w:ind w:firstLine="720"/>
        <w:rPr>
          <w:rFonts w:ascii="Times New Roman" w:hAnsi="Times New Roman" w:cs="Times New Roman"/>
          <w:sz w:val="24"/>
        </w:rPr>
      </w:pPr>
      <w:r w:rsidRPr="00E2133B">
        <w:rPr>
          <w:rFonts w:ascii="Times New Roman" w:hAnsi="Times New Roman" w:cs="Times New Roman"/>
          <w:sz w:val="24"/>
        </w:rPr>
        <w:t xml:space="preserve">Widespread herbicide resistant weeds over the last several years have fueled a renewed interest in the utility of soil-applied residual herbicides.  Residual activity of a herbicide is based on a myriad of factors within and among environments. A common assumption used in simulation models examining herbicide persistence is that herbicide degradation is independent of application rate.  These studies compared herbicide concentration on dissipation with three commonly used residual herbicides under field and lab conditions.  Atrazine, pyroxasulfone, and saflufenacil represent herbicides with a relative field persistence of medium, high, and low, </w:t>
      </w:r>
      <w:r w:rsidRPr="00E2133B">
        <w:rPr>
          <w:rFonts w:ascii="Times New Roman" w:hAnsi="Times New Roman" w:cs="Times New Roman"/>
          <w:sz w:val="24"/>
        </w:rPr>
        <w:lastRenderedPageBreak/>
        <w:t>respectively.  Field studies were conducted over two years where herbicides and rates were assembled in a factorial arrangement of treatments and herbicides were applied at rates of 100, 1000, and 10000 g ai ha</w:t>
      </w:r>
      <w:r w:rsidRPr="00E2133B">
        <w:rPr>
          <w:rFonts w:ascii="Times New Roman" w:hAnsi="Times New Roman" w:cs="Times New Roman"/>
          <w:sz w:val="24"/>
          <w:vertAlign w:val="superscript"/>
        </w:rPr>
        <w:t>-1</w:t>
      </w:r>
      <w:r w:rsidRPr="00E2133B">
        <w:rPr>
          <w:rFonts w:ascii="Times New Roman" w:hAnsi="Times New Roman" w:cs="Times New Roman"/>
          <w:sz w:val="24"/>
        </w:rPr>
        <w:t xml:space="preserve">.  These application rates are quite divergent from labeled rates, and were used to elucidate the effect of herbicide dose on subsequent dissipation. Soil samples were collected on selected intervals over the course of </w:t>
      </w:r>
      <w:r w:rsidR="000E10F5">
        <w:rPr>
          <w:rFonts w:ascii="Times New Roman" w:hAnsi="Times New Roman" w:cs="Times New Roman"/>
          <w:sz w:val="24"/>
        </w:rPr>
        <w:t>365 days</w:t>
      </w:r>
      <w:r w:rsidRPr="00E2133B">
        <w:rPr>
          <w:rFonts w:ascii="Times New Roman" w:hAnsi="Times New Roman" w:cs="Times New Roman"/>
          <w:sz w:val="24"/>
        </w:rPr>
        <w:t xml:space="preserve"> to detect dissipation of the herbicides.  The field study indicated that persistence is affected by herbicide concentration.</w:t>
      </w:r>
      <w:r w:rsidR="00553180">
        <w:rPr>
          <w:rFonts w:ascii="Times New Roman" w:hAnsi="Times New Roman" w:cs="Times New Roman"/>
          <w:sz w:val="24"/>
        </w:rPr>
        <w:t xml:space="preserve">  Generally, h</w:t>
      </w:r>
      <w:r w:rsidRPr="00E2133B">
        <w:rPr>
          <w:rFonts w:ascii="Times New Roman" w:hAnsi="Times New Roman" w:cs="Times New Roman"/>
          <w:sz w:val="24"/>
        </w:rPr>
        <w:t>igher herbicide concentrations exhibited slower dissipation rates while lower herbicide concentrations exhibited more rapid dissipation.</w:t>
      </w:r>
      <w:r w:rsidR="00553180">
        <w:rPr>
          <w:rFonts w:ascii="Times New Roman" w:hAnsi="Times New Roman" w:cs="Times New Roman"/>
          <w:sz w:val="24"/>
        </w:rPr>
        <w:t xml:space="preserve">  </w:t>
      </w:r>
      <w:r w:rsidRPr="00E2133B">
        <w:rPr>
          <w:rFonts w:ascii="Times New Roman" w:hAnsi="Times New Roman" w:cs="Times New Roman"/>
          <w:sz w:val="24"/>
        </w:rPr>
        <w:t xml:space="preserve">Lab studies used a factorial arrangement of treatments where the three herbicides were combined with </w:t>
      </w:r>
      <w:r w:rsidR="00553180">
        <w:rPr>
          <w:rFonts w:ascii="Times New Roman" w:hAnsi="Times New Roman" w:cs="Times New Roman"/>
          <w:sz w:val="24"/>
        </w:rPr>
        <w:t>varying concentration</w:t>
      </w:r>
      <w:r w:rsidRPr="00E2133B">
        <w:rPr>
          <w:rFonts w:ascii="Times New Roman" w:hAnsi="Times New Roman" w:cs="Times New Roman"/>
          <w:sz w:val="24"/>
        </w:rPr>
        <w:t xml:space="preserve"> rates based on water </w:t>
      </w:r>
      <w:r w:rsidR="008E6223" w:rsidRPr="00E2133B">
        <w:rPr>
          <w:rFonts w:ascii="Times New Roman" w:hAnsi="Times New Roman" w:cs="Times New Roman"/>
          <w:sz w:val="24"/>
        </w:rPr>
        <w:t>solubility</w:t>
      </w:r>
      <w:r w:rsidR="008E6223">
        <w:rPr>
          <w:rFonts w:ascii="Times New Roman" w:hAnsi="Times New Roman" w:cs="Times New Roman"/>
          <w:sz w:val="24"/>
        </w:rPr>
        <w:t>.</w:t>
      </w:r>
      <w:r w:rsidRPr="00E2133B">
        <w:rPr>
          <w:rFonts w:ascii="Times New Roman" w:hAnsi="Times New Roman" w:cs="Times New Roman"/>
          <w:sz w:val="24"/>
        </w:rPr>
        <w:t>  Soils were placed in an incubator set for ambient temperature conditions.  Lab studies generally agreed with the field studies, and indicated higher herbicide concentrations showed slower herbicide dissipation compared with the lower herbicide concentrations.  These studies suggest that herbicide concentration has an effect on the dissipation of atrazine</w:t>
      </w:r>
      <w:r w:rsidR="000E10F5">
        <w:rPr>
          <w:rFonts w:ascii="Times New Roman" w:hAnsi="Times New Roman" w:cs="Times New Roman"/>
          <w:sz w:val="24"/>
        </w:rPr>
        <w:t xml:space="preserve"> and </w:t>
      </w:r>
      <w:r w:rsidRPr="00E2133B">
        <w:rPr>
          <w:rFonts w:ascii="Times New Roman" w:hAnsi="Times New Roman" w:cs="Times New Roman"/>
          <w:sz w:val="24"/>
        </w:rPr>
        <w:t>pyroxasulfone</w:t>
      </w:r>
      <w:r w:rsidR="000E10F5">
        <w:rPr>
          <w:rFonts w:ascii="Times New Roman" w:hAnsi="Times New Roman" w:cs="Times New Roman"/>
          <w:sz w:val="24"/>
        </w:rPr>
        <w:t xml:space="preserve"> i</w:t>
      </w:r>
      <w:r w:rsidRPr="00E2133B">
        <w:rPr>
          <w:rFonts w:ascii="Times New Roman" w:hAnsi="Times New Roman" w:cs="Times New Roman"/>
          <w:sz w:val="24"/>
        </w:rPr>
        <w:t>n field and lab conditions. This finding would be important for those using herbicide degradation rates in simulation modeling, since herbicide degradation is often assumed to be independent of rate applied.  </w:t>
      </w:r>
    </w:p>
    <w:p w14:paraId="26F1136E" w14:textId="294DB4C0" w:rsidR="00E03E3F" w:rsidRDefault="00E03E3F" w:rsidP="00E03E3F">
      <w:pPr>
        <w:spacing w:line="480" w:lineRule="auto"/>
        <w:rPr>
          <w:rFonts w:ascii="Times New Roman" w:hAnsi="Times New Roman" w:cs="Times New Roman"/>
          <w:sz w:val="24"/>
        </w:rPr>
      </w:pPr>
      <w:r>
        <w:rPr>
          <w:rFonts w:ascii="Times New Roman" w:hAnsi="Times New Roman" w:cs="Times New Roman"/>
          <w:b/>
          <w:sz w:val="24"/>
        </w:rPr>
        <w:t xml:space="preserve">Nomenclature: </w:t>
      </w:r>
      <w:r w:rsidR="007C6453">
        <w:rPr>
          <w:rFonts w:ascii="Times New Roman" w:hAnsi="Times New Roman" w:cs="Times New Roman"/>
          <w:sz w:val="24"/>
        </w:rPr>
        <w:t xml:space="preserve">herbicide, </w:t>
      </w:r>
      <w:r>
        <w:rPr>
          <w:rFonts w:ascii="Times New Roman" w:hAnsi="Times New Roman" w:cs="Times New Roman"/>
          <w:sz w:val="24"/>
        </w:rPr>
        <w:t>dissipation, saflufenacil, pyroxasulfone, atrazine, concentration</w:t>
      </w:r>
    </w:p>
    <w:p w14:paraId="09832FB1" w14:textId="6DEE05C5" w:rsidR="00E03E3F" w:rsidRPr="00BC3F76" w:rsidRDefault="00E03E3F" w:rsidP="00E03E3F">
      <w:pPr>
        <w:spacing w:line="480" w:lineRule="auto"/>
        <w:rPr>
          <w:rFonts w:ascii="Times New Roman" w:hAnsi="Times New Roman" w:cs="Times New Roman"/>
          <w:sz w:val="24"/>
        </w:rPr>
        <w:sectPr w:rsidR="00E03E3F" w:rsidRPr="00BC3F76" w:rsidSect="00CA7909">
          <w:pgSz w:w="12240" w:h="15840"/>
          <w:pgMar w:top="1440" w:right="1440" w:bottom="1440" w:left="1440" w:header="720" w:footer="720" w:gutter="0"/>
          <w:cols w:space="720"/>
          <w:docGrid w:linePitch="360"/>
        </w:sectPr>
      </w:pPr>
      <w:r w:rsidRPr="00CE11BC">
        <w:rPr>
          <w:rFonts w:ascii="Times New Roman" w:hAnsi="Times New Roman" w:cs="Times New Roman"/>
          <w:b/>
          <w:sz w:val="24"/>
        </w:rPr>
        <w:t>Keywords:</w:t>
      </w:r>
      <w:r>
        <w:rPr>
          <w:rFonts w:ascii="Times New Roman" w:hAnsi="Times New Roman" w:cs="Times New Roman"/>
          <w:b/>
          <w:sz w:val="24"/>
        </w:rPr>
        <w:t xml:space="preserve"> </w:t>
      </w:r>
      <w:r w:rsidR="007C6453">
        <w:rPr>
          <w:rFonts w:ascii="Times New Roman" w:hAnsi="Times New Roman" w:cs="Times New Roman"/>
          <w:sz w:val="24"/>
        </w:rPr>
        <w:t>degradation</w:t>
      </w:r>
    </w:p>
    <w:p w14:paraId="08C94CC8" w14:textId="5BA8600A" w:rsidR="00E03E3F" w:rsidRDefault="00E03E3F" w:rsidP="00EC3EE6">
      <w:pPr>
        <w:pStyle w:val="Heading2"/>
        <w:rPr>
          <w:rFonts w:ascii="Times New Roman" w:hAnsi="Times New Roman" w:cs="Times New Roman"/>
          <w:b/>
          <w:color w:val="000000" w:themeColor="text1"/>
          <w:sz w:val="24"/>
        </w:rPr>
      </w:pPr>
      <w:bookmarkStart w:id="8" w:name="_Toc99089482"/>
      <w:r w:rsidRPr="00EC3EE6">
        <w:rPr>
          <w:rFonts w:ascii="Times New Roman" w:hAnsi="Times New Roman" w:cs="Times New Roman"/>
          <w:b/>
          <w:color w:val="000000" w:themeColor="text1"/>
          <w:sz w:val="24"/>
        </w:rPr>
        <w:lastRenderedPageBreak/>
        <w:t>Introduction</w:t>
      </w:r>
      <w:bookmarkEnd w:id="8"/>
    </w:p>
    <w:p w14:paraId="65793460" w14:textId="77777777" w:rsidR="00EC3EE6" w:rsidRPr="00EC3EE6" w:rsidRDefault="00EC3EE6" w:rsidP="00EC3EE6"/>
    <w:p w14:paraId="2D933FF7" w14:textId="6B411F81" w:rsidR="00E03E3F" w:rsidRDefault="00E03E3F" w:rsidP="003367F9">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Utilizing residual herbicides remains a best management practice to manage weeds and growers have </w:t>
      </w:r>
      <w:r w:rsidR="00E730DE">
        <w:rPr>
          <w:rFonts w:ascii="Times New Roman" w:hAnsi="Times New Roman" w:cs="Times New Roman"/>
          <w:sz w:val="24"/>
        </w:rPr>
        <w:t>again started to</w:t>
      </w:r>
      <w:r>
        <w:rPr>
          <w:rFonts w:ascii="Times New Roman" w:hAnsi="Times New Roman" w:cs="Times New Roman"/>
          <w:sz w:val="24"/>
        </w:rPr>
        <w:t xml:space="preserve"> incorporate them into weed management programs (</w:t>
      </w:r>
      <w:proofErr w:type="spellStart"/>
      <w:r>
        <w:rPr>
          <w:rFonts w:ascii="Times New Roman" w:hAnsi="Times New Roman" w:cs="Times New Roman"/>
          <w:sz w:val="24"/>
        </w:rPr>
        <w:t>Norsworthy</w:t>
      </w:r>
      <w:proofErr w:type="spellEnd"/>
      <w:r>
        <w:rPr>
          <w:rFonts w:ascii="Times New Roman" w:hAnsi="Times New Roman" w:cs="Times New Roman"/>
          <w:sz w:val="24"/>
        </w:rPr>
        <w:t xml:space="preserve"> et al. 2012).  Residual herbicide</w:t>
      </w:r>
      <w:r w:rsidR="009D321C">
        <w:rPr>
          <w:rFonts w:ascii="Times New Roman" w:hAnsi="Times New Roman" w:cs="Times New Roman"/>
          <w:sz w:val="24"/>
        </w:rPr>
        <w:t>s</w:t>
      </w:r>
      <w:r>
        <w:rPr>
          <w:rFonts w:ascii="Times New Roman" w:hAnsi="Times New Roman" w:cs="Times New Roman"/>
          <w:sz w:val="24"/>
        </w:rPr>
        <w:t xml:space="preserve"> can be characterized as being in high enough concentration in soil solution to inhibit weed germination and emergence, but low enough concentration to minimize impacts on the environment (Walker 1987).</w:t>
      </w:r>
    </w:p>
    <w:p w14:paraId="7F3F5442" w14:textId="2458F612" w:rsidR="00310B0C" w:rsidRDefault="00E03E3F" w:rsidP="00072A08">
      <w:pPr>
        <w:spacing w:line="480" w:lineRule="auto"/>
        <w:ind w:firstLine="720"/>
        <w:jc w:val="both"/>
        <w:rPr>
          <w:rFonts w:ascii="Times New Roman" w:hAnsi="Times New Roman" w:cs="Times New Roman"/>
          <w:sz w:val="24"/>
        </w:rPr>
      </w:pPr>
      <w:r w:rsidRPr="008D49E9">
        <w:rPr>
          <w:rFonts w:ascii="Times New Roman" w:hAnsi="Times New Roman" w:cs="Times New Roman"/>
          <w:sz w:val="24"/>
        </w:rPr>
        <w:t>Mitigating weed resistance issues has brought about increased use of residual herbicides</w:t>
      </w:r>
      <w:r>
        <w:rPr>
          <w:rFonts w:ascii="Times New Roman" w:hAnsi="Times New Roman" w:cs="Times New Roman"/>
          <w:sz w:val="24"/>
        </w:rPr>
        <w:t xml:space="preserve"> with varying degrees of field persistence</w:t>
      </w:r>
      <w:r w:rsidRPr="008D49E9">
        <w:rPr>
          <w:rFonts w:ascii="Times New Roman" w:hAnsi="Times New Roman" w:cs="Times New Roman"/>
          <w:sz w:val="24"/>
        </w:rPr>
        <w:t>.</w:t>
      </w:r>
      <w:r w:rsidR="00072A08">
        <w:rPr>
          <w:rFonts w:ascii="Times New Roman" w:hAnsi="Times New Roman" w:cs="Times New Roman"/>
          <w:sz w:val="24"/>
        </w:rPr>
        <w:t xml:space="preserve">  </w:t>
      </w:r>
      <w:r w:rsidR="008B60A3">
        <w:rPr>
          <w:rFonts w:ascii="Times New Roman" w:hAnsi="Times New Roman" w:cs="Times New Roman"/>
          <w:sz w:val="24"/>
        </w:rPr>
        <w:t>S</w:t>
      </w:r>
      <w:r w:rsidR="008B60A3" w:rsidRPr="0005418D">
        <w:rPr>
          <w:rFonts w:ascii="Times New Roman" w:hAnsi="Times New Roman" w:cs="Times New Roman"/>
          <w:sz w:val="24"/>
        </w:rPr>
        <w:t>aflufenacil ha</w:t>
      </w:r>
      <w:r w:rsidR="008B60A3">
        <w:rPr>
          <w:rFonts w:ascii="Times New Roman" w:hAnsi="Times New Roman" w:cs="Times New Roman"/>
          <w:sz w:val="24"/>
        </w:rPr>
        <w:t>s</w:t>
      </w:r>
      <w:r w:rsidR="008B60A3" w:rsidRPr="0005418D">
        <w:rPr>
          <w:rFonts w:ascii="Times New Roman" w:hAnsi="Times New Roman" w:cs="Times New Roman"/>
          <w:sz w:val="24"/>
        </w:rPr>
        <w:t xml:space="preserve"> a relative</w:t>
      </w:r>
      <w:r w:rsidR="00636CA2">
        <w:rPr>
          <w:rFonts w:ascii="Times New Roman" w:hAnsi="Times New Roman" w:cs="Times New Roman"/>
          <w:sz w:val="24"/>
        </w:rPr>
        <w:t>ly short</w:t>
      </w:r>
      <w:r w:rsidR="008B60A3" w:rsidRPr="0005418D">
        <w:rPr>
          <w:rFonts w:ascii="Times New Roman" w:hAnsi="Times New Roman" w:cs="Times New Roman"/>
          <w:sz w:val="24"/>
        </w:rPr>
        <w:t xml:space="preserve"> field persistence (1-36 days) (Grossman et al. 2010 and 2011, </w:t>
      </w:r>
      <w:proofErr w:type="spellStart"/>
      <w:r w:rsidR="008B60A3" w:rsidRPr="0005418D">
        <w:rPr>
          <w:rFonts w:ascii="Times New Roman" w:hAnsi="Times New Roman" w:cs="Times New Roman"/>
          <w:sz w:val="24"/>
        </w:rPr>
        <w:t>Shaner</w:t>
      </w:r>
      <w:proofErr w:type="spellEnd"/>
      <w:r w:rsidR="008B60A3" w:rsidRPr="0005418D">
        <w:rPr>
          <w:rFonts w:ascii="Times New Roman" w:hAnsi="Times New Roman" w:cs="Times New Roman"/>
          <w:sz w:val="24"/>
        </w:rPr>
        <w:t xml:space="preserve"> 2014, Mueller et al. 2014)</w:t>
      </w:r>
      <w:r w:rsidR="00310B0C">
        <w:rPr>
          <w:rFonts w:ascii="Times New Roman" w:hAnsi="Times New Roman" w:cs="Times New Roman"/>
          <w:sz w:val="24"/>
        </w:rPr>
        <w:t xml:space="preserve"> and is used in many cropping systems (Anonymous 2021)</w:t>
      </w:r>
      <w:r w:rsidR="008F6456">
        <w:rPr>
          <w:rFonts w:ascii="Times New Roman" w:hAnsi="Times New Roman" w:cs="Times New Roman"/>
          <w:sz w:val="24"/>
        </w:rPr>
        <w:t xml:space="preserve">.  </w:t>
      </w:r>
      <w:r w:rsidR="00072A08" w:rsidRPr="00072A08">
        <w:rPr>
          <w:rFonts w:ascii="Times New Roman" w:hAnsi="Times New Roman" w:cs="Times New Roman"/>
          <w:sz w:val="24"/>
        </w:rPr>
        <w:t xml:space="preserve">Saflufenacil is a group 14 herbicide that inhibits protoporphyrinogen IX oxidase (PPO) </w:t>
      </w:r>
      <w:r w:rsidR="00CB726C">
        <w:rPr>
          <w:rFonts w:ascii="Times New Roman" w:hAnsi="Times New Roman" w:cs="Times New Roman"/>
          <w:sz w:val="24"/>
        </w:rPr>
        <w:t>and is used</w:t>
      </w:r>
      <w:r w:rsidR="00072A08" w:rsidRPr="00072A08">
        <w:rPr>
          <w:rFonts w:ascii="Times New Roman" w:hAnsi="Times New Roman" w:cs="Times New Roman"/>
          <w:sz w:val="24"/>
        </w:rPr>
        <w:t xml:space="preserve"> as </w:t>
      </w:r>
      <w:r w:rsidR="00CB726C">
        <w:rPr>
          <w:rFonts w:ascii="Times New Roman" w:hAnsi="Times New Roman" w:cs="Times New Roman"/>
          <w:sz w:val="24"/>
        </w:rPr>
        <w:t xml:space="preserve">a </w:t>
      </w:r>
      <w:r w:rsidR="00072A08" w:rsidRPr="00072A08">
        <w:rPr>
          <w:rFonts w:ascii="Times New Roman" w:hAnsi="Times New Roman" w:cs="Times New Roman"/>
          <w:sz w:val="24"/>
        </w:rPr>
        <w:t>preplant burndown and preemergence weed control in several crops (Grossmann et al. 2010). </w:t>
      </w:r>
      <w:r w:rsidR="00F94061">
        <w:rPr>
          <w:rFonts w:ascii="Times New Roman" w:hAnsi="Times New Roman" w:cs="Times New Roman"/>
          <w:sz w:val="24"/>
        </w:rPr>
        <w:t xml:space="preserve">  In addition to being an effective herbicide, saflufenacil also has a favorable environmental profile where field dissipation has been reported to be fairly rapid</w:t>
      </w:r>
      <w:r w:rsidR="00842CE9">
        <w:rPr>
          <w:rFonts w:ascii="Times New Roman" w:hAnsi="Times New Roman" w:cs="Times New Roman"/>
          <w:sz w:val="24"/>
        </w:rPr>
        <w:t>.</w:t>
      </w:r>
      <w:r w:rsidR="00CE17D1">
        <w:rPr>
          <w:rFonts w:ascii="Times New Roman" w:hAnsi="Times New Roman" w:cs="Times New Roman"/>
          <w:sz w:val="24"/>
        </w:rPr>
        <w:t xml:space="preserve"> </w:t>
      </w:r>
      <w:r w:rsidR="00F94061">
        <w:rPr>
          <w:rFonts w:ascii="Times New Roman" w:hAnsi="Times New Roman" w:cs="Times New Roman"/>
          <w:sz w:val="24"/>
        </w:rPr>
        <w:t>(Mueller et al. 2014</w:t>
      </w:r>
      <w:r w:rsidR="00FB53AA">
        <w:rPr>
          <w:rFonts w:ascii="Times New Roman" w:hAnsi="Times New Roman" w:cs="Times New Roman"/>
          <w:sz w:val="24"/>
        </w:rPr>
        <w:t xml:space="preserve">, </w:t>
      </w:r>
      <w:proofErr w:type="spellStart"/>
      <w:r w:rsidR="00FB53AA">
        <w:rPr>
          <w:rFonts w:ascii="Times New Roman" w:hAnsi="Times New Roman" w:cs="Times New Roman"/>
          <w:sz w:val="24"/>
        </w:rPr>
        <w:t>Papiernik</w:t>
      </w:r>
      <w:proofErr w:type="spellEnd"/>
      <w:r w:rsidR="00FB53AA">
        <w:rPr>
          <w:rFonts w:ascii="Times New Roman" w:hAnsi="Times New Roman" w:cs="Times New Roman"/>
          <w:sz w:val="24"/>
        </w:rPr>
        <w:t xml:space="preserve"> et al. 2012, Camargo et al. 2013</w:t>
      </w:r>
      <w:r w:rsidR="00F94061">
        <w:rPr>
          <w:rFonts w:ascii="Times New Roman" w:hAnsi="Times New Roman" w:cs="Times New Roman"/>
          <w:sz w:val="24"/>
        </w:rPr>
        <w:t>)</w:t>
      </w:r>
      <w:r w:rsidR="00FB53AA">
        <w:rPr>
          <w:rFonts w:ascii="Times New Roman" w:hAnsi="Times New Roman" w:cs="Times New Roman"/>
          <w:sz w:val="24"/>
        </w:rPr>
        <w:t>.</w:t>
      </w:r>
    </w:p>
    <w:p w14:paraId="49BB121C" w14:textId="6D17E826" w:rsidR="00CE17D1" w:rsidRPr="00E10EE2" w:rsidRDefault="00CE17D1" w:rsidP="003367F9">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Saflufenacil </w:t>
      </w:r>
      <w:r w:rsidR="00282AF4">
        <w:rPr>
          <w:rFonts w:ascii="Times New Roman" w:hAnsi="Times New Roman" w:cs="Times New Roman"/>
          <w:sz w:val="24"/>
        </w:rPr>
        <w:t xml:space="preserve">has been reported to dissipate quickly in </w:t>
      </w:r>
      <w:r w:rsidR="00E10EE2">
        <w:rPr>
          <w:rFonts w:ascii="Times New Roman" w:hAnsi="Times New Roman" w:cs="Times New Roman"/>
          <w:sz w:val="24"/>
        </w:rPr>
        <w:t>most</w:t>
      </w:r>
      <w:r w:rsidR="00282AF4">
        <w:rPr>
          <w:rFonts w:ascii="Times New Roman" w:hAnsi="Times New Roman" w:cs="Times New Roman"/>
          <w:sz w:val="24"/>
        </w:rPr>
        <w:t xml:space="preserve"> soils, however, many environmental factors can influence that rate</w:t>
      </w:r>
      <w:r w:rsidR="00E10EE2">
        <w:rPr>
          <w:rFonts w:ascii="Times New Roman" w:hAnsi="Times New Roman" w:cs="Times New Roman"/>
          <w:sz w:val="24"/>
        </w:rPr>
        <w:t xml:space="preserve"> (Anonymous 2008)</w:t>
      </w:r>
      <w:r w:rsidR="00282AF4">
        <w:rPr>
          <w:rFonts w:ascii="Times New Roman" w:hAnsi="Times New Roman" w:cs="Times New Roman"/>
          <w:sz w:val="24"/>
        </w:rPr>
        <w:t xml:space="preserve">.  For instance, researchers in Canada reported </w:t>
      </w:r>
      <w:r w:rsidR="00E10EE2">
        <w:rPr>
          <w:rFonts w:ascii="Times New Roman" w:hAnsi="Times New Roman" w:cs="Times New Roman"/>
          <w:sz w:val="24"/>
        </w:rPr>
        <w:t xml:space="preserve">saflufenacil </w:t>
      </w:r>
      <w:r w:rsidR="00282AF4">
        <w:rPr>
          <w:rFonts w:ascii="Times New Roman" w:hAnsi="Times New Roman" w:cs="Times New Roman"/>
          <w:sz w:val="24"/>
        </w:rPr>
        <w:t>carryover</w:t>
      </w:r>
      <w:r w:rsidR="00E10EE2">
        <w:rPr>
          <w:rFonts w:ascii="Times New Roman" w:hAnsi="Times New Roman" w:cs="Times New Roman"/>
          <w:sz w:val="24"/>
        </w:rPr>
        <w:t xml:space="preserve"> that negatively impacted cabbage, carrot, cucumber, onion, pepper, and sugar beets planted a year later if applied at rates up to 200 g ai ha</w:t>
      </w:r>
      <w:r w:rsidR="00E10EE2">
        <w:rPr>
          <w:rFonts w:ascii="Times New Roman" w:hAnsi="Times New Roman" w:cs="Times New Roman"/>
          <w:sz w:val="24"/>
          <w:vertAlign w:val="superscript"/>
        </w:rPr>
        <w:t>-1</w:t>
      </w:r>
      <w:r w:rsidR="00E10EE2">
        <w:rPr>
          <w:rFonts w:ascii="Times New Roman" w:hAnsi="Times New Roman" w:cs="Times New Roman"/>
          <w:sz w:val="24"/>
        </w:rPr>
        <w:t xml:space="preserve"> (Robinson and McNaughton 2012).  Furthermore, Canadian researchers also </w:t>
      </w:r>
      <w:r w:rsidR="00BD7851">
        <w:rPr>
          <w:rFonts w:ascii="Times New Roman" w:hAnsi="Times New Roman" w:cs="Times New Roman"/>
          <w:sz w:val="24"/>
        </w:rPr>
        <w:t xml:space="preserve">reported </w:t>
      </w:r>
      <w:r w:rsidR="002959E2">
        <w:rPr>
          <w:rFonts w:ascii="Times New Roman" w:hAnsi="Times New Roman" w:cs="Times New Roman"/>
          <w:sz w:val="24"/>
        </w:rPr>
        <w:t xml:space="preserve">one of the </w:t>
      </w:r>
      <w:r w:rsidR="001E1440">
        <w:rPr>
          <w:rFonts w:ascii="Times New Roman" w:hAnsi="Times New Roman" w:cs="Times New Roman"/>
          <w:sz w:val="24"/>
        </w:rPr>
        <w:t xml:space="preserve">three </w:t>
      </w:r>
      <w:r w:rsidR="00BD7851">
        <w:rPr>
          <w:rFonts w:ascii="Times New Roman" w:hAnsi="Times New Roman" w:cs="Times New Roman"/>
          <w:sz w:val="24"/>
        </w:rPr>
        <w:t xml:space="preserve">saflufenacil </w:t>
      </w:r>
      <w:r w:rsidR="002959E2">
        <w:rPr>
          <w:rFonts w:ascii="Times New Roman" w:hAnsi="Times New Roman" w:cs="Times New Roman"/>
          <w:sz w:val="24"/>
        </w:rPr>
        <w:t xml:space="preserve">metabolites </w:t>
      </w:r>
      <w:r w:rsidR="00AB3E87">
        <w:rPr>
          <w:rFonts w:ascii="Times New Roman" w:hAnsi="Times New Roman" w:cs="Times New Roman"/>
          <w:sz w:val="24"/>
        </w:rPr>
        <w:t>lasted until &gt;200 days</w:t>
      </w:r>
      <w:r w:rsidR="00BD7851">
        <w:rPr>
          <w:rFonts w:ascii="Times New Roman" w:hAnsi="Times New Roman" w:cs="Times New Roman"/>
          <w:sz w:val="24"/>
        </w:rPr>
        <w:t xml:space="preserve">, markedly longer than previously reported (Gauthier and </w:t>
      </w:r>
      <w:proofErr w:type="spellStart"/>
      <w:r w:rsidR="00BD7851">
        <w:rPr>
          <w:rFonts w:ascii="Times New Roman" w:hAnsi="Times New Roman" w:cs="Times New Roman"/>
          <w:sz w:val="24"/>
        </w:rPr>
        <w:t>Mabury</w:t>
      </w:r>
      <w:proofErr w:type="spellEnd"/>
      <w:r w:rsidR="00BD7851">
        <w:rPr>
          <w:rFonts w:ascii="Times New Roman" w:hAnsi="Times New Roman" w:cs="Times New Roman"/>
          <w:sz w:val="24"/>
        </w:rPr>
        <w:t xml:space="preserve"> 2020).  These data suggest saflufenacil </w:t>
      </w:r>
      <w:r w:rsidR="00593C14">
        <w:rPr>
          <w:rFonts w:ascii="Times New Roman" w:hAnsi="Times New Roman" w:cs="Times New Roman"/>
          <w:sz w:val="24"/>
        </w:rPr>
        <w:t xml:space="preserve">can dissipate </w:t>
      </w:r>
      <w:r w:rsidR="00AB3E87">
        <w:rPr>
          <w:rFonts w:ascii="Times New Roman" w:hAnsi="Times New Roman" w:cs="Times New Roman"/>
          <w:sz w:val="24"/>
        </w:rPr>
        <w:t>more</w:t>
      </w:r>
      <w:r w:rsidR="00593C14">
        <w:rPr>
          <w:rFonts w:ascii="Times New Roman" w:hAnsi="Times New Roman" w:cs="Times New Roman"/>
          <w:sz w:val="24"/>
        </w:rPr>
        <w:t>s</w:t>
      </w:r>
      <w:r w:rsidR="00AB3E87">
        <w:rPr>
          <w:rFonts w:ascii="Times New Roman" w:hAnsi="Times New Roman" w:cs="Times New Roman"/>
          <w:sz w:val="24"/>
        </w:rPr>
        <w:t xml:space="preserve"> s</w:t>
      </w:r>
      <w:r w:rsidR="00593C14">
        <w:rPr>
          <w:rFonts w:ascii="Times New Roman" w:hAnsi="Times New Roman" w:cs="Times New Roman"/>
          <w:sz w:val="24"/>
        </w:rPr>
        <w:t>low</w:t>
      </w:r>
      <w:r w:rsidR="00AB3E87">
        <w:rPr>
          <w:rFonts w:ascii="Times New Roman" w:hAnsi="Times New Roman" w:cs="Times New Roman"/>
          <w:sz w:val="24"/>
        </w:rPr>
        <w:t>ly</w:t>
      </w:r>
      <w:r w:rsidR="00593C14">
        <w:rPr>
          <w:rFonts w:ascii="Times New Roman" w:hAnsi="Times New Roman" w:cs="Times New Roman"/>
          <w:sz w:val="24"/>
        </w:rPr>
        <w:t xml:space="preserve"> if the environment </w:t>
      </w:r>
      <w:r w:rsidR="00A546BB">
        <w:rPr>
          <w:rFonts w:ascii="Times New Roman" w:hAnsi="Times New Roman" w:cs="Times New Roman"/>
          <w:sz w:val="24"/>
        </w:rPr>
        <w:t>is not</w:t>
      </w:r>
      <w:r w:rsidR="00AB3E87">
        <w:rPr>
          <w:rFonts w:ascii="Times New Roman" w:hAnsi="Times New Roman" w:cs="Times New Roman"/>
          <w:sz w:val="24"/>
        </w:rPr>
        <w:t xml:space="preserve"> </w:t>
      </w:r>
      <w:r w:rsidR="00593C14">
        <w:rPr>
          <w:rFonts w:ascii="Times New Roman" w:hAnsi="Times New Roman" w:cs="Times New Roman"/>
          <w:sz w:val="24"/>
        </w:rPr>
        <w:t>optimum</w:t>
      </w:r>
      <w:r w:rsidR="00AB3E87">
        <w:rPr>
          <w:rFonts w:ascii="Times New Roman" w:hAnsi="Times New Roman" w:cs="Times New Roman"/>
          <w:sz w:val="24"/>
        </w:rPr>
        <w:t xml:space="preserve"> for degradation</w:t>
      </w:r>
      <w:r w:rsidR="00593C14">
        <w:rPr>
          <w:rFonts w:ascii="Times New Roman" w:hAnsi="Times New Roman" w:cs="Times New Roman"/>
          <w:sz w:val="24"/>
        </w:rPr>
        <w:t>.</w:t>
      </w:r>
    </w:p>
    <w:p w14:paraId="1831C02E" w14:textId="63EE2BDC" w:rsidR="00613E35" w:rsidRDefault="007370E0" w:rsidP="003367F9">
      <w:pPr>
        <w:spacing w:line="480" w:lineRule="auto"/>
        <w:ind w:firstLine="720"/>
        <w:jc w:val="both"/>
        <w:rPr>
          <w:rFonts w:ascii="Times New Roman" w:hAnsi="Times New Roman" w:cs="Times New Roman"/>
          <w:sz w:val="24"/>
        </w:rPr>
      </w:pPr>
      <w:r>
        <w:rPr>
          <w:rFonts w:ascii="Times New Roman" w:hAnsi="Times New Roman" w:cs="Times New Roman"/>
          <w:sz w:val="24"/>
        </w:rPr>
        <w:lastRenderedPageBreak/>
        <w:t>Atrazine</w:t>
      </w:r>
      <w:r w:rsidR="006C3724">
        <w:rPr>
          <w:rFonts w:ascii="Times New Roman" w:hAnsi="Times New Roman" w:cs="Times New Roman"/>
          <w:sz w:val="24"/>
        </w:rPr>
        <w:t xml:space="preserve"> has a medium field persistence</w:t>
      </w:r>
      <w:r w:rsidR="006C3724" w:rsidRPr="0005418D">
        <w:rPr>
          <w:rFonts w:ascii="Times New Roman" w:hAnsi="Times New Roman" w:cs="Times New Roman"/>
          <w:sz w:val="24"/>
        </w:rPr>
        <w:t xml:space="preserve"> (avg 60 days)</w:t>
      </w:r>
      <w:r w:rsidR="006C3724">
        <w:rPr>
          <w:rFonts w:ascii="Times New Roman" w:hAnsi="Times New Roman" w:cs="Times New Roman"/>
          <w:sz w:val="24"/>
        </w:rPr>
        <w:t xml:space="preserve"> and has many uses in cropping systems</w:t>
      </w:r>
      <w:r w:rsidR="00613E35">
        <w:rPr>
          <w:rFonts w:ascii="Times New Roman" w:hAnsi="Times New Roman" w:cs="Times New Roman"/>
          <w:sz w:val="24"/>
        </w:rPr>
        <w:t xml:space="preserve">, </w:t>
      </w:r>
      <w:r w:rsidR="006C3724">
        <w:rPr>
          <w:rFonts w:ascii="Times New Roman" w:hAnsi="Times New Roman" w:cs="Times New Roman"/>
          <w:sz w:val="24"/>
        </w:rPr>
        <w:t>turf</w:t>
      </w:r>
      <w:r w:rsidR="00613E35">
        <w:rPr>
          <w:rFonts w:ascii="Times New Roman" w:hAnsi="Times New Roman" w:cs="Times New Roman"/>
          <w:sz w:val="24"/>
        </w:rPr>
        <w:t>, and forestry</w:t>
      </w:r>
      <w:r w:rsidR="006C3724" w:rsidRPr="0005418D">
        <w:rPr>
          <w:rFonts w:ascii="Times New Roman" w:hAnsi="Times New Roman" w:cs="Times New Roman"/>
          <w:sz w:val="24"/>
        </w:rPr>
        <w:t xml:space="preserve"> (Andreu and </w:t>
      </w:r>
      <w:proofErr w:type="spellStart"/>
      <w:r w:rsidR="006C3724" w:rsidRPr="0005418D">
        <w:rPr>
          <w:rFonts w:ascii="Times New Roman" w:hAnsi="Times New Roman" w:cs="Times New Roman"/>
          <w:sz w:val="24"/>
        </w:rPr>
        <w:t>Picó</w:t>
      </w:r>
      <w:proofErr w:type="spellEnd"/>
      <w:r w:rsidR="006C3724" w:rsidRPr="0005418D">
        <w:rPr>
          <w:rFonts w:ascii="Times New Roman" w:hAnsi="Times New Roman" w:cs="Times New Roman"/>
          <w:sz w:val="24"/>
        </w:rPr>
        <w:t xml:space="preserve"> 2004</w:t>
      </w:r>
      <w:r w:rsidR="006C3724">
        <w:rPr>
          <w:rFonts w:ascii="Times New Roman" w:hAnsi="Times New Roman" w:cs="Times New Roman"/>
          <w:sz w:val="24"/>
        </w:rPr>
        <w:t xml:space="preserve">, Anonymous 2013, </w:t>
      </w:r>
      <w:proofErr w:type="spellStart"/>
      <w:r w:rsidR="006C3724">
        <w:rPr>
          <w:rFonts w:ascii="Times New Roman" w:hAnsi="Times New Roman" w:cs="Times New Roman"/>
          <w:sz w:val="24"/>
        </w:rPr>
        <w:t>Krutz</w:t>
      </w:r>
      <w:proofErr w:type="spellEnd"/>
      <w:r w:rsidR="006C3724">
        <w:rPr>
          <w:rFonts w:ascii="Times New Roman" w:hAnsi="Times New Roman" w:cs="Times New Roman"/>
          <w:sz w:val="24"/>
        </w:rPr>
        <w:t xml:space="preserve"> et al. 2010</w:t>
      </w:r>
      <w:r w:rsidR="00613E35">
        <w:rPr>
          <w:rFonts w:ascii="Times New Roman" w:hAnsi="Times New Roman" w:cs="Times New Roman"/>
          <w:sz w:val="24"/>
        </w:rPr>
        <w:t xml:space="preserve">, </w:t>
      </w:r>
      <w:proofErr w:type="spellStart"/>
      <w:r w:rsidR="00613E35">
        <w:rPr>
          <w:rFonts w:ascii="Times New Roman" w:hAnsi="Times New Roman" w:cs="Times New Roman"/>
          <w:sz w:val="24"/>
        </w:rPr>
        <w:t>Shaner</w:t>
      </w:r>
      <w:proofErr w:type="spellEnd"/>
      <w:r w:rsidR="00613E35">
        <w:rPr>
          <w:rFonts w:ascii="Times New Roman" w:hAnsi="Times New Roman" w:cs="Times New Roman"/>
          <w:sz w:val="24"/>
        </w:rPr>
        <w:t xml:space="preserve"> 2014</w:t>
      </w:r>
      <w:r w:rsidR="006C3724" w:rsidRPr="0005418D">
        <w:rPr>
          <w:rFonts w:ascii="Times New Roman" w:hAnsi="Times New Roman" w:cs="Times New Roman"/>
          <w:sz w:val="24"/>
        </w:rPr>
        <w:t>)</w:t>
      </w:r>
      <w:r w:rsidR="00613E35">
        <w:rPr>
          <w:rFonts w:ascii="Times New Roman" w:hAnsi="Times New Roman" w:cs="Times New Roman"/>
          <w:sz w:val="24"/>
        </w:rPr>
        <w:t>.</w:t>
      </w:r>
      <w:r w:rsidR="00072A08" w:rsidRPr="00072A08">
        <w:rPr>
          <w:rFonts w:ascii="Times New Roman" w:hAnsi="Times New Roman" w:cs="Times New Roman"/>
          <w:sz w:val="24"/>
        </w:rPr>
        <w:t xml:space="preserve">   Atrazine is a group 5 herbicide that acts as a photosystem II inhibitor for use as preplant, preemergence, and postemergence in many crops (1.1 to 2.2 kg ai ha</w:t>
      </w:r>
      <w:r w:rsidR="00072A08" w:rsidRPr="00072A08">
        <w:rPr>
          <w:rFonts w:ascii="Times New Roman" w:hAnsi="Times New Roman" w:cs="Times New Roman"/>
          <w:sz w:val="24"/>
          <w:vertAlign w:val="superscript"/>
        </w:rPr>
        <w:t>-1</w:t>
      </w:r>
      <w:r w:rsidR="00072A08" w:rsidRPr="00072A08">
        <w:rPr>
          <w:rFonts w:ascii="Times New Roman" w:hAnsi="Times New Roman" w:cs="Times New Roman"/>
          <w:sz w:val="24"/>
        </w:rPr>
        <w:t>) (</w:t>
      </w:r>
      <w:proofErr w:type="spellStart"/>
      <w:r w:rsidR="00072A08" w:rsidRPr="00072A08">
        <w:rPr>
          <w:rFonts w:ascii="Times New Roman" w:hAnsi="Times New Roman" w:cs="Times New Roman"/>
          <w:sz w:val="24"/>
        </w:rPr>
        <w:t>Shaner</w:t>
      </w:r>
      <w:proofErr w:type="spellEnd"/>
      <w:r w:rsidR="00072A08" w:rsidRPr="00072A08">
        <w:rPr>
          <w:rFonts w:ascii="Times New Roman" w:hAnsi="Times New Roman" w:cs="Times New Roman"/>
          <w:sz w:val="24"/>
        </w:rPr>
        <w:t xml:space="preserve"> 2014).  Atrazine molecular weight is 215.69 g/mole, melting point ⁓176</w:t>
      </w:r>
      <w:r w:rsidR="008E6A25">
        <w:rPr>
          <w:rFonts w:ascii="Times New Roman" w:hAnsi="Times New Roman" w:cs="Times New Roman"/>
          <w:sz w:val="24"/>
        </w:rPr>
        <w:t>º</w:t>
      </w:r>
      <w:r w:rsidR="00072A08" w:rsidRPr="00072A08">
        <w:rPr>
          <w:rFonts w:ascii="Times New Roman" w:hAnsi="Times New Roman" w:cs="Times New Roman"/>
          <w:sz w:val="24"/>
        </w:rPr>
        <w:t xml:space="preserve"> C, water solubility of 33 mg/L (pH 7, 22</w:t>
      </w:r>
      <w:r w:rsidR="000070ED">
        <w:rPr>
          <w:rFonts w:ascii="Times New Roman" w:hAnsi="Times New Roman" w:cs="Times New Roman"/>
          <w:sz w:val="24"/>
        </w:rPr>
        <w:t>º</w:t>
      </w:r>
      <w:r w:rsidR="00072A08" w:rsidRPr="00072A08">
        <w:rPr>
          <w:rFonts w:ascii="Times New Roman" w:hAnsi="Times New Roman" w:cs="Times New Roman"/>
          <w:sz w:val="24"/>
        </w:rPr>
        <w:t xml:space="preserve"> C) (Andreu and </w:t>
      </w:r>
      <w:proofErr w:type="spellStart"/>
      <w:r w:rsidR="00072A08" w:rsidRPr="00072A08">
        <w:rPr>
          <w:rFonts w:ascii="Times New Roman" w:hAnsi="Times New Roman" w:cs="Times New Roman"/>
          <w:sz w:val="24"/>
        </w:rPr>
        <w:t>Picó</w:t>
      </w:r>
      <w:proofErr w:type="spellEnd"/>
      <w:r w:rsidR="00072A08" w:rsidRPr="00072A08">
        <w:rPr>
          <w:rFonts w:ascii="Times New Roman" w:hAnsi="Times New Roman" w:cs="Times New Roman"/>
          <w:sz w:val="24"/>
        </w:rPr>
        <w:t xml:space="preserve"> 2004, Dean et al. 1996, </w:t>
      </w:r>
      <w:proofErr w:type="spellStart"/>
      <w:r w:rsidR="00072A08" w:rsidRPr="00072A08">
        <w:rPr>
          <w:rFonts w:ascii="Times New Roman" w:hAnsi="Times New Roman" w:cs="Times New Roman"/>
          <w:sz w:val="24"/>
        </w:rPr>
        <w:t>Garcinuño</w:t>
      </w:r>
      <w:proofErr w:type="spellEnd"/>
      <w:r w:rsidR="00072A08" w:rsidRPr="00072A08">
        <w:rPr>
          <w:rFonts w:ascii="Times New Roman" w:hAnsi="Times New Roman" w:cs="Times New Roman"/>
          <w:sz w:val="24"/>
        </w:rPr>
        <w:t xml:space="preserve"> et al. 2003, </w:t>
      </w:r>
      <w:proofErr w:type="spellStart"/>
      <w:r w:rsidR="00072A08" w:rsidRPr="00072A08">
        <w:rPr>
          <w:rFonts w:ascii="Times New Roman" w:hAnsi="Times New Roman" w:cs="Times New Roman"/>
          <w:sz w:val="24"/>
        </w:rPr>
        <w:t>Shaner</w:t>
      </w:r>
      <w:proofErr w:type="spellEnd"/>
      <w:r w:rsidR="00072A08" w:rsidRPr="00072A08">
        <w:rPr>
          <w:rFonts w:ascii="Times New Roman" w:hAnsi="Times New Roman" w:cs="Times New Roman"/>
          <w:sz w:val="24"/>
        </w:rPr>
        <w:t xml:space="preserve"> 2014).</w:t>
      </w:r>
      <w:r w:rsidR="00613E35">
        <w:rPr>
          <w:rFonts w:ascii="Times New Roman" w:hAnsi="Times New Roman" w:cs="Times New Roman"/>
          <w:sz w:val="24"/>
        </w:rPr>
        <w:t xml:space="preserve">  Atrazine has traditionally been classified as having a long persistence in field studies, but </w:t>
      </w:r>
      <w:r w:rsidR="00866062">
        <w:rPr>
          <w:rFonts w:ascii="Times New Roman" w:hAnsi="Times New Roman" w:cs="Times New Roman"/>
          <w:sz w:val="24"/>
        </w:rPr>
        <w:t>more recent</w:t>
      </w:r>
      <w:r w:rsidR="00613E35">
        <w:rPr>
          <w:rFonts w:ascii="Times New Roman" w:hAnsi="Times New Roman" w:cs="Times New Roman"/>
          <w:sz w:val="24"/>
        </w:rPr>
        <w:t xml:space="preserve"> data suggests enhanced degradation could be prevalent if soils are repeatedly exposed to atrazine (</w:t>
      </w:r>
      <w:proofErr w:type="spellStart"/>
      <w:r w:rsidR="00E2133B">
        <w:rPr>
          <w:rFonts w:ascii="Times New Roman" w:hAnsi="Times New Roman" w:cs="Times New Roman"/>
          <w:sz w:val="24"/>
        </w:rPr>
        <w:t>Krutz</w:t>
      </w:r>
      <w:proofErr w:type="spellEnd"/>
      <w:r w:rsidR="00E2133B">
        <w:rPr>
          <w:rFonts w:ascii="Times New Roman" w:hAnsi="Times New Roman" w:cs="Times New Roman"/>
          <w:sz w:val="24"/>
        </w:rPr>
        <w:t xml:space="preserve"> et al. 2006, </w:t>
      </w:r>
      <w:r w:rsidR="00613E35">
        <w:rPr>
          <w:rFonts w:ascii="Times New Roman" w:hAnsi="Times New Roman" w:cs="Times New Roman"/>
          <w:sz w:val="24"/>
        </w:rPr>
        <w:t xml:space="preserve">Mueller et al. 2017, </w:t>
      </w:r>
      <w:proofErr w:type="spellStart"/>
      <w:r w:rsidR="00613E35">
        <w:rPr>
          <w:rFonts w:ascii="Times New Roman" w:hAnsi="Times New Roman" w:cs="Times New Roman"/>
          <w:sz w:val="24"/>
        </w:rPr>
        <w:t>Shaner</w:t>
      </w:r>
      <w:proofErr w:type="spellEnd"/>
      <w:r w:rsidR="00613E35">
        <w:rPr>
          <w:rFonts w:ascii="Times New Roman" w:hAnsi="Times New Roman" w:cs="Times New Roman"/>
          <w:sz w:val="24"/>
        </w:rPr>
        <w:t xml:space="preserve"> and Henry 2007, </w:t>
      </w:r>
      <w:proofErr w:type="spellStart"/>
      <w:r w:rsidR="00613E35">
        <w:rPr>
          <w:rFonts w:ascii="Times New Roman" w:hAnsi="Times New Roman" w:cs="Times New Roman"/>
          <w:sz w:val="24"/>
        </w:rPr>
        <w:t>Shaner</w:t>
      </w:r>
      <w:proofErr w:type="spellEnd"/>
      <w:r w:rsidR="00613E35">
        <w:rPr>
          <w:rFonts w:ascii="Times New Roman" w:hAnsi="Times New Roman" w:cs="Times New Roman"/>
          <w:sz w:val="24"/>
        </w:rPr>
        <w:t xml:space="preserve"> et al. 2007</w:t>
      </w:r>
      <w:r w:rsidR="00CB1E40">
        <w:rPr>
          <w:rFonts w:ascii="Times New Roman" w:hAnsi="Times New Roman" w:cs="Times New Roman"/>
          <w:sz w:val="24"/>
        </w:rPr>
        <w:t xml:space="preserve">, </w:t>
      </w:r>
      <w:proofErr w:type="spellStart"/>
      <w:r w:rsidR="00CB1E40">
        <w:rPr>
          <w:rFonts w:ascii="Times New Roman" w:hAnsi="Times New Roman" w:cs="Times New Roman"/>
          <w:sz w:val="24"/>
        </w:rPr>
        <w:t>Shaner</w:t>
      </w:r>
      <w:proofErr w:type="spellEnd"/>
      <w:r w:rsidR="00CB1E40">
        <w:rPr>
          <w:rFonts w:ascii="Times New Roman" w:hAnsi="Times New Roman" w:cs="Times New Roman"/>
          <w:sz w:val="24"/>
        </w:rPr>
        <w:t xml:space="preserve"> 2010</w:t>
      </w:r>
      <w:r w:rsidR="00613E35">
        <w:rPr>
          <w:rFonts w:ascii="Times New Roman" w:hAnsi="Times New Roman" w:cs="Times New Roman"/>
          <w:sz w:val="24"/>
        </w:rPr>
        <w:t>).</w:t>
      </w:r>
      <w:r w:rsidR="00866062">
        <w:rPr>
          <w:rFonts w:ascii="Times New Roman" w:hAnsi="Times New Roman" w:cs="Times New Roman"/>
          <w:sz w:val="24"/>
        </w:rPr>
        <w:t xml:space="preserve">  </w:t>
      </w:r>
      <w:r w:rsidR="00161233" w:rsidRPr="00161233">
        <w:rPr>
          <w:rFonts w:ascii="Times New Roman" w:hAnsi="Times New Roman" w:cs="Times New Roman"/>
          <w:sz w:val="24"/>
        </w:rPr>
        <w:t>Atrazine has a lengthy history of controlling weeds in corn, grain sorghum (</w:t>
      </w:r>
      <w:r w:rsidR="00161233" w:rsidRPr="00161233">
        <w:rPr>
          <w:rFonts w:ascii="Times New Roman" w:hAnsi="Times New Roman" w:cs="Times New Roman"/>
          <w:i/>
          <w:sz w:val="24"/>
        </w:rPr>
        <w:t>Sorghum bicolor</w:t>
      </w:r>
      <w:r w:rsidR="00161233" w:rsidRPr="00161233">
        <w:rPr>
          <w:rFonts w:ascii="Times New Roman" w:hAnsi="Times New Roman" w:cs="Times New Roman"/>
          <w:sz w:val="24"/>
        </w:rPr>
        <w:t xml:space="preserve"> (L.) </w:t>
      </w:r>
      <w:proofErr w:type="spellStart"/>
      <w:r w:rsidR="00161233" w:rsidRPr="00161233">
        <w:rPr>
          <w:rFonts w:ascii="Times New Roman" w:hAnsi="Times New Roman" w:cs="Times New Roman"/>
          <w:sz w:val="24"/>
        </w:rPr>
        <w:t>Moench</w:t>
      </w:r>
      <w:proofErr w:type="spellEnd"/>
      <w:r w:rsidR="00161233" w:rsidRPr="00161233">
        <w:rPr>
          <w:rFonts w:ascii="Times New Roman" w:hAnsi="Times New Roman" w:cs="Times New Roman"/>
          <w:sz w:val="24"/>
        </w:rPr>
        <w:t>.), sugarcane (</w:t>
      </w:r>
      <w:r w:rsidR="00161233" w:rsidRPr="00161233">
        <w:rPr>
          <w:rFonts w:ascii="Times New Roman" w:hAnsi="Times New Roman" w:cs="Times New Roman"/>
          <w:i/>
          <w:sz w:val="24"/>
        </w:rPr>
        <w:t>Saccharum officinarum</w:t>
      </w:r>
      <w:r w:rsidR="00161233" w:rsidRPr="00161233">
        <w:rPr>
          <w:rFonts w:ascii="Times New Roman" w:hAnsi="Times New Roman" w:cs="Times New Roman"/>
          <w:sz w:val="24"/>
        </w:rPr>
        <w:t xml:space="preserve">), and turf (Armel et al. 2003, </w:t>
      </w:r>
      <w:proofErr w:type="spellStart"/>
      <w:r w:rsidR="00161233" w:rsidRPr="00161233">
        <w:rPr>
          <w:rFonts w:ascii="Times New Roman" w:hAnsi="Times New Roman" w:cs="Times New Roman"/>
          <w:sz w:val="24"/>
        </w:rPr>
        <w:t>Grichar</w:t>
      </w:r>
      <w:proofErr w:type="spellEnd"/>
      <w:r w:rsidR="00161233" w:rsidRPr="00161233">
        <w:rPr>
          <w:rFonts w:ascii="Times New Roman" w:hAnsi="Times New Roman" w:cs="Times New Roman"/>
          <w:sz w:val="24"/>
        </w:rPr>
        <w:t xml:space="preserve"> et al. 2005, Griffin and Wilson 2009, Coats et al. 2008).  </w:t>
      </w:r>
      <w:r w:rsidR="00AB3E87">
        <w:rPr>
          <w:rFonts w:ascii="Times New Roman" w:hAnsi="Times New Roman" w:cs="Times New Roman"/>
          <w:sz w:val="24"/>
        </w:rPr>
        <w:t>A</w:t>
      </w:r>
      <w:r w:rsidR="00866062">
        <w:rPr>
          <w:rFonts w:ascii="Times New Roman" w:hAnsi="Times New Roman" w:cs="Times New Roman"/>
          <w:sz w:val="24"/>
        </w:rPr>
        <w:t>trazine and other triazines has been scrutinized for its environmental fate</w:t>
      </w:r>
      <w:r w:rsidR="004A1400">
        <w:rPr>
          <w:rFonts w:ascii="Times New Roman" w:hAnsi="Times New Roman" w:cs="Times New Roman"/>
          <w:sz w:val="24"/>
        </w:rPr>
        <w:t xml:space="preserve"> and effects on nontarget species</w:t>
      </w:r>
      <w:r w:rsidR="00866062">
        <w:rPr>
          <w:rFonts w:ascii="Times New Roman" w:hAnsi="Times New Roman" w:cs="Times New Roman"/>
          <w:sz w:val="24"/>
        </w:rPr>
        <w:t xml:space="preserve"> (</w:t>
      </w:r>
      <w:proofErr w:type="spellStart"/>
      <w:r w:rsidR="00866062">
        <w:rPr>
          <w:rFonts w:ascii="Times New Roman" w:hAnsi="Times New Roman" w:cs="Times New Roman"/>
          <w:sz w:val="24"/>
        </w:rPr>
        <w:t>Debrowski</w:t>
      </w:r>
      <w:proofErr w:type="spellEnd"/>
      <w:r w:rsidR="00866062">
        <w:rPr>
          <w:rFonts w:ascii="Times New Roman" w:hAnsi="Times New Roman" w:cs="Times New Roman"/>
          <w:sz w:val="24"/>
        </w:rPr>
        <w:t xml:space="preserve"> et al. 2014, Hayes et al. 2002, Hayes et al. 2010)</w:t>
      </w:r>
      <w:r w:rsidR="004A1400">
        <w:rPr>
          <w:rFonts w:ascii="Times New Roman" w:hAnsi="Times New Roman" w:cs="Times New Roman"/>
          <w:sz w:val="24"/>
        </w:rPr>
        <w:t>, but continues to control difficult herbicide resistant weeds (</w:t>
      </w:r>
      <w:proofErr w:type="spellStart"/>
      <w:r w:rsidR="004A1400">
        <w:rPr>
          <w:rFonts w:ascii="Times New Roman" w:hAnsi="Times New Roman" w:cs="Times New Roman"/>
          <w:sz w:val="24"/>
        </w:rPr>
        <w:t>Norsworthy</w:t>
      </w:r>
      <w:proofErr w:type="spellEnd"/>
      <w:r w:rsidR="004A1400">
        <w:rPr>
          <w:rFonts w:ascii="Times New Roman" w:hAnsi="Times New Roman" w:cs="Times New Roman"/>
          <w:sz w:val="24"/>
        </w:rPr>
        <w:t xml:space="preserve"> et al. 2008).</w:t>
      </w:r>
    </w:p>
    <w:p w14:paraId="2D34DCD7" w14:textId="51EC4A8C" w:rsidR="000E3990" w:rsidRDefault="000E3990" w:rsidP="003367F9">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Atrazine </w:t>
      </w:r>
      <w:r w:rsidR="00072A08">
        <w:rPr>
          <w:rFonts w:ascii="Times New Roman" w:hAnsi="Times New Roman" w:cs="Times New Roman"/>
          <w:sz w:val="24"/>
        </w:rPr>
        <w:t>degrad</w:t>
      </w:r>
      <w:r w:rsidR="002959E2">
        <w:rPr>
          <w:rFonts w:ascii="Times New Roman" w:hAnsi="Times New Roman" w:cs="Times New Roman"/>
          <w:sz w:val="24"/>
        </w:rPr>
        <w:t xml:space="preserve">ation and dissipation has been well documented and several dissipation routes were reported.  Armstrong </w:t>
      </w:r>
      <w:r w:rsidR="00FF2F17">
        <w:rPr>
          <w:rFonts w:ascii="Times New Roman" w:hAnsi="Times New Roman" w:cs="Times New Roman"/>
          <w:sz w:val="24"/>
        </w:rPr>
        <w:t>et al.</w:t>
      </w:r>
      <w:r w:rsidR="002959E2">
        <w:rPr>
          <w:rFonts w:ascii="Times New Roman" w:hAnsi="Times New Roman" w:cs="Times New Roman"/>
          <w:sz w:val="24"/>
        </w:rPr>
        <w:t xml:space="preserve"> </w:t>
      </w:r>
      <w:r w:rsidR="00120F8F">
        <w:rPr>
          <w:rFonts w:ascii="Times New Roman" w:hAnsi="Times New Roman" w:cs="Times New Roman"/>
          <w:sz w:val="24"/>
        </w:rPr>
        <w:t>(</w:t>
      </w:r>
      <w:r w:rsidR="002959E2">
        <w:rPr>
          <w:rFonts w:ascii="Times New Roman" w:hAnsi="Times New Roman" w:cs="Times New Roman"/>
          <w:sz w:val="24"/>
        </w:rPr>
        <w:t>1967</w:t>
      </w:r>
      <w:r w:rsidR="00120F8F">
        <w:rPr>
          <w:rFonts w:ascii="Times New Roman" w:hAnsi="Times New Roman" w:cs="Times New Roman"/>
          <w:sz w:val="24"/>
        </w:rPr>
        <w:t>)</w:t>
      </w:r>
      <w:r w:rsidR="002959E2">
        <w:rPr>
          <w:rFonts w:ascii="Times New Roman" w:hAnsi="Times New Roman" w:cs="Times New Roman"/>
          <w:sz w:val="24"/>
        </w:rPr>
        <w:t xml:space="preserve"> reported hydrolysis of atrazine as an important pathway of degradation.  Radosevich </w:t>
      </w:r>
      <w:r w:rsidR="00FF2F17">
        <w:rPr>
          <w:rFonts w:ascii="Times New Roman" w:hAnsi="Times New Roman" w:cs="Times New Roman"/>
          <w:sz w:val="24"/>
        </w:rPr>
        <w:t>et al.</w:t>
      </w:r>
      <w:r w:rsidR="002959E2">
        <w:rPr>
          <w:rFonts w:ascii="Times New Roman" w:hAnsi="Times New Roman" w:cs="Times New Roman"/>
          <w:sz w:val="24"/>
        </w:rPr>
        <w:t xml:space="preserve"> (199</w:t>
      </w:r>
      <w:r w:rsidR="0060554E">
        <w:rPr>
          <w:rFonts w:ascii="Times New Roman" w:hAnsi="Times New Roman" w:cs="Times New Roman"/>
          <w:sz w:val="24"/>
        </w:rPr>
        <w:t>5</w:t>
      </w:r>
      <w:r w:rsidR="002959E2">
        <w:rPr>
          <w:rFonts w:ascii="Times New Roman" w:hAnsi="Times New Roman" w:cs="Times New Roman"/>
          <w:sz w:val="24"/>
        </w:rPr>
        <w:t xml:space="preserve">) reported a soil bacterium that was able to degrade atrazine.  Furthermore, Rhine </w:t>
      </w:r>
      <w:r w:rsidR="00FF2F17">
        <w:rPr>
          <w:rFonts w:ascii="Times New Roman" w:hAnsi="Times New Roman" w:cs="Times New Roman"/>
          <w:sz w:val="24"/>
        </w:rPr>
        <w:t>et al.</w:t>
      </w:r>
      <w:r w:rsidR="00B12B2D">
        <w:rPr>
          <w:rFonts w:ascii="Times New Roman" w:hAnsi="Times New Roman" w:cs="Times New Roman"/>
          <w:sz w:val="24"/>
        </w:rPr>
        <w:t xml:space="preserve"> (2003)</w:t>
      </w:r>
      <w:r w:rsidR="002959E2">
        <w:rPr>
          <w:rFonts w:ascii="Times New Roman" w:hAnsi="Times New Roman" w:cs="Times New Roman"/>
          <w:sz w:val="24"/>
        </w:rPr>
        <w:t xml:space="preserve"> reported that </w:t>
      </w:r>
      <w:r w:rsidR="00B12B2D">
        <w:rPr>
          <w:rFonts w:ascii="Times New Roman" w:hAnsi="Times New Roman" w:cs="Times New Roman"/>
          <w:sz w:val="24"/>
        </w:rPr>
        <w:t xml:space="preserve">soil bacteria communities exposed to atrazine could develop an enhanced degradation.  Mueller </w:t>
      </w:r>
      <w:r w:rsidR="00FF2F17">
        <w:rPr>
          <w:rFonts w:ascii="Times New Roman" w:hAnsi="Times New Roman" w:cs="Times New Roman"/>
          <w:sz w:val="24"/>
        </w:rPr>
        <w:t>et al.</w:t>
      </w:r>
      <w:r w:rsidR="00B12B2D">
        <w:rPr>
          <w:rFonts w:ascii="Times New Roman" w:hAnsi="Times New Roman" w:cs="Times New Roman"/>
          <w:sz w:val="24"/>
        </w:rPr>
        <w:t xml:space="preserve"> (201</w:t>
      </w:r>
      <w:r w:rsidR="0015332C">
        <w:rPr>
          <w:rFonts w:ascii="Times New Roman" w:hAnsi="Times New Roman" w:cs="Times New Roman"/>
          <w:sz w:val="24"/>
        </w:rPr>
        <w:t>7</w:t>
      </w:r>
      <w:r w:rsidR="00B12B2D">
        <w:rPr>
          <w:rFonts w:ascii="Times New Roman" w:hAnsi="Times New Roman" w:cs="Times New Roman"/>
          <w:sz w:val="24"/>
        </w:rPr>
        <w:t>)</w:t>
      </w:r>
      <w:r w:rsidR="0015332C">
        <w:rPr>
          <w:rFonts w:ascii="Times New Roman" w:hAnsi="Times New Roman" w:cs="Times New Roman"/>
          <w:sz w:val="24"/>
        </w:rPr>
        <w:t>,</w:t>
      </w:r>
      <w:r w:rsidR="00B12B2D">
        <w:rPr>
          <w:rFonts w:ascii="Times New Roman" w:hAnsi="Times New Roman" w:cs="Times New Roman"/>
          <w:sz w:val="24"/>
        </w:rPr>
        <w:t xml:space="preserve"> reported enhanced degradation in soils where atrazine was previously used</w:t>
      </w:r>
      <w:r w:rsidR="0015332C">
        <w:rPr>
          <w:rFonts w:ascii="Times New Roman" w:hAnsi="Times New Roman" w:cs="Times New Roman"/>
          <w:sz w:val="24"/>
        </w:rPr>
        <w:t xml:space="preserve">. </w:t>
      </w:r>
      <w:r w:rsidR="00B12B2D">
        <w:rPr>
          <w:rFonts w:ascii="Times New Roman" w:hAnsi="Times New Roman" w:cs="Times New Roman"/>
          <w:sz w:val="24"/>
        </w:rPr>
        <w:t xml:space="preserve"> </w:t>
      </w:r>
      <w:r w:rsidR="0015332C">
        <w:rPr>
          <w:rFonts w:ascii="Times New Roman" w:hAnsi="Times New Roman" w:cs="Times New Roman"/>
          <w:sz w:val="24"/>
        </w:rPr>
        <w:t>A</w:t>
      </w:r>
      <w:r w:rsidR="00B12B2D">
        <w:rPr>
          <w:rFonts w:ascii="Times New Roman" w:hAnsi="Times New Roman" w:cs="Times New Roman"/>
          <w:sz w:val="24"/>
        </w:rPr>
        <w:t>trazine dissipated slower when in soils with lower pH</w:t>
      </w:r>
      <w:r w:rsidR="0015332C">
        <w:rPr>
          <w:rFonts w:ascii="Times New Roman" w:hAnsi="Times New Roman" w:cs="Times New Roman"/>
          <w:sz w:val="24"/>
        </w:rPr>
        <w:t xml:space="preserve"> (Mueller 2010).</w:t>
      </w:r>
    </w:p>
    <w:p w14:paraId="10231C84" w14:textId="79328A12" w:rsidR="008B60A3" w:rsidRDefault="00161233" w:rsidP="003367F9">
      <w:pPr>
        <w:spacing w:line="480" w:lineRule="auto"/>
        <w:ind w:firstLine="720"/>
        <w:jc w:val="both"/>
        <w:rPr>
          <w:rFonts w:ascii="Times New Roman" w:hAnsi="Times New Roman" w:cs="Times New Roman"/>
          <w:sz w:val="24"/>
        </w:rPr>
      </w:pPr>
      <w:r>
        <w:rPr>
          <w:rFonts w:ascii="Times New Roman" w:hAnsi="Times New Roman" w:cs="Times New Roman"/>
          <w:sz w:val="24"/>
        </w:rPr>
        <w:lastRenderedPageBreak/>
        <w:t>Pyroxasulfone</w:t>
      </w:r>
      <w:r w:rsidR="00564CB0">
        <w:rPr>
          <w:rFonts w:ascii="Times New Roman" w:hAnsi="Times New Roman" w:cs="Times New Roman"/>
          <w:sz w:val="24"/>
        </w:rPr>
        <w:t xml:space="preserve"> is c</w:t>
      </w:r>
      <w:r w:rsidR="00C87E60">
        <w:rPr>
          <w:rFonts w:ascii="Times New Roman" w:hAnsi="Times New Roman" w:cs="Times New Roman"/>
          <w:sz w:val="24"/>
        </w:rPr>
        <w:t>haracterized</w:t>
      </w:r>
      <w:r w:rsidR="00564CB0">
        <w:rPr>
          <w:rFonts w:ascii="Times New Roman" w:hAnsi="Times New Roman" w:cs="Times New Roman"/>
          <w:sz w:val="24"/>
        </w:rPr>
        <w:t xml:space="preserve"> as </w:t>
      </w:r>
      <w:r w:rsidR="00676813">
        <w:rPr>
          <w:rFonts w:ascii="Times New Roman" w:hAnsi="Times New Roman" w:cs="Times New Roman"/>
          <w:sz w:val="24"/>
        </w:rPr>
        <w:t xml:space="preserve">having </w:t>
      </w:r>
      <w:r w:rsidR="00564CB0">
        <w:rPr>
          <w:rFonts w:ascii="Times New Roman" w:hAnsi="Times New Roman" w:cs="Times New Roman"/>
          <w:sz w:val="24"/>
        </w:rPr>
        <w:t>a long</w:t>
      </w:r>
      <w:r w:rsidR="00310B0C">
        <w:rPr>
          <w:rFonts w:ascii="Times New Roman" w:hAnsi="Times New Roman" w:cs="Times New Roman"/>
          <w:sz w:val="24"/>
        </w:rPr>
        <w:t xml:space="preserve"> </w:t>
      </w:r>
      <w:r w:rsidR="00E2133B">
        <w:rPr>
          <w:rFonts w:ascii="Times New Roman" w:hAnsi="Times New Roman" w:cs="Times New Roman"/>
          <w:sz w:val="24"/>
        </w:rPr>
        <w:t>relative field persistence</w:t>
      </w:r>
      <w:r w:rsidR="008B60A3" w:rsidRPr="0005418D">
        <w:rPr>
          <w:rFonts w:ascii="Times New Roman" w:hAnsi="Times New Roman" w:cs="Times New Roman"/>
          <w:sz w:val="24"/>
        </w:rPr>
        <w:t xml:space="preserve"> (</w:t>
      </w:r>
      <w:r w:rsidR="009A5BC9">
        <w:rPr>
          <w:rFonts w:ascii="Times New Roman" w:hAnsi="Times New Roman" w:cs="Times New Roman"/>
          <w:sz w:val="24"/>
        </w:rPr>
        <w:t>16</w:t>
      </w:r>
      <w:r w:rsidR="008B60A3" w:rsidRPr="0005418D">
        <w:rPr>
          <w:rFonts w:ascii="Times New Roman" w:hAnsi="Times New Roman" w:cs="Times New Roman"/>
          <w:sz w:val="24"/>
        </w:rPr>
        <w:t>-134 days) (</w:t>
      </w:r>
      <w:proofErr w:type="spellStart"/>
      <w:r w:rsidR="009A5BC9">
        <w:rPr>
          <w:rFonts w:ascii="Times New Roman" w:hAnsi="Times New Roman" w:cs="Times New Roman"/>
          <w:sz w:val="24"/>
        </w:rPr>
        <w:t>Shaner</w:t>
      </w:r>
      <w:proofErr w:type="spellEnd"/>
      <w:r w:rsidR="009A5BC9">
        <w:rPr>
          <w:rFonts w:ascii="Times New Roman" w:hAnsi="Times New Roman" w:cs="Times New Roman"/>
          <w:sz w:val="24"/>
        </w:rPr>
        <w:t xml:space="preserve"> 2014 and </w:t>
      </w:r>
      <w:proofErr w:type="spellStart"/>
      <w:r w:rsidR="008B60A3" w:rsidRPr="0005418D">
        <w:rPr>
          <w:rFonts w:ascii="Times New Roman" w:hAnsi="Times New Roman" w:cs="Times New Roman"/>
          <w:sz w:val="24"/>
        </w:rPr>
        <w:t>Westra</w:t>
      </w:r>
      <w:proofErr w:type="spellEnd"/>
      <w:r w:rsidR="008B60A3" w:rsidRPr="0005418D">
        <w:rPr>
          <w:rFonts w:ascii="Times New Roman" w:hAnsi="Times New Roman" w:cs="Times New Roman"/>
          <w:sz w:val="24"/>
        </w:rPr>
        <w:t xml:space="preserve"> et al. 2017)</w:t>
      </w:r>
      <w:r w:rsidR="00C0473A">
        <w:rPr>
          <w:rFonts w:ascii="Times New Roman" w:hAnsi="Times New Roman" w:cs="Times New Roman"/>
          <w:sz w:val="24"/>
        </w:rPr>
        <w:t xml:space="preserve"> and has a </w:t>
      </w:r>
      <w:r w:rsidR="00667FCD">
        <w:rPr>
          <w:rFonts w:ascii="Times New Roman" w:hAnsi="Times New Roman" w:cs="Times New Roman"/>
          <w:sz w:val="24"/>
        </w:rPr>
        <w:t>diverse use strategy for many crops and cropping scenarios (Anonymous 2021).</w:t>
      </w:r>
      <w:r w:rsidR="00072A08">
        <w:rPr>
          <w:rFonts w:ascii="Times New Roman" w:hAnsi="Times New Roman" w:cs="Times New Roman"/>
          <w:sz w:val="24"/>
        </w:rPr>
        <w:t xml:space="preserve">  </w:t>
      </w:r>
      <w:r w:rsidR="00072A08" w:rsidRPr="00072A08">
        <w:rPr>
          <w:rFonts w:ascii="Times New Roman" w:hAnsi="Times New Roman" w:cs="Times New Roman"/>
          <w:sz w:val="24"/>
        </w:rPr>
        <w:t xml:space="preserve">Pyroxasulfone is a group 15 herbicide that inhibits the production of </w:t>
      </w:r>
      <w:r w:rsidR="0015332C">
        <w:rPr>
          <w:rFonts w:ascii="Times New Roman" w:hAnsi="Times New Roman" w:cs="Times New Roman"/>
          <w:sz w:val="24"/>
        </w:rPr>
        <w:t>VLCFA</w:t>
      </w:r>
      <w:r w:rsidR="00072A08" w:rsidRPr="00072A08">
        <w:rPr>
          <w:rFonts w:ascii="Times New Roman" w:hAnsi="Times New Roman" w:cs="Times New Roman"/>
          <w:sz w:val="24"/>
        </w:rPr>
        <w:t xml:space="preserve"> and can be used preplant, preemergence, and postemergence in several crops </w:t>
      </w:r>
      <w:r w:rsidR="0015332C">
        <w:rPr>
          <w:rFonts w:ascii="Times New Roman" w:hAnsi="Times New Roman" w:cs="Times New Roman"/>
          <w:sz w:val="24"/>
        </w:rPr>
        <w:t xml:space="preserve">at </w:t>
      </w:r>
      <w:r w:rsidR="00B509E9">
        <w:rPr>
          <w:rFonts w:ascii="Times New Roman" w:hAnsi="Times New Roman" w:cs="Times New Roman"/>
          <w:sz w:val="24"/>
        </w:rPr>
        <w:t>48</w:t>
      </w:r>
      <w:r w:rsidR="00072A08" w:rsidRPr="00072A08">
        <w:rPr>
          <w:rFonts w:ascii="Times New Roman" w:hAnsi="Times New Roman" w:cs="Times New Roman"/>
          <w:sz w:val="24"/>
        </w:rPr>
        <w:t xml:space="preserve"> – </w:t>
      </w:r>
      <w:r w:rsidR="00B509E9">
        <w:rPr>
          <w:rFonts w:ascii="Times New Roman" w:hAnsi="Times New Roman" w:cs="Times New Roman"/>
          <w:sz w:val="24"/>
        </w:rPr>
        <w:t>72</w:t>
      </w:r>
      <w:r w:rsidR="00072A08" w:rsidRPr="00072A08">
        <w:rPr>
          <w:rFonts w:ascii="Times New Roman" w:hAnsi="Times New Roman" w:cs="Times New Roman"/>
          <w:sz w:val="24"/>
        </w:rPr>
        <w:t xml:space="preserve"> g ai ha</w:t>
      </w:r>
      <w:r w:rsidR="00072A08" w:rsidRPr="00072A08">
        <w:rPr>
          <w:rFonts w:ascii="Times New Roman" w:hAnsi="Times New Roman" w:cs="Times New Roman"/>
          <w:sz w:val="24"/>
          <w:vertAlign w:val="superscript"/>
        </w:rPr>
        <w:t>-1</w:t>
      </w:r>
      <w:r w:rsidR="00072A08" w:rsidRPr="00072A08">
        <w:rPr>
          <w:rFonts w:ascii="Times New Roman" w:hAnsi="Times New Roman" w:cs="Times New Roman"/>
          <w:sz w:val="24"/>
        </w:rPr>
        <w:t xml:space="preserve"> (Anonymous 2021, </w:t>
      </w:r>
      <w:proofErr w:type="spellStart"/>
      <w:r w:rsidR="00072A08" w:rsidRPr="00072A08">
        <w:rPr>
          <w:rFonts w:ascii="Times New Roman" w:hAnsi="Times New Roman" w:cs="Times New Roman"/>
          <w:sz w:val="24"/>
        </w:rPr>
        <w:t>Shaner</w:t>
      </w:r>
      <w:proofErr w:type="spellEnd"/>
      <w:r w:rsidR="00072A08" w:rsidRPr="00072A08">
        <w:rPr>
          <w:rFonts w:ascii="Times New Roman" w:hAnsi="Times New Roman" w:cs="Times New Roman"/>
          <w:sz w:val="24"/>
        </w:rPr>
        <w:t xml:space="preserve"> 2014).  Pyroxasulfone molecular weight is 391.3 g/mol, melting point 130.7</w:t>
      </w:r>
      <w:r w:rsidR="004B5898">
        <w:rPr>
          <w:rFonts w:ascii="Times New Roman" w:hAnsi="Times New Roman" w:cs="Times New Roman"/>
          <w:sz w:val="24"/>
        </w:rPr>
        <w:t>º</w:t>
      </w:r>
      <w:r w:rsidR="00072A08" w:rsidRPr="00072A08">
        <w:rPr>
          <w:rFonts w:ascii="Times New Roman" w:hAnsi="Times New Roman" w:cs="Times New Roman"/>
          <w:sz w:val="24"/>
        </w:rPr>
        <w:t xml:space="preserve"> C, and water solubility of 3.49 mg/L (20</w:t>
      </w:r>
      <w:r w:rsidR="00BF5665">
        <w:rPr>
          <w:rFonts w:ascii="Times New Roman" w:hAnsi="Times New Roman" w:cs="Times New Roman"/>
          <w:sz w:val="24"/>
        </w:rPr>
        <w:t>º</w:t>
      </w:r>
      <w:r w:rsidR="00072A08" w:rsidRPr="00072A08">
        <w:rPr>
          <w:rFonts w:ascii="Times New Roman" w:hAnsi="Times New Roman" w:cs="Times New Roman"/>
          <w:sz w:val="24"/>
        </w:rPr>
        <w:t xml:space="preserve"> C) (</w:t>
      </w:r>
      <w:proofErr w:type="spellStart"/>
      <w:r w:rsidR="00072A08" w:rsidRPr="00072A08">
        <w:rPr>
          <w:rFonts w:ascii="Times New Roman" w:hAnsi="Times New Roman" w:cs="Times New Roman"/>
          <w:sz w:val="24"/>
        </w:rPr>
        <w:t>Shaner</w:t>
      </w:r>
      <w:proofErr w:type="spellEnd"/>
      <w:r w:rsidR="00072A08" w:rsidRPr="00072A08">
        <w:rPr>
          <w:rFonts w:ascii="Times New Roman" w:hAnsi="Times New Roman" w:cs="Times New Roman"/>
          <w:sz w:val="24"/>
        </w:rPr>
        <w:t xml:space="preserve"> 2014, </w:t>
      </w:r>
      <w:proofErr w:type="spellStart"/>
      <w:r w:rsidR="00072A08" w:rsidRPr="00072A08">
        <w:rPr>
          <w:rFonts w:ascii="Times New Roman" w:hAnsi="Times New Roman" w:cs="Times New Roman"/>
          <w:sz w:val="24"/>
        </w:rPr>
        <w:t>Tanetani</w:t>
      </w:r>
      <w:proofErr w:type="spellEnd"/>
      <w:r w:rsidR="00072A08" w:rsidRPr="00072A08">
        <w:rPr>
          <w:rFonts w:ascii="Times New Roman" w:hAnsi="Times New Roman" w:cs="Times New Roman"/>
          <w:sz w:val="24"/>
        </w:rPr>
        <w:t xml:space="preserve"> et al. 2009 and 2013).</w:t>
      </w:r>
      <w:r w:rsidR="00667FCD">
        <w:rPr>
          <w:rFonts w:ascii="Times New Roman" w:hAnsi="Times New Roman" w:cs="Times New Roman"/>
          <w:sz w:val="24"/>
        </w:rPr>
        <w:t xml:space="preserve">  </w:t>
      </w:r>
      <w:r w:rsidR="0015332C">
        <w:rPr>
          <w:rFonts w:ascii="Times New Roman" w:hAnsi="Times New Roman" w:cs="Times New Roman"/>
          <w:sz w:val="24"/>
        </w:rPr>
        <w:t>Residual</w:t>
      </w:r>
      <w:r w:rsidR="00C87E60">
        <w:rPr>
          <w:rFonts w:ascii="Times New Roman" w:hAnsi="Times New Roman" w:cs="Times New Roman"/>
          <w:sz w:val="24"/>
        </w:rPr>
        <w:t xml:space="preserve"> weed control has been reported in several crops alone and in mixtures (Mahoney et al. 2014, Mueller and Steckel 2011, Olsen et al. 2011, </w:t>
      </w:r>
      <w:proofErr w:type="spellStart"/>
      <w:r w:rsidR="00C87E60">
        <w:rPr>
          <w:rFonts w:ascii="Times New Roman" w:hAnsi="Times New Roman" w:cs="Times New Roman"/>
          <w:sz w:val="24"/>
        </w:rPr>
        <w:t>Yamaji</w:t>
      </w:r>
      <w:proofErr w:type="spellEnd"/>
      <w:r w:rsidR="00C87E60">
        <w:rPr>
          <w:rFonts w:ascii="Times New Roman" w:hAnsi="Times New Roman" w:cs="Times New Roman"/>
          <w:sz w:val="24"/>
        </w:rPr>
        <w:t xml:space="preserve"> et al. 2014)</w:t>
      </w:r>
      <w:r w:rsidR="00E74527">
        <w:rPr>
          <w:rFonts w:ascii="Times New Roman" w:hAnsi="Times New Roman" w:cs="Times New Roman"/>
          <w:sz w:val="24"/>
        </w:rPr>
        <w:t xml:space="preserve">.  </w:t>
      </w:r>
      <w:r w:rsidR="00426E89">
        <w:rPr>
          <w:rFonts w:ascii="Times New Roman" w:hAnsi="Times New Roman" w:cs="Times New Roman"/>
          <w:sz w:val="24"/>
        </w:rPr>
        <w:t>Crop safety has also been reported in several major row crops (</w:t>
      </w:r>
      <w:r w:rsidR="00635783">
        <w:rPr>
          <w:rFonts w:ascii="Times New Roman" w:hAnsi="Times New Roman" w:cs="Times New Roman"/>
          <w:sz w:val="24"/>
        </w:rPr>
        <w:t xml:space="preserve">Reddy et al. 2012, </w:t>
      </w:r>
      <w:r w:rsidR="00426E89">
        <w:rPr>
          <w:rFonts w:ascii="Times New Roman" w:hAnsi="Times New Roman" w:cs="Times New Roman"/>
          <w:sz w:val="24"/>
        </w:rPr>
        <w:t>Stephenson et al. 2017</w:t>
      </w:r>
      <w:r w:rsidR="00635783">
        <w:rPr>
          <w:rFonts w:ascii="Times New Roman" w:hAnsi="Times New Roman" w:cs="Times New Roman"/>
          <w:sz w:val="24"/>
        </w:rPr>
        <w:t>a, Stephenson et al. 2017b</w:t>
      </w:r>
      <w:r w:rsidR="00426E89">
        <w:rPr>
          <w:rFonts w:ascii="Times New Roman" w:hAnsi="Times New Roman" w:cs="Times New Roman"/>
          <w:sz w:val="24"/>
        </w:rPr>
        <w:t>, Williams et al. 2017)</w:t>
      </w:r>
      <w:r w:rsidR="00635783">
        <w:rPr>
          <w:rFonts w:ascii="Times New Roman" w:hAnsi="Times New Roman" w:cs="Times New Roman"/>
          <w:sz w:val="24"/>
        </w:rPr>
        <w:t xml:space="preserve">.  </w:t>
      </w:r>
      <w:r w:rsidR="0084417F">
        <w:rPr>
          <w:rFonts w:ascii="Times New Roman" w:hAnsi="Times New Roman" w:cs="Times New Roman"/>
          <w:sz w:val="24"/>
        </w:rPr>
        <w:t xml:space="preserve">The </w:t>
      </w:r>
      <w:r w:rsidR="00895394">
        <w:rPr>
          <w:rFonts w:ascii="Times New Roman" w:hAnsi="Times New Roman" w:cs="Times New Roman"/>
          <w:sz w:val="24"/>
        </w:rPr>
        <w:t>environmental profile</w:t>
      </w:r>
      <w:r w:rsidR="0084417F">
        <w:rPr>
          <w:rFonts w:ascii="Times New Roman" w:hAnsi="Times New Roman" w:cs="Times New Roman"/>
          <w:sz w:val="24"/>
        </w:rPr>
        <w:t xml:space="preserve"> of pyroxasulfone</w:t>
      </w:r>
      <w:r w:rsidR="00895394">
        <w:rPr>
          <w:rFonts w:ascii="Times New Roman" w:hAnsi="Times New Roman" w:cs="Times New Roman"/>
          <w:sz w:val="24"/>
        </w:rPr>
        <w:t xml:space="preserve"> is favorable for extended weed control </w:t>
      </w:r>
      <w:r w:rsidR="0084417F">
        <w:rPr>
          <w:rFonts w:ascii="Times New Roman" w:hAnsi="Times New Roman" w:cs="Times New Roman"/>
          <w:sz w:val="24"/>
        </w:rPr>
        <w:t xml:space="preserve">during the growing season, but not </w:t>
      </w:r>
      <w:r w:rsidR="0015332C">
        <w:rPr>
          <w:rFonts w:ascii="Times New Roman" w:hAnsi="Times New Roman" w:cs="Times New Roman"/>
          <w:sz w:val="24"/>
        </w:rPr>
        <w:t xml:space="preserve">to </w:t>
      </w:r>
      <w:r w:rsidR="0084417F">
        <w:rPr>
          <w:rFonts w:ascii="Times New Roman" w:hAnsi="Times New Roman" w:cs="Times New Roman"/>
          <w:sz w:val="24"/>
        </w:rPr>
        <w:t xml:space="preserve">persist to be detrimental to rotational crops (Mueller 2017, Mueller and Steckel 2011, </w:t>
      </w:r>
      <w:proofErr w:type="spellStart"/>
      <w:r w:rsidR="0084417F">
        <w:rPr>
          <w:rFonts w:ascii="Times New Roman" w:hAnsi="Times New Roman" w:cs="Times New Roman"/>
          <w:sz w:val="24"/>
        </w:rPr>
        <w:t>Westra</w:t>
      </w:r>
      <w:proofErr w:type="spellEnd"/>
      <w:r w:rsidR="0084417F">
        <w:rPr>
          <w:rFonts w:ascii="Times New Roman" w:hAnsi="Times New Roman" w:cs="Times New Roman"/>
          <w:sz w:val="24"/>
        </w:rPr>
        <w:t xml:space="preserve"> et al. 2014)</w:t>
      </w:r>
      <w:r w:rsidR="00086E8C">
        <w:rPr>
          <w:rFonts w:ascii="Times New Roman" w:hAnsi="Times New Roman" w:cs="Times New Roman"/>
          <w:sz w:val="24"/>
        </w:rPr>
        <w:t>.</w:t>
      </w:r>
    </w:p>
    <w:p w14:paraId="4C034514" w14:textId="27851976" w:rsidR="00072A08" w:rsidRDefault="00072A08" w:rsidP="003367F9">
      <w:pPr>
        <w:spacing w:line="480" w:lineRule="auto"/>
        <w:ind w:firstLine="720"/>
        <w:jc w:val="both"/>
        <w:rPr>
          <w:rFonts w:ascii="Times New Roman" w:hAnsi="Times New Roman" w:cs="Times New Roman"/>
          <w:sz w:val="24"/>
        </w:rPr>
      </w:pPr>
      <w:r>
        <w:rPr>
          <w:rFonts w:ascii="Times New Roman" w:hAnsi="Times New Roman" w:cs="Times New Roman"/>
          <w:sz w:val="24"/>
        </w:rPr>
        <w:t>Pyroxasulfone d</w:t>
      </w:r>
      <w:r w:rsidR="0060554E">
        <w:rPr>
          <w:rFonts w:ascii="Times New Roman" w:hAnsi="Times New Roman" w:cs="Times New Roman"/>
          <w:sz w:val="24"/>
        </w:rPr>
        <w:t xml:space="preserve">issipation </w:t>
      </w:r>
      <w:r w:rsidR="00551FA2">
        <w:rPr>
          <w:rFonts w:ascii="Times New Roman" w:hAnsi="Times New Roman" w:cs="Times New Roman"/>
          <w:sz w:val="24"/>
        </w:rPr>
        <w:t xml:space="preserve">is well documented, as well. Mueller (2017) reported pyroxasulfone dissipated similarly even when using different formulated products.  Mueller and Steckel (2011) reported longer dissipation times of pyroxasulfone as compared to acetochlor, dimethenamid-p, and s-metolachlor in </w:t>
      </w:r>
      <w:r w:rsidR="009F07FD">
        <w:rPr>
          <w:rFonts w:ascii="Times New Roman" w:hAnsi="Times New Roman" w:cs="Times New Roman"/>
          <w:sz w:val="24"/>
        </w:rPr>
        <w:t xml:space="preserve">a </w:t>
      </w:r>
      <w:r w:rsidR="00551FA2">
        <w:rPr>
          <w:rFonts w:ascii="Times New Roman" w:hAnsi="Times New Roman" w:cs="Times New Roman"/>
          <w:sz w:val="24"/>
        </w:rPr>
        <w:t>Tennessee soil.</w:t>
      </w:r>
      <w:r w:rsidR="009F07FD">
        <w:rPr>
          <w:rFonts w:ascii="Times New Roman" w:hAnsi="Times New Roman" w:cs="Times New Roman"/>
          <w:sz w:val="24"/>
        </w:rPr>
        <w:t xml:space="preserve">  </w:t>
      </w:r>
      <w:proofErr w:type="spellStart"/>
      <w:r w:rsidR="009F07FD">
        <w:rPr>
          <w:rFonts w:ascii="Times New Roman" w:hAnsi="Times New Roman" w:cs="Times New Roman"/>
          <w:sz w:val="24"/>
        </w:rPr>
        <w:t>Westra</w:t>
      </w:r>
      <w:proofErr w:type="spellEnd"/>
      <w:r w:rsidR="009F07FD">
        <w:rPr>
          <w:rFonts w:ascii="Times New Roman" w:hAnsi="Times New Roman" w:cs="Times New Roman"/>
          <w:sz w:val="24"/>
        </w:rPr>
        <w:t xml:space="preserve"> and others (2014) noticed pyroxasulfone dissipation was highly variable in </w:t>
      </w:r>
      <w:r w:rsidR="0015332C">
        <w:rPr>
          <w:rFonts w:ascii="Times New Roman" w:hAnsi="Times New Roman" w:cs="Times New Roman"/>
          <w:sz w:val="24"/>
        </w:rPr>
        <w:t xml:space="preserve">a </w:t>
      </w:r>
      <w:r w:rsidR="009F07FD">
        <w:rPr>
          <w:rFonts w:ascii="Times New Roman" w:hAnsi="Times New Roman" w:cs="Times New Roman"/>
          <w:sz w:val="24"/>
        </w:rPr>
        <w:t>Colorado soil</w:t>
      </w:r>
      <w:r w:rsidR="0015332C">
        <w:rPr>
          <w:rFonts w:ascii="Times New Roman" w:hAnsi="Times New Roman" w:cs="Times New Roman"/>
          <w:sz w:val="24"/>
        </w:rPr>
        <w:t>,</w:t>
      </w:r>
      <w:r w:rsidR="009F07FD">
        <w:rPr>
          <w:rFonts w:ascii="Times New Roman" w:hAnsi="Times New Roman" w:cs="Times New Roman"/>
          <w:sz w:val="24"/>
        </w:rPr>
        <w:t xml:space="preserve"> but could be due to movement out of the sampling zone.</w:t>
      </w:r>
    </w:p>
    <w:p w14:paraId="03797C33" w14:textId="5A88C0D1" w:rsidR="00310B0C" w:rsidRDefault="009F07FD" w:rsidP="00072A08">
      <w:pPr>
        <w:spacing w:line="480" w:lineRule="auto"/>
        <w:ind w:firstLine="720"/>
        <w:jc w:val="both"/>
        <w:rPr>
          <w:rFonts w:ascii="Times New Roman" w:hAnsi="Times New Roman" w:cs="Times New Roman"/>
          <w:sz w:val="24"/>
        </w:rPr>
      </w:pPr>
      <w:r>
        <w:rPr>
          <w:rFonts w:ascii="Times New Roman" w:hAnsi="Times New Roman" w:cs="Times New Roman"/>
          <w:sz w:val="24"/>
        </w:rPr>
        <w:t>Atrazine, pyroxasulfone, and saflufenacil</w:t>
      </w:r>
      <w:r w:rsidR="00072A08" w:rsidRPr="00072A08">
        <w:rPr>
          <w:rFonts w:ascii="Times New Roman" w:hAnsi="Times New Roman" w:cs="Times New Roman"/>
          <w:sz w:val="24"/>
        </w:rPr>
        <w:t xml:space="preserve"> play a major role in weed control and weed resistance management.</w:t>
      </w:r>
      <w:r w:rsidR="00072A08">
        <w:rPr>
          <w:rFonts w:ascii="Times New Roman" w:hAnsi="Times New Roman" w:cs="Times New Roman"/>
          <w:sz w:val="24"/>
        </w:rPr>
        <w:t xml:space="preserve">  </w:t>
      </w:r>
      <w:r w:rsidR="00310B0C">
        <w:rPr>
          <w:rFonts w:ascii="Times New Roman" w:hAnsi="Times New Roman" w:cs="Times New Roman"/>
          <w:sz w:val="24"/>
        </w:rPr>
        <w:t xml:space="preserve">The herbicides </w:t>
      </w:r>
      <w:r w:rsidR="00DB3489">
        <w:rPr>
          <w:rFonts w:ascii="Times New Roman" w:hAnsi="Times New Roman" w:cs="Times New Roman"/>
          <w:sz w:val="24"/>
        </w:rPr>
        <w:t>selected for</w:t>
      </w:r>
      <w:r w:rsidR="00310B0C">
        <w:rPr>
          <w:rFonts w:ascii="Times New Roman" w:hAnsi="Times New Roman" w:cs="Times New Roman"/>
          <w:sz w:val="24"/>
        </w:rPr>
        <w:t xml:space="preserve"> these studies encompass a wide range of details to include: </w:t>
      </w:r>
      <w:r w:rsidR="0071525B">
        <w:rPr>
          <w:rFonts w:ascii="Times New Roman" w:hAnsi="Times New Roman" w:cs="Times New Roman"/>
          <w:sz w:val="24"/>
        </w:rPr>
        <w:t>common</w:t>
      </w:r>
      <w:r w:rsidR="00310B0C">
        <w:rPr>
          <w:rFonts w:ascii="Times New Roman" w:hAnsi="Times New Roman" w:cs="Times New Roman"/>
          <w:sz w:val="24"/>
        </w:rPr>
        <w:t xml:space="preserve"> usage</w:t>
      </w:r>
      <w:r w:rsidR="00B00FB3">
        <w:rPr>
          <w:rFonts w:ascii="Times New Roman" w:hAnsi="Times New Roman" w:cs="Times New Roman"/>
          <w:sz w:val="24"/>
        </w:rPr>
        <w:t xml:space="preserve"> in agriculture</w:t>
      </w:r>
      <w:r w:rsidR="00310B0C">
        <w:rPr>
          <w:rFonts w:ascii="Times New Roman" w:hAnsi="Times New Roman" w:cs="Times New Roman"/>
          <w:sz w:val="24"/>
        </w:rPr>
        <w:t>, belonging to distinct</w:t>
      </w:r>
      <w:r w:rsidR="00667FCD">
        <w:rPr>
          <w:rFonts w:ascii="Times New Roman" w:hAnsi="Times New Roman" w:cs="Times New Roman"/>
          <w:sz w:val="24"/>
        </w:rPr>
        <w:t>ly different</w:t>
      </w:r>
      <w:r w:rsidR="00310B0C">
        <w:rPr>
          <w:rFonts w:ascii="Times New Roman" w:hAnsi="Times New Roman" w:cs="Times New Roman"/>
          <w:sz w:val="24"/>
        </w:rPr>
        <w:t xml:space="preserve"> chemical classes, thoroughly researched molecules, and they </w:t>
      </w:r>
      <w:r w:rsidR="00667FCD">
        <w:rPr>
          <w:rFonts w:ascii="Times New Roman" w:hAnsi="Times New Roman" w:cs="Times New Roman"/>
          <w:sz w:val="24"/>
        </w:rPr>
        <w:t>depict</w:t>
      </w:r>
      <w:r w:rsidR="00310B0C">
        <w:rPr>
          <w:rFonts w:ascii="Times New Roman" w:hAnsi="Times New Roman" w:cs="Times New Roman"/>
          <w:sz w:val="24"/>
        </w:rPr>
        <w:t xml:space="preserve"> a spectrum of short to long field persistence.</w:t>
      </w:r>
      <w:r>
        <w:rPr>
          <w:rFonts w:ascii="Times New Roman" w:hAnsi="Times New Roman" w:cs="Times New Roman"/>
          <w:sz w:val="24"/>
        </w:rPr>
        <w:t xml:space="preserve">  </w:t>
      </w:r>
      <w:r>
        <w:rPr>
          <w:rFonts w:ascii="Times New Roman" w:hAnsi="Times New Roman" w:cs="Times New Roman"/>
          <w:sz w:val="24"/>
        </w:rPr>
        <w:lastRenderedPageBreak/>
        <w:t>These herbicides represent a core of residual herbicides used to manage troublesome weeds in cropping systems.</w:t>
      </w:r>
    </w:p>
    <w:p w14:paraId="621C337C" w14:textId="69237A95" w:rsidR="00E03E3F" w:rsidRDefault="00E03E3F" w:rsidP="003367F9">
      <w:pPr>
        <w:spacing w:line="480" w:lineRule="auto"/>
        <w:ind w:firstLine="720"/>
        <w:jc w:val="both"/>
        <w:rPr>
          <w:rFonts w:ascii="Times New Roman" w:hAnsi="Times New Roman" w:cs="Times New Roman"/>
          <w:sz w:val="24"/>
        </w:rPr>
      </w:pPr>
      <w:r>
        <w:rPr>
          <w:rFonts w:ascii="Times New Roman" w:hAnsi="Times New Roman" w:cs="Times New Roman"/>
          <w:sz w:val="24"/>
        </w:rPr>
        <w:t>All herbicides used in the United States are required to follow an extensive registration process with the Environmental Protection Agency (EPA) (U.S. EPA 1998).  Support data for herbicide registration include Terrestrial Field Dissipation (TFD) studies that provide insight for herbicide fate once it is applied to the environment.  Data generated from TFDs can vary widely depending on local environmental conditions and applicability in crop production systems.  Study data are often modeled to assess herbicide movement in surface and ground water.  Traditionally, Pesticide Root Zone Model (PRZM) and Exposure Analysis Modeling System (EXAMS) looked to explore ecological risk from runoff and erosion, and surface water movement, respectively (U.S. EPA 2008</w:t>
      </w:r>
      <w:r w:rsidR="00537939">
        <w:rPr>
          <w:rFonts w:ascii="Times New Roman" w:hAnsi="Times New Roman" w:cs="Times New Roman"/>
          <w:sz w:val="24"/>
        </w:rPr>
        <w:t>b</w:t>
      </w:r>
      <w:r>
        <w:rPr>
          <w:rFonts w:ascii="Times New Roman" w:hAnsi="Times New Roman" w:cs="Times New Roman"/>
          <w:sz w:val="24"/>
        </w:rPr>
        <w:t>).  Now, more hybrid models that include PRZM and EXAMS</w:t>
      </w:r>
      <w:r w:rsidR="009B1489">
        <w:rPr>
          <w:rFonts w:ascii="Times New Roman" w:hAnsi="Times New Roman" w:cs="Times New Roman"/>
          <w:sz w:val="24"/>
        </w:rPr>
        <w:t xml:space="preserve">, </w:t>
      </w:r>
      <w:r w:rsidR="00193325">
        <w:rPr>
          <w:rFonts w:ascii="Times New Roman" w:hAnsi="Times New Roman" w:cs="Times New Roman"/>
          <w:sz w:val="24"/>
        </w:rPr>
        <w:t>(</w:t>
      </w:r>
      <w:r w:rsidR="009B1489">
        <w:rPr>
          <w:rFonts w:ascii="Times New Roman" w:hAnsi="Times New Roman" w:cs="Times New Roman"/>
          <w:sz w:val="24"/>
        </w:rPr>
        <w:t xml:space="preserve">PRZM5 and </w:t>
      </w:r>
      <w:r w:rsidR="00193325">
        <w:rPr>
          <w:rFonts w:ascii="Times New Roman" w:hAnsi="Times New Roman" w:cs="Times New Roman"/>
          <w:sz w:val="24"/>
        </w:rPr>
        <w:t>Pesticide in Water Calculator (</w:t>
      </w:r>
      <w:r w:rsidR="009B1489">
        <w:rPr>
          <w:rFonts w:ascii="Times New Roman" w:hAnsi="Times New Roman" w:cs="Times New Roman"/>
          <w:sz w:val="24"/>
        </w:rPr>
        <w:t>PWC</w:t>
      </w:r>
      <w:r w:rsidR="00193325">
        <w:rPr>
          <w:rFonts w:ascii="Times New Roman" w:hAnsi="Times New Roman" w:cs="Times New Roman"/>
          <w:sz w:val="24"/>
        </w:rPr>
        <w:t>),</w:t>
      </w:r>
      <w:r>
        <w:rPr>
          <w:rFonts w:ascii="Times New Roman" w:hAnsi="Times New Roman" w:cs="Times New Roman"/>
          <w:sz w:val="24"/>
        </w:rPr>
        <w:t xml:space="preserve"> are being used to assess ecological risk from herbicide movement in the environment.  These models can use input parameters generated from TFD studies, but errors could be introduced based on assumptions within the models.</w:t>
      </w:r>
      <w:r w:rsidR="00F112A1">
        <w:rPr>
          <w:rFonts w:ascii="Times New Roman" w:hAnsi="Times New Roman" w:cs="Times New Roman"/>
          <w:sz w:val="24"/>
        </w:rPr>
        <w:t xml:space="preserve">  Differential results have been reported when using parameters from lab and field studies where PRZM modeling predicted herbicide dissipation (Ma et al. 2000).</w:t>
      </w:r>
    </w:p>
    <w:p w14:paraId="4B08478F" w14:textId="22F66712" w:rsidR="00E03E3F" w:rsidRDefault="00E03E3F" w:rsidP="003367F9">
      <w:pPr>
        <w:spacing w:line="480" w:lineRule="auto"/>
        <w:ind w:firstLine="720"/>
        <w:jc w:val="both"/>
        <w:rPr>
          <w:rFonts w:ascii="Times New Roman" w:hAnsi="Times New Roman" w:cs="Times New Roman"/>
          <w:sz w:val="24"/>
        </w:rPr>
      </w:pPr>
      <w:r>
        <w:rPr>
          <w:rFonts w:ascii="Times New Roman" w:hAnsi="Times New Roman" w:cs="Times New Roman"/>
          <w:sz w:val="24"/>
        </w:rPr>
        <w:t>Herbicide dissipation is commonly described by single first order kinetics</w:t>
      </w:r>
      <w:r w:rsidR="00ED72D8">
        <w:rPr>
          <w:rFonts w:ascii="Times New Roman" w:hAnsi="Times New Roman" w:cs="Times New Roman"/>
          <w:sz w:val="24"/>
        </w:rPr>
        <w:t xml:space="preserve">, but can be </w:t>
      </w:r>
      <w:r w:rsidR="002C7A02">
        <w:rPr>
          <w:rFonts w:ascii="Times New Roman" w:hAnsi="Times New Roman" w:cs="Times New Roman"/>
          <w:sz w:val="24"/>
        </w:rPr>
        <w:t xml:space="preserve">erroneous if other major </w:t>
      </w:r>
      <w:r w:rsidR="00491D08">
        <w:rPr>
          <w:rFonts w:ascii="Times New Roman" w:hAnsi="Times New Roman" w:cs="Times New Roman"/>
          <w:sz w:val="24"/>
        </w:rPr>
        <w:t xml:space="preserve">factors on </w:t>
      </w:r>
      <w:r w:rsidR="002C7A02">
        <w:rPr>
          <w:rFonts w:ascii="Times New Roman" w:hAnsi="Times New Roman" w:cs="Times New Roman"/>
          <w:sz w:val="24"/>
        </w:rPr>
        <w:t>degradation are not accounted for (</w:t>
      </w:r>
      <w:r w:rsidR="00D612D6">
        <w:rPr>
          <w:rFonts w:ascii="Times New Roman" w:hAnsi="Times New Roman" w:cs="Times New Roman"/>
          <w:sz w:val="24"/>
        </w:rPr>
        <w:t xml:space="preserve">Baer and </w:t>
      </w:r>
      <w:proofErr w:type="spellStart"/>
      <w:r w:rsidR="00D612D6">
        <w:rPr>
          <w:rFonts w:ascii="Times New Roman" w:hAnsi="Times New Roman" w:cs="Times New Roman"/>
          <w:sz w:val="24"/>
        </w:rPr>
        <w:t>Ca</w:t>
      </w:r>
      <w:r w:rsidR="008515C5">
        <w:rPr>
          <w:rFonts w:ascii="Times New Roman" w:hAnsi="Times New Roman" w:cs="Times New Roman"/>
          <w:sz w:val="24"/>
        </w:rPr>
        <w:t>l</w:t>
      </w:r>
      <w:r w:rsidR="00D612D6">
        <w:rPr>
          <w:rFonts w:ascii="Times New Roman" w:hAnsi="Times New Roman" w:cs="Times New Roman"/>
          <w:sz w:val="24"/>
        </w:rPr>
        <w:t>vet</w:t>
      </w:r>
      <w:proofErr w:type="spellEnd"/>
      <w:r w:rsidR="00D612D6">
        <w:rPr>
          <w:rFonts w:ascii="Times New Roman" w:hAnsi="Times New Roman" w:cs="Times New Roman"/>
          <w:sz w:val="24"/>
        </w:rPr>
        <w:t xml:space="preserve"> 1999, </w:t>
      </w:r>
      <w:r w:rsidR="002C7A02">
        <w:rPr>
          <w:rFonts w:ascii="Times New Roman" w:hAnsi="Times New Roman" w:cs="Times New Roman"/>
          <w:sz w:val="24"/>
        </w:rPr>
        <w:t xml:space="preserve">Cheng 1990, Diez and </w:t>
      </w:r>
      <w:proofErr w:type="spellStart"/>
      <w:r w:rsidR="002C7A02">
        <w:rPr>
          <w:rFonts w:ascii="Times New Roman" w:hAnsi="Times New Roman" w:cs="Times New Roman"/>
          <w:sz w:val="24"/>
        </w:rPr>
        <w:t>Barrado</w:t>
      </w:r>
      <w:proofErr w:type="spellEnd"/>
      <w:r w:rsidR="002C7A02">
        <w:rPr>
          <w:rFonts w:ascii="Times New Roman" w:hAnsi="Times New Roman" w:cs="Times New Roman"/>
          <w:sz w:val="24"/>
        </w:rPr>
        <w:t xml:space="preserve"> 2010). </w:t>
      </w:r>
      <w:r w:rsidR="00DA0334">
        <w:rPr>
          <w:rFonts w:ascii="Times New Roman" w:hAnsi="Times New Roman" w:cs="Times New Roman"/>
          <w:sz w:val="24"/>
        </w:rPr>
        <w:t xml:space="preserve"> </w:t>
      </w:r>
      <w:r w:rsidR="004A3156">
        <w:rPr>
          <w:rFonts w:ascii="Times New Roman" w:hAnsi="Times New Roman" w:cs="Times New Roman"/>
          <w:sz w:val="24"/>
        </w:rPr>
        <w:t>Most h</w:t>
      </w:r>
      <w:r w:rsidR="0085026F">
        <w:rPr>
          <w:rFonts w:ascii="Times New Roman" w:hAnsi="Times New Roman" w:cs="Times New Roman"/>
          <w:sz w:val="24"/>
        </w:rPr>
        <w:t xml:space="preserve">erbicides typically exhibit a dissipation pattern that is biphasic in nature with a sharp initial decline </w:t>
      </w:r>
      <w:r w:rsidR="004A3156">
        <w:rPr>
          <w:rFonts w:ascii="Times New Roman" w:hAnsi="Times New Roman" w:cs="Times New Roman"/>
          <w:sz w:val="24"/>
        </w:rPr>
        <w:t>then followed by</w:t>
      </w:r>
      <w:r w:rsidR="0085026F">
        <w:rPr>
          <w:rFonts w:ascii="Times New Roman" w:hAnsi="Times New Roman" w:cs="Times New Roman"/>
          <w:sz w:val="24"/>
        </w:rPr>
        <w:t xml:space="preserve"> </w:t>
      </w:r>
      <w:r w:rsidR="00491D08">
        <w:rPr>
          <w:rFonts w:ascii="Times New Roman" w:hAnsi="Times New Roman" w:cs="Times New Roman"/>
          <w:sz w:val="24"/>
        </w:rPr>
        <w:t xml:space="preserve">slower dissipation (Nash 1988 and </w:t>
      </w:r>
      <w:proofErr w:type="spellStart"/>
      <w:r w:rsidR="00FD1E99">
        <w:rPr>
          <w:rFonts w:ascii="Times New Roman" w:hAnsi="Times New Roman" w:cs="Times New Roman"/>
          <w:sz w:val="24"/>
        </w:rPr>
        <w:t>Helling</w:t>
      </w:r>
      <w:proofErr w:type="spellEnd"/>
      <w:r w:rsidR="00A47FFA">
        <w:rPr>
          <w:rFonts w:ascii="Times New Roman" w:hAnsi="Times New Roman" w:cs="Times New Roman"/>
          <w:sz w:val="24"/>
        </w:rPr>
        <w:t xml:space="preserve"> 2005</w:t>
      </w:r>
      <w:r w:rsidR="00491D08">
        <w:rPr>
          <w:rFonts w:ascii="Times New Roman" w:hAnsi="Times New Roman" w:cs="Times New Roman"/>
          <w:sz w:val="24"/>
        </w:rPr>
        <w:t>)</w:t>
      </w:r>
      <w:r w:rsidR="0085026F">
        <w:rPr>
          <w:rFonts w:ascii="Times New Roman" w:hAnsi="Times New Roman" w:cs="Times New Roman"/>
          <w:sz w:val="24"/>
        </w:rPr>
        <w:t xml:space="preserve">.  </w:t>
      </w:r>
      <w:r>
        <w:rPr>
          <w:rFonts w:ascii="Times New Roman" w:hAnsi="Times New Roman" w:cs="Times New Roman"/>
          <w:sz w:val="24"/>
        </w:rPr>
        <w:t>Half-life is used as a description of herbicide dissipation and is calculated (</w:t>
      </w:r>
      <w:r w:rsidRPr="008D49E9">
        <w:rPr>
          <w:rFonts w:ascii="Times New Roman" w:hAnsi="Times New Roman" w:cs="Times New Roman"/>
          <w:i/>
          <w:sz w:val="24"/>
        </w:rPr>
        <w:t>t</w:t>
      </w:r>
      <w:r>
        <w:rPr>
          <w:rFonts w:ascii="Times New Roman" w:hAnsi="Times New Roman" w:cs="Times New Roman"/>
          <w:sz w:val="24"/>
          <w:vertAlign w:val="subscript"/>
        </w:rPr>
        <w:t>1/2</w:t>
      </w:r>
      <w:r>
        <w:rPr>
          <w:rFonts w:ascii="Times New Roman" w:hAnsi="Times New Roman" w:cs="Times New Roman"/>
          <w:sz w:val="24"/>
        </w:rPr>
        <w:t>=0.693/</w:t>
      </w:r>
      <w:r w:rsidRPr="008D49E9">
        <w:rPr>
          <w:rFonts w:ascii="Times New Roman" w:hAnsi="Times New Roman" w:cs="Times New Roman"/>
          <w:i/>
          <w:sz w:val="24"/>
        </w:rPr>
        <w:t>k</w:t>
      </w:r>
      <w:r>
        <w:rPr>
          <w:rFonts w:ascii="Times New Roman" w:hAnsi="Times New Roman" w:cs="Times New Roman"/>
          <w:sz w:val="24"/>
        </w:rPr>
        <w:t xml:space="preserve">) where k is </w:t>
      </w:r>
      <w:r w:rsidR="00B00FB3">
        <w:rPr>
          <w:rFonts w:ascii="Times New Roman" w:hAnsi="Times New Roman" w:cs="Times New Roman"/>
          <w:sz w:val="24"/>
        </w:rPr>
        <w:t xml:space="preserve">first order </w:t>
      </w:r>
      <w:r>
        <w:rPr>
          <w:rFonts w:ascii="Times New Roman" w:hAnsi="Times New Roman" w:cs="Times New Roman"/>
          <w:sz w:val="24"/>
        </w:rPr>
        <w:t xml:space="preserve">rate constant.  The </w:t>
      </w:r>
      <w:r w:rsidR="00E455AD">
        <w:rPr>
          <w:rFonts w:ascii="Times New Roman" w:hAnsi="Times New Roman" w:cs="Times New Roman"/>
          <w:sz w:val="24"/>
        </w:rPr>
        <w:t>half-life</w:t>
      </w:r>
      <w:r>
        <w:rPr>
          <w:rFonts w:ascii="Times New Roman" w:hAnsi="Times New Roman" w:cs="Times New Roman"/>
          <w:sz w:val="24"/>
        </w:rPr>
        <w:t xml:space="preserve"> calculation assumes that dissipation </w:t>
      </w:r>
      <w:r>
        <w:rPr>
          <w:rFonts w:ascii="Times New Roman" w:hAnsi="Times New Roman" w:cs="Times New Roman"/>
          <w:sz w:val="24"/>
        </w:rPr>
        <w:lastRenderedPageBreak/>
        <w:t>is independent of initial herbicide concentration.  Making this assumption could input errors into herbicide fate modeling and field persistence forecasts could be misleadin</w:t>
      </w:r>
      <w:r w:rsidR="00AD335B">
        <w:rPr>
          <w:rFonts w:ascii="Times New Roman" w:hAnsi="Times New Roman" w:cs="Times New Roman"/>
          <w:sz w:val="24"/>
        </w:rPr>
        <w:t>g.</w:t>
      </w:r>
    </w:p>
    <w:p w14:paraId="0143B2BA" w14:textId="76A8B688" w:rsidR="00D12DEC" w:rsidRDefault="00D12DEC" w:rsidP="003367F9">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Some concentration effects on dissipation have been reported </w:t>
      </w:r>
      <w:r w:rsidR="00446BEC">
        <w:rPr>
          <w:rFonts w:ascii="Times New Roman" w:hAnsi="Times New Roman" w:cs="Times New Roman"/>
          <w:sz w:val="24"/>
        </w:rPr>
        <w:t>previously, for</w:t>
      </w:r>
      <w:r>
        <w:rPr>
          <w:rFonts w:ascii="Times New Roman" w:hAnsi="Times New Roman" w:cs="Times New Roman"/>
          <w:sz w:val="24"/>
        </w:rPr>
        <w:t xml:space="preserve"> instance, some sulfonylurea herbicides half-lives </w:t>
      </w:r>
      <w:r w:rsidR="00446BEC">
        <w:rPr>
          <w:rFonts w:ascii="Times New Roman" w:hAnsi="Times New Roman" w:cs="Times New Roman"/>
          <w:sz w:val="24"/>
        </w:rPr>
        <w:t>were</w:t>
      </w:r>
      <w:r>
        <w:rPr>
          <w:rFonts w:ascii="Times New Roman" w:hAnsi="Times New Roman" w:cs="Times New Roman"/>
          <w:sz w:val="24"/>
        </w:rPr>
        <w:t xml:space="preserve"> influenced by initial herbicide concentration that was applied at 2+ times the normal field use rate (</w:t>
      </w:r>
      <w:proofErr w:type="spellStart"/>
      <w:r>
        <w:rPr>
          <w:rFonts w:ascii="Times New Roman" w:hAnsi="Times New Roman" w:cs="Times New Roman"/>
          <w:sz w:val="24"/>
        </w:rPr>
        <w:t>Menne</w:t>
      </w:r>
      <w:proofErr w:type="spellEnd"/>
      <w:r>
        <w:rPr>
          <w:rFonts w:ascii="Times New Roman" w:hAnsi="Times New Roman" w:cs="Times New Roman"/>
          <w:sz w:val="24"/>
        </w:rPr>
        <w:t xml:space="preserve"> and Berger 2000).  </w:t>
      </w:r>
      <w:r w:rsidR="00446BEC">
        <w:rPr>
          <w:rFonts w:ascii="Times New Roman" w:hAnsi="Times New Roman" w:cs="Times New Roman"/>
          <w:sz w:val="24"/>
        </w:rPr>
        <w:t xml:space="preserve"> M. </w:t>
      </w:r>
      <w:r>
        <w:rPr>
          <w:rFonts w:ascii="Times New Roman" w:hAnsi="Times New Roman" w:cs="Times New Roman"/>
          <w:sz w:val="24"/>
        </w:rPr>
        <w:t xml:space="preserve">Sonia </w:t>
      </w:r>
      <w:proofErr w:type="spellStart"/>
      <w:r>
        <w:rPr>
          <w:rFonts w:ascii="Times New Roman" w:hAnsi="Times New Roman" w:cs="Times New Roman"/>
          <w:sz w:val="24"/>
        </w:rPr>
        <w:t>Rodrígues</w:t>
      </w:r>
      <w:proofErr w:type="spellEnd"/>
      <w:r>
        <w:rPr>
          <w:rFonts w:ascii="Times New Roman" w:hAnsi="Times New Roman" w:cs="Times New Roman"/>
          <w:sz w:val="24"/>
        </w:rPr>
        <w:t>-Crus</w:t>
      </w:r>
      <w:r w:rsidR="00446BEC">
        <w:rPr>
          <w:rFonts w:ascii="Times New Roman" w:hAnsi="Times New Roman" w:cs="Times New Roman"/>
          <w:sz w:val="24"/>
        </w:rPr>
        <w:t xml:space="preserve"> et al. </w:t>
      </w:r>
      <w:r w:rsidR="00E12BE3">
        <w:rPr>
          <w:rFonts w:ascii="Times New Roman" w:hAnsi="Times New Roman" w:cs="Times New Roman"/>
          <w:sz w:val="24"/>
        </w:rPr>
        <w:t>(</w:t>
      </w:r>
      <w:r w:rsidR="00446BEC">
        <w:rPr>
          <w:rFonts w:ascii="Times New Roman" w:hAnsi="Times New Roman" w:cs="Times New Roman"/>
          <w:sz w:val="24"/>
        </w:rPr>
        <w:t>2019</w:t>
      </w:r>
      <w:r w:rsidR="00E12BE3">
        <w:rPr>
          <w:rFonts w:ascii="Times New Roman" w:hAnsi="Times New Roman" w:cs="Times New Roman"/>
          <w:sz w:val="24"/>
        </w:rPr>
        <w:t>)</w:t>
      </w:r>
      <w:r w:rsidR="00446BEC">
        <w:rPr>
          <w:rFonts w:ascii="Times New Roman" w:hAnsi="Times New Roman" w:cs="Times New Roman"/>
          <w:sz w:val="24"/>
        </w:rPr>
        <w:t xml:space="preserve"> reported dissipation rates of </w:t>
      </w:r>
      <w:proofErr w:type="spellStart"/>
      <w:r w:rsidR="00446BEC">
        <w:rPr>
          <w:rFonts w:ascii="Times New Roman" w:hAnsi="Times New Roman" w:cs="Times New Roman"/>
          <w:sz w:val="24"/>
        </w:rPr>
        <w:t>pethoxamid</w:t>
      </w:r>
      <w:proofErr w:type="spellEnd"/>
      <w:r w:rsidR="00446BEC">
        <w:rPr>
          <w:rFonts w:ascii="Times New Roman" w:hAnsi="Times New Roman" w:cs="Times New Roman"/>
          <w:sz w:val="24"/>
        </w:rPr>
        <w:t xml:space="preserve"> had decreased with rate applied.  </w:t>
      </w:r>
      <w:r w:rsidR="004B5D3D">
        <w:rPr>
          <w:rFonts w:ascii="Times New Roman" w:hAnsi="Times New Roman" w:cs="Times New Roman"/>
          <w:sz w:val="24"/>
        </w:rPr>
        <w:t>Gan</w:t>
      </w:r>
      <w:r w:rsidR="00446BEC">
        <w:rPr>
          <w:rFonts w:ascii="Times New Roman" w:hAnsi="Times New Roman" w:cs="Times New Roman"/>
          <w:sz w:val="24"/>
        </w:rPr>
        <w:t xml:space="preserve"> et al. </w:t>
      </w:r>
      <w:r w:rsidR="00E12BE3">
        <w:rPr>
          <w:rFonts w:ascii="Times New Roman" w:hAnsi="Times New Roman" w:cs="Times New Roman"/>
          <w:sz w:val="24"/>
        </w:rPr>
        <w:t>(</w:t>
      </w:r>
      <w:r w:rsidR="00446BEC">
        <w:rPr>
          <w:rFonts w:ascii="Times New Roman" w:hAnsi="Times New Roman" w:cs="Times New Roman"/>
          <w:sz w:val="24"/>
        </w:rPr>
        <w:t>1996</w:t>
      </w:r>
      <w:r w:rsidR="00E12BE3">
        <w:rPr>
          <w:rFonts w:ascii="Times New Roman" w:hAnsi="Times New Roman" w:cs="Times New Roman"/>
          <w:sz w:val="24"/>
        </w:rPr>
        <w:t>)</w:t>
      </w:r>
      <w:r w:rsidR="00446BEC">
        <w:rPr>
          <w:rFonts w:ascii="Times New Roman" w:hAnsi="Times New Roman" w:cs="Times New Roman"/>
          <w:sz w:val="24"/>
        </w:rPr>
        <w:t xml:space="preserve"> reported persistence of atrazine to be longer when higher rates were applied in the field.  Finally, Gupta and </w:t>
      </w:r>
      <w:proofErr w:type="spellStart"/>
      <w:r w:rsidR="00446BEC">
        <w:rPr>
          <w:rFonts w:ascii="Times New Roman" w:hAnsi="Times New Roman" w:cs="Times New Roman"/>
          <w:sz w:val="24"/>
        </w:rPr>
        <w:t>Gajbhiye</w:t>
      </w:r>
      <w:proofErr w:type="spellEnd"/>
      <w:r w:rsidR="00446BEC">
        <w:rPr>
          <w:rFonts w:ascii="Times New Roman" w:hAnsi="Times New Roman" w:cs="Times New Roman"/>
          <w:sz w:val="24"/>
        </w:rPr>
        <w:t xml:space="preserve"> (2002) reported flufenacet persisted longer at higher than lower rates and dissipation was faster with the lower rate.</w:t>
      </w:r>
    </w:p>
    <w:p w14:paraId="416F6B01" w14:textId="66428A52" w:rsidR="002E1AEF" w:rsidRDefault="002E1AEF" w:rsidP="00484E16">
      <w:pPr>
        <w:spacing w:line="480" w:lineRule="auto"/>
        <w:ind w:firstLine="720"/>
        <w:jc w:val="both"/>
        <w:rPr>
          <w:rFonts w:ascii="Times New Roman" w:hAnsi="Times New Roman" w:cs="Times New Roman"/>
          <w:sz w:val="24"/>
        </w:rPr>
      </w:pPr>
      <w:r>
        <w:rPr>
          <w:rFonts w:ascii="Times New Roman" w:hAnsi="Times New Roman" w:cs="Times New Roman"/>
          <w:sz w:val="24"/>
        </w:rPr>
        <w:t>Pesticide fate models have been increasing in popularity since their introd</w:t>
      </w:r>
      <w:r w:rsidR="00416F73">
        <w:rPr>
          <w:rFonts w:ascii="Times New Roman" w:hAnsi="Times New Roman" w:cs="Times New Roman"/>
          <w:sz w:val="24"/>
        </w:rPr>
        <w:t>uction in the latter part of 20</w:t>
      </w:r>
      <w:r w:rsidR="00416F73" w:rsidRPr="00416F73">
        <w:rPr>
          <w:rFonts w:ascii="Times New Roman" w:hAnsi="Times New Roman" w:cs="Times New Roman"/>
          <w:sz w:val="24"/>
          <w:vertAlign w:val="superscript"/>
        </w:rPr>
        <w:t>th</w:t>
      </w:r>
      <w:r w:rsidR="00416F73">
        <w:rPr>
          <w:rFonts w:ascii="Times New Roman" w:hAnsi="Times New Roman" w:cs="Times New Roman"/>
          <w:sz w:val="24"/>
        </w:rPr>
        <w:t xml:space="preserve"> century.  </w:t>
      </w:r>
      <w:r w:rsidR="00E95D46">
        <w:rPr>
          <w:rFonts w:ascii="Times New Roman" w:hAnsi="Times New Roman" w:cs="Times New Roman"/>
          <w:sz w:val="24"/>
        </w:rPr>
        <w:t xml:space="preserve">There have been many attempts to validate herbicide fate models with field data.  </w:t>
      </w:r>
      <w:r w:rsidR="00F54F29">
        <w:rPr>
          <w:rFonts w:ascii="Times New Roman" w:hAnsi="Times New Roman" w:cs="Times New Roman"/>
          <w:sz w:val="24"/>
        </w:rPr>
        <w:t>Some validations have been fairly accurate while others would over</w:t>
      </w:r>
      <w:r w:rsidR="00A27D60">
        <w:rPr>
          <w:rFonts w:ascii="Times New Roman" w:hAnsi="Times New Roman" w:cs="Times New Roman"/>
          <w:sz w:val="24"/>
        </w:rPr>
        <w:t>/under</w:t>
      </w:r>
      <w:r w:rsidR="00F54F29">
        <w:rPr>
          <w:rFonts w:ascii="Times New Roman" w:hAnsi="Times New Roman" w:cs="Times New Roman"/>
          <w:sz w:val="24"/>
        </w:rPr>
        <w:t xml:space="preserve"> predict certain parameters</w:t>
      </w:r>
      <w:r w:rsidR="000223C5">
        <w:rPr>
          <w:rFonts w:ascii="Times New Roman" w:hAnsi="Times New Roman" w:cs="Times New Roman"/>
          <w:sz w:val="24"/>
        </w:rPr>
        <w:t xml:space="preserve">.  For instance, </w:t>
      </w:r>
      <w:proofErr w:type="spellStart"/>
      <w:r w:rsidR="000223C5">
        <w:rPr>
          <w:rFonts w:ascii="Times New Roman" w:hAnsi="Times New Roman" w:cs="Times New Roman"/>
          <w:sz w:val="24"/>
        </w:rPr>
        <w:t>Carsel</w:t>
      </w:r>
      <w:proofErr w:type="spellEnd"/>
      <w:r w:rsidR="000223C5">
        <w:rPr>
          <w:rFonts w:ascii="Times New Roman" w:hAnsi="Times New Roman" w:cs="Times New Roman"/>
          <w:sz w:val="24"/>
        </w:rPr>
        <w:t xml:space="preserve"> et al. (1985) reported PRZM model was successful at predicting aldicarb</w:t>
      </w:r>
      <w:r w:rsidR="00A27D60">
        <w:rPr>
          <w:rFonts w:ascii="Times New Roman" w:hAnsi="Times New Roman" w:cs="Times New Roman"/>
          <w:sz w:val="24"/>
        </w:rPr>
        <w:t xml:space="preserve"> fate</w:t>
      </w:r>
      <w:r w:rsidR="000223C5">
        <w:rPr>
          <w:rFonts w:ascii="Times New Roman" w:hAnsi="Times New Roman" w:cs="Times New Roman"/>
          <w:sz w:val="24"/>
        </w:rPr>
        <w:t xml:space="preserve"> </w:t>
      </w:r>
      <w:r w:rsidR="00A27D60">
        <w:rPr>
          <w:rFonts w:ascii="Times New Roman" w:hAnsi="Times New Roman" w:cs="Times New Roman"/>
          <w:sz w:val="24"/>
        </w:rPr>
        <w:t>using</w:t>
      </w:r>
      <w:r w:rsidR="000223C5">
        <w:rPr>
          <w:rFonts w:ascii="Times New Roman" w:hAnsi="Times New Roman" w:cs="Times New Roman"/>
          <w:sz w:val="24"/>
        </w:rPr>
        <w:t xml:space="preserve"> field site data </w:t>
      </w:r>
      <w:r w:rsidR="00A27D60">
        <w:rPr>
          <w:rFonts w:ascii="Times New Roman" w:hAnsi="Times New Roman" w:cs="Times New Roman"/>
          <w:sz w:val="24"/>
        </w:rPr>
        <w:t>from</w:t>
      </w:r>
      <w:r w:rsidR="000223C5">
        <w:rPr>
          <w:rFonts w:ascii="Times New Roman" w:hAnsi="Times New Roman" w:cs="Times New Roman"/>
          <w:sz w:val="24"/>
        </w:rPr>
        <w:t xml:space="preserve"> three states</w:t>
      </w:r>
      <w:r w:rsidR="00A27D60">
        <w:rPr>
          <w:rFonts w:ascii="Times New Roman" w:hAnsi="Times New Roman" w:cs="Times New Roman"/>
          <w:sz w:val="24"/>
        </w:rPr>
        <w:t xml:space="preserve">.  </w:t>
      </w:r>
      <w:r w:rsidR="00484E16">
        <w:rPr>
          <w:rFonts w:ascii="Times New Roman" w:hAnsi="Times New Roman" w:cs="Times New Roman"/>
          <w:sz w:val="24"/>
        </w:rPr>
        <w:t xml:space="preserve">Pesticide runoff models could be fairly accurate and in good use when applying in arid regions where sprinkler irrigation is the main water source, but could be inaccurate when predicting where flood irrigation is used (Zhang and Goh 2015).  </w:t>
      </w:r>
      <w:r w:rsidR="009071D3">
        <w:rPr>
          <w:rFonts w:ascii="Times New Roman" w:hAnsi="Times New Roman" w:cs="Times New Roman"/>
          <w:sz w:val="24"/>
        </w:rPr>
        <w:t xml:space="preserve">Conversely, different herbicide concentrations and later model predictions seemed to be problematic </w:t>
      </w:r>
      <w:r w:rsidR="00346242">
        <w:rPr>
          <w:rFonts w:ascii="Times New Roman" w:hAnsi="Times New Roman" w:cs="Times New Roman"/>
          <w:sz w:val="24"/>
        </w:rPr>
        <w:t>when trying to predict herbicide soil profile movement (Mueller et al. 1992, William et al. 1999)</w:t>
      </w:r>
      <w:r w:rsidR="00BA4D16">
        <w:rPr>
          <w:rFonts w:ascii="Times New Roman" w:hAnsi="Times New Roman" w:cs="Times New Roman"/>
          <w:sz w:val="24"/>
        </w:rPr>
        <w:t xml:space="preserve">.  Furthermore, </w:t>
      </w:r>
      <w:r w:rsidR="009025E5">
        <w:rPr>
          <w:rFonts w:ascii="Times New Roman" w:hAnsi="Times New Roman" w:cs="Times New Roman"/>
          <w:sz w:val="24"/>
        </w:rPr>
        <w:t xml:space="preserve">even trying to change parameters to match field settings, some herbicides still could not be accurately modeled where </w:t>
      </w:r>
      <w:proofErr w:type="spellStart"/>
      <w:r w:rsidR="009025E5">
        <w:rPr>
          <w:rFonts w:ascii="Times New Roman" w:hAnsi="Times New Roman" w:cs="Times New Roman"/>
          <w:sz w:val="24"/>
        </w:rPr>
        <w:t>bentazon</w:t>
      </w:r>
      <w:proofErr w:type="spellEnd"/>
      <w:r w:rsidR="009025E5">
        <w:rPr>
          <w:rFonts w:ascii="Times New Roman" w:hAnsi="Times New Roman" w:cs="Times New Roman"/>
          <w:sz w:val="24"/>
        </w:rPr>
        <w:t xml:space="preserve"> </w:t>
      </w:r>
      <w:r w:rsidR="00982413">
        <w:rPr>
          <w:rFonts w:ascii="Times New Roman" w:hAnsi="Times New Roman" w:cs="Times New Roman"/>
          <w:sz w:val="24"/>
        </w:rPr>
        <w:t xml:space="preserve">field data </w:t>
      </w:r>
      <w:r w:rsidR="009025E5">
        <w:rPr>
          <w:rFonts w:ascii="Times New Roman" w:hAnsi="Times New Roman" w:cs="Times New Roman"/>
          <w:sz w:val="24"/>
        </w:rPr>
        <w:t xml:space="preserve">would agree, but </w:t>
      </w:r>
      <w:proofErr w:type="spellStart"/>
      <w:r w:rsidR="009025E5">
        <w:rPr>
          <w:rFonts w:ascii="Times New Roman" w:hAnsi="Times New Roman" w:cs="Times New Roman"/>
          <w:sz w:val="24"/>
        </w:rPr>
        <w:t>dichlorprop</w:t>
      </w:r>
      <w:proofErr w:type="spellEnd"/>
      <w:r w:rsidR="00982413">
        <w:rPr>
          <w:rFonts w:ascii="Times New Roman" w:hAnsi="Times New Roman" w:cs="Times New Roman"/>
          <w:sz w:val="24"/>
        </w:rPr>
        <w:t xml:space="preserve"> field data</w:t>
      </w:r>
      <w:r w:rsidR="009025E5">
        <w:rPr>
          <w:rFonts w:ascii="Times New Roman" w:hAnsi="Times New Roman" w:cs="Times New Roman"/>
          <w:sz w:val="24"/>
        </w:rPr>
        <w:t xml:space="preserve"> disagreed, as reported by Mueller (1994).</w:t>
      </w:r>
      <w:r w:rsidR="00D31A13">
        <w:rPr>
          <w:rFonts w:ascii="Times New Roman" w:hAnsi="Times New Roman" w:cs="Times New Roman"/>
          <w:sz w:val="24"/>
        </w:rPr>
        <w:t xml:space="preserve">  Lastly, calculated DT50s are commonly used as inputs for modeling, but there is no standard to derive these values.  </w:t>
      </w:r>
      <w:r w:rsidR="00B30B44">
        <w:rPr>
          <w:rFonts w:ascii="Times New Roman" w:hAnsi="Times New Roman" w:cs="Times New Roman"/>
          <w:sz w:val="24"/>
        </w:rPr>
        <w:t xml:space="preserve">Initial concentrations and data transformations can manipulate DT50s which will affect the model </w:t>
      </w:r>
      <w:r w:rsidR="00B30B44">
        <w:rPr>
          <w:rFonts w:ascii="Times New Roman" w:hAnsi="Times New Roman" w:cs="Times New Roman"/>
          <w:sz w:val="24"/>
        </w:rPr>
        <w:lastRenderedPageBreak/>
        <w:t>(</w:t>
      </w:r>
      <w:proofErr w:type="spellStart"/>
      <w:r w:rsidR="00B30B44">
        <w:rPr>
          <w:rFonts w:ascii="Times New Roman" w:hAnsi="Times New Roman" w:cs="Times New Roman"/>
          <w:sz w:val="24"/>
        </w:rPr>
        <w:t>Beulke</w:t>
      </w:r>
      <w:proofErr w:type="spellEnd"/>
      <w:r w:rsidR="00B30B44">
        <w:rPr>
          <w:rFonts w:ascii="Times New Roman" w:hAnsi="Times New Roman" w:cs="Times New Roman"/>
          <w:sz w:val="24"/>
        </w:rPr>
        <w:t xml:space="preserve"> and Brown 2001).  </w:t>
      </w:r>
      <w:r w:rsidR="009B4765">
        <w:rPr>
          <w:rFonts w:ascii="Times New Roman" w:hAnsi="Times New Roman" w:cs="Times New Roman"/>
          <w:sz w:val="24"/>
        </w:rPr>
        <w:t>Jackson (2003) reported different DT50s derived from the same data can vary in the PRZM-3 model</w:t>
      </w:r>
      <w:r w:rsidR="001D25B3">
        <w:rPr>
          <w:rFonts w:ascii="Times New Roman" w:hAnsi="Times New Roman" w:cs="Times New Roman"/>
          <w:sz w:val="24"/>
        </w:rPr>
        <w:t xml:space="preserve"> and overall,</w:t>
      </w:r>
      <w:r w:rsidR="009B4765">
        <w:rPr>
          <w:rFonts w:ascii="Times New Roman" w:hAnsi="Times New Roman" w:cs="Times New Roman"/>
          <w:sz w:val="24"/>
        </w:rPr>
        <w:t xml:space="preserve"> the shortest DT50 fit the model best.</w:t>
      </w:r>
    </w:p>
    <w:p w14:paraId="0A5C2D3D" w14:textId="6291CC01" w:rsidR="00E03E3F" w:rsidRDefault="00E03E3F" w:rsidP="007E69A1">
      <w:pPr>
        <w:pStyle w:val="Heading2"/>
        <w:spacing w:after="160" w:line="480" w:lineRule="auto"/>
        <w:rPr>
          <w:rFonts w:ascii="Times New Roman" w:hAnsi="Times New Roman" w:cs="Times New Roman"/>
          <w:b/>
          <w:color w:val="000000" w:themeColor="text1"/>
          <w:sz w:val="24"/>
        </w:rPr>
      </w:pPr>
      <w:bookmarkStart w:id="9" w:name="_Toc99089483"/>
      <w:r w:rsidRPr="00EC3EE6">
        <w:rPr>
          <w:rFonts w:ascii="Times New Roman" w:hAnsi="Times New Roman" w:cs="Times New Roman"/>
          <w:b/>
          <w:color w:val="000000" w:themeColor="text1"/>
          <w:sz w:val="24"/>
        </w:rPr>
        <w:t>Materials and Methods</w:t>
      </w:r>
      <w:bookmarkEnd w:id="9"/>
    </w:p>
    <w:p w14:paraId="0E4C1F94" w14:textId="77777777" w:rsidR="00EC3EE6" w:rsidRPr="00EC3EE6" w:rsidRDefault="00EC3EE6" w:rsidP="00EC3EE6">
      <w:pPr>
        <w:spacing w:after="0"/>
      </w:pPr>
    </w:p>
    <w:p w14:paraId="0D4037D5" w14:textId="609F1CC8" w:rsidR="00E03E3F" w:rsidRPr="009178AB" w:rsidRDefault="00E03E3F" w:rsidP="00E03E3F">
      <w:pPr>
        <w:spacing w:line="480" w:lineRule="auto"/>
        <w:rPr>
          <w:rFonts w:ascii="Times New Roman" w:hAnsi="Times New Roman" w:cs="Times New Roman"/>
          <w:b/>
          <w:i/>
          <w:sz w:val="24"/>
        </w:rPr>
      </w:pPr>
      <w:r w:rsidRPr="009178AB">
        <w:rPr>
          <w:rFonts w:ascii="Times New Roman" w:hAnsi="Times New Roman" w:cs="Times New Roman"/>
          <w:b/>
          <w:i/>
          <w:sz w:val="24"/>
        </w:rPr>
        <w:t xml:space="preserve">Field </w:t>
      </w:r>
      <w:r w:rsidR="005818A7">
        <w:rPr>
          <w:rFonts w:ascii="Times New Roman" w:hAnsi="Times New Roman" w:cs="Times New Roman"/>
          <w:b/>
          <w:i/>
          <w:sz w:val="24"/>
        </w:rPr>
        <w:t>Dissipation</w:t>
      </w:r>
    </w:p>
    <w:p w14:paraId="73AAA278" w14:textId="14DC20A6" w:rsidR="00E03E3F" w:rsidRDefault="00E03E3F" w:rsidP="00E03E3F">
      <w:pPr>
        <w:spacing w:line="480" w:lineRule="auto"/>
        <w:ind w:firstLine="720"/>
        <w:jc w:val="both"/>
        <w:rPr>
          <w:rFonts w:ascii="Times New Roman" w:hAnsi="Times New Roman" w:cs="Times New Roman"/>
          <w:sz w:val="24"/>
        </w:rPr>
      </w:pPr>
      <w:r>
        <w:rPr>
          <w:rFonts w:ascii="Times New Roman" w:hAnsi="Times New Roman" w:cs="Times New Roman"/>
          <w:sz w:val="24"/>
        </w:rPr>
        <w:t>Field experiments were conducted over 2019</w:t>
      </w:r>
      <w:r w:rsidR="0071525B">
        <w:rPr>
          <w:rFonts w:ascii="Times New Roman" w:hAnsi="Times New Roman" w:cs="Times New Roman"/>
          <w:sz w:val="24"/>
        </w:rPr>
        <w:t xml:space="preserve">, </w:t>
      </w:r>
      <w:r>
        <w:rPr>
          <w:rFonts w:ascii="Times New Roman" w:hAnsi="Times New Roman" w:cs="Times New Roman"/>
          <w:sz w:val="24"/>
        </w:rPr>
        <w:t>2020</w:t>
      </w:r>
      <w:r w:rsidR="0071525B">
        <w:rPr>
          <w:rFonts w:ascii="Times New Roman" w:hAnsi="Times New Roman" w:cs="Times New Roman"/>
          <w:sz w:val="24"/>
        </w:rPr>
        <w:t>, and 2021</w:t>
      </w:r>
      <w:r>
        <w:rPr>
          <w:rFonts w:ascii="Times New Roman" w:hAnsi="Times New Roman" w:cs="Times New Roman"/>
          <w:sz w:val="24"/>
        </w:rPr>
        <w:t xml:space="preserve"> at the East Tennessee Research and Extension Center in Knoxville, Tennessee.  </w:t>
      </w:r>
      <w:r w:rsidR="00F37FCF">
        <w:rPr>
          <w:rFonts w:ascii="Times New Roman" w:hAnsi="Times New Roman" w:cs="Times New Roman"/>
          <w:sz w:val="24"/>
        </w:rPr>
        <w:t>Locations had no previous residual herbicide use for several years and were previously planted to soybean (</w:t>
      </w:r>
      <w:r w:rsidR="00C15D15">
        <w:rPr>
          <w:rFonts w:ascii="Times New Roman" w:hAnsi="Times New Roman" w:cs="Times New Roman"/>
          <w:sz w:val="24"/>
        </w:rPr>
        <w:t xml:space="preserve">TC </w:t>
      </w:r>
      <w:r w:rsidR="00F37FCF">
        <w:rPr>
          <w:rFonts w:ascii="Times New Roman" w:hAnsi="Times New Roman" w:cs="Times New Roman"/>
          <w:sz w:val="24"/>
        </w:rPr>
        <w:t>Mueller</w:t>
      </w:r>
      <w:r w:rsidR="00C15D15">
        <w:rPr>
          <w:rFonts w:ascii="Times New Roman" w:hAnsi="Times New Roman" w:cs="Times New Roman"/>
          <w:sz w:val="24"/>
        </w:rPr>
        <w:t>,</w:t>
      </w:r>
      <w:r w:rsidR="00F37FCF">
        <w:rPr>
          <w:rFonts w:ascii="Times New Roman" w:hAnsi="Times New Roman" w:cs="Times New Roman"/>
          <w:sz w:val="24"/>
        </w:rPr>
        <w:t xml:space="preserve"> </w:t>
      </w:r>
      <w:r w:rsidR="00C15D15">
        <w:rPr>
          <w:rFonts w:ascii="Times New Roman" w:hAnsi="Times New Roman" w:cs="Times New Roman"/>
          <w:sz w:val="24"/>
        </w:rPr>
        <w:t>p</w:t>
      </w:r>
      <w:r w:rsidR="00F37FCF">
        <w:rPr>
          <w:rFonts w:ascii="Times New Roman" w:hAnsi="Times New Roman" w:cs="Times New Roman"/>
          <w:sz w:val="24"/>
        </w:rPr>
        <w:t xml:space="preserve">ersonal </w:t>
      </w:r>
      <w:r w:rsidR="00C15D15">
        <w:rPr>
          <w:rFonts w:ascii="Times New Roman" w:hAnsi="Times New Roman" w:cs="Times New Roman"/>
          <w:sz w:val="24"/>
        </w:rPr>
        <w:t>c</w:t>
      </w:r>
      <w:r w:rsidR="00C521AE">
        <w:rPr>
          <w:rFonts w:ascii="Times New Roman" w:hAnsi="Times New Roman" w:cs="Times New Roman"/>
          <w:sz w:val="24"/>
        </w:rPr>
        <w:t>ommunication</w:t>
      </w:r>
      <w:r w:rsidR="00F37FCF">
        <w:rPr>
          <w:rFonts w:ascii="Times New Roman" w:hAnsi="Times New Roman" w:cs="Times New Roman"/>
          <w:sz w:val="24"/>
        </w:rPr>
        <w:t xml:space="preserve">).  </w:t>
      </w:r>
      <w:r w:rsidR="00EC616E" w:rsidRPr="00EC616E">
        <w:rPr>
          <w:rFonts w:ascii="Times New Roman" w:hAnsi="Times New Roman" w:cs="Times New Roman"/>
          <w:sz w:val="24"/>
        </w:rPr>
        <w:t>A tandem disk harrow was used to ensure soil surface uniformity of trial area prior to initiation.</w:t>
      </w:r>
      <w:r w:rsidR="00EC616E">
        <w:rPr>
          <w:rFonts w:ascii="Times New Roman" w:hAnsi="Times New Roman" w:cs="Times New Roman"/>
          <w:sz w:val="24"/>
        </w:rPr>
        <w:t xml:space="preserve">  </w:t>
      </w:r>
      <w:r>
        <w:rPr>
          <w:rFonts w:ascii="Times New Roman" w:hAnsi="Times New Roman" w:cs="Times New Roman"/>
          <w:sz w:val="24"/>
        </w:rPr>
        <w:t xml:space="preserve">Field plots were in a Shady-Whitwell complex with a pH of 5.3, CEC of 10.7 </w:t>
      </w:r>
      <w:proofErr w:type="spellStart"/>
      <w:r>
        <w:rPr>
          <w:rFonts w:ascii="Times New Roman" w:hAnsi="Times New Roman" w:cs="Times New Roman"/>
          <w:sz w:val="24"/>
        </w:rPr>
        <w:t>meq</w:t>
      </w:r>
      <w:proofErr w:type="spellEnd"/>
      <w:r>
        <w:rPr>
          <w:rFonts w:ascii="Times New Roman" w:hAnsi="Times New Roman" w:cs="Times New Roman"/>
          <w:sz w:val="24"/>
        </w:rPr>
        <w:t>/100g, and OM content of 2.7% (NRCS 2021).  Paraquat</w:t>
      </w:r>
      <w:r w:rsidR="000A43D4">
        <w:rPr>
          <w:rFonts w:ascii="Times New Roman" w:hAnsi="Times New Roman" w:cs="Times New Roman"/>
          <w:sz w:val="24"/>
        </w:rPr>
        <w:t xml:space="preserve"> (</w:t>
      </w:r>
      <w:proofErr w:type="spellStart"/>
      <w:r w:rsidR="000A43D4">
        <w:rPr>
          <w:rFonts w:ascii="Times New Roman" w:hAnsi="Times New Roman" w:cs="Times New Roman"/>
          <w:sz w:val="24"/>
        </w:rPr>
        <w:t>Gramoxone</w:t>
      </w:r>
      <w:proofErr w:type="spellEnd"/>
      <w:r w:rsidR="000A43D4">
        <w:rPr>
          <w:rFonts w:ascii="Times New Roman" w:hAnsi="Times New Roman" w:cs="Times New Roman"/>
          <w:sz w:val="24"/>
          <w:vertAlign w:val="superscript"/>
        </w:rPr>
        <w:t>®</w:t>
      </w:r>
      <w:r w:rsidR="000A43D4">
        <w:rPr>
          <w:rFonts w:ascii="Times New Roman" w:hAnsi="Times New Roman" w:cs="Times New Roman"/>
          <w:sz w:val="24"/>
        </w:rPr>
        <w:t xml:space="preserve"> SL 2.0, Syngenta Crop Protection, LLC)</w:t>
      </w:r>
      <w:r>
        <w:rPr>
          <w:rFonts w:ascii="Times New Roman" w:hAnsi="Times New Roman" w:cs="Times New Roman"/>
          <w:sz w:val="24"/>
        </w:rPr>
        <w:t xml:space="preserve"> was applied as a burndown to desiccate any plant material, and was also used to maintain vegetation free plots throughout study duration.  </w:t>
      </w:r>
      <w:r w:rsidR="00EC616E">
        <w:rPr>
          <w:rFonts w:ascii="Times New Roman" w:hAnsi="Times New Roman" w:cs="Times New Roman"/>
          <w:sz w:val="24"/>
        </w:rPr>
        <w:t>P</w:t>
      </w:r>
      <w:r>
        <w:rPr>
          <w:rFonts w:ascii="Times New Roman" w:hAnsi="Times New Roman" w:cs="Times New Roman"/>
          <w:sz w:val="24"/>
        </w:rPr>
        <w:t xml:space="preserve">lots </w:t>
      </w:r>
      <w:r w:rsidR="00EC616E">
        <w:rPr>
          <w:rFonts w:ascii="Times New Roman" w:hAnsi="Times New Roman" w:cs="Times New Roman"/>
          <w:sz w:val="24"/>
        </w:rPr>
        <w:t>were</w:t>
      </w:r>
      <w:r>
        <w:rPr>
          <w:rFonts w:ascii="Times New Roman" w:hAnsi="Times New Roman" w:cs="Times New Roman"/>
          <w:sz w:val="24"/>
        </w:rPr>
        <w:t xml:space="preserve"> maintain</w:t>
      </w:r>
      <w:r w:rsidR="00EC616E">
        <w:rPr>
          <w:rFonts w:ascii="Times New Roman" w:hAnsi="Times New Roman" w:cs="Times New Roman"/>
          <w:sz w:val="24"/>
        </w:rPr>
        <w:t>ed</w:t>
      </w:r>
      <w:r w:rsidR="00995E26">
        <w:rPr>
          <w:rFonts w:ascii="Times New Roman" w:hAnsi="Times New Roman" w:cs="Times New Roman"/>
          <w:sz w:val="24"/>
        </w:rPr>
        <w:t xml:space="preserve"> </w:t>
      </w:r>
      <w:r w:rsidR="00EC616E">
        <w:rPr>
          <w:rFonts w:ascii="Times New Roman" w:hAnsi="Times New Roman" w:cs="Times New Roman"/>
          <w:sz w:val="24"/>
        </w:rPr>
        <w:t xml:space="preserve">with no vegetation </w:t>
      </w:r>
      <w:r>
        <w:rPr>
          <w:rFonts w:ascii="Times New Roman" w:hAnsi="Times New Roman" w:cs="Times New Roman"/>
          <w:sz w:val="24"/>
        </w:rPr>
        <w:t xml:space="preserve">to inhibit interference with sample collection as </w:t>
      </w:r>
      <w:r w:rsidR="00995E26">
        <w:rPr>
          <w:rFonts w:ascii="Times New Roman" w:hAnsi="Times New Roman" w:cs="Times New Roman"/>
          <w:sz w:val="24"/>
        </w:rPr>
        <w:t xml:space="preserve">previously </w:t>
      </w:r>
      <w:r>
        <w:rPr>
          <w:rFonts w:ascii="Times New Roman" w:hAnsi="Times New Roman" w:cs="Times New Roman"/>
          <w:sz w:val="24"/>
        </w:rPr>
        <w:t>suggested</w:t>
      </w:r>
      <w:r w:rsidR="00995E26">
        <w:rPr>
          <w:rFonts w:ascii="Times New Roman" w:hAnsi="Times New Roman" w:cs="Times New Roman"/>
          <w:sz w:val="24"/>
        </w:rPr>
        <w:t xml:space="preserve"> (</w:t>
      </w:r>
      <w:r>
        <w:rPr>
          <w:rFonts w:ascii="Times New Roman" w:hAnsi="Times New Roman" w:cs="Times New Roman"/>
          <w:sz w:val="24"/>
        </w:rPr>
        <w:t>Mueller and Senseman 2015</w:t>
      </w:r>
      <w:r w:rsidR="00995E26">
        <w:rPr>
          <w:rFonts w:ascii="Times New Roman" w:hAnsi="Times New Roman" w:cs="Times New Roman"/>
          <w:sz w:val="24"/>
        </w:rPr>
        <w:t>, Gallaher and Mueller 1996)</w:t>
      </w:r>
      <w:r>
        <w:rPr>
          <w:rFonts w:ascii="Times New Roman" w:hAnsi="Times New Roman" w:cs="Times New Roman"/>
          <w:sz w:val="24"/>
        </w:rPr>
        <w:t>.</w:t>
      </w:r>
      <w:r w:rsidR="00BB5515">
        <w:rPr>
          <w:rFonts w:ascii="Times New Roman" w:hAnsi="Times New Roman" w:cs="Times New Roman"/>
          <w:sz w:val="24"/>
        </w:rPr>
        <w:t xml:space="preserve">  Soils were analyzed before the start of the studies to ensure no previous herbicide residue was detected.</w:t>
      </w:r>
    </w:p>
    <w:p w14:paraId="7427C95B" w14:textId="64AF5F01" w:rsidR="00E03E3F" w:rsidRPr="00011D14" w:rsidRDefault="00EC616E" w:rsidP="00E03E3F">
      <w:pPr>
        <w:spacing w:line="480" w:lineRule="auto"/>
        <w:ind w:firstLine="720"/>
        <w:jc w:val="both"/>
        <w:rPr>
          <w:rFonts w:ascii="Times New Roman" w:hAnsi="Times New Roman" w:cs="Times New Roman"/>
          <w:sz w:val="24"/>
        </w:rPr>
      </w:pPr>
      <w:r>
        <w:rPr>
          <w:rFonts w:ascii="Times New Roman" w:hAnsi="Times New Roman" w:cs="Times New Roman"/>
          <w:sz w:val="24"/>
        </w:rPr>
        <w:t>Individual p</w:t>
      </w:r>
      <w:r w:rsidR="00E03E3F">
        <w:rPr>
          <w:rFonts w:ascii="Times New Roman" w:hAnsi="Times New Roman" w:cs="Times New Roman"/>
          <w:sz w:val="24"/>
        </w:rPr>
        <w:t xml:space="preserve">lot sizes measured 3 m wide x 12 m in length with 1 m buffer between treated areas.  </w:t>
      </w:r>
      <w:r w:rsidR="00931153">
        <w:rPr>
          <w:rFonts w:ascii="Times New Roman" w:hAnsi="Times New Roman" w:cs="Times New Roman"/>
          <w:sz w:val="24"/>
        </w:rPr>
        <w:t>Treatments were applied in May</w:t>
      </w:r>
      <w:r w:rsidR="00995E26">
        <w:rPr>
          <w:rFonts w:ascii="Times New Roman" w:hAnsi="Times New Roman" w:cs="Times New Roman"/>
          <w:sz w:val="24"/>
        </w:rPr>
        <w:t xml:space="preserve"> </w:t>
      </w:r>
      <w:r w:rsidR="00931153">
        <w:rPr>
          <w:rFonts w:ascii="Times New Roman" w:hAnsi="Times New Roman" w:cs="Times New Roman"/>
          <w:sz w:val="24"/>
        </w:rPr>
        <w:t xml:space="preserve">on both studies to coincide with normal preemergent application timings in cropping systems for this region.  </w:t>
      </w:r>
      <w:r w:rsidR="00E03E3F">
        <w:rPr>
          <w:rFonts w:ascii="Times New Roman" w:hAnsi="Times New Roman" w:cs="Times New Roman"/>
          <w:sz w:val="24"/>
        </w:rPr>
        <w:t>All treatments were applied using a CO</w:t>
      </w:r>
      <w:r w:rsidR="00E03E3F" w:rsidRPr="00011D14">
        <w:rPr>
          <w:rFonts w:ascii="Times New Roman" w:hAnsi="Times New Roman" w:cs="Times New Roman"/>
          <w:sz w:val="24"/>
          <w:vertAlign w:val="subscript"/>
        </w:rPr>
        <w:t>2</w:t>
      </w:r>
      <w:r w:rsidR="00E03E3F">
        <w:rPr>
          <w:rFonts w:ascii="Times New Roman" w:hAnsi="Times New Roman" w:cs="Times New Roman"/>
          <w:sz w:val="24"/>
        </w:rPr>
        <w:t xml:space="preserve"> pressurized backpack sprayer calibrated to deliver 187 L/ha</w:t>
      </w:r>
      <w:r w:rsidR="00E03E3F">
        <w:rPr>
          <w:rFonts w:ascii="Times New Roman" w:hAnsi="Times New Roman" w:cs="Times New Roman"/>
          <w:sz w:val="24"/>
          <w:vertAlign w:val="superscript"/>
        </w:rPr>
        <w:t>-1</w:t>
      </w:r>
      <w:r w:rsidR="00E03E3F">
        <w:rPr>
          <w:rFonts w:ascii="Times New Roman" w:hAnsi="Times New Roman" w:cs="Times New Roman"/>
          <w:sz w:val="24"/>
        </w:rPr>
        <w:t xml:space="preserve"> at 276 kPa.  The spray boom was 3 m wide and equipped with Tee Jet 8002 Flat Fan nozzles on 0.5 m centers.  Sprayer nozzles were approximately 0.75 m above</w:t>
      </w:r>
      <w:r w:rsidR="00D5721C">
        <w:rPr>
          <w:rFonts w:ascii="Times New Roman" w:hAnsi="Times New Roman" w:cs="Times New Roman"/>
          <w:sz w:val="24"/>
        </w:rPr>
        <w:t xml:space="preserve"> and vertically orientated to</w:t>
      </w:r>
      <w:r w:rsidR="00E03E3F">
        <w:rPr>
          <w:rFonts w:ascii="Times New Roman" w:hAnsi="Times New Roman" w:cs="Times New Roman"/>
          <w:sz w:val="24"/>
        </w:rPr>
        <w:t xml:space="preserve"> the soil surface to ensure proper overlap of spray pattern.  Additionally, to further facilitate uniform application, herbicides were mixed at </w:t>
      </w:r>
      <w:r w:rsidR="00E03E3F">
        <w:rPr>
          <w:rFonts w:ascii="Times New Roman" w:hAnsi="Times New Roman" w:cs="Times New Roman"/>
          <w:sz w:val="24"/>
        </w:rPr>
        <w:lastRenderedPageBreak/>
        <w:t xml:space="preserve">(½) one half the applied rate and broadcast on each plot twice, spraying in opposite directions.  </w:t>
      </w:r>
      <w:r w:rsidR="00E03E3F" w:rsidRPr="00700883">
        <w:rPr>
          <w:rFonts w:ascii="Times New Roman" w:hAnsi="Times New Roman" w:cs="Times New Roman"/>
          <w:sz w:val="24"/>
        </w:rPr>
        <w:t xml:space="preserve">The application technique of two (2) applications per plot </w:t>
      </w:r>
      <w:r w:rsidR="00995E26">
        <w:rPr>
          <w:rFonts w:ascii="Times New Roman" w:hAnsi="Times New Roman" w:cs="Times New Roman"/>
          <w:sz w:val="24"/>
        </w:rPr>
        <w:t>encouraged</w:t>
      </w:r>
      <w:r w:rsidR="00E03E3F" w:rsidRPr="00700883">
        <w:rPr>
          <w:rFonts w:ascii="Times New Roman" w:hAnsi="Times New Roman" w:cs="Times New Roman"/>
          <w:sz w:val="24"/>
        </w:rPr>
        <w:t xml:space="preserve"> uniform distribution of test material and continuity of spray solution by thorough agitation of each mix</w:t>
      </w:r>
      <w:r w:rsidR="00E03E3F">
        <w:rPr>
          <w:rFonts w:ascii="Times New Roman" w:hAnsi="Times New Roman" w:cs="Times New Roman"/>
          <w:sz w:val="24"/>
        </w:rPr>
        <w:t>.</w:t>
      </w:r>
      <w:r w:rsidR="00EA6DAA">
        <w:rPr>
          <w:rFonts w:ascii="Times New Roman" w:hAnsi="Times New Roman" w:cs="Times New Roman"/>
          <w:sz w:val="24"/>
        </w:rPr>
        <w:t xml:space="preserve">  Considering th</w:t>
      </w:r>
      <w:r w:rsidR="00995E26">
        <w:rPr>
          <w:rFonts w:ascii="Times New Roman" w:hAnsi="Times New Roman" w:cs="Times New Roman"/>
          <w:sz w:val="24"/>
        </w:rPr>
        <w:t>at some</w:t>
      </w:r>
      <w:r w:rsidR="00EA6DAA">
        <w:rPr>
          <w:rFonts w:ascii="Times New Roman" w:hAnsi="Times New Roman" w:cs="Times New Roman"/>
          <w:sz w:val="24"/>
        </w:rPr>
        <w:t xml:space="preserve"> treatment concentrations were high, </w:t>
      </w:r>
      <w:r w:rsidR="00861398">
        <w:rPr>
          <w:rFonts w:ascii="Times New Roman" w:hAnsi="Times New Roman" w:cs="Times New Roman"/>
          <w:sz w:val="24"/>
        </w:rPr>
        <w:t>mixing a fraction of the</w:t>
      </w:r>
      <w:r w:rsidR="00EA6DAA">
        <w:rPr>
          <w:rFonts w:ascii="Times New Roman" w:hAnsi="Times New Roman" w:cs="Times New Roman"/>
          <w:sz w:val="24"/>
        </w:rPr>
        <w:t xml:space="preserve"> concentratio</w:t>
      </w:r>
      <w:r w:rsidR="00861398">
        <w:rPr>
          <w:rFonts w:ascii="Times New Roman" w:hAnsi="Times New Roman" w:cs="Times New Roman"/>
          <w:sz w:val="24"/>
        </w:rPr>
        <w:t>n</w:t>
      </w:r>
      <w:r w:rsidR="00EA6DAA">
        <w:rPr>
          <w:rFonts w:ascii="Times New Roman" w:hAnsi="Times New Roman" w:cs="Times New Roman"/>
          <w:sz w:val="24"/>
        </w:rPr>
        <w:t xml:space="preserve"> encouraged</w:t>
      </w:r>
      <w:r w:rsidR="00861398">
        <w:rPr>
          <w:rFonts w:ascii="Times New Roman" w:hAnsi="Times New Roman" w:cs="Times New Roman"/>
          <w:sz w:val="24"/>
        </w:rPr>
        <w:t xml:space="preserve"> more </w:t>
      </w:r>
      <w:r w:rsidR="00995E26">
        <w:rPr>
          <w:rFonts w:ascii="Times New Roman" w:hAnsi="Times New Roman" w:cs="Times New Roman"/>
          <w:sz w:val="24"/>
        </w:rPr>
        <w:t>application</w:t>
      </w:r>
      <w:r w:rsidR="00861398">
        <w:rPr>
          <w:rFonts w:ascii="Times New Roman" w:hAnsi="Times New Roman" w:cs="Times New Roman"/>
          <w:sz w:val="24"/>
        </w:rPr>
        <w:t xml:space="preserve"> uniformity.</w:t>
      </w:r>
      <w:r w:rsidR="00E03E3F">
        <w:rPr>
          <w:rFonts w:ascii="Times New Roman" w:hAnsi="Times New Roman" w:cs="Times New Roman"/>
          <w:sz w:val="24"/>
        </w:rPr>
        <w:t xml:space="preserve">  This technique directly addresses Day 0 sampling error, a major hinderance posed by herbicide dissipation field research.  Day 0 sampling errors are a common occurrence on these types of studies and lay the baseline for the dissipation curve (McAllister 1994; </w:t>
      </w:r>
      <w:proofErr w:type="spellStart"/>
      <w:r w:rsidR="00E03E3F">
        <w:rPr>
          <w:rFonts w:ascii="Times New Roman" w:hAnsi="Times New Roman" w:cs="Times New Roman"/>
          <w:sz w:val="24"/>
        </w:rPr>
        <w:t>Blumhorst</w:t>
      </w:r>
      <w:proofErr w:type="spellEnd"/>
      <w:r w:rsidR="00E03E3F">
        <w:rPr>
          <w:rFonts w:ascii="Times New Roman" w:hAnsi="Times New Roman" w:cs="Times New Roman"/>
          <w:sz w:val="24"/>
        </w:rPr>
        <w:t xml:space="preserve"> and Mueller 1997</w:t>
      </w:r>
      <w:r w:rsidR="00861398">
        <w:rPr>
          <w:rFonts w:ascii="Times New Roman" w:hAnsi="Times New Roman" w:cs="Times New Roman"/>
          <w:sz w:val="24"/>
        </w:rPr>
        <w:t>, Graham et al. 2003</w:t>
      </w:r>
      <w:r w:rsidR="00E03E3F">
        <w:rPr>
          <w:rFonts w:ascii="Times New Roman" w:hAnsi="Times New Roman" w:cs="Times New Roman"/>
          <w:sz w:val="24"/>
        </w:rPr>
        <w:t xml:space="preserve">).  </w:t>
      </w:r>
    </w:p>
    <w:p w14:paraId="2FF15238" w14:textId="77777777" w:rsidR="001E7EE3" w:rsidRDefault="00DA5970" w:rsidP="76C32EE0">
      <w:pPr>
        <w:spacing w:line="480" w:lineRule="auto"/>
        <w:ind w:firstLine="720"/>
        <w:jc w:val="both"/>
        <w:rPr>
          <w:rFonts w:ascii="Times New Roman" w:hAnsi="Times New Roman" w:cs="Times New Roman"/>
          <w:sz w:val="24"/>
          <w:szCs w:val="24"/>
        </w:rPr>
      </w:pPr>
      <w:r w:rsidRPr="76C32EE0">
        <w:rPr>
          <w:rFonts w:ascii="Times New Roman" w:hAnsi="Times New Roman" w:cs="Times New Roman"/>
          <w:sz w:val="24"/>
          <w:szCs w:val="24"/>
        </w:rPr>
        <w:t xml:space="preserve">The study design was a 3 x 3 factorial arrangement of treatments in a randomized complete block.  </w:t>
      </w:r>
      <w:r w:rsidR="00D94090" w:rsidRPr="76C32EE0">
        <w:rPr>
          <w:rFonts w:ascii="Times New Roman" w:hAnsi="Times New Roman" w:cs="Times New Roman"/>
          <w:sz w:val="24"/>
          <w:szCs w:val="24"/>
        </w:rPr>
        <w:t xml:space="preserve">The first factor are the commercially formulated herbicides of atrazine, pyroxasulfone, and saflufenacil.  </w:t>
      </w:r>
      <w:r w:rsidRPr="76C32EE0">
        <w:rPr>
          <w:rFonts w:ascii="Times New Roman" w:hAnsi="Times New Roman" w:cs="Times New Roman"/>
          <w:sz w:val="24"/>
          <w:szCs w:val="24"/>
        </w:rPr>
        <w:t xml:space="preserve">The </w:t>
      </w:r>
      <w:r w:rsidR="00D94090" w:rsidRPr="76C32EE0">
        <w:rPr>
          <w:rFonts w:ascii="Times New Roman" w:hAnsi="Times New Roman" w:cs="Times New Roman"/>
          <w:sz w:val="24"/>
          <w:szCs w:val="24"/>
        </w:rPr>
        <w:t>second</w:t>
      </w:r>
      <w:r w:rsidRPr="76C32EE0">
        <w:rPr>
          <w:rFonts w:ascii="Times New Roman" w:hAnsi="Times New Roman" w:cs="Times New Roman"/>
          <w:sz w:val="24"/>
          <w:szCs w:val="24"/>
        </w:rPr>
        <w:t xml:space="preserve"> factor, were the herbicide rates o</w:t>
      </w:r>
      <w:r w:rsidR="00E03E3F" w:rsidRPr="76C32EE0">
        <w:rPr>
          <w:rFonts w:ascii="Times New Roman" w:hAnsi="Times New Roman" w:cs="Times New Roman"/>
          <w:sz w:val="24"/>
          <w:szCs w:val="24"/>
        </w:rPr>
        <w:t xml:space="preserve">f 100, 1000, and 10,000 g ai/ha which will be referred to as low, medium, and high, respectively.  Additionally, a tank-mix treatment of all herbicides was added at the medium rate.  </w:t>
      </w:r>
      <w:r w:rsidR="00360EAE" w:rsidRPr="76C32EE0">
        <w:rPr>
          <w:rFonts w:ascii="Times New Roman" w:hAnsi="Times New Roman" w:cs="Times New Roman"/>
          <w:sz w:val="24"/>
          <w:szCs w:val="24"/>
        </w:rPr>
        <w:t xml:space="preserve">The </w:t>
      </w:r>
      <w:r w:rsidR="003E102E" w:rsidRPr="76C32EE0">
        <w:rPr>
          <w:rFonts w:ascii="Times New Roman" w:hAnsi="Times New Roman" w:cs="Times New Roman"/>
          <w:sz w:val="24"/>
          <w:szCs w:val="24"/>
        </w:rPr>
        <w:t xml:space="preserve">herbicide </w:t>
      </w:r>
      <w:r w:rsidR="00360EAE" w:rsidRPr="76C32EE0">
        <w:rPr>
          <w:rFonts w:ascii="Times New Roman" w:hAnsi="Times New Roman" w:cs="Times New Roman"/>
          <w:sz w:val="24"/>
          <w:szCs w:val="24"/>
        </w:rPr>
        <w:t>treatment rates</w:t>
      </w:r>
      <w:r w:rsidR="00583BD6" w:rsidRPr="76C32EE0">
        <w:rPr>
          <w:rFonts w:ascii="Times New Roman" w:hAnsi="Times New Roman" w:cs="Times New Roman"/>
          <w:sz w:val="24"/>
          <w:szCs w:val="24"/>
        </w:rPr>
        <w:t xml:space="preserve"> used in the field studies</w:t>
      </w:r>
      <w:r w:rsidR="00360EAE" w:rsidRPr="76C32EE0">
        <w:rPr>
          <w:rFonts w:ascii="Times New Roman" w:hAnsi="Times New Roman" w:cs="Times New Roman"/>
          <w:sz w:val="24"/>
          <w:szCs w:val="24"/>
        </w:rPr>
        <w:t xml:space="preserve"> are </w:t>
      </w:r>
      <w:r w:rsidR="003E102E" w:rsidRPr="76C32EE0">
        <w:rPr>
          <w:rFonts w:ascii="Times New Roman" w:hAnsi="Times New Roman" w:cs="Times New Roman"/>
          <w:sz w:val="24"/>
          <w:szCs w:val="24"/>
        </w:rPr>
        <w:t>orders of magnitude</w:t>
      </w:r>
      <w:r w:rsidR="00583BD6" w:rsidRPr="76C32EE0">
        <w:rPr>
          <w:rFonts w:ascii="Times New Roman" w:hAnsi="Times New Roman" w:cs="Times New Roman"/>
          <w:sz w:val="24"/>
          <w:szCs w:val="24"/>
        </w:rPr>
        <w:t xml:space="preserve"> </w:t>
      </w:r>
      <w:r w:rsidR="00360EAE" w:rsidRPr="76C32EE0">
        <w:rPr>
          <w:rFonts w:ascii="Times New Roman" w:hAnsi="Times New Roman" w:cs="Times New Roman"/>
          <w:sz w:val="24"/>
          <w:szCs w:val="24"/>
        </w:rPr>
        <w:t xml:space="preserve">higher than </w:t>
      </w:r>
      <w:r w:rsidR="00583BD6" w:rsidRPr="76C32EE0">
        <w:rPr>
          <w:rFonts w:ascii="Times New Roman" w:hAnsi="Times New Roman" w:cs="Times New Roman"/>
          <w:sz w:val="24"/>
          <w:szCs w:val="24"/>
        </w:rPr>
        <w:t>normal</w:t>
      </w:r>
      <w:r w:rsidR="00360EAE" w:rsidRPr="76C32EE0">
        <w:rPr>
          <w:rFonts w:ascii="Times New Roman" w:hAnsi="Times New Roman" w:cs="Times New Roman"/>
          <w:sz w:val="24"/>
          <w:szCs w:val="24"/>
        </w:rPr>
        <w:t xml:space="preserve"> use rates</w:t>
      </w:r>
      <w:r w:rsidR="005B53FB">
        <w:rPr>
          <w:rFonts w:ascii="Times New Roman" w:hAnsi="Times New Roman" w:cs="Times New Roman"/>
          <w:sz w:val="24"/>
          <w:szCs w:val="24"/>
        </w:rPr>
        <w:t xml:space="preserve"> as previously discussed</w:t>
      </w:r>
      <w:r w:rsidR="00583BD6" w:rsidRPr="76C32EE0">
        <w:rPr>
          <w:rFonts w:ascii="Times New Roman" w:hAnsi="Times New Roman" w:cs="Times New Roman"/>
          <w:sz w:val="24"/>
          <w:szCs w:val="24"/>
        </w:rPr>
        <w:t xml:space="preserve">.  </w:t>
      </w:r>
      <w:r w:rsidR="00313034" w:rsidRPr="76C32EE0">
        <w:rPr>
          <w:rFonts w:ascii="Times New Roman" w:hAnsi="Times New Roman" w:cs="Times New Roman"/>
          <w:sz w:val="24"/>
          <w:szCs w:val="24"/>
        </w:rPr>
        <w:t xml:space="preserve">These broad range of herbicide rates were used to discern differences in dissipation and possibly degradation based on initial herbicide concentration.  </w:t>
      </w:r>
    </w:p>
    <w:p w14:paraId="35649A53" w14:textId="71DA71B2" w:rsidR="00E03E3F" w:rsidRDefault="003E102E" w:rsidP="76C32EE0">
      <w:pPr>
        <w:spacing w:line="480" w:lineRule="auto"/>
        <w:ind w:firstLine="720"/>
        <w:jc w:val="both"/>
        <w:rPr>
          <w:rFonts w:ascii="Times New Roman" w:hAnsi="Times New Roman" w:cs="Times New Roman"/>
          <w:sz w:val="24"/>
          <w:szCs w:val="24"/>
        </w:rPr>
      </w:pPr>
      <w:r w:rsidRPr="76C32EE0">
        <w:rPr>
          <w:rFonts w:ascii="Times New Roman" w:hAnsi="Times New Roman" w:cs="Times New Roman"/>
          <w:sz w:val="24"/>
          <w:szCs w:val="24"/>
        </w:rPr>
        <w:t>Others have reported that day 0 sampling is the most important</w:t>
      </w:r>
      <w:r w:rsidR="00313034" w:rsidRPr="76C32EE0">
        <w:rPr>
          <w:rFonts w:ascii="Times New Roman" w:hAnsi="Times New Roman" w:cs="Times New Roman"/>
          <w:sz w:val="24"/>
          <w:szCs w:val="24"/>
        </w:rPr>
        <w:t xml:space="preserve"> during these type studies as this sampling time lays the starting point for the dissipation curve (McAllister 1994, </w:t>
      </w:r>
      <w:proofErr w:type="spellStart"/>
      <w:r w:rsidR="00313034" w:rsidRPr="76C32EE0">
        <w:rPr>
          <w:rFonts w:ascii="Times New Roman" w:hAnsi="Times New Roman" w:cs="Times New Roman"/>
          <w:sz w:val="24"/>
          <w:szCs w:val="24"/>
        </w:rPr>
        <w:t>Blumhorst</w:t>
      </w:r>
      <w:proofErr w:type="spellEnd"/>
      <w:r w:rsidR="00313034" w:rsidRPr="76C32EE0">
        <w:rPr>
          <w:rFonts w:ascii="Times New Roman" w:hAnsi="Times New Roman" w:cs="Times New Roman"/>
          <w:sz w:val="24"/>
          <w:szCs w:val="24"/>
        </w:rPr>
        <w:t xml:space="preserve"> and Mueller 1997</w:t>
      </w:r>
      <w:r w:rsidR="001526F5" w:rsidRPr="76C32EE0">
        <w:rPr>
          <w:rFonts w:ascii="Times New Roman" w:hAnsi="Times New Roman" w:cs="Times New Roman"/>
          <w:sz w:val="24"/>
          <w:szCs w:val="24"/>
        </w:rPr>
        <w:t>)</w:t>
      </w:r>
      <w:r w:rsidR="00981251" w:rsidRPr="76C32EE0">
        <w:rPr>
          <w:rFonts w:ascii="Times New Roman" w:hAnsi="Times New Roman" w:cs="Times New Roman"/>
          <w:sz w:val="24"/>
          <w:szCs w:val="24"/>
        </w:rPr>
        <w:t xml:space="preserve">. </w:t>
      </w:r>
      <w:r w:rsidR="001526F5" w:rsidRPr="76C32EE0">
        <w:rPr>
          <w:rFonts w:ascii="Times New Roman" w:hAnsi="Times New Roman" w:cs="Times New Roman"/>
          <w:sz w:val="24"/>
          <w:szCs w:val="24"/>
        </w:rPr>
        <w:t xml:space="preserve"> These</w:t>
      </w:r>
      <w:r w:rsidR="00313034" w:rsidRPr="76C32EE0">
        <w:rPr>
          <w:rFonts w:ascii="Times New Roman" w:hAnsi="Times New Roman" w:cs="Times New Roman"/>
          <w:sz w:val="24"/>
          <w:szCs w:val="24"/>
        </w:rPr>
        <w:t xml:space="preserve"> studies were designed so </w:t>
      </w:r>
      <w:r w:rsidR="00981251" w:rsidRPr="76C32EE0">
        <w:rPr>
          <w:rFonts w:ascii="Times New Roman" w:hAnsi="Times New Roman" w:cs="Times New Roman"/>
          <w:sz w:val="24"/>
          <w:szCs w:val="24"/>
        </w:rPr>
        <w:t xml:space="preserve">day 0 </w:t>
      </w:r>
      <w:r w:rsidR="00313034" w:rsidRPr="76C32EE0">
        <w:rPr>
          <w:rFonts w:ascii="Times New Roman" w:hAnsi="Times New Roman" w:cs="Times New Roman"/>
          <w:sz w:val="24"/>
          <w:szCs w:val="24"/>
        </w:rPr>
        <w:t>samplings would be different in initial herbicide concentration.</w:t>
      </w:r>
      <w:r w:rsidR="00981251" w:rsidRPr="76C32EE0">
        <w:rPr>
          <w:rFonts w:ascii="Times New Roman" w:hAnsi="Times New Roman" w:cs="Times New Roman"/>
          <w:sz w:val="24"/>
          <w:szCs w:val="24"/>
        </w:rPr>
        <w:t xml:space="preserve">  Furthermore, higher herbicide concentrations were used in this study based on the analytical instrument that was used to quantify the data over time.  The longer quantification allowed for a more accurate representation of the complete dissipation curve.  A </w:t>
      </w:r>
      <w:r w:rsidR="00981251" w:rsidRPr="76C32EE0">
        <w:rPr>
          <w:rFonts w:ascii="Times New Roman" w:hAnsi="Times New Roman" w:cs="Times New Roman"/>
          <w:sz w:val="24"/>
          <w:szCs w:val="24"/>
        </w:rPr>
        <w:lastRenderedPageBreak/>
        <w:t xml:space="preserve">similar technique was used by Camargo et al. 2013, where 15 times the normal use rate of saflufenacil was applied for a </w:t>
      </w:r>
      <w:r w:rsidR="008136EE" w:rsidRPr="76C32EE0">
        <w:rPr>
          <w:rFonts w:ascii="Times New Roman" w:hAnsi="Times New Roman" w:cs="Times New Roman"/>
          <w:sz w:val="24"/>
          <w:szCs w:val="24"/>
        </w:rPr>
        <w:t>field dissipation</w:t>
      </w:r>
      <w:r w:rsidR="00981251" w:rsidRPr="76C32EE0">
        <w:rPr>
          <w:rFonts w:ascii="Times New Roman" w:hAnsi="Times New Roman" w:cs="Times New Roman"/>
          <w:sz w:val="24"/>
          <w:szCs w:val="24"/>
        </w:rPr>
        <w:t xml:space="preserve"> study.</w:t>
      </w:r>
    </w:p>
    <w:p w14:paraId="6F813C23" w14:textId="45F17868" w:rsidR="00E03E3F" w:rsidRDefault="00E03E3F" w:rsidP="00E03E3F">
      <w:pPr>
        <w:spacing w:line="480" w:lineRule="auto"/>
        <w:jc w:val="both"/>
        <w:rPr>
          <w:rFonts w:ascii="Times New Roman" w:hAnsi="Times New Roman" w:cs="Times New Roman"/>
          <w:b/>
          <w:i/>
          <w:sz w:val="24"/>
        </w:rPr>
      </w:pPr>
      <w:r w:rsidRPr="0063348E">
        <w:rPr>
          <w:rFonts w:ascii="Times New Roman" w:hAnsi="Times New Roman" w:cs="Times New Roman"/>
          <w:b/>
          <w:i/>
          <w:sz w:val="24"/>
        </w:rPr>
        <w:t>Field Sample Collection and Analysis</w:t>
      </w:r>
    </w:p>
    <w:p w14:paraId="4BED10B0" w14:textId="60880EB2" w:rsidR="00E03E3F" w:rsidRDefault="00E03E3F" w:rsidP="00E03E3F">
      <w:pPr>
        <w:spacing w:line="480" w:lineRule="auto"/>
        <w:jc w:val="both"/>
        <w:rPr>
          <w:rFonts w:ascii="Times New Roman" w:hAnsi="Times New Roman" w:cs="Times New Roman"/>
          <w:sz w:val="24"/>
        </w:rPr>
      </w:pPr>
      <w:r>
        <w:rPr>
          <w:rFonts w:ascii="Times New Roman" w:hAnsi="Times New Roman" w:cs="Times New Roman"/>
          <w:b/>
          <w:sz w:val="24"/>
        </w:rPr>
        <w:tab/>
      </w:r>
      <w:r w:rsidRPr="00691EB4">
        <w:rPr>
          <w:rFonts w:ascii="Times New Roman" w:hAnsi="Times New Roman" w:cs="Times New Roman"/>
          <w:sz w:val="24"/>
        </w:rPr>
        <w:t>Field soil sample</w:t>
      </w:r>
      <w:r>
        <w:rPr>
          <w:rFonts w:ascii="Times New Roman" w:hAnsi="Times New Roman" w:cs="Times New Roman"/>
          <w:sz w:val="24"/>
        </w:rPr>
        <w:t xml:space="preserve"> collection intervals were</w:t>
      </w:r>
      <w:r w:rsidR="00E4057D">
        <w:rPr>
          <w:rFonts w:ascii="Times New Roman" w:hAnsi="Times New Roman" w:cs="Times New Roman"/>
          <w:sz w:val="24"/>
        </w:rPr>
        <w:t xml:space="preserve"> approximately</w:t>
      </w:r>
      <w:r>
        <w:rPr>
          <w:rFonts w:ascii="Times New Roman" w:hAnsi="Times New Roman" w:cs="Times New Roman"/>
          <w:sz w:val="24"/>
        </w:rPr>
        <w:t xml:space="preserve"> 0, 3, 7, 14, 21, 28, 42, 56, 79, 84, 98, 112, 140, 168, 196, 224, 280, and 365 days after treatment (DAT), similarly described by Mueller and Senseman 2015.  Soil samples were collected using a golf cup cutter (Par Aide Products Company St Paul, MN) and were 8 cm in depth and 10 cm in width resulting in a soil sample of </w:t>
      </w:r>
      <w:r w:rsidR="00566986">
        <w:rPr>
          <w:rFonts w:ascii="Times New Roman" w:hAnsi="Times New Roman" w:cs="Times New Roman"/>
          <w:sz w:val="24"/>
        </w:rPr>
        <w:t>~</w:t>
      </w:r>
      <w:r>
        <w:rPr>
          <w:rFonts w:ascii="Times New Roman" w:hAnsi="Times New Roman" w:cs="Times New Roman"/>
          <w:sz w:val="24"/>
        </w:rPr>
        <w:t>800 cm</w:t>
      </w:r>
      <w:r w:rsidRPr="00691EB4">
        <w:rPr>
          <w:rFonts w:ascii="Times New Roman" w:hAnsi="Times New Roman" w:cs="Times New Roman"/>
          <w:sz w:val="24"/>
          <w:vertAlign w:val="superscript"/>
        </w:rPr>
        <w:t>3</w:t>
      </w:r>
      <w:r w:rsidR="00E4057D">
        <w:rPr>
          <w:rFonts w:ascii="Times New Roman" w:hAnsi="Times New Roman" w:cs="Times New Roman"/>
          <w:sz w:val="24"/>
        </w:rPr>
        <w:t xml:space="preserve"> (Mueller and Senseman 2015)</w:t>
      </w:r>
      <w:r>
        <w:rPr>
          <w:rFonts w:ascii="Times New Roman" w:hAnsi="Times New Roman" w:cs="Times New Roman"/>
          <w:sz w:val="24"/>
        </w:rPr>
        <w:t>.  Soils were placed in freezer storage within 30 minutes of collection to minimize dissipation processes and samples remained frozen at -20° C until analysis.</w:t>
      </w:r>
      <w:r w:rsidR="001D5103">
        <w:rPr>
          <w:rFonts w:ascii="Times New Roman" w:hAnsi="Times New Roman" w:cs="Times New Roman"/>
          <w:sz w:val="24"/>
        </w:rPr>
        <w:t xml:space="preserve">  Soil sampling depth</w:t>
      </w:r>
      <w:r w:rsidR="003E102E">
        <w:rPr>
          <w:rFonts w:ascii="Times New Roman" w:hAnsi="Times New Roman" w:cs="Times New Roman"/>
          <w:sz w:val="24"/>
        </w:rPr>
        <w:t xml:space="preserve"> in these studies are limited to surface sampling, there </w:t>
      </w:r>
      <w:r w:rsidR="001E7EE3">
        <w:rPr>
          <w:rFonts w:ascii="Times New Roman" w:hAnsi="Times New Roman" w:cs="Times New Roman"/>
          <w:sz w:val="24"/>
        </w:rPr>
        <w:t>was</w:t>
      </w:r>
      <w:r w:rsidR="003E102E">
        <w:rPr>
          <w:rFonts w:ascii="Times New Roman" w:hAnsi="Times New Roman" w:cs="Times New Roman"/>
          <w:sz w:val="24"/>
        </w:rPr>
        <w:t xml:space="preserve"> the possibility that some herbicides can leach below the sampling zone during the duration of the studies.</w:t>
      </w:r>
    </w:p>
    <w:p w14:paraId="1D62E22E" w14:textId="773ED03D" w:rsidR="00C56D3A" w:rsidRDefault="00E03E3F" w:rsidP="00E03E3F">
      <w:pPr>
        <w:spacing w:line="480" w:lineRule="auto"/>
        <w:jc w:val="both"/>
        <w:rPr>
          <w:rFonts w:ascii="Times New Roman" w:hAnsi="Times New Roman" w:cs="Times New Roman"/>
          <w:sz w:val="24"/>
        </w:rPr>
      </w:pPr>
      <w:r>
        <w:rPr>
          <w:rFonts w:ascii="Times New Roman" w:hAnsi="Times New Roman" w:cs="Times New Roman"/>
          <w:sz w:val="24"/>
        </w:rPr>
        <w:tab/>
      </w:r>
      <w:r w:rsidRPr="003A566C">
        <w:rPr>
          <w:rFonts w:ascii="Times New Roman" w:hAnsi="Times New Roman" w:cs="Times New Roman"/>
          <w:sz w:val="24"/>
        </w:rPr>
        <w:t>For extraction, collected samples w</w:t>
      </w:r>
      <w:r>
        <w:rPr>
          <w:rFonts w:ascii="Times New Roman" w:hAnsi="Times New Roman" w:cs="Times New Roman"/>
          <w:sz w:val="24"/>
        </w:rPr>
        <w:t>ere</w:t>
      </w:r>
      <w:r w:rsidRPr="003A566C">
        <w:rPr>
          <w:rFonts w:ascii="Times New Roman" w:hAnsi="Times New Roman" w:cs="Times New Roman"/>
          <w:sz w:val="24"/>
        </w:rPr>
        <w:t xml:space="preserve"> removed from freezer and allowed to come to room temperature.  Samples w</w:t>
      </w:r>
      <w:r>
        <w:rPr>
          <w:rFonts w:ascii="Times New Roman" w:hAnsi="Times New Roman" w:cs="Times New Roman"/>
          <w:sz w:val="24"/>
        </w:rPr>
        <w:t>ere</w:t>
      </w:r>
      <w:r w:rsidRPr="003A566C">
        <w:rPr>
          <w:rFonts w:ascii="Times New Roman" w:hAnsi="Times New Roman" w:cs="Times New Roman"/>
          <w:sz w:val="24"/>
        </w:rPr>
        <w:t xml:space="preserve"> thoroughly homogenized several times to ensure herbicide/soil mix </w:t>
      </w:r>
      <w:r w:rsidR="00566986">
        <w:rPr>
          <w:rFonts w:ascii="Times New Roman" w:hAnsi="Times New Roman" w:cs="Times New Roman"/>
          <w:sz w:val="24"/>
        </w:rPr>
        <w:t>was</w:t>
      </w:r>
      <w:r w:rsidRPr="003A566C">
        <w:rPr>
          <w:rFonts w:ascii="Times New Roman" w:hAnsi="Times New Roman" w:cs="Times New Roman"/>
          <w:sz w:val="24"/>
        </w:rPr>
        <w:t xml:space="preserve"> equally distributed.  Then a portion (⁓15 g) w</w:t>
      </w:r>
      <w:r>
        <w:rPr>
          <w:rFonts w:ascii="Times New Roman" w:hAnsi="Times New Roman" w:cs="Times New Roman"/>
          <w:sz w:val="24"/>
        </w:rPr>
        <w:t>as</w:t>
      </w:r>
      <w:r w:rsidRPr="003A566C">
        <w:rPr>
          <w:rFonts w:ascii="Times New Roman" w:hAnsi="Times New Roman" w:cs="Times New Roman"/>
          <w:sz w:val="24"/>
        </w:rPr>
        <w:t xml:space="preserve"> weighed into</w:t>
      </w:r>
      <w:r>
        <w:rPr>
          <w:rFonts w:ascii="Times New Roman" w:hAnsi="Times New Roman" w:cs="Times New Roman"/>
          <w:sz w:val="24"/>
        </w:rPr>
        <w:t xml:space="preserve"> a</w:t>
      </w:r>
      <w:r w:rsidRPr="003A566C">
        <w:rPr>
          <w:rFonts w:ascii="Times New Roman" w:hAnsi="Times New Roman" w:cs="Times New Roman"/>
          <w:sz w:val="24"/>
        </w:rPr>
        <w:t xml:space="preserve"> 50 mL conical centrifuge tube (</w:t>
      </w:r>
      <w:proofErr w:type="spellStart"/>
      <w:r w:rsidRPr="003A566C">
        <w:rPr>
          <w:rFonts w:ascii="Times New Roman" w:hAnsi="Times New Roman" w:cs="Times New Roman"/>
          <w:sz w:val="24"/>
        </w:rPr>
        <w:t>Nunc</w:t>
      </w:r>
      <w:r w:rsidRPr="003A566C">
        <w:rPr>
          <w:rFonts w:ascii="Times New Roman" w:hAnsi="Times New Roman" w:cs="Times New Roman"/>
          <w:sz w:val="24"/>
          <w:vertAlign w:val="superscript"/>
        </w:rPr>
        <w:t>TM</w:t>
      </w:r>
      <w:proofErr w:type="spellEnd"/>
      <w:r w:rsidRPr="003A566C">
        <w:rPr>
          <w:rFonts w:ascii="Times New Roman" w:hAnsi="Times New Roman" w:cs="Times New Roman"/>
          <w:sz w:val="24"/>
        </w:rPr>
        <w:t xml:space="preserve"> Thermo Fisher Scientific Waltham, MA) for extraction.  Methanol (30 mL) w</w:t>
      </w:r>
      <w:r>
        <w:rPr>
          <w:rFonts w:ascii="Times New Roman" w:hAnsi="Times New Roman" w:cs="Times New Roman"/>
          <w:sz w:val="24"/>
        </w:rPr>
        <w:t xml:space="preserve">as </w:t>
      </w:r>
      <w:r w:rsidRPr="003A566C">
        <w:rPr>
          <w:rFonts w:ascii="Times New Roman" w:hAnsi="Times New Roman" w:cs="Times New Roman"/>
          <w:sz w:val="24"/>
        </w:rPr>
        <w:t xml:space="preserve">added to the conical tube, placed on shaker (⁓1 </w:t>
      </w:r>
      <w:proofErr w:type="spellStart"/>
      <w:r w:rsidRPr="003A566C">
        <w:rPr>
          <w:rFonts w:ascii="Times New Roman" w:hAnsi="Times New Roman" w:cs="Times New Roman"/>
          <w:sz w:val="24"/>
        </w:rPr>
        <w:t>hr</w:t>
      </w:r>
      <w:proofErr w:type="spellEnd"/>
      <w:r w:rsidRPr="003A566C">
        <w:rPr>
          <w:rFonts w:ascii="Times New Roman" w:hAnsi="Times New Roman" w:cs="Times New Roman"/>
          <w:sz w:val="24"/>
        </w:rPr>
        <w:t>) (Harrison et al. 2013), filtered</w:t>
      </w:r>
      <w:r>
        <w:rPr>
          <w:rFonts w:ascii="Times New Roman" w:hAnsi="Times New Roman" w:cs="Times New Roman"/>
          <w:sz w:val="24"/>
        </w:rPr>
        <w:t xml:space="preserve"> using 0.45 µl </w:t>
      </w:r>
      <w:r w:rsidR="009346DC">
        <w:rPr>
          <w:rFonts w:ascii="Times New Roman" w:hAnsi="Times New Roman" w:cs="Times New Roman"/>
          <w:sz w:val="24"/>
        </w:rPr>
        <w:t>polytetrafluoroethylene (</w:t>
      </w:r>
      <w:r>
        <w:rPr>
          <w:rFonts w:ascii="Times New Roman" w:hAnsi="Times New Roman" w:cs="Times New Roman"/>
          <w:sz w:val="24"/>
        </w:rPr>
        <w:t>PTFE</w:t>
      </w:r>
      <w:r w:rsidR="009346DC">
        <w:rPr>
          <w:rFonts w:ascii="Times New Roman" w:hAnsi="Times New Roman" w:cs="Times New Roman"/>
          <w:sz w:val="24"/>
        </w:rPr>
        <w:t>)</w:t>
      </w:r>
      <w:r>
        <w:rPr>
          <w:rFonts w:ascii="Times New Roman" w:hAnsi="Times New Roman" w:cs="Times New Roman"/>
          <w:sz w:val="24"/>
        </w:rPr>
        <w:t xml:space="preserve"> filters</w:t>
      </w:r>
      <w:r w:rsidRPr="003A566C">
        <w:rPr>
          <w:rFonts w:ascii="Times New Roman" w:hAnsi="Times New Roman" w:cs="Times New Roman"/>
          <w:sz w:val="24"/>
        </w:rPr>
        <w:t xml:space="preserve"> and analyzed via </w:t>
      </w:r>
      <w:r>
        <w:rPr>
          <w:rFonts w:ascii="Times New Roman" w:hAnsi="Times New Roman" w:cs="Times New Roman"/>
          <w:sz w:val="24"/>
        </w:rPr>
        <w:t>liquid chromatography</w:t>
      </w:r>
      <w:r w:rsidRPr="003A566C">
        <w:rPr>
          <w:rFonts w:ascii="Times New Roman" w:hAnsi="Times New Roman" w:cs="Times New Roman"/>
          <w:sz w:val="24"/>
        </w:rPr>
        <w:t>-</w:t>
      </w:r>
      <w:r>
        <w:rPr>
          <w:rFonts w:ascii="Times New Roman" w:hAnsi="Times New Roman" w:cs="Times New Roman"/>
          <w:sz w:val="24"/>
        </w:rPr>
        <w:t>mass spectrometry (LC-MS)</w:t>
      </w:r>
      <w:r w:rsidR="00F11B33">
        <w:rPr>
          <w:rFonts w:ascii="Times New Roman" w:hAnsi="Times New Roman" w:cs="Times New Roman"/>
          <w:sz w:val="24"/>
        </w:rPr>
        <w:t xml:space="preserve"> (6470 Triple Quadrupole, Agilent Santa Clara, California)</w:t>
      </w:r>
      <w:r w:rsidRPr="003A566C">
        <w:rPr>
          <w:rFonts w:ascii="Times New Roman" w:hAnsi="Times New Roman" w:cs="Times New Roman"/>
          <w:sz w:val="24"/>
        </w:rPr>
        <w:t xml:space="preserve">.  </w:t>
      </w:r>
      <w:bookmarkStart w:id="10" w:name="_Hlk95740562"/>
      <w:r w:rsidRPr="003A566C">
        <w:rPr>
          <w:rFonts w:ascii="Times New Roman" w:hAnsi="Times New Roman" w:cs="Times New Roman"/>
          <w:sz w:val="24"/>
        </w:rPr>
        <w:t>Mobile phase w</w:t>
      </w:r>
      <w:r>
        <w:rPr>
          <w:rFonts w:ascii="Times New Roman" w:hAnsi="Times New Roman" w:cs="Times New Roman"/>
          <w:sz w:val="24"/>
        </w:rPr>
        <w:t>as</w:t>
      </w:r>
      <w:r w:rsidRPr="003A566C">
        <w:rPr>
          <w:rFonts w:ascii="Times New Roman" w:hAnsi="Times New Roman" w:cs="Times New Roman"/>
          <w:sz w:val="24"/>
        </w:rPr>
        <w:t xml:space="preserve"> acetonitrile + 0.1% formic acid </w:t>
      </w:r>
      <w:r w:rsidR="001E7EE3">
        <w:rPr>
          <w:rFonts w:ascii="Times New Roman" w:hAnsi="Times New Roman" w:cs="Times New Roman"/>
          <w:sz w:val="24"/>
        </w:rPr>
        <w:t xml:space="preserve">and </w:t>
      </w:r>
      <w:r w:rsidRPr="003A566C">
        <w:rPr>
          <w:rFonts w:ascii="Times New Roman" w:hAnsi="Times New Roman" w:cs="Times New Roman"/>
          <w:sz w:val="24"/>
        </w:rPr>
        <w:t>water + 0.1% formic acid and utilize</w:t>
      </w:r>
      <w:r>
        <w:rPr>
          <w:rFonts w:ascii="Times New Roman" w:hAnsi="Times New Roman" w:cs="Times New Roman"/>
          <w:sz w:val="24"/>
        </w:rPr>
        <w:t>d</w:t>
      </w:r>
      <w:r w:rsidRPr="003A566C">
        <w:rPr>
          <w:rFonts w:ascii="Times New Roman" w:hAnsi="Times New Roman" w:cs="Times New Roman"/>
          <w:sz w:val="24"/>
        </w:rPr>
        <w:t xml:space="preserve"> </w:t>
      </w:r>
      <w:r w:rsidR="001E7EE3">
        <w:rPr>
          <w:rFonts w:ascii="Times New Roman" w:hAnsi="Times New Roman" w:cs="Times New Roman"/>
          <w:sz w:val="24"/>
        </w:rPr>
        <w:t xml:space="preserve">a </w:t>
      </w:r>
      <w:r w:rsidRPr="003A566C">
        <w:rPr>
          <w:rFonts w:ascii="Times New Roman" w:hAnsi="Times New Roman" w:cs="Times New Roman"/>
          <w:sz w:val="24"/>
        </w:rPr>
        <w:t>phenyl-hexyl analytical column (Agilent Santa Clara, California)</w:t>
      </w:r>
      <w:bookmarkEnd w:id="10"/>
      <w:r w:rsidR="009346DC">
        <w:rPr>
          <w:rFonts w:ascii="Times New Roman" w:hAnsi="Times New Roman" w:cs="Times New Roman"/>
          <w:sz w:val="24"/>
        </w:rPr>
        <w:t xml:space="preserve"> (Table 2)</w:t>
      </w:r>
      <w:r w:rsidRPr="003A566C">
        <w:rPr>
          <w:rFonts w:ascii="Times New Roman" w:hAnsi="Times New Roman" w:cs="Times New Roman"/>
          <w:sz w:val="24"/>
        </w:rPr>
        <w:t>.</w:t>
      </w:r>
      <w:r>
        <w:rPr>
          <w:rFonts w:ascii="Times New Roman" w:hAnsi="Times New Roman" w:cs="Times New Roman"/>
          <w:sz w:val="24"/>
        </w:rPr>
        <w:t xml:space="preserve">  LC-MS peaks were converted to herbicide concentrations ng g</w:t>
      </w:r>
      <w:r>
        <w:rPr>
          <w:rFonts w:ascii="Times New Roman" w:hAnsi="Times New Roman" w:cs="Times New Roman"/>
          <w:sz w:val="24"/>
          <w:vertAlign w:val="superscript"/>
        </w:rPr>
        <w:t>-1</w:t>
      </w:r>
      <w:r>
        <w:rPr>
          <w:rFonts w:ascii="Times New Roman" w:hAnsi="Times New Roman" w:cs="Times New Roman"/>
          <w:sz w:val="24"/>
        </w:rPr>
        <w:t xml:space="preserve"> of soil.  Means were regressed as ng g</w:t>
      </w:r>
      <w:r>
        <w:rPr>
          <w:rFonts w:ascii="Times New Roman" w:hAnsi="Times New Roman" w:cs="Times New Roman"/>
          <w:sz w:val="24"/>
          <w:vertAlign w:val="superscript"/>
        </w:rPr>
        <w:t>-1</w:t>
      </w:r>
      <w:r>
        <w:rPr>
          <w:rFonts w:ascii="Times New Roman" w:hAnsi="Times New Roman" w:cs="Times New Roman"/>
          <w:sz w:val="24"/>
        </w:rPr>
        <w:t xml:space="preserve"> against days after treatment (DAT) </w:t>
      </w:r>
      <w:r>
        <w:rPr>
          <w:rFonts w:ascii="Times New Roman" w:hAnsi="Times New Roman" w:cs="Times New Roman"/>
          <w:sz w:val="24"/>
        </w:rPr>
        <w:lastRenderedPageBreak/>
        <w:t xml:space="preserve">using first order kinetics by </w:t>
      </w:r>
      <w:proofErr w:type="spellStart"/>
      <w:r>
        <w:rPr>
          <w:rFonts w:ascii="Times New Roman" w:hAnsi="Times New Roman" w:cs="Times New Roman"/>
          <w:sz w:val="24"/>
        </w:rPr>
        <w:t>Sigmaplot</w:t>
      </w:r>
      <w:proofErr w:type="spellEnd"/>
      <w:r>
        <w:rPr>
          <w:rFonts w:ascii="Times New Roman" w:hAnsi="Times New Roman" w:cs="Times New Roman"/>
          <w:sz w:val="24"/>
        </w:rPr>
        <w:t xml:space="preserve"> version 14.0 (</w:t>
      </w:r>
      <w:proofErr w:type="spellStart"/>
      <w:r>
        <w:rPr>
          <w:rFonts w:ascii="Times New Roman" w:hAnsi="Times New Roman" w:cs="Times New Roman"/>
          <w:sz w:val="24"/>
        </w:rPr>
        <w:t>Systat</w:t>
      </w:r>
      <w:proofErr w:type="spellEnd"/>
      <w:r>
        <w:rPr>
          <w:rFonts w:ascii="Times New Roman" w:hAnsi="Times New Roman" w:cs="Times New Roman"/>
          <w:sz w:val="24"/>
        </w:rPr>
        <w:t xml:space="preserve"> Software Inc.).  </w:t>
      </w:r>
      <w:r w:rsidR="00C56D3A">
        <w:rPr>
          <w:rFonts w:ascii="Times New Roman" w:hAnsi="Times New Roman" w:cs="Times New Roman"/>
          <w:sz w:val="24"/>
        </w:rPr>
        <w:t>The herbicide concentration data was empirically fit to the equation:</w:t>
      </w:r>
    </w:p>
    <w:p w14:paraId="7F9CE149" w14:textId="7D57B19E" w:rsidR="00C56D3A" w:rsidRDefault="00C56D3A" w:rsidP="00C56D3A">
      <w:pPr>
        <w:spacing w:line="480" w:lineRule="auto"/>
        <w:jc w:val="center"/>
        <w:rPr>
          <w:rFonts w:ascii="Times New Roman" w:hAnsi="Times New Roman" w:cs="Times New Roman"/>
          <w:sz w:val="24"/>
          <w:szCs w:val="24"/>
        </w:rPr>
      </w:pPr>
      <w:r w:rsidRPr="00C56D3A">
        <w:rPr>
          <w:rFonts w:ascii="Times New Roman" w:hAnsi="Times New Roman" w:cs="Times New Roman"/>
          <w:sz w:val="24"/>
          <w:szCs w:val="24"/>
        </w:rPr>
        <w:t>f = a*e</w:t>
      </w:r>
      <w:r w:rsidRPr="00C56D3A">
        <w:rPr>
          <w:rFonts w:ascii="Times New Roman" w:hAnsi="Times New Roman" w:cs="Times New Roman"/>
          <w:sz w:val="24"/>
          <w:szCs w:val="24"/>
          <w:vertAlign w:val="superscript"/>
        </w:rPr>
        <w:t>(-b*x)</w:t>
      </w:r>
    </w:p>
    <w:p w14:paraId="60A60115" w14:textId="78894FB5" w:rsidR="00E03E3F" w:rsidRPr="00E012A8" w:rsidRDefault="00C56D3A" w:rsidP="00C56D3A">
      <w:pPr>
        <w:spacing w:line="480" w:lineRule="auto"/>
        <w:rPr>
          <w:rFonts w:ascii="Times New Roman" w:hAnsi="Times New Roman" w:cs="Times New Roman"/>
          <w:sz w:val="24"/>
        </w:rPr>
      </w:pPr>
      <w:r>
        <w:rPr>
          <w:rFonts w:ascii="Times New Roman" w:hAnsi="Times New Roman" w:cs="Times New Roman"/>
          <w:sz w:val="24"/>
          <w:szCs w:val="24"/>
        </w:rPr>
        <w:t>where a is the Y intercept, and represents the hypothetical initial herbicide concentration, and b represents the first-order rate constant (</w:t>
      </w:r>
      <w:r w:rsidR="0087649F">
        <w:rPr>
          <w:rFonts w:ascii="Times New Roman" w:hAnsi="Times New Roman" w:cs="Times New Roman"/>
          <w:i/>
          <w:iCs/>
          <w:sz w:val="24"/>
          <w:szCs w:val="24"/>
        </w:rPr>
        <w:t>k</w:t>
      </w:r>
      <w:r>
        <w:rPr>
          <w:rFonts w:ascii="Times New Roman" w:hAnsi="Times New Roman" w:cs="Times New Roman"/>
          <w:sz w:val="24"/>
          <w:szCs w:val="24"/>
        </w:rPr>
        <w:t xml:space="preserve">) empirically fitting the data of herbicide decline over time.  This two parameter, single exponential decay model fit most of the data curves relatively well with some notable exceptions.  </w:t>
      </w:r>
      <w:r w:rsidR="00E03E3F">
        <w:rPr>
          <w:rFonts w:ascii="Times New Roman" w:hAnsi="Times New Roman" w:cs="Times New Roman"/>
          <w:sz w:val="24"/>
        </w:rPr>
        <w:t>Half-life (</w:t>
      </w:r>
      <w:r w:rsidR="00E03E3F" w:rsidRPr="00C6506D">
        <w:rPr>
          <w:rFonts w:ascii="Times New Roman" w:hAnsi="Times New Roman" w:cs="Times New Roman"/>
          <w:i/>
          <w:sz w:val="24"/>
        </w:rPr>
        <w:t>t</w:t>
      </w:r>
      <w:r w:rsidR="00E03E3F">
        <w:rPr>
          <w:rFonts w:ascii="Times New Roman" w:hAnsi="Times New Roman" w:cs="Times New Roman"/>
          <w:sz w:val="24"/>
          <w:vertAlign w:val="subscript"/>
        </w:rPr>
        <w:t>1/2</w:t>
      </w:r>
      <w:r w:rsidR="00E03E3F">
        <w:rPr>
          <w:rFonts w:ascii="Times New Roman" w:hAnsi="Times New Roman" w:cs="Times New Roman"/>
          <w:sz w:val="24"/>
        </w:rPr>
        <w:t xml:space="preserve">) was determined using first order rate constant </w:t>
      </w:r>
      <w:r w:rsidR="00E03E3F" w:rsidRPr="00C6506D">
        <w:rPr>
          <w:rFonts w:ascii="Times New Roman" w:hAnsi="Times New Roman" w:cs="Times New Roman"/>
          <w:i/>
          <w:sz w:val="24"/>
        </w:rPr>
        <w:t>t</w:t>
      </w:r>
      <w:r w:rsidR="00E03E3F">
        <w:rPr>
          <w:rFonts w:ascii="Times New Roman" w:hAnsi="Times New Roman" w:cs="Times New Roman"/>
          <w:sz w:val="24"/>
          <w:vertAlign w:val="subscript"/>
        </w:rPr>
        <w:t>1/2 =</w:t>
      </w:r>
      <w:r w:rsidR="00E03E3F">
        <w:rPr>
          <w:rFonts w:ascii="Times New Roman" w:hAnsi="Times New Roman" w:cs="Times New Roman"/>
          <w:sz w:val="24"/>
        </w:rPr>
        <w:t xml:space="preserve"> 0.693/</w:t>
      </w:r>
      <w:r w:rsidR="00E03E3F" w:rsidRPr="00C6506D">
        <w:rPr>
          <w:rFonts w:ascii="Times New Roman" w:hAnsi="Times New Roman" w:cs="Times New Roman"/>
          <w:i/>
          <w:sz w:val="24"/>
        </w:rPr>
        <w:t>k</w:t>
      </w:r>
      <w:r w:rsidR="006F2E6C">
        <w:rPr>
          <w:rFonts w:ascii="Times New Roman" w:hAnsi="Times New Roman" w:cs="Times New Roman"/>
          <w:sz w:val="24"/>
        </w:rPr>
        <w:t xml:space="preserve"> (Table 3).</w:t>
      </w:r>
    </w:p>
    <w:p w14:paraId="5B8477F7" w14:textId="4CFA9811" w:rsidR="00E03E3F" w:rsidRPr="0063348E" w:rsidRDefault="00E03E3F" w:rsidP="00E03E3F">
      <w:pPr>
        <w:spacing w:line="480" w:lineRule="auto"/>
        <w:jc w:val="both"/>
        <w:rPr>
          <w:rFonts w:ascii="Times New Roman" w:hAnsi="Times New Roman" w:cs="Times New Roman"/>
          <w:b/>
          <w:i/>
          <w:sz w:val="24"/>
        </w:rPr>
      </w:pPr>
      <w:r w:rsidRPr="0063348E">
        <w:rPr>
          <w:rFonts w:ascii="Times New Roman" w:hAnsi="Times New Roman" w:cs="Times New Roman"/>
          <w:b/>
          <w:i/>
          <w:sz w:val="24"/>
        </w:rPr>
        <w:t xml:space="preserve">Lab </w:t>
      </w:r>
      <w:r w:rsidR="005818A7">
        <w:rPr>
          <w:rFonts w:ascii="Times New Roman" w:hAnsi="Times New Roman" w:cs="Times New Roman"/>
          <w:b/>
          <w:i/>
          <w:sz w:val="24"/>
        </w:rPr>
        <w:t>Degradation</w:t>
      </w:r>
    </w:p>
    <w:p w14:paraId="03FB29CF" w14:textId="2FD0662B" w:rsidR="00E03E3F" w:rsidRDefault="00E03E3F" w:rsidP="76C32EE0">
      <w:pPr>
        <w:spacing w:line="480" w:lineRule="auto"/>
        <w:ind w:firstLine="720"/>
        <w:jc w:val="both"/>
        <w:rPr>
          <w:rFonts w:ascii="Times New Roman" w:hAnsi="Times New Roman" w:cs="Times New Roman"/>
          <w:sz w:val="24"/>
          <w:szCs w:val="24"/>
        </w:rPr>
      </w:pPr>
      <w:r w:rsidRPr="76C32EE0">
        <w:rPr>
          <w:rFonts w:ascii="Times New Roman" w:hAnsi="Times New Roman" w:cs="Times New Roman"/>
          <w:sz w:val="24"/>
          <w:szCs w:val="24"/>
        </w:rPr>
        <w:t>Lab studies were conducted in 2020 and 2021 at The University of Tennessee in Knoxville.</w:t>
      </w:r>
      <w:r w:rsidR="0031132A">
        <w:rPr>
          <w:rFonts w:ascii="Times New Roman" w:hAnsi="Times New Roman" w:cs="Times New Roman"/>
          <w:sz w:val="24"/>
          <w:szCs w:val="24"/>
        </w:rPr>
        <w:t xml:space="preserve">  </w:t>
      </w:r>
      <w:r w:rsidR="00DE1093">
        <w:rPr>
          <w:rFonts w:ascii="Times New Roman" w:hAnsi="Times New Roman" w:cs="Times New Roman"/>
          <w:sz w:val="24"/>
          <w:szCs w:val="24"/>
        </w:rPr>
        <w:t>Comprehensively, t</w:t>
      </w:r>
      <w:r w:rsidR="0031132A">
        <w:rPr>
          <w:rFonts w:ascii="Times New Roman" w:hAnsi="Times New Roman" w:cs="Times New Roman"/>
          <w:sz w:val="24"/>
          <w:szCs w:val="24"/>
        </w:rPr>
        <w:t>here were 4 studies</w:t>
      </w:r>
      <w:r w:rsidR="00DE1093">
        <w:rPr>
          <w:rFonts w:ascii="Times New Roman" w:hAnsi="Times New Roman" w:cs="Times New Roman"/>
          <w:sz w:val="24"/>
          <w:szCs w:val="24"/>
        </w:rPr>
        <w:t xml:space="preserve"> </w:t>
      </w:r>
      <w:r w:rsidR="0031132A">
        <w:rPr>
          <w:rFonts w:ascii="Times New Roman" w:hAnsi="Times New Roman" w:cs="Times New Roman"/>
          <w:sz w:val="24"/>
          <w:szCs w:val="24"/>
        </w:rPr>
        <w:t>with 2 studies utilizing Tennessee soils</w:t>
      </w:r>
      <w:r w:rsidR="004571A4">
        <w:rPr>
          <w:rFonts w:ascii="Times New Roman" w:hAnsi="Times New Roman" w:cs="Times New Roman"/>
          <w:sz w:val="24"/>
          <w:szCs w:val="24"/>
        </w:rPr>
        <w:t xml:space="preserve"> (LS1 and LS2)</w:t>
      </w:r>
      <w:r w:rsidR="0031132A">
        <w:rPr>
          <w:rFonts w:ascii="Times New Roman" w:hAnsi="Times New Roman" w:cs="Times New Roman"/>
          <w:sz w:val="24"/>
          <w:szCs w:val="24"/>
        </w:rPr>
        <w:t>, and 2 studies utilizing soils from Georgia, Illinois, and Tennessee</w:t>
      </w:r>
      <w:r w:rsidR="004571A4">
        <w:rPr>
          <w:rFonts w:ascii="Times New Roman" w:hAnsi="Times New Roman" w:cs="Times New Roman"/>
          <w:sz w:val="24"/>
          <w:szCs w:val="24"/>
        </w:rPr>
        <w:t xml:space="preserve"> (LS3 and LS4)</w:t>
      </w:r>
      <w:r w:rsidR="0031132A">
        <w:rPr>
          <w:rFonts w:ascii="Times New Roman" w:hAnsi="Times New Roman" w:cs="Times New Roman"/>
          <w:sz w:val="24"/>
          <w:szCs w:val="24"/>
        </w:rPr>
        <w:t xml:space="preserve">.  </w:t>
      </w:r>
      <w:r w:rsidR="00232989">
        <w:rPr>
          <w:rFonts w:ascii="Times New Roman" w:hAnsi="Times New Roman" w:cs="Times New Roman"/>
          <w:sz w:val="24"/>
          <w:szCs w:val="24"/>
        </w:rPr>
        <w:t>L</w:t>
      </w:r>
      <w:r w:rsidR="004571A4">
        <w:rPr>
          <w:rFonts w:ascii="Times New Roman" w:hAnsi="Times New Roman" w:cs="Times New Roman"/>
          <w:sz w:val="24"/>
          <w:szCs w:val="24"/>
        </w:rPr>
        <w:t>S</w:t>
      </w:r>
      <w:r w:rsidR="00232989">
        <w:rPr>
          <w:rFonts w:ascii="Times New Roman" w:hAnsi="Times New Roman" w:cs="Times New Roman"/>
          <w:sz w:val="24"/>
          <w:szCs w:val="24"/>
        </w:rPr>
        <w:t xml:space="preserve">1 and </w:t>
      </w:r>
      <w:r w:rsidR="004571A4">
        <w:rPr>
          <w:rFonts w:ascii="Times New Roman" w:hAnsi="Times New Roman" w:cs="Times New Roman"/>
          <w:sz w:val="24"/>
          <w:szCs w:val="24"/>
        </w:rPr>
        <w:t>LS</w:t>
      </w:r>
      <w:r w:rsidR="00232989">
        <w:rPr>
          <w:rFonts w:ascii="Times New Roman" w:hAnsi="Times New Roman" w:cs="Times New Roman"/>
          <w:sz w:val="24"/>
          <w:szCs w:val="24"/>
        </w:rPr>
        <w:t xml:space="preserve">2 used Tennessee soils </w:t>
      </w:r>
      <w:r w:rsidR="004571A4">
        <w:rPr>
          <w:rFonts w:ascii="Times New Roman" w:hAnsi="Times New Roman" w:cs="Times New Roman"/>
          <w:sz w:val="24"/>
          <w:szCs w:val="24"/>
        </w:rPr>
        <w:t>fortified with</w:t>
      </w:r>
      <w:r w:rsidR="00232989">
        <w:rPr>
          <w:rFonts w:ascii="Times New Roman" w:hAnsi="Times New Roman" w:cs="Times New Roman"/>
          <w:sz w:val="24"/>
          <w:szCs w:val="24"/>
        </w:rPr>
        <w:t xml:space="preserve"> multiple herbicide concentrations</w:t>
      </w:r>
      <w:r w:rsidR="004571A4">
        <w:rPr>
          <w:rFonts w:ascii="Times New Roman" w:hAnsi="Times New Roman" w:cs="Times New Roman"/>
          <w:sz w:val="24"/>
          <w:szCs w:val="24"/>
        </w:rPr>
        <w:t xml:space="preserve"> and duplicate samples.  LS3 and LS4 used soils from Georgia, Illinois, and Tennessee fortified with the same herbicide concentration with duplicate samples.  </w:t>
      </w:r>
      <w:r w:rsidRPr="76C32EE0">
        <w:rPr>
          <w:rFonts w:ascii="Times New Roman" w:hAnsi="Times New Roman" w:cs="Times New Roman"/>
          <w:sz w:val="24"/>
          <w:szCs w:val="24"/>
        </w:rPr>
        <w:t xml:space="preserve">Soils were collected from a similar location as </w:t>
      </w:r>
      <w:r w:rsidR="006F2E6C" w:rsidRPr="76C32EE0">
        <w:rPr>
          <w:rFonts w:ascii="Times New Roman" w:hAnsi="Times New Roman" w:cs="Times New Roman"/>
          <w:sz w:val="24"/>
          <w:szCs w:val="24"/>
        </w:rPr>
        <w:t>previously described</w:t>
      </w:r>
      <w:r w:rsidRPr="76C32EE0">
        <w:rPr>
          <w:rFonts w:ascii="Times New Roman" w:hAnsi="Times New Roman" w:cs="Times New Roman"/>
          <w:sz w:val="24"/>
          <w:szCs w:val="24"/>
        </w:rPr>
        <w:t xml:space="preserve"> and</w:t>
      </w:r>
      <w:r w:rsidR="006F2E6C" w:rsidRPr="76C32EE0">
        <w:rPr>
          <w:rFonts w:ascii="Times New Roman" w:hAnsi="Times New Roman" w:cs="Times New Roman"/>
          <w:sz w:val="24"/>
          <w:szCs w:val="24"/>
        </w:rPr>
        <w:t xml:space="preserve"> also</w:t>
      </w:r>
      <w:r w:rsidRPr="76C32EE0">
        <w:rPr>
          <w:rFonts w:ascii="Times New Roman" w:hAnsi="Times New Roman" w:cs="Times New Roman"/>
          <w:sz w:val="24"/>
          <w:szCs w:val="24"/>
        </w:rPr>
        <w:t xml:space="preserve"> from Worth County, Georgia near N 31.50583, W -83.65611 and Warren County, Illinois near N 40.66669, W -90.751497</w:t>
      </w:r>
      <w:r w:rsidR="0075197F">
        <w:rPr>
          <w:rFonts w:ascii="Times New Roman" w:hAnsi="Times New Roman" w:cs="Times New Roman"/>
          <w:sz w:val="24"/>
          <w:szCs w:val="24"/>
        </w:rPr>
        <w:t xml:space="preserve"> (Table 1)</w:t>
      </w:r>
      <w:r w:rsidRPr="76C32EE0">
        <w:rPr>
          <w:rFonts w:ascii="Times New Roman" w:hAnsi="Times New Roman" w:cs="Times New Roman"/>
          <w:sz w:val="24"/>
          <w:szCs w:val="24"/>
        </w:rPr>
        <w:t xml:space="preserve">.  </w:t>
      </w:r>
      <w:r w:rsidR="008739EF" w:rsidRPr="76C32EE0">
        <w:rPr>
          <w:rFonts w:ascii="Times New Roman" w:hAnsi="Times New Roman" w:cs="Times New Roman"/>
          <w:sz w:val="24"/>
          <w:szCs w:val="24"/>
        </w:rPr>
        <w:t>Surface soils</w:t>
      </w:r>
      <w:r w:rsidR="00995FCF">
        <w:rPr>
          <w:rFonts w:ascii="Times New Roman" w:hAnsi="Times New Roman" w:cs="Times New Roman"/>
          <w:sz w:val="24"/>
          <w:szCs w:val="24"/>
        </w:rPr>
        <w:t xml:space="preserve"> (0-15 cm)</w:t>
      </w:r>
      <w:r w:rsidR="008739EF" w:rsidRPr="76C32EE0">
        <w:rPr>
          <w:rFonts w:ascii="Times New Roman" w:hAnsi="Times New Roman" w:cs="Times New Roman"/>
          <w:sz w:val="24"/>
          <w:szCs w:val="24"/>
        </w:rPr>
        <w:t xml:space="preserve"> from Georgia and Illinois were collected from areas with no history of herbicide use in at least 20 years by Eri</w:t>
      </w:r>
      <w:r w:rsidR="00DF540F">
        <w:rPr>
          <w:rFonts w:ascii="Times New Roman" w:hAnsi="Times New Roman" w:cs="Times New Roman"/>
          <w:sz w:val="24"/>
          <w:szCs w:val="24"/>
        </w:rPr>
        <w:t>c</w:t>
      </w:r>
      <w:r w:rsidR="008739EF" w:rsidRPr="76C32EE0">
        <w:rPr>
          <w:rFonts w:ascii="Times New Roman" w:hAnsi="Times New Roman" w:cs="Times New Roman"/>
          <w:sz w:val="24"/>
          <w:szCs w:val="24"/>
        </w:rPr>
        <w:t xml:space="preserve"> </w:t>
      </w:r>
      <w:proofErr w:type="spellStart"/>
      <w:r w:rsidR="008739EF" w:rsidRPr="76C32EE0">
        <w:rPr>
          <w:rFonts w:ascii="Times New Roman" w:hAnsi="Times New Roman" w:cs="Times New Roman"/>
          <w:sz w:val="24"/>
          <w:szCs w:val="24"/>
        </w:rPr>
        <w:t>Prostko</w:t>
      </w:r>
      <w:proofErr w:type="spellEnd"/>
      <w:r w:rsidR="008739EF" w:rsidRPr="76C32EE0">
        <w:rPr>
          <w:rFonts w:ascii="Times New Roman" w:hAnsi="Times New Roman" w:cs="Times New Roman"/>
          <w:sz w:val="24"/>
          <w:szCs w:val="24"/>
        </w:rPr>
        <w:t xml:space="preserve"> from the University of Georgia and Mark </w:t>
      </w:r>
      <w:proofErr w:type="spellStart"/>
      <w:r w:rsidR="008739EF" w:rsidRPr="76C32EE0">
        <w:rPr>
          <w:rFonts w:ascii="Times New Roman" w:hAnsi="Times New Roman" w:cs="Times New Roman"/>
          <w:sz w:val="24"/>
          <w:szCs w:val="24"/>
        </w:rPr>
        <w:t>Bernards</w:t>
      </w:r>
      <w:proofErr w:type="spellEnd"/>
      <w:r w:rsidR="008739EF" w:rsidRPr="76C32EE0">
        <w:rPr>
          <w:rFonts w:ascii="Times New Roman" w:hAnsi="Times New Roman" w:cs="Times New Roman"/>
          <w:sz w:val="24"/>
          <w:szCs w:val="24"/>
        </w:rPr>
        <w:t xml:space="preserve"> from Western Illinois University, respectively.  </w:t>
      </w:r>
      <w:r w:rsidRPr="76C32EE0">
        <w:rPr>
          <w:rFonts w:ascii="Times New Roman" w:hAnsi="Times New Roman" w:cs="Times New Roman"/>
          <w:sz w:val="24"/>
          <w:szCs w:val="24"/>
        </w:rPr>
        <w:t>Soil from Georgia</w:t>
      </w:r>
      <w:r w:rsidR="00995FCF">
        <w:rPr>
          <w:rFonts w:ascii="Times New Roman" w:hAnsi="Times New Roman" w:cs="Times New Roman"/>
          <w:sz w:val="24"/>
          <w:szCs w:val="24"/>
        </w:rPr>
        <w:t xml:space="preserve"> (0-15 cm)</w:t>
      </w:r>
      <w:r w:rsidR="00726932">
        <w:rPr>
          <w:rFonts w:ascii="Times New Roman" w:hAnsi="Times New Roman" w:cs="Times New Roman"/>
          <w:sz w:val="24"/>
          <w:szCs w:val="24"/>
        </w:rPr>
        <w:t xml:space="preserve">, collected from a pecan orchard, </w:t>
      </w:r>
      <w:r w:rsidRPr="76C32EE0">
        <w:rPr>
          <w:rFonts w:ascii="Times New Roman" w:hAnsi="Times New Roman" w:cs="Times New Roman"/>
          <w:sz w:val="24"/>
          <w:szCs w:val="24"/>
        </w:rPr>
        <w:t xml:space="preserve">was a Tifton </w:t>
      </w:r>
      <w:r w:rsidR="0075197F">
        <w:rPr>
          <w:rFonts w:ascii="Times New Roman" w:hAnsi="Times New Roman" w:cs="Times New Roman"/>
          <w:sz w:val="24"/>
          <w:szCs w:val="24"/>
        </w:rPr>
        <w:t>sandy loam</w:t>
      </w:r>
      <w:r w:rsidRPr="76C32EE0">
        <w:rPr>
          <w:rFonts w:ascii="Times New Roman" w:hAnsi="Times New Roman" w:cs="Times New Roman"/>
          <w:sz w:val="24"/>
          <w:szCs w:val="24"/>
        </w:rPr>
        <w:t xml:space="preserve"> with a pH of 5.4, CEC of 4.6 </w:t>
      </w:r>
      <w:proofErr w:type="spellStart"/>
      <w:r w:rsidRPr="76C32EE0">
        <w:rPr>
          <w:rFonts w:ascii="Times New Roman" w:hAnsi="Times New Roman" w:cs="Times New Roman"/>
          <w:sz w:val="24"/>
          <w:szCs w:val="24"/>
        </w:rPr>
        <w:t>meq</w:t>
      </w:r>
      <w:proofErr w:type="spellEnd"/>
      <w:r w:rsidRPr="76C32EE0">
        <w:rPr>
          <w:rFonts w:ascii="Times New Roman" w:hAnsi="Times New Roman" w:cs="Times New Roman"/>
          <w:sz w:val="24"/>
          <w:szCs w:val="24"/>
        </w:rPr>
        <w:t>/100g, and OM content of 0.9% (NRCS 2021).  Soil from Illinois</w:t>
      </w:r>
      <w:r w:rsidR="00726932">
        <w:rPr>
          <w:rFonts w:ascii="Times New Roman" w:hAnsi="Times New Roman" w:cs="Times New Roman"/>
          <w:sz w:val="24"/>
          <w:szCs w:val="24"/>
        </w:rPr>
        <w:t>, collected from an organic farm,</w:t>
      </w:r>
      <w:r w:rsidRPr="76C32EE0">
        <w:rPr>
          <w:rFonts w:ascii="Times New Roman" w:hAnsi="Times New Roman" w:cs="Times New Roman"/>
          <w:sz w:val="24"/>
          <w:szCs w:val="24"/>
        </w:rPr>
        <w:t xml:space="preserve"> was a Sable silty clay loam with a pH of 6.6, CEC of 28 </w:t>
      </w:r>
      <w:proofErr w:type="spellStart"/>
      <w:r w:rsidRPr="76C32EE0">
        <w:rPr>
          <w:rFonts w:ascii="Times New Roman" w:hAnsi="Times New Roman" w:cs="Times New Roman"/>
          <w:sz w:val="24"/>
          <w:szCs w:val="24"/>
        </w:rPr>
        <w:lastRenderedPageBreak/>
        <w:t>meq</w:t>
      </w:r>
      <w:proofErr w:type="spellEnd"/>
      <w:r w:rsidRPr="76C32EE0">
        <w:rPr>
          <w:rFonts w:ascii="Times New Roman" w:hAnsi="Times New Roman" w:cs="Times New Roman"/>
          <w:sz w:val="24"/>
          <w:szCs w:val="24"/>
        </w:rPr>
        <w:t>/100g, and OM content of 6.8% (NRCS 2021).</w:t>
      </w:r>
      <w:r w:rsidR="00192EBB" w:rsidRPr="76C32EE0">
        <w:rPr>
          <w:rFonts w:ascii="Times New Roman" w:hAnsi="Times New Roman" w:cs="Times New Roman"/>
          <w:sz w:val="24"/>
          <w:szCs w:val="24"/>
        </w:rPr>
        <w:t xml:space="preserve">  </w:t>
      </w:r>
      <w:r w:rsidRPr="76C32EE0">
        <w:rPr>
          <w:rFonts w:ascii="Times New Roman" w:hAnsi="Times New Roman" w:cs="Times New Roman"/>
          <w:sz w:val="24"/>
          <w:szCs w:val="24"/>
        </w:rPr>
        <w:t>Soils from Georgia, Tennessee, and Illinois were classified as very low, medium, and very high in organic matter, respectively</w:t>
      </w:r>
      <w:r w:rsidR="008739EF" w:rsidRPr="76C32EE0">
        <w:rPr>
          <w:rFonts w:ascii="Times New Roman" w:hAnsi="Times New Roman" w:cs="Times New Roman"/>
          <w:sz w:val="24"/>
          <w:szCs w:val="24"/>
        </w:rPr>
        <w:t xml:space="preserve"> (Table 1)</w:t>
      </w:r>
      <w:r w:rsidRPr="76C32EE0">
        <w:rPr>
          <w:rFonts w:ascii="Times New Roman" w:hAnsi="Times New Roman" w:cs="Times New Roman"/>
          <w:sz w:val="24"/>
          <w:szCs w:val="24"/>
        </w:rPr>
        <w:t>.  Soils were stored at ambient temperature and containers opened periodically to ensure the soil's aerobic processes were not prohibited.  Soils were analyzed to ensure no detectable residues of atrazine, saflufenacil, and pyroxasulfone before lab study initiation.</w:t>
      </w:r>
    </w:p>
    <w:p w14:paraId="692959CB" w14:textId="7D58F9A0" w:rsidR="00716756" w:rsidRDefault="00726932" w:rsidP="00E03E3F">
      <w:pPr>
        <w:spacing w:line="480" w:lineRule="auto"/>
        <w:ind w:firstLine="720"/>
        <w:jc w:val="both"/>
        <w:rPr>
          <w:rFonts w:ascii="Times New Roman" w:hAnsi="Times New Roman" w:cs="Times New Roman"/>
          <w:sz w:val="24"/>
        </w:rPr>
      </w:pPr>
      <w:r>
        <w:rPr>
          <w:rFonts w:ascii="Times New Roman" w:hAnsi="Times New Roman" w:cs="Times New Roman"/>
          <w:sz w:val="24"/>
        </w:rPr>
        <w:t>Fortifying</w:t>
      </w:r>
      <w:r w:rsidR="00B56886">
        <w:rPr>
          <w:rFonts w:ascii="Times New Roman" w:hAnsi="Times New Roman" w:cs="Times New Roman"/>
          <w:sz w:val="24"/>
        </w:rPr>
        <w:t xml:space="preserve"> solution</w:t>
      </w:r>
      <w:r w:rsidR="00EA0F71">
        <w:rPr>
          <w:rFonts w:ascii="Times New Roman" w:hAnsi="Times New Roman" w:cs="Times New Roman"/>
          <w:sz w:val="24"/>
        </w:rPr>
        <w:t>s</w:t>
      </w:r>
      <w:r w:rsidR="00B56886">
        <w:rPr>
          <w:rFonts w:ascii="Times New Roman" w:hAnsi="Times New Roman" w:cs="Times New Roman"/>
          <w:sz w:val="24"/>
        </w:rPr>
        <w:t xml:space="preserve"> were prepared for each herbicide from an analytical standard for atrazine (98.1% purity), pyroxasulfone (99.5% purity), and saflufenacil (98.3% purity) from </w:t>
      </w:r>
      <w:proofErr w:type="spellStart"/>
      <w:r w:rsidR="00B56886">
        <w:rPr>
          <w:rFonts w:ascii="Times New Roman" w:hAnsi="Times New Roman" w:cs="Times New Roman"/>
          <w:sz w:val="24"/>
        </w:rPr>
        <w:t>ChemService</w:t>
      </w:r>
      <w:proofErr w:type="spellEnd"/>
      <w:r w:rsidR="00B56886">
        <w:rPr>
          <w:rFonts w:ascii="Times New Roman" w:hAnsi="Times New Roman" w:cs="Times New Roman"/>
          <w:sz w:val="24"/>
        </w:rPr>
        <w:t>, Inc (West Chester, Pennsylvania)</w:t>
      </w:r>
      <w:r w:rsidR="00EA0F71">
        <w:rPr>
          <w:rFonts w:ascii="Times New Roman" w:hAnsi="Times New Roman" w:cs="Times New Roman"/>
          <w:sz w:val="24"/>
        </w:rPr>
        <w:t>.  Solutions were mixe</w:t>
      </w:r>
      <w:r w:rsidR="00A66060">
        <w:rPr>
          <w:rFonts w:ascii="Times New Roman" w:hAnsi="Times New Roman" w:cs="Times New Roman"/>
          <w:sz w:val="24"/>
        </w:rPr>
        <w:t xml:space="preserve">d by dissolving the </w:t>
      </w:r>
      <w:r w:rsidR="00F611A0">
        <w:rPr>
          <w:rFonts w:ascii="Times New Roman" w:hAnsi="Times New Roman" w:cs="Times New Roman"/>
          <w:sz w:val="24"/>
        </w:rPr>
        <w:t>standard in Optima</w:t>
      </w:r>
      <w:r w:rsidR="00F611A0" w:rsidRPr="00F611A0">
        <w:rPr>
          <w:rFonts w:ascii="Times New Roman" w:hAnsi="Times New Roman" w:cs="Times New Roman"/>
          <w:sz w:val="24"/>
          <w:vertAlign w:val="superscript"/>
        </w:rPr>
        <w:t>®</w:t>
      </w:r>
      <w:r w:rsidR="00F611A0">
        <w:rPr>
          <w:rFonts w:ascii="Times New Roman" w:hAnsi="Times New Roman" w:cs="Times New Roman"/>
          <w:sz w:val="24"/>
        </w:rPr>
        <w:t xml:space="preserve"> LC/MS Water (Thermo Fisher Scientific, Waltham, Massachusetts) stirring overnight and using gentle heat when needed.  </w:t>
      </w:r>
      <w:r w:rsidR="002D302B">
        <w:rPr>
          <w:rFonts w:ascii="Times New Roman" w:hAnsi="Times New Roman" w:cs="Times New Roman"/>
          <w:sz w:val="24"/>
        </w:rPr>
        <w:t xml:space="preserve">Solutions were filtered to remove any undissolved particles.  </w:t>
      </w:r>
      <w:r w:rsidR="00F611A0">
        <w:rPr>
          <w:rFonts w:ascii="Times New Roman" w:hAnsi="Times New Roman" w:cs="Times New Roman"/>
          <w:sz w:val="24"/>
        </w:rPr>
        <w:t>Final solutions were acquired by removing aliquots from the stock solution and diluting to the desired concentrations.</w:t>
      </w:r>
      <w:r w:rsidR="00FF6C8D">
        <w:rPr>
          <w:rFonts w:ascii="Times New Roman" w:hAnsi="Times New Roman" w:cs="Times New Roman"/>
          <w:sz w:val="24"/>
        </w:rPr>
        <w:t xml:space="preserve">  Organic solvents have been reported to allow higher concentrations of </w:t>
      </w:r>
      <w:r w:rsidR="003F6735">
        <w:rPr>
          <w:rFonts w:ascii="Times New Roman" w:hAnsi="Times New Roman" w:cs="Times New Roman"/>
          <w:sz w:val="24"/>
        </w:rPr>
        <w:t>herbicides</w:t>
      </w:r>
      <w:r w:rsidR="00FF6C8D">
        <w:rPr>
          <w:rFonts w:ascii="Times New Roman" w:hAnsi="Times New Roman" w:cs="Times New Roman"/>
          <w:sz w:val="24"/>
        </w:rPr>
        <w:t xml:space="preserve"> to be dissolved (</w:t>
      </w:r>
      <w:proofErr w:type="spellStart"/>
      <w:r w:rsidR="00FF6C8D">
        <w:rPr>
          <w:rFonts w:ascii="Times New Roman" w:hAnsi="Times New Roman" w:cs="Times New Roman"/>
          <w:sz w:val="24"/>
        </w:rPr>
        <w:t>Shaner</w:t>
      </w:r>
      <w:proofErr w:type="spellEnd"/>
      <w:r w:rsidR="00FF6C8D">
        <w:rPr>
          <w:rFonts w:ascii="Times New Roman" w:hAnsi="Times New Roman" w:cs="Times New Roman"/>
          <w:sz w:val="24"/>
        </w:rPr>
        <w:t xml:space="preserve"> 2014), but were not used in these experiments as to not </w:t>
      </w:r>
      <w:r w:rsidR="006E7F81">
        <w:rPr>
          <w:rFonts w:ascii="Times New Roman" w:hAnsi="Times New Roman" w:cs="Times New Roman"/>
          <w:sz w:val="24"/>
        </w:rPr>
        <w:t xml:space="preserve">negatively </w:t>
      </w:r>
      <w:r w:rsidR="00FF6C8D">
        <w:rPr>
          <w:rFonts w:ascii="Times New Roman" w:hAnsi="Times New Roman" w:cs="Times New Roman"/>
          <w:sz w:val="24"/>
        </w:rPr>
        <w:t>impact microbial communities</w:t>
      </w:r>
      <w:r w:rsidR="001822C6">
        <w:rPr>
          <w:rFonts w:ascii="Times New Roman" w:hAnsi="Times New Roman" w:cs="Times New Roman"/>
          <w:sz w:val="24"/>
        </w:rPr>
        <w:t xml:space="preserve"> of soils</w:t>
      </w:r>
      <w:r w:rsidR="00FF6C8D">
        <w:rPr>
          <w:rFonts w:ascii="Times New Roman" w:hAnsi="Times New Roman" w:cs="Times New Roman"/>
          <w:sz w:val="24"/>
        </w:rPr>
        <w:t xml:space="preserve"> (</w:t>
      </w:r>
      <w:proofErr w:type="spellStart"/>
      <w:r w:rsidR="00FF6C8D">
        <w:rPr>
          <w:rFonts w:ascii="Times New Roman" w:hAnsi="Times New Roman" w:cs="Times New Roman"/>
          <w:sz w:val="24"/>
        </w:rPr>
        <w:t>Dyrda</w:t>
      </w:r>
      <w:proofErr w:type="spellEnd"/>
      <w:r w:rsidR="00FF6C8D">
        <w:rPr>
          <w:rFonts w:ascii="Times New Roman" w:hAnsi="Times New Roman" w:cs="Times New Roman"/>
          <w:sz w:val="24"/>
        </w:rPr>
        <w:t xml:space="preserve"> et al. 2019).</w:t>
      </w:r>
    </w:p>
    <w:p w14:paraId="18152D1A" w14:textId="38EDE38C" w:rsidR="007B7747" w:rsidRDefault="007B7747" w:rsidP="00DE4079">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Moist soils were sieved using 2.0 mm sieve (Gilson Company Lewis Center, Ohio) to remove rocks and large debris; soils were then saturated to field capacity and allowed to drain overnight.  </w:t>
      </w:r>
      <w:r w:rsidR="00DE4079" w:rsidRPr="00DE4079">
        <w:rPr>
          <w:rFonts w:ascii="Times New Roman" w:hAnsi="Times New Roman" w:cs="Times New Roman"/>
          <w:sz w:val="24"/>
        </w:rPr>
        <w:t>Vials for each soil type were prepared similarly</w:t>
      </w:r>
      <w:r w:rsidR="00DE4079">
        <w:rPr>
          <w:rFonts w:ascii="Times New Roman" w:hAnsi="Times New Roman" w:cs="Times New Roman"/>
          <w:sz w:val="24"/>
        </w:rPr>
        <w:t xml:space="preserve">, where </w:t>
      </w:r>
      <w:r w:rsidR="00AA75DF">
        <w:rPr>
          <w:rFonts w:ascii="Times New Roman" w:hAnsi="Times New Roman" w:cs="Times New Roman"/>
          <w:sz w:val="24"/>
        </w:rPr>
        <w:t>20 mL liquid scintillation vials (Wheaton Millville, New Jersey) were prepared in pairs for each sampling interval and a</w:t>
      </w:r>
      <w:r w:rsidR="00AA75DF" w:rsidRPr="005E009A">
        <w:rPr>
          <w:rFonts w:ascii="Times New Roman" w:hAnsi="Times New Roman" w:cs="Times New Roman"/>
          <w:sz w:val="24"/>
        </w:rPr>
        <w:t xml:space="preserve"> portion of soil (⁓5g moist soil) w</w:t>
      </w:r>
      <w:r w:rsidR="00AA75DF">
        <w:rPr>
          <w:rFonts w:ascii="Times New Roman" w:hAnsi="Times New Roman" w:cs="Times New Roman"/>
          <w:sz w:val="24"/>
        </w:rPr>
        <w:t>as</w:t>
      </w:r>
      <w:r w:rsidR="00AA75DF" w:rsidRPr="005E009A">
        <w:rPr>
          <w:rFonts w:ascii="Times New Roman" w:hAnsi="Times New Roman" w:cs="Times New Roman"/>
          <w:sz w:val="24"/>
        </w:rPr>
        <w:t xml:space="preserve"> added to </w:t>
      </w:r>
      <w:r w:rsidR="00AA75DF">
        <w:rPr>
          <w:rFonts w:ascii="Times New Roman" w:hAnsi="Times New Roman" w:cs="Times New Roman"/>
          <w:sz w:val="24"/>
        </w:rPr>
        <w:t xml:space="preserve">each </w:t>
      </w:r>
      <w:r w:rsidR="00AA75DF" w:rsidRPr="005E009A">
        <w:rPr>
          <w:rFonts w:ascii="Times New Roman" w:hAnsi="Times New Roman" w:cs="Times New Roman"/>
          <w:sz w:val="24"/>
        </w:rPr>
        <w:t>20 mL vial</w:t>
      </w:r>
      <w:r w:rsidR="00AA75DF">
        <w:rPr>
          <w:rFonts w:ascii="Times New Roman" w:hAnsi="Times New Roman" w:cs="Times New Roman"/>
          <w:sz w:val="24"/>
        </w:rPr>
        <w:t>.</w:t>
      </w:r>
      <w:r w:rsidR="00DE4079">
        <w:rPr>
          <w:rFonts w:ascii="Times New Roman" w:hAnsi="Times New Roman" w:cs="Times New Roman"/>
          <w:sz w:val="24"/>
        </w:rPr>
        <w:t xml:space="preserve">  Each vial was </w:t>
      </w:r>
      <w:r w:rsidRPr="005E009A">
        <w:rPr>
          <w:rFonts w:ascii="Times New Roman" w:hAnsi="Times New Roman" w:cs="Times New Roman"/>
          <w:sz w:val="24"/>
        </w:rPr>
        <w:t>fortified</w:t>
      </w:r>
      <w:r w:rsidR="00542410">
        <w:rPr>
          <w:rFonts w:ascii="Times New Roman" w:hAnsi="Times New Roman" w:cs="Times New Roman"/>
          <w:sz w:val="24"/>
        </w:rPr>
        <w:t xml:space="preserve"> via Eppendorf pipette</w:t>
      </w:r>
      <w:r w:rsidRPr="005E009A">
        <w:rPr>
          <w:rFonts w:ascii="Times New Roman" w:hAnsi="Times New Roman" w:cs="Times New Roman"/>
          <w:sz w:val="24"/>
        </w:rPr>
        <w:t xml:space="preserve"> with</w:t>
      </w:r>
      <w:r w:rsidR="00DE4079">
        <w:rPr>
          <w:rFonts w:ascii="Times New Roman" w:hAnsi="Times New Roman" w:cs="Times New Roman"/>
          <w:sz w:val="24"/>
        </w:rPr>
        <w:t xml:space="preserve"> a</w:t>
      </w:r>
      <w:r w:rsidRPr="005E009A">
        <w:rPr>
          <w:rFonts w:ascii="Times New Roman" w:hAnsi="Times New Roman" w:cs="Times New Roman"/>
          <w:sz w:val="24"/>
        </w:rPr>
        <w:t xml:space="preserve"> </w:t>
      </w:r>
      <w:r>
        <w:rPr>
          <w:rFonts w:ascii="Times New Roman" w:hAnsi="Times New Roman" w:cs="Times New Roman"/>
          <w:sz w:val="24"/>
        </w:rPr>
        <w:t xml:space="preserve">single </w:t>
      </w:r>
      <w:r w:rsidRPr="005E009A">
        <w:rPr>
          <w:rFonts w:ascii="Times New Roman" w:hAnsi="Times New Roman" w:cs="Times New Roman"/>
          <w:sz w:val="24"/>
        </w:rPr>
        <w:t>analytical herbicide dissolved in water, filtered to remove any undissolved particles</w:t>
      </w:r>
      <w:r w:rsidR="00DE4079">
        <w:rPr>
          <w:rFonts w:ascii="Times New Roman" w:hAnsi="Times New Roman" w:cs="Times New Roman"/>
          <w:sz w:val="24"/>
        </w:rPr>
        <w:t>,</w:t>
      </w:r>
      <w:r w:rsidRPr="005E009A">
        <w:rPr>
          <w:rFonts w:ascii="Times New Roman" w:hAnsi="Times New Roman" w:cs="Times New Roman"/>
          <w:sz w:val="24"/>
        </w:rPr>
        <w:t xml:space="preserve"> and 500 µL added to the soil in each vial (250 µL</w:t>
      </w:r>
      <w:r w:rsidR="00E06DE4">
        <w:rPr>
          <w:rFonts w:ascii="Times New Roman" w:hAnsi="Times New Roman" w:cs="Times New Roman"/>
          <w:sz w:val="24"/>
        </w:rPr>
        <w:t xml:space="preserve"> each</w:t>
      </w:r>
      <w:r w:rsidR="007642F2">
        <w:rPr>
          <w:rFonts w:ascii="Times New Roman" w:hAnsi="Times New Roman" w:cs="Times New Roman"/>
          <w:sz w:val="24"/>
        </w:rPr>
        <w:t>,</w:t>
      </w:r>
      <w:r w:rsidRPr="005E009A">
        <w:rPr>
          <w:rFonts w:ascii="Times New Roman" w:hAnsi="Times New Roman" w:cs="Times New Roman"/>
          <w:sz w:val="24"/>
        </w:rPr>
        <w:t xml:space="preserve"> in the 3-way mix).</w:t>
      </w:r>
      <w:r w:rsidR="003452BC">
        <w:rPr>
          <w:rFonts w:ascii="Times New Roman" w:hAnsi="Times New Roman" w:cs="Times New Roman"/>
          <w:sz w:val="24"/>
        </w:rPr>
        <w:t xml:space="preserve">  Lesser amounts were added to the vials for the </w:t>
      </w:r>
      <w:r w:rsidR="00475C22">
        <w:rPr>
          <w:rFonts w:ascii="Times New Roman" w:hAnsi="Times New Roman" w:cs="Times New Roman"/>
          <w:sz w:val="24"/>
        </w:rPr>
        <w:t>3-way</w:t>
      </w:r>
      <w:r w:rsidR="003452BC">
        <w:rPr>
          <w:rFonts w:ascii="Times New Roman" w:hAnsi="Times New Roman" w:cs="Times New Roman"/>
          <w:sz w:val="24"/>
        </w:rPr>
        <w:t xml:space="preserve"> mixes to </w:t>
      </w:r>
      <w:r w:rsidR="003F6735">
        <w:rPr>
          <w:rFonts w:ascii="Times New Roman" w:hAnsi="Times New Roman" w:cs="Times New Roman"/>
          <w:sz w:val="24"/>
        </w:rPr>
        <w:t>mimic</w:t>
      </w:r>
      <w:r w:rsidR="003452BC">
        <w:rPr>
          <w:rFonts w:ascii="Times New Roman" w:hAnsi="Times New Roman" w:cs="Times New Roman"/>
          <w:sz w:val="24"/>
        </w:rPr>
        <w:t xml:space="preserve"> the same amount of liquid to each </w:t>
      </w:r>
      <w:r w:rsidR="00475C22">
        <w:rPr>
          <w:rFonts w:ascii="Times New Roman" w:hAnsi="Times New Roman" w:cs="Times New Roman"/>
          <w:sz w:val="24"/>
        </w:rPr>
        <w:lastRenderedPageBreak/>
        <w:t>fortified vial</w:t>
      </w:r>
      <w:r w:rsidR="00537939">
        <w:rPr>
          <w:rFonts w:ascii="Times New Roman" w:hAnsi="Times New Roman" w:cs="Times New Roman"/>
          <w:sz w:val="24"/>
        </w:rPr>
        <w:t>, as m</w:t>
      </w:r>
      <w:r w:rsidR="00C41212">
        <w:rPr>
          <w:rFonts w:ascii="Times New Roman" w:hAnsi="Times New Roman" w:cs="Times New Roman"/>
          <w:sz w:val="24"/>
        </w:rPr>
        <w:t>oisture differences can have an effect on herbicide dissipation (</w:t>
      </w:r>
      <w:proofErr w:type="spellStart"/>
      <w:r w:rsidR="007E1B56">
        <w:rPr>
          <w:rFonts w:ascii="Times New Roman" w:hAnsi="Times New Roman" w:cs="Times New Roman"/>
          <w:sz w:val="24"/>
        </w:rPr>
        <w:t>Beestman</w:t>
      </w:r>
      <w:proofErr w:type="spellEnd"/>
      <w:r w:rsidR="007E1B56">
        <w:rPr>
          <w:rFonts w:ascii="Times New Roman" w:hAnsi="Times New Roman" w:cs="Times New Roman"/>
          <w:sz w:val="24"/>
        </w:rPr>
        <w:t xml:space="preserve"> and Deming 1974, Hill et al. 1998,</w:t>
      </w:r>
      <w:r w:rsidR="007E1B56" w:rsidRPr="007E1B56">
        <w:rPr>
          <w:rFonts w:ascii="Times New Roman" w:hAnsi="Times New Roman" w:cs="Times New Roman"/>
          <w:sz w:val="24"/>
        </w:rPr>
        <w:t xml:space="preserve"> </w:t>
      </w:r>
      <w:r w:rsidR="007E1B56">
        <w:rPr>
          <w:rFonts w:ascii="Times New Roman" w:hAnsi="Times New Roman" w:cs="Times New Roman"/>
          <w:sz w:val="24"/>
        </w:rPr>
        <w:t>Savage 1978, Taylor-Lovell et al. 2002</w:t>
      </w:r>
      <w:r w:rsidR="00C41212">
        <w:rPr>
          <w:rFonts w:ascii="Times New Roman" w:hAnsi="Times New Roman" w:cs="Times New Roman"/>
          <w:sz w:val="24"/>
        </w:rPr>
        <w:t>)</w:t>
      </w:r>
      <w:r w:rsidR="007E1B56">
        <w:rPr>
          <w:rFonts w:ascii="Times New Roman" w:hAnsi="Times New Roman" w:cs="Times New Roman"/>
          <w:sz w:val="24"/>
        </w:rPr>
        <w:t>.</w:t>
      </w:r>
    </w:p>
    <w:p w14:paraId="557F8CF7" w14:textId="66A686FE" w:rsidR="00E03E3F" w:rsidRDefault="00DE4079" w:rsidP="00E03E3F">
      <w:pPr>
        <w:spacing w:line="480" w:lineRule="auto"/>
        <w:ind w:firstLine="720"/>
        <w:jc w:val="both"/>
        <w:rPr>
          <w:rFonts w:ascii="Times New Roman" w:hAnsi="Times New Roman" w:cs="Times New Roman"/>
          <w:sz w:val="24"/>
        </w:rPr>
      </w:pPr>
      <w:r>
        <w:rPr>
          <w:rFonts w:ascii="Times New Roman" w:hAnsi="Times New Roman" w:cs="Times New Roman"/>
          <w:sz w:val="24"/>
        </w:rPr>
        <w:t>Herbicide rates for lab stu</w:t>
      </w:r>
      <w:r w:rsidR="007E69A1">
        <w:rPr>
          <w:rFonts w:ascii="Times New Roman" w:hAnsi="Times New Roman" w:cs="Times New Roman"/>
          <w:sz w:val="24"/>
        </w:rPr>
        <w:t>dies</w:t>
      </w:r>
      <w:r>
        <w:rPr>
          <w:rFonts w:ascii="Times New Roman" w:hAnsi="Times New Roman" w:cs="Times New Roman"/>
          <w:sz w:val="24"/>
        </w:rPr>
        <w:t xml:space="preserve"> were </w:t>
      </w:r>
      <w:r w:rsidR="00475C22">
        <w:rPr>
          <w:rFonts w:ascii="Times New Roman" w:hAnsi="Times New Roman" w:cs="Times New Roman"/>
          <w:sz w:val="24"/>
        </w:rPr>
        <w:t xml:space="preserve">designed for a range of concentrations. </w:t>
      </w:r>
      <w:r w:rsidR="002D302B">
        <w:rPr>
          <w:rFonts w:ascii="Times New Roman" w:hAnsi="Times New Roman" w:cs="Times New Roman"/>
          <w:sz w:val="24"/>
        </w:rPr>
        <w:t xml:space="preserve">Arrangement of concentrations were examined by changing the strength of the fortifying solutions.  </w:t>
      </w:r>
      <w:r w:rsidR="00475C22">
        <w:rPr>
          <w:rFonts w:ascii="Times New Roman" w:hAnsi="Times New Roman" w:cs="Times New Roman"/>
          <w:sz w:val="24"/>
        </w:rPr>
        <w:t>A</w:t>
      </w:r>
      <w:r w:rsidR="00E03E3F" w:rsidRPr="005E009A">
        <w:rPr>
          <w:rFonts w:ascii="Times New Roman" w:hAnsi="Times New Roman" w:cs="Times New Roman"/>
          <w:sz w:val="24"/>
        </w:rPr>
        <w:t xml:space="preserve">trazine and </w:t>
      </w:r>
      <w:r w:rsidR="00475C22">
        <w:rPr>
          <w:rFonts w:ascii="Times New Roman" w:hAnsi="Times New Roman" w:cs="Times New Roman"/>
          <w:sz w:val="24"/>
        </w:rPr>
        <w:t>saflufenacil concentration ranges were typically higher than p</w:t>
      </w:r>
      <w:r>
        <w:rPr>
          <w:rFonts w:ascii="Times New Roman" w:hAnsi="Times New Roman" w:cs="Times New Roman"/>
          <w:sz w:val="24"/>
        </w:rPr>
        <w:t>yroxasulfone</w:t>
      </w:r>
      <w:r w:rsidR="00E03E3F" w:rsidRPr="005E009A">
        <w:rPr>
          <w:rFonts w:ascii="Times New Roman" w:hAnsi="Times New Roman" w:cs="Times New Roman"/>
          <w:sz w:val="24"/>
        </w:rPr>
        <w:t xml:space="preserve"> due to </w:t>
      </w:r>
      <w:r w:rsidR="003F6735">
        <w:rPr>
          <w:rFonts w:ascii="Times New Roman" w:hAnsi="Times New Roman" w:cs="Times New Roman"/>
          <w:sz w:val="24"/>
        </w:rPr>
        <w:t xml:space="preserve">its </w:t>
      </w:r>
      <w:r w:rsidR="00E03E3F" w:rsidRPr="005E009A">
        <w:rPr>
          <w:rFonts w:ascii="Times New Roman" w:hAnsi="Times New Roman" w:cs="Times New Roman"/>
          <w:sz w:val="24"/>
        </w:rPr>
        <w:t>lower solubility in water (</w:t>
      </w:r>
      <w:proofErr w:type="spellStart"/>
      <w:r w:rsidR="00E03E3F" w:rsidRPr="005E009A">
        <w:rPr>
          <w:rFonts w:ascii="Times New Roman" w:hAnsi="Times New Roman" w:cs="Times New Roman"/>
          <w:sz w:val="24"/>
        </w:rPr>
        <w:t>Shaner</w:t>
      </w:r>
      <w:proofErr w:type="spellEnd"/>
      <w:r w:rsidR="00E03E3F" w:rsidRPr="005E009A">
        <w:rPr>
          <w:rFonts w:ascii="Times New Roman" w:hAnsi="Times New Roman" w:cs="Times New Roman"/>
          <w:sz w:val="24"/>
        </w:rPr>
        <w:t xml:space="preserve"> 2014, </w:t>
      </w:r>
      <w:proofErr w:type="spellStart"/>
      <w:r w:rsidR="00E03E3F" w:rsidRPr="005E009A">
        <w:rPr>
          <w:rFonts w:ascii="Times New Roman" w:hAnsi="Times New Roman" w:cs="Times New Roman"/>
          <w:sz w:val="24"/>
        </w:rPr>
        <w:t>Tanetani</w:t>
      </w:r>
      <w:proofErr w:type="spellEnd"/>
      <w:r w:rsidR="00E03E3F" w:rsidRPr="005E009A">
        <w:rPr>
          <w:rFonts w:ascii="Times New Roman" w:hAnsi="Times New Roman" w:cs="Times New Roman"/>
          <w:sz w:val="24"/>
        </w:rPr>
        <w:t xml:space="preserve"> et al. 2009 and 2013). </w:t>
      </w:r>
      <w:r>
        <w:rPr>
          <w:rFonts w:ascii="Times New Roman" w:hAnsi="Times New Roman" w:cs="Times New Roman"/>
          <w:sz w:val="24"/>
        </w:rPr>
        <w:t>A</w:t>
      </w:r>
      <w:r w:rsidR="00E03E3F" w:rsidRPr="005E009A">
        <w:rPr>
          <w:rFonts w:ascii="Times New Roman" w:hAnsi="Times New Roman" w:cs="Times New Roman"/>
          <w:sz w:val="24"/>
        </w:rPr>
        <w:t xml:space="preserve"> mix of all 3 herbicides </w:t>
      </w:r>
      <w:r w:rsidR="00697E6A">
        <w:rPr>
          <w:rFonts w:ascii="Times New Roman" w:hAnsi="Times New Roman" w:cs="Times New Roman"/>
          <w:sz w:val="24"/>
        </w:rPr>
        <w:t>were added to discern differences in dissipation with tank-mix applications, similar to the field studies.</w:t>
      </w:r>
      <w:r>
        <w:rPr>
          <w:rFonts w:ascii="Times New Roman" w:hAnsi="Times New Roman" w:cs="Times New Roman"/>
          <w:sz w:val="24"/>
        </w:rPr>
        <w:t xml:space="preserve"> </w:t>
      </w:r>
      <w:r w:rsidR="00697E6A">
        <w:rPr>
          <w:rFonts w:ascii="Times New Roman" w:hAnsi="Times New Roman" w:cs="Times New Roman"/>
          <w:sz w:val="24"/>
        </w:rPr>
        <w:t xml:space="preserve"> Once soil and herbicide solutions were added, v</w:t>
      </w:r>
      <w:r w:rsidR="00E03E3F" w:rsidRPr="005E009A">
        <w:rPr>
          <w:rFonts w:ascii="Times New Roman" w:hAnsi="Times New Roman" w:cs="Times New Roman"/>
          <w:sz w:val="24"/>
        </w:rPr>
        <w:t>ials w</w:t>
      </w:r>
      <w:r w:rsidR="00E03E3F">
        <w:rPr>
          <w:rFonts w:ascii="Times New Roman" w:hAnsi="Times New Roman" w:cs="Times New Roman"/>
          <w:sz w:val="24"/>
        </w:rPr>
        <w:t>ere</w:t>
      </w:r>
      <w:r w:rsidR="00E03E3F" w:rsidRPr="005E009A">
        <w:rPr>
          <w:rFonts w:ascii="Times New Roman" w:hAnsi="Times New Roman" w:cs="Times New Roman"/>
          <w:sz w:val="24"/>
        </w:rPr>
        <w:t xml:space="preserve"> then allowed to equilibrate.</w:t>
      </w:r>
      <w:r>
        <w:rPr>
          <w:rFonts w:ascii="Times New Roman" w:hAnsi="Times New Roman" w:cs="Times New Roman"/>
          <w:sz w:val="24"/>
        </w:rPr>
        <w:t xml:space="preserve">  </w:t>
      </w:r>
      <w:r w:rsidR="00E03E3F" w:rsidRPr="005E009A">
        <w:rPr>
          <w:rFonts w:ascii="Times New Roman" w:hAnsi="Times New Roman" w:cs="Times New Roman"/>
          <w:sz w:val="24"/>
        </w:rPr>
        <w:t>Samples w</w:t>
      </w:r>
      <w:r w:rsidR="00E03E3F">
        <w:rPr>
          <w:rFonts w:ascii="Times New Roman" w:hAnsi="Times New Roman" w:cs="Times New Roman"/>
          <w:sz w:val="24"/>
        </w:rPr>
        <w:t>ere</w:t>
      </w:r>
      <w:r w:rsidR="00E03E3F" w:rsidRPr="005E009A">
        <w:rPr>
          <w:rFonts w:ascii="Times New Roman" w:hAnsi="Times New Roman" w:cs="Times New Roman"/>
          <w:sz w:val="24"/>
        </w:rPr>
        <w:t xml:space="preserve"> placed in incubator at 22.0 C for the duration of the study</w:t>
      </w:r>
      <w:r w:rsidR="00537939">
        <w:rPr>
          <w:rFonts w:ascii="Times New Roman" w:hAnsi="Times New Roman" w:cs="Times New Roman"/>
          <w:sz w:val="24"/>
        </w:rPr>
        <w:t xml:space="preserve"> (U.S. EPA 2008a)</w:t>
      </w:r>
      <w:r w:rsidR="00E03E3F" w:rsidRPr="005E009A">
        <w:rPr>
          <w:rFonts w:ascii="Times New Roman" w:hAnsi="Times New Roman" w:cs="Times New Roman"/>
          <w:sz w:val="24"/>
        </w:rPr>
        <w:t>.</w:t>
      </w:r>
      <w:r w:rsidR="00747F0B">
        <w:rPr>
          <w:rFonts w:ascii="Times New Roman" w:hAnsi="Times New Roman" w:cs="Times New Roman"/>
          <w:sz w:val="24"/>
        </w:rPr>
        <w:t xml:space="preserve">  </w:t>
      </w:r>
      <w:r w:rsidR="00E03E3F" w:rsidRPr="005E009A">
        <w:rPr>
          <w:rFonts w:ascii="Times New Roman" w:hAnsi="Times New Roman" w:cs="Times New Roman"/>
          <w:sz w:val="24"/>
        </w:rPr>
        <w:t>Vials w</w:t>
      </w:r>
      <w:r w:rsidR="00E03E3F">
        <w:rPr>
          <w:rFonts w:ascii="Times New Roman" w:hAnsi="Times New Roman" w:cs="Times New Roman"/>
          <w:sz w:val="24"/>
        </w:rPr>
        <w:t>ere</w:t>
      </w:r>
      <w:r w:rsidR="00E03E3F" w:rsidRPr="005E009A">
        <w:rPr>
          <w:rFonts w:ascii="Times New Roman" w:hAnsi="Times New Roman" w:cs="Times New Roman"/>
          <w:sz w:val="24"/>
        </w:rPr>
        <w:t xml:space="preserve"> opened and allowed to vent for a short time at approximately 56 DAT, then again at 126 DAT</w:t>
      </w:r>
      <w:r w:rsidR="006E7F81">
        <w:rPr>
          <w:rFonts w:ascii="Times New Roman" w:hAnsi="Times New Roman" w:cs="Times New Roman"/>
          <w:sz w:val="24"/>
        </w:rPr>
        <w:t>.</w:t>
      </w:r>
    </w:p>
    <w:p w14:paraId="194FC45D" w14:textId="77777777" w:rsidR="00E03E3F" w:rsidRPr="00CD7455" w:rsidRDefault="00E03E3F" w:rsidP="00E03E3F">
      <w:pPr>
        <w:spacing w:line="480" w:lineRule="auto"/>
        <w:jc w:val="both"/>
        <w:rPr>
          <w:rFonts w:ascii="Times New Roman" w:hAnsi="Times New Roman" w:cs="Times New Roman"/>
          <w:i/>
          <w:sz w:val="24"/>
        </w:rPr>
      </w:pPr>
      <w:r w:rsidRPr="00CD7455">
        <w:rPr>
          <w:rFonts w:ascii="Times New Roman" w:hAnsi="Times New Roman" w:cs="Times New Roman"/>
          <w:i/>
          <w:sz w:val="24"/>
        </w:rPr>
        <w:t>Lab Sample Collection and Analysis</w:t>
      </w:r>
    </w:p>
    <w:p w14:paraId="242CD517" w14:textId="2B07AB3C" w:rsidR="00E03E3F" w:rsidRPr="00C6506D" w:rsidRDefault="00E03E3F" w:rsidP="003367F9">
      <w:pPr>
        <w:spacing w:line="480" w:lineRule="auto"/>
        <w:ind w:firstLine="720"/>
        <w:jc w:val="both"/>
        <w:rPr>
          <w:rFonts w:ascii="Times New Roman" w:hAnsi="Times New Roman" w:cs="Times New Roman"/>
          <w:sz w:val="24"/>
        </w:rPr>
      </w:pPr>
      <w:r w:rsidRPr="005E009A">
        <w:rPr>
          <w:rFonts w:ascii="Times New Roman" w:hAnsi="Times New Roman" w:cs="Times New Roman"/>
          <w:sz w:val="24"/>
        </w:rPr>
        <w:t>Vials w</w:t>
      </w:r>
      <w:r>
        <w:rPr>
          <w:rFonts w:ascii="Times New Roman" w:hAnsi="Times New Roman" w:cs="Times New Roman"/>
          <w:sz w:val="24"/>
        </w:rPr>
        <w:t>ere</w:t>
      </w:r>
      <w:r w:rsidRPr="005E009A">
        <w:rPr>
          <w:rFonts w:ascii="Times New Roman" w:hAnsi="Times New Roman" w:cs="Times New Roman"/>
          <w:sz w:val="24"/>
        </w:rPr>
        <w:t xml:space="preserve"> removed from incubator at -1</w:t>
      </w:r>
      <w:r w:rsidR="00FC0773">
        <w:rPr>
          <w:rFonts w:ascii="Times New Roman" w:hAnsi="Times New Roman" w:cs="Times New Roman"/>
          <w:sz w:val="24"/>
        </w:rPr>
        <w:t xml:space="preserve"> (prior to fortification)</w:t>
      </w:r>
      <w:r w:rsidRPr="005E009A">
        <w:rPr>
          <w:rFonts w:ascii="Times New Roman" w:hAnsi="Times New Roman" w:cs="Times New Roman"/>
          <w:sz w:val="24"/>
        </w:rPr>
        <w:t>, 0, 3, 7, 14, 21, 28, 42, 56, 70, 84, 98, 126, 154, 182 DAT</w:t>
      </w:r>
      <w:r w:rsidR="007642F2">
        <w:rPr>
          <w:rFonts w:ascii="Times New Roman" w:hAnsi="Times New Roman" w:cs="Times New Roman"/>
          <w:sz w:val="24"/>
        </w:rPr>
        <w:t xml:space="preserve"> for lab stud</w:t>
      </w:r>
      <w:r w:rsidR="00FC0773">
        <w:rPr>
          <w:rFonts w:ascii="Times New Roman" w:hAnsi="Times New Roman" w:cs="Times New Roman"/>
          <w:sz w:val="24"/>
        </w:rPr>
        <w:t>ies</w:t>
      </w:r>
      <w:r w:rsidR="002349F4">
        <w:rPr>
          <w:rFonts w:ascii="Times New Roman" w:hAnsi="Times New Roman" w:cs="Times New Roman"/>
          <w:sz w:val="24"/>
        </w:rPr>
        <w:t xml:space="preserve"> 1</w:t>
      </w:r>
      <w:r w:rsidR="00FC0773">
        <w:rPr>
          <w:rFonts w:ascii="Times New Roman" w:hAnsi="Times New Roman" w:cs="Times New Roman"/>
          <w:sz w:val="24"/>
        </w:rPr>
        <w:t xml:space="preserve"> and 2</w:t>
      </w:r>
      <w:r w:rsidR="007642F2">
        <w:rPr>
          <w:rFonts w:ascii="Times New Roman" w:hAnsi="Times New Roman" w:cs="Times New Roman"/>
          <w:sz w:val="24"/>
        </w:rPr>
        <w:t xml:space="preserve"> and removed</w:t>
      </w:r>
      <w:r w:rsidR="00966087">
        <w:rPr>
          <w:rFonts w:ascii="Times New Roman" w:hAnsi="Times New Roman" w:cs="Times New Roman"/>
          <w:sz w:val="24"/>
        </w:rPr>
        <w:t xml:space="preserve"> from incubator</w:t>
      </w:r>
      <w:r w:rsidR="007642F2">
        <w:rPr>
          <w:rFonts w:ascii="Times New Roman" w:hAnsi="Times New Roman" w:cs="Times New Roman"/>
          <w:sz w:val="24"/>
        </w:rPr>
        <w:t xml:space="preserve"> similarly in</w:t>
      </w:r>
      <w:r w:rsidR="00FC0773">
        <w:rPr>
          <w:rFonts w:ascii="Times New Roman" w:hAnsi="Times New Roman" w:cs="Times New Roman"/>
          <w:sz w:val="24"/>
        </w:rPr>
        <w:t xml:space="preserve"> lab studies 3 and 4</w:t>
      </w:r>
      <w:r w:rsidR="007642F2">
        <w:rPr>
          <w:rFonts w:ascii="Times New Roman" w:hAnsi="Times New Roman" w:cs="Times New Roman"/>
          <w:sz w:val="24"/>
        </w:rPr>
        <w:t>,</w:t>
      </w:r>
      <w:r w:rsidRPr="005E009A">
        <w:rPr>
          <w:rFonts w:ascii="Times New Roman" w:hAnsi="Times New Roman" w:cs="Times New Roman"/>
          <w:sz w:val="24"/>
        </w:rPr>
        <w:t xml:space="preserve"> </w:t>
      </w:r>
      <w:r w:rsidR="007642F2">
        <w:rPr>
          <w:rFonts w:ascii="Times New Roman" w:hAnsi="Times New Roman" w:cs="Times New Roman"/>
          <w:sz w:val="24"/>
        </w:rPr>
        <w:t>then</w:t>
      </w:r>
      <w:r w:rsidRPr="005E009A">
        <w:rPr>
          <w:rFonts w:ascii="Times New Roman" w:hAnsi="Times New Roman" w:cs="Times New Roman"/>
          <w:sz w:val="24"/>
        </w:rPr>
        <w:t xml:space="preserve"> placed in freezer</w:t>
      </w:r>
      <w:r>
        <w:rPr>
          <w:rFonts w:ascii="Times New Roman" w:hAnsi="Times New Roman" w:cs="Times New Roman"/>
          <w:sz w:val="24"/>
        </w:rPr>
        <w:t xml:space="preserve"> at </w:t>
      </w:r>
      <w:r w:rsidR="008739EF">
        <w:rPr>
          <w:rFonts w:ascii="Times New Roman" w:hAnsi="Times New Roman" w:cs="Times New Roman"/>
          <w:sz w:val="24"/>
        </w:rPr>
        <w:t>-</w:t>
      </w:r>
      <w:r>
        <w:rPr>
          <w:rFonts w:ascii="Times New Roman" w:hAnsi="Times New Roman" w:cs="Times New Roman"/>
          <w:sz w:val="24"/>
        </w:rPr>
        <w:t>20° C</w:t>
      </w:r>
      <w:r w:rsidRPr="005E009A">
        <w:rPr>
          <w:rFonts w:ascii="Times New Roman" w:hAnsi="Times New Roman" w:cs="Times New Roman"/>
          <w:sz w:val="24"/>
        </w:rPr>
        <w:t xml:space="preserve"> until extraction.  Soil processing of lab samples w</w:t>
      </w:r>
      <w:r>
        <w:rPr>
          <w:rFonts w:ascii="Times New Roman" w:hAnsi="Times New Roman" w:cs="Times New Roman"/>
          <w:sz w:val="24"/>
        </w:rPr>
        <w:t>as</w:t>
      </w:r>
      <w:r w:rsidRPr="005E009A">
        <w:rPr>
          <w:rFonts w:ascii="Times New Roman" w:hAnsi="Times New Roman" w:cs="Times New Roman"/>
          <w:sz w:val="24"/>
        </w:rPr>
        <w:t xml:space="preserve"> similar to field collected samples.  Methanol (1</w:t>
      </w:r>
      <w:r w:rsidR="00541352">
        <w:rPr>
          <w:rFonts w:ascii="Times New Roman" w:hAnsi="Times New Roman" w:cs="Times New Roman"/>
          <w:sz w:val="24"/>
        </w:rPr>
        <w:t>2</w:t>
      </w:r>
      <w:r w:rsidRPr="005E009A">
        <w:rPr>
          <w:rFonts w:ascii="Times New Roman" w:hAnsi="Times New Roman" w:cs="Times New Roman"/>
          <w:sz w:val="24"/>
        </w:rPr>
        <w:t xml:space="preserve"> mL) w</w:t>
      </w:r>
      <w:r>
        <w:rPr>
          <w:rFonts w:ascii="Times New Roman" w:hAnsi="Times New Roman" w:cs="Times New Roman"/>
          <w:sz w:val="24"/>
        </w:rPr>
        <w:t>as</w:t>
      </w:r>
      <w:r w:rsidRPr="005E009A">
        <w:rPr>
          <w:rFonts w:ascii="Times New Roman" w:hAnsi="Times New Roman" w:cs="Times New Roman"/>
          <w:sz w:val="24"/>
        </w:rPr>
        <w:t xml:space="preserve"> added to vials, placed on shaker (⁓1 </w:t>
      </w:r>
      <w:r w:rsidR="005332F1" w:rsidRPr="005E009A">
        <w:rPr>
          <w:rFonts w:ascii="Times New Roman" w:hAnsi="Times New Roman" w:cs="Times New Roman"/>
          <w:sz w:val="24"/>
        </w:rPr>
        <w:t>hr.</w:t>
      </w:r>
      <w:r w:rsidRPr="005E009A">
        <w:rPr>
          <w:rFonts w:ascii="Times New Roman" w:hAnsi="Times New Roman" w:cs="Times New Roman"/>
          <w:sz w:val="24"/>
        </w:rPr>
        <w:t>), filtered</w:t>
      </w:r>
      <w:r>
        <w:rPr>
          <w:rFonts w:ascii="Times New Roman" w:hAnsi="Times New Roman" w:cs="Times New Roman"/>
          <w:sz w:val="24"/>
        </w:rPr>
        <w:t xml:space="preserve"> using 0.45 µl PTFE filters</w:t>
      </w:r>
      <w:r w:rsidRPr="005E009A">
        <w:rPr>
          <w:rFonts w:ascii="Times New Roman" w:hAnsi="Times New Roman" w:cs="Times New Roman"/>
          <w:sz w:val="24"/>
        </w:rPr>
        <w:t xml:space="preserve"> and analyzed via LC-MS</w:t>
      </w:r>
      <w:r>
        <w:rPr>
          <w:rFonts w:ascii="Times New Roman" w:hAnsi="Times New Roman" w:cs="Times New Roman"/>
          <w:sz w:val="24"/>
        </w:rPr>
        <w:t xml:space="preserve">.  </w:t>
      </w:r>
      <w:r w:rsidR="005332F1">
        <w:rPr>
          <w:rFonts w:ascii="Times New Roman" w:hAnsi="Times New Roman" w:cs="Times New Roman"/>
          <w:sz w:val="24"/>
        </w:rPr>
        <w:t>LC-MS methods were the same as the field trials (</w:t>
      </w:r>
      <w:r w:rsidR="005332F1" w:rsidRPr="007642F2">
        <w:rPr>
          <w:rFonts w:ascii="Times New Roman" w:hAnsi="Times New Roman" w:cs="Times New Roman"/>
          <w:sz w:val="24"/>
        </w:rPr>
        <w:t>Table 2</w:t>
      </w:r>
      <w:r w:rsidR="005332F1">
        <w:rPr>
          <w:rFonts w:ascii="Times New Roman" w:hAnsi="Times New Roman" w:cs="Times New Roman"/>
          <w:sz w:val="24"/>
        </w:rPr>
        <w:t>)</w:t>
      </w:r>
      <w:r w:rsidR="000C0E1A">
        <w:rPr>
          <w:rFonts w:ascii="Times New Roman" w:hAnsi="Times New Roman" w:cs="Times New Roman"/>
          <w:sz w:val="24"/>
        </w:rPr>
        <w:t>.</w:t>
      </w:r>
    </w:p>
    <w:p w14:paraId="43F908A6" w14:textId="59F26A1E" w:rsidR="00E03E3F" w:rsidRDefault="00E03E3F" w:rsidP="007E69A1">
      <w:pPr>
        <w:pStyle w:val="Heading2"/>
        <w:spacing w:after="160" w:line="480" w:lineRule="auto"/>
        <w:rPr>
          <w:rFonts w:ascii="Times New Roman" w:hAnsi="Times New Roman" w:cs="Times New Roman"/>
          <w:b/>
          <w:color w:val="000000" w:themeColor="text1"/>
          <w:sz w:val="24"/>
        </w:rPr>
      </w:pPr>
      <w:bookmarkStart w:id="11" w:name="_Toc99089484"/>
      <w:r w:rsidRPr="00557AF5">
        <w:rPr>
          <w:rFonts w:ascii="Times New Roman" w:hAnsi="Times New Roman" w:cs="Times New Roman"/>
          <w:b/>
          <w:color w:val="000000" w:themeColor="text1"/>
          <w:sz w:val="24"/>
        </w:rPr>
        <w:t>Results</w:t>
      </w:r>
      <w:r w:rsidR="005C15E9" w:rsidRPr="00557AF5">
        <w:rPr>
          <w:rFonts w:ascii="Times New Roman" w:hAnsi="Times New Roman" w:cs="Times New Roman"/>
          <w:b/>
          <w:color w:val="000000" w:themeColor="text1"/>
          <w:sz w:val="24"/>
        </w:rPr>
        <w:t xml:space="preserve"> and Discussion</w:t>
      </w:r>
      <w:bookmarkEnd w:id="11"/>
    </w:p>
    <w:p w14:paraId="43DDDFAF" w14:textId="77777777" w:rsidR="00557AF5" w:rsidRPr="00557AF5" w:rsidRDefault="00557AF5" w:rsidP="00557AF5">
      <w:pPr>
        <w:spacing w:after="0"/>
      </w:pPr>
    </w:p>
    <w:p w14:paraId="773DA9D8" w14:textId="10A81864" w:rsidR="008136EE" w:rsidRDefault="008136EE" w:rsidP="00E03E3F">
      <w:pPr>
        <w:spacing w:line="480" w:lineRule="auto"/>
        <w:jc w:val="both"/>
        <w:rPr>
          <w:rFonts w:ascii="Times New Roman" w:hAnsi="Times New Roman" w:cs="Times New Roman"/>
          <w:i/>
          <w:sz w:val="24"/>
        </w:rPr>
      </w:pPr>
      <w:r w:rsidRPr="008136EE">
        <w:rPr>
          <w:rFonts w:ascii="Times New Roman" w:hAnsi="Times New Roman" w:cs="Times New Roman"/>
          <w:i/>
          <w:sz w:val="24"/>
        </w:rPr>
        <w:t xml:space="preserve">Field </w:t>
      </w:r>
      <w:r w:rsidR="00AC6AF2">
        <w:rPr>
          <w:rFonts w:ascii="Times New Roman" w:hAnsi="Times New Roman" w:cs="Times New Roman"/>
          <w:i/>
          <w:sz w:val="24"/>
        </w:rPr>
        <w:t>Dissipation</w:t>
      </w:r>
    </w:p>
    <w:p w14:paraId="1D893405" w14:textId="7C7A69D9" w:rsidR="008136EE" w:rsidRDefault="008136EE" w:rsidP="00E03E3F">
      <w:pPr>
        <w:spacing w:line="480" w:lineRule="auto"/>
        <w:jc w:val="both"/>
        <w:rPr>
          <w:rFonts w:ascii="Times New Roman" w:hAnsi="Times New Roman" w:cs="Times New Roman"/>
          <w:sz w:val="24"/>
        </w:rPr>
      </w:pPr>
      <w:r>
        <w:rPr>
          <w:rFonts w:ascii="Times New Roman" w:hAnsi="Times New Roman" w:cs="Times New Roman"/>
          <w:sz w:val="24"/>
        </w:rPr>
        <w:tab/>
      </w:r>
      <w:r w:rsidR="00AC6AF2">
        <w:rPr>
          <w:rFonts w:ascii="Times New Roman" w:hAnsi="Times New Roman" w:cs="Times New Roman"/>
          <w:sz w:val="24"/>
        </w:rPr>
        <w:t xml:space="preserve">Weekly precipitation, high, low and average temperature for the duration of the field studies is presented in Figures 1 and 2.  </w:t>
      </w:r>
      <w:r w:rsidR="00473780">
        <w:rPr>
          <w:rFonts w:ascii="Times New Roman" w:hAnsi="Times New Roman" w:cs="Times New Roman"/>
          <w:sz w:val="24"/>
        </w:rPr>
        <w:t xml:space="preserve">Both studies received rainfall soon after application (1 </w:t>
      </w:r>
      <w:r w:rsidR="00473780">
        <w:rPr>
          <w:rFonts w:ascii="Times New Roman" w:hAnsi="Times New Roman" w:cs="Times New Roman"/>
          <w:sz w:val="24"/>
        </w:rPr>
        <w:lastRenderedPageBreak/>
        <w:t xml:space="preserve">week), but </w:t>
      </w:r>
      <w:r w:rsidR="00A51FDA">
        <w:rPr>
          <w:rFonts w:ascii="Times New Roman" w:hAnsi="Times New Roman" w:cs="Times New Roman"/>
          <w:sz w:val="24"/>
        </w:rPr>
        <w:t xml:space="preserve">overall </w:t>
      </w:r>
      <w:r w:rsidR="00473780">
        <w:rPr>
          <w:rFonts w:ascii="Times New Roman" w:hAnsi="Times New Roman" w:cs="Times New Roman"/>
          <w:sz w:val="24"/>
        </w:rPr>
        <w:t>rainfall patterns were different between years</w:t>
      </w:r>
      <w:r w:rsidR="00DC1C50">
        <w:rPr>
          <w:rFonts w:ascii="Times New Roman" w:hAnsi="Times New Roman" w:cs="Times New Roman"/>
          <w:sz w:val="24"/>
        </w:rPr>
        <w:t xml:space="preserve"> with 2019 having several dry periods late in the growing season</w:t>
      </w:r>
      <w:r w:rsidR="00473780">
        <w:rPr>
          <w:rFonts w:ascii="Times New Roman" w:hAnsi="Times New Roman" w:cs="Times New Roman"/>
          <w:sz w:val="24"/>
        </w:rPr>
        <w:t xml:space="preserve">.  </w:t>
      </w:r>
      <w:r w:rsidR="00AC6AF2">
        <w:rPr>
          <w:rFonts w:ascii="Times New Roman" w:hAnsi="Times New Roman" w:cs="Times New Roman"/>
          <w:sz w:val="24"/>
        </w:rPr>
        <w:t>Total precipitation for 2019</w:t>
      </w:r>
      <w:r w:rsidR="00C73D0C">
        <w:rPr>
          <w:rFonts w:ascii="Times New Roman" w:hAnsi="Times New Roman" w:cs="Times New Roman"/>
          <w:sz w:val="24"/>
        </w:rPr>
        <w:t xml:space="preserve"> field study</w:t>
      </w:r>
      <w:r w:rsidR="00AC6AF2">
        <w:rPr>
          <w:rFonts w:ascii="Times New Roman" w:hAnsi="Times New Roman" w:cs="Times New Roman"/>
          <w:sz w:val="24"/>
        </w:rPr>
        <w:t xml:space="preserve"> measured 177.4 cm which was markedly higher than 2020</w:t>
      </w:r>
      <w:r w:rsidR="007E5B28">
        <w:rPr>
          <w:rFonts w:ascii="Times New Roman" w:hAnsi="Times New Roman" w:cs="Times New Roman"/>
          <w:sz w:val="24"/>
        </w:rPr>
        <w:t xml:space="preserve"> field study</w:t>
      </w:r>
      <w:r w:rsidR="00AC6AF2">
        <w:rPr>
          <w:rFonts w:ascii="Times New Roman" w:hAnsi="Times New Roman" w:cs="Times New Roman"/>
          <w:sz w:val="24"/>
        </w:rPr>
        <w:t xml:space="preserve"> at 133.6 cm.  </w:t>
      </w:r>
      <w:r w:rsidR="007E5B28">
        <w:rPr>
          <w:rFonts w:ascii="Times New Roman" w:hAnsi="Times New Roman" w:cs="Times New Roman"/>
          <w:sz w:val="24"/>
        </w:rPr>
        <w:t xml:space="preserve">Measured precipitation was above the 10-year avg for Knoxville, Tennessee in 2019 field study, but was avg for the 2020 field study (data not shown).  </w:t>
      </w:r>
      <w:r w:rsidR="001F120B">
        <w:rPr>
          <w:rFonts w:ascii="Times New Roman" w:hAnsi="Times New Roman" w:cs="Times New Roman"/>
          <w:sz w:val="24"/>
        </w:rPr>
        <w:t>2019 and 2020 precipitation measured #2 and #3 wettest years on record for the city of Knoxville, respectively</w:t>
      </w:r>
      <w:r w:rsidR="009B393E">
        <w:rPr>
          <w:rFonts w:ascii="Times New Roman" w:hAnsi="Times New Roman" w:cs="Times New Roman"/>
          <w:sz w:val="24"/>
        </w:rPr>
        <w:t xml:space="preserve"> (City of Knoxville 2022)</w:t>
      </w:r>
      <w:r w:rsidR="001F120B">
        <w:rPr>
          <w:rFonts w:ascii="Times New Roman" w:hAnsi="Times New Roman" w:cs="Times New Roman"/>
          <w:sz w:val="24"/>
        </w:rPr>
        <w:t xml:space="preserve">.  </w:t>
      </w:r>
      <w:r w:rsidR="00C73D0C">
        <w:rPr>
          <w:rFonts w:ascii="Times New Roman" w:hAnsi="Times New Roman" w:cs="Times New Roman"/>
          <w:sz w:val="24"/>
        </w:rPr>
        <w:t xml:space="preserve">Overall, </w:t>
      </w:r>
      <w:r w:rsidR="003E30EA">
        <w:rPr>
          <w:rFonts w:ascii="Times New Roman" w:hAnsi="Times New Roman" w:cs="Times New Roman"/>
          <w:sz w:val="24"/>
        </w:rPr>
        <w:t>observed</w:t>
      </w:r>
      <w:r w:rsidR="00C73D0C">
        <w:rPr>
          <w:rFonts w:ascii="Times New Roman" w:hAnsi="Times New Roman" w:cs="Times New Roman"/>
          <w:sz w:val="24"/>
        </w:rPr>
        <w:t xml:space="preserve"> temperature patterns </w:t>
      </w:r>
      <w:r w:rsidR="00473780">
        <w:rPr>
          <w:rFonts w:ascii="Times New Roman" w:hAnsi="Times New Roman" w:cs="Times New Roman"/>
          <w:sz w:val="24"/>
        </w:rPr>
        <w:t xml:space="preserve">for the year </w:t>
      </w:r>
      <w:r w:rsidR="00C73D0C">
        <w:rPr>
          <w:rFonts w:ascii="Times New Roman" w:hAnsi="Times New Roman" w:cs="Times New Roman"/>
          <w:sz w:val="24"/>
        </w:rPr>
        <w:t xml:space="preserve">were </w:t>
      </w:r>
      <w:r w:rsidR="000C44D5">
        <w:rPr>
          <w:rFonts w:ascii="Times New Roman" w:hAnsi="Times New Roman" w:cs="Times New Roman"/>
          <w:sz w:val="24"/>
        </w:rPr>
        <w:t>similar</w:t>
      </w:r>
      <w:r w:rsidR="00C73D0C">
        <w:rPr>
          <w:rFonts w:ascii="Times New Roman" w:hAnsi="Times New Roman" w:cs="Times New Roman"/>
          <w:sz w:val="24"/>
        </w:rPr>
        <w:t xml:space="preserve"> for the duration of the studies.</w:t>
      </w:r>
    </w:p>
    <w:p w14:paraId="1AF67C25" w14:textId="08C2E957" w:rsidR="00F27E6D" w:rsidRDefault="001F120B" w:rsidP="00F27E6D">
      <w:pPr>
        <w:spacing w:line="480" w:lineRule="auto"/>
        <w:jc w:val="both"/>
        <w:rPr>
          <w:rFonts w:ascii="Times New Roman" w:hAnsi="Times New Roman" w:cs="Times New Roman"/>
          <w:sz w:val="24"/>
        </w:rPr>
      </w:pPr>
      <w:r>
        <w:rPr>
          <w:rFonts w:ascii="Times New Roman" w:hAnsi="Times New Roman" w:cs="Times New Roman"/>
          <w:sz w:val="24"/>
        </w:rPr>
        <w:tab/>
      </w:r>
      <w:r w:rsidR="00C32130">
        <w:rPr>
          <w:rFonts w:ascii="Times New Roman" w:hAnsi="Times New Roman" w:cs="Times New Roman"/>
          <w:sz w:val="24"/>
        </w:rPr>
        <w:t>At the end of the sampling period for the field studies</w:t>
      </w:r>
      <w:r w:rsidR="00F27E6D">
        <w:rPr>
          <w:rFonts w:ascii="Times New Roman" w:hAnsi="Times New Roman" w:cs="Times New Roman"/>
          <w:sz w:val="24"/>
        </w:rPr>
        <w:t>, &gt; 95% of the applied parent molecule had dissipated, which exceeds the EPA guidance for the duration of a TFD study</w:t>
      </w:r>
      <w:r w:rsidR="002125A6">
        <w:rPr>
          <w:rFonts w:ascii="Times New Roman" w:hAnsi="Times New Roman" w:cs="Times New Roman"/>
          <w:sz w:val="24"/>
        </w:rPr>
        <w:t xml:space="preserve"> (U.S. EPA 2008b)</w:t>
      </w:r>
      <w:r w:rsidR="00F27E6D">
        <w:rPr>
          <w:rFonts w:ascii="Times New Roman" w:hAnsi="Times New Roman" w:cs="Times New Roman"/>
          <w:sz w:val="24"/>
        </w:rPr>
        <w:t xml:space="preserve">.  </w:t>
      </w:r>
      <w:r w:rsidR="000C44D5">
        <w:rPr>
          <w:rFonts w:ascii="Times New Roman" w:hAnsi="Times New Roman" w:cs="Times New Roman"/>
          <w:sz w:val="24"/>
        </w:rPr>
        <w:t xml:space="preserve">Tennessee soil properties of field studies </w:t>
      </w:r>
      <w:r w:rsidR="00560B4A">
        <w:rPr>
          <w:rFonts w:ascii="Times New Roman" w:hAnsi="Times New Roman" w:cs="Times New Roman"/>
          <w:sz w:val="24"/>
        </w:rPr>
        <w:t>are</w:t>
      </w:r>
      <w:r w:rsidR="000C44D5">
        <w:rPr>
          <w:rFonts w:ascii="Times New Roman" w:hAnsi="Times New Roman" w:cs="Times New Roman"/>
          <w:sz w:val="24"/>
        </w:rPr>
        <w:t xml:space="preserve"> presented in Table 1.  </w:t>
      </w:r>
      <w:r w:rsidR="00560B4A">
        <w:rPr>
          <w:rFonts w:ascii="Times New Roman" w:hAnsi="Times New Roman" w:cs="Times New Roman"/>
          <w:sz w:val="24"/>
        </w:rPr>
        <w:t xml:space="preserve">As </w:t>
      </w:r>
      <w:r w:rsidR="00B01994">
        <w:rPr>
          <w:rFonts w:ascii="Times New Roman" w:hAnsi="Times New Roman" w:cs="Times New Roman"/>
          <w:sz w:val="24"/>
        </w:rPr>
        <w:t xml:space="preserve">data for the </w:t>
      </w:r>
      <w:r w:rsidR="00560B4A">
        <w:rPr>
          <w:rFonts w:ascii="Times New Roman" w:hAnsi="Times New Roman" w:cs="Times New Roman"/>
          <w:sz w:val="24"/>
        </w:rPr>
        <w:t>field studies for 2019 and 2020 generally agree, only 2020 figures are presented (Figures 3, 4, 5).</w:t>
      </w:r>
      <w:r w:rsidR="0019152A">
        <w:rPr>
          <w:rFonts w:ascii="Times New Roman" w:hAnsi="Times New Roman" w:cs="Times New Roman"/>
          <w:sz w:val="24"/>
        </w:rPr>
        <w:t xml:space="preserve">  Field study regression coefficients</w:t>
      </w:r>
      <w:r w:rsidR="003607FC">
        <w:rPr>
          <w:rFonts w:ascii="Times New Roman" w:hAnsi="Times New Roman" w:cs="Times New Roman"/>
          <w:sz w:val="24"/>
        </w:rPr>
        <w:t xml:space="preserve">, </w:t>
      </w:r>
      <w:r w:rsidR="002125A6">
        <w:rPr>
          <w:rFonts w:ascii="Times New Roman" w:hAnsi="Times New Roman" w:cs="Times New Roman"/>
          <w:sz w:val="24"/>
        </w:rPr>
        <w:t>r</w:t>
      </w:r>
      <w:r w:rsidR="0019152A">
        <w:rPr>
          <w:rFonts w:ascii="Times New Roman" w:hAnsi="Times New Roman" w:cs="Times New Roman"/>
          <w:sz w:val="24"/>
          <w:vertAlign w:val="superscript"/>
        </w:rPr>
        <w:t>2</w:t>
      </w:r>
      <w:r w:rsidR="0019152A">
        <w:rPr>
          <w:rFonts w:ascii="Times New Roman" w:hAnsi="Times New Roman" w:cs="Times New Roman"/>
          <w:sz w:val="24"/>
        </w:rPr>
        <w:t xml:space="preserve"> values</w:t>
      </w:r>
      <w:r w:rsidR="003607FC">
        <w:rPr>
          <w:rFonts w:ascii="Times New Roman" w:hAnsi="Times New Roman" w:cs="Times New Roman"/>
          <w:sz w:val="24"/>
        </w:rPr>
        <w:t>, and DT50</w:t>
      </w:r>
      <w:r w:rsidR="0019152A">
        <w:rPr>
          <w:rFonts w:ascii="Times New Roman" w:hAnsi="Times New Roman" w:cs="Times New Roman"/>
          <w:sz w:val="24"/>
        </w:rPr>
        <w:t xml:space="preserve"> are presented in Table 3.</w:t>
      </w:r>
      <w:r w:rsidR="00AA625E">
        <w:rPr>
          <w:rFonts w:ascii="Times New Roman" w:hAnsi="Times New Roman" w:cs="Times New Roman"/>
          <w:sz w:val="24"/>
        </w:rPr>
        <w:t xml:space="preserve">  Overall, herbicides dissipated in similar pattern</w:t>
      </w:r>
      <w:r w:rsidR="00654244">
        <w:rPr>
          <w:rFonts w:ascii="Times New Roman" w:hAnsi="Times New Roman" w:cs="Times New Roman"/>
          <w:sz w:val="24"/>
        </w:rPr>
        <w:t>s</w:t>
      </w:r>
      <w:r w:rsidR="00AA625E">
        <w:rPr>
          <w:rFonts w:ascii="Times New Roman" w:hAnsi="Times New Roman" w:cs="Times New Roman"/>
          <w:sz w:val="24"/>
        </w:rPr>
        <w:t xml:space="preserve"> as expected, with characteristic biphasic curve (Figure 3, 4, 5).</w:t>
      </w:r>
    </w:p>
    <w:p w14:paraId="643CB1CA" w14:textId="16FF2E47" w:rsidR="00F27E6D" w:rsidRDefault="00473780" w:rsidP="00F27E6D">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Atrazine dissipation was initially rapid then gradually slowed as the study progressed (Figure 3).  </w:t>
      </w:r>
      <w:r w:rsidR="000C44D5">
        <w:rPr>
          <w:rFonts w:ascii="Times New Roman" w:hAnsi="Times New Roman" w:cs="Times New Roman"/>
          <w:sz w:val="24"/>
        </w:rPr>
        <w:t>Atrazine dissipation DT50 was 9.3, 12.1, and 12.9 days</w:t>
      </w:r>
      <w:r w:rsidR="00560B4A">
        <w:rPr>
          <w:rFonts w:ascii="Times New Roman" w:hAnsi="Times New Roman" w:cs="Times New Roman"/>
          <w:sz w:val="24"/>
        </w:rPr>
        <w:t xml:space="preserve"> after treatment (DAT)</w:t>
      </w:r>
      <w:r w:rsidR="000C44D5">
        <w:rPr>
          <w:rFonts w:ascii="Times New Roman" w:hAnsi="Times New Roman" w:cs="Times New Roman"/>
          <w:sz w:val="24"/>
        </w:rPr>
        <w:t xml:space="preserve"> for low, medium, and high rates, respectively (Figure 3).</w:t>
      </w:r>
      <w:r w:rsidR="00243F1D">
        <w:rPr>
          <w:rFonts w:ascii="Times New Roman" w:hAnsi="Times New Roman" w:cs="Times New Roman"/>
          <w:sz w:val="24"/>
        </w:rPr>
        <w:t xml:space="preserve">  </w:t>
      </w:r>
      <w:r w:rsidR="008657F3">
        <w:rPr>
          <w:rFonts w:ascii="Times New Roman" w:hAnsi="Times New Roman" w:cs="Times New Roman"/>
          <w:sz w:val="24"/>
        </w:rPr>
        <w:t xml:space="preserve">These half-lives are lower than previously reported for atrazine (60 days), but are comparable to soils that have </w:t>
      </w:r>
      <w:r w:rsidR="005A2585">
        <w:rPr>
          <w:rFonts w:ascii="Times New Roman" w:hAnsi="Times New Roman" w:cs="Times New Roman"/>
          <w:sz w:val="24"/>
        </w:rPr>
        <w:t>an atrazine use history (</w:t>
      </w:r>
      <w:proofErr w:type="spellStart"/>
      <w:r w:rsidR="005A2585">
        <w:rPr>
          <w:rFonts w:ascii="Times New Roman" w:hAnsi="Times New Roman" w:cs="Times New Roman"/>
          <w:sz w:val="24"/>
        </w:rPr>
        <w:t>Shaner</w:t>
      </w:r>
      <w:proofErr w:type="spellEnd"/>
      <w:r w:rsidR="005A2585">
        <w:rPr>
          <w:rFonts w:ascii="Times New Roman" w:hAnsi="Times New Roman" w:cs="Times New Roman"/>
          <w:sz w:val="24"/>
        </w:rPr>
        <w:t xml:space="preserve"> et al 2010, </w:t>
      </w:r>
      <w:proofErr w:type="spellStart"/>
      <w:r w:rsidR="005A2585">
        <w:rPr>
          <w:rFonts w:ascii="Times New Roman" w:hAnsi="Times New Roman" w:cs="Times New Roman"/>
          <w:sz w:val="24"/>
        </w:rPr>
        <w:t>Krutz</w:t>
      </w:r>
      <w:proofErr w:type="spellEnd"/>
      <w:r w:rsidR="005A2585">
        <w:rPr>
          <w:rFonts w:ascii="Times New Roman" w:hAnsi="Times New Roman" w:cs="Times New Roman"/>
          <w:sz w:val="24"/>
        </w:rPr>
        <w:t xml:space="preserve"> et al. 2006 and 2010, Mueller et al. 2017).</w:t>
      </w:r>
      <w:r w:rsidR="0019152A">
        <w:rPr>
          <w:rFonts w:ascii="Times New Roman" w:hAnsi="Times New Roman" w:cs="Times New Roman"/>
          <w:sz w:val="24"/>
        </w:rPr>
        <w:t xml:space="preserve">  These </w:t>
      </w:r>
      <w:r w:rsidR="003607FC">
        <w:rPr>
          <w:rFonts w:ascii="Times New Roman" w:hAnsi="Times New Roman" w:cs="Times New Roman"/>
          <w:sz w:val="24"/>
        </w:rPr>
        <w:t xml:space="preserve">field </w:t>
      </w:r>
      <w:r w:rsidR="0019152A">
        <w:rPr>
          <w:rFonts w:ascii="Times New Roman" w:hAnsi="Times New Roman" w:cs="Times New Roman"/>
          <w:sz w:val="24"/>
        </w:rPr>
        <w:t>data suggest enhanced degradation of atrazine could explain the lower half-lives.</w:t>
      </w:r>
      <w:r w:rsidR="006A060F">
        <w:rPr>
          <w:rFonts w:ascii="Times New Roman" w:hAnsi="Times New Roman" w:cs="Times New Roman"/>
          <w:sz w:val="24"/>
        </w:rPr>
        <w:t xml:space="preserve">  Furthermore, reported soil pH can have an effect on atrazine dissipation as reported by Mueller et al. 2010</w:t>
      </w:r>
      <w:r w:rsidR="00C71FEF">
        <w:rPr>
          <w:rFonts w:ascii="Times New Roman" w:hAnsi="Times New Roman" w:cs="Times New Roman"/>
          <w:sz w:val="24"/>
        </w:rPr>
        <w:t xml:space="preserve"> and </w:t>
      </w:r>
      <w:proofErr w:type="spellStart"/>
      <w:r w:rsidR="00C71FEF">
        <w:rPr>
          <w:rFonts w:ascii="Times New Roman" w:hAnsi="Times New Roman" w:cs="Times New Roman"/>
          <w:sz w:val="24"/>
        </w:rPr>
        <w:t>Shaner</w:t>
      </w:r>
      <w:proofErr w:type="spellEnd"/>
      <w:r w:rsidR="00C71FEF">
        <w:rPr>
          <w:rFonts w:ascii="Times New Roman" w:hAnsi="Times New Roman" w:cs="Times New Roman"/>
          <w:sz w:val="24"/>
        </w:rPr>
        <w:t xml:space="preserve"> 2014.  Lower pH (&lt;5.5) can </w:t>
      </w:r>
      <w:r w:rsidR="00D05DD0">
        <w:rPr>
          <w:rFonts w:ascii="Times New Roman" w:hAnsi="Times New Roman" w:cs="Times New Roman"/>
          <w:sz w:val="24"/>
        </w:rPr>
        <w:t>disfavo</w:t>
      </w:r>
      <w:r w:rsidR="00923434">
        <w:rPr>
          <w:rFonts w:ascii="Times New Roman" w:hAnsi="Times New Roman" w:cs="Times New Roman"/>
          <w:sz w:val="24"/>
        </w:rPr>
        <w:t xml:space="preserve">r bacterial degradation, but a </w:t>
      </w:r>
      <w:r w:rsidR="00C71FEF">
        <w:rPr>
          <w:rFonts w:ascii="Times New Roman" w:hAnsi="Times New Roman" w:cs="Times New Roman"/>
          <w:sz w:val="24"/>
        </w:rPr>
        <w:t>reported major contributor to dissipation is hydrolysis</w:t>
      </w:r>
      <w:r w:rsidR="00923434">
        <w:rPr>
          <w:rFonts w:ascii="Times New Roman" w:hAnsi="Times New Roman" w:cs="Times New Roman"/>
          <w:sz w:val="24"/>
        </w:rPr>
        <w:t xml:space="preserve"> when at lower </w:t>
      </w:r>
      <w:proofErr w:type="spellStart"/>
      <w:r w:rsidR="00923434">
        <w:rPr>
          <w:rFonts w:ascii="Times New Roman" w:hAnsi="Times New Roman" w:cs="Times New Roman"/>
          <w:sz w:val="24"/>
        </w:rPr>
        <w:t>pH</w:t>
      </w:r>
      <w:r w:rsidR="00C71FEF">
        <w:rPr>
          <w:rFonts w:ascii="Times New Roman" w:hAnsi="Times New Roman" w:cs="Times New Roman"/>
          <w:sz w:val="24"/>
        </w:rPr>
        <w:t>.</w:t>
      </w:r>
      <w:proofErr w:type="spellEnd"/>
      <w:r w:rsidR="00C71FEF">
        <w:rPr>
          <w:rFonts w:ascii="Times New Roman" w:hAnsi="Times New Roman" w:cs="Times New Roman"/>
          <w:sz w:val="24"/>
        </w:rPr>
        <w:t xml:space="preserve">  Soils used in this study were pH of 5.3 (Table 1) which suggests an effect of enhanced degradation due to atrazine use history coupled with increased hydrolysis of </w:t>
      </w:r>
      <w:r w:rsidR="00C71FEF">
        <w:rPr>
          <w:rFonts w:ascii="Times New Roman" w:hAnsi="Times New Roman" w:cs="Times New Roman"/>
          <w:sz w:val="24"/>
        </w:rPr>
        <w:lastRenderedPageBreak/>
        <w:t>the atrazine parent molecule contributing to shorter half-lives.</w:t>
      </w:r>
      <w:r w:rsidR="00BD48A7">
        <w:rPr>
          <w:rFonts w:ascii="Times New Roman" w:hAnsi="Times New Roman" w:cs="Times New Roman"/>
          <w:sz w:val="24"/>
        </w:rPr>
        <w:t xml:space="preserve">  </w:t>
      </w:r>
      <w:bookmarkStart w:id="12" w:name="_Hlk98320088"/>
      <w:r w:rsidR="00BD48A7">
        <w:rPr>
          <w:rFonts w:ascii="Times New Roman" w:hAnsi="Times New Roman" w:cs="Times New Roman"/>
          <w:sz w:val="24"/>
        </w:rPr>
        <w:t>Although</w:t>
      </w:r>
      <w:r w:rsidR="00923434">
        <w:rPr>
          <w:rFonts w:ascii="Times New Roman" w:hAnsi="Times New Roman" w:cs="Times New Roman"/>
          <w:sz w:val="24"/>
        </w:rPr>
        <w:t>, bacteria can be inhibited at lower pH</w:t>
      </w:r>
      <w:r w:rsidR="00A5106C">
        <w:rPr>
          <w:rFonts w:ascii="Times New Roman" w:hAnsi="Times New Roman" w:cs="Times New Roman"/>
          <w:sz w:val="24"/>
        </w:rPr>
        <w:t xml:space="preserve"> and hydrolysis increased</w:t>
      </w:r>
      <w:r w:rsidR="00923434">
        <w:rPr>
          <w:rFonts w:ascii="Times New Roman" w:hAnsi="Times New Roman" w:cs="Times New Roman"/>
          <w:sz w:val="24"/>
        </w:rPr>
        <w:t>, it is unclear</w:t>
      </w:r>
      <w:r w:rsidR="00A5106C">
        <w:rPr>
          <w:rFonts w:ascii="Times New Roman" w:hAnsi="Times New Roman" w:cs="Times New Roman"/>
          <w:sz w:val="24"/>
        </w:rPr>
        <w:t xml:space="preserve"> of the contribution of each route in these studies.</w:t>
      </w:r>
      <w:r w:rsidR="00BD48A7">
        <w:rPr>
          <w:rFonts w:ascii="Times New Roman" w:hAnsi="Times New Roman" w:cs="Times New Roman"/>
          <w:sz w:val="24"/>
        </w:rPr>
        <w:t xml:space="preserve"> </w:t>
      </w:r>
      <w:r w:rsidR="00A5106C">
        <w:rPr>
          <w:rFonts w:ascii="Times New Roman" w:hAnsi="Times New Roman" w:cs="Times New Roman"/>
          <w:sz w:val="24"/>
        </w:rPr>
        <w:t>C</w:t>
      </w:r>
      <w:r w:rsidR="00BD48A7">
        <w:rPr>
          <w:rFonts w:ascii="Times New Roman" w:hAnsi="Times New Roman" w:cs="Times New Roman"/>
          <w:sz w:val="24"/>
        </w:rPr>
        <w:t>alculated half-lives appear to be different based on initial concentration, plotting half-lives of each concentration suggests there is no relationship (</w:t>
      </w:r>
      <w:r w:rsidR="00EE1537">
        <w:rPr>
          <w:rFonts w:ascii="Times New Roman" w:hAnsi="Times New Roman" w:cs="Times New Roman"/>
          <w:sz w:val="24"/>
        </w:rPr>
        <w:t>r</w:t>
      </w:r>
      <w:r w:rsidR="00BD48A7">
        <w:rPr>
          <w:rFonts w:ascii="Times New Roman" w:hAnsi="Times New Roman" w:cs="Times New Roman"/>
          <w:sz w:val="24"/>
          <w:vertAlign w:val="superscript"/>
        </w:rPr>
        <w:t>2</w:t>
      </w:r>
      <w:r w:rsidR="00BD48A7">
        <w:rPr>
          <w:rFonts w:ascii="Times New Roman" w:hAnsi="Times New Roman" w:cs="Times New Roman"/>
          <w:sz w:val="24"/>
        </w:rPr>
        <w:t xml:space="preserve"> = 0.080) (Figure 6). </w:t>
      </w:r>
      <w:bookmarkEnd w:id="12"/>
      <w:r w:rsidR="00BD48A7">
        <w:rPr>
          <w:rFonts w:ascii="Times New Roman" w:hAnsi="Times New Roman" w:cs="Times New Roman"/>
          <w:sz w:val="24"/>
        </w:rPr>
        <w:t xml:space="preserve"> Considering enhanced degradation of atrazine is likely in these studies, concentration effects on dissipation might not be apparent.</w:t>
      </w:r>
    </w:p>
    <w:p w14:paraId="61739F4B" w14:textId="5EAF7E4E" w:rsidR="00F27E6D" w:rsidRDefault="00080825" w:rsidP="00F27E6D">
      <w:pPr>
        <w:spacing w:line="480" w:lineRule="auto"/>
        <w:ind w:firstLine="720"/>
        <w:jc w:val="both"/>
        <w:rPr>
          <w:rFonts w:ascii="Times New Roman" w:hAnsi="Times New Roman" w:cs="Times New Roman"/>
          <w:sz w:val="24"/>
        </w:rPr>
      </w:pPr>
      <w:r>
        <w:rPr>
          <w:rFonts w:ascii="Times New Roman" w:hAnsi="Times New Roman" w:cs="Times New Roman"/>
          <w:sz w:val="24"/>
        </w:rPr>
        <w:t>Pyroxasulfone dissipation was initially rapid</w:t>
      </w:r>
      <w:r w:rsidR="00947BEF">
        <w:rPr>
          <w:rFonts w:ascii="Times New Roman" w:hAnsi="Times New Roman" w:cs="Times New Roman"/>
          <w:sz w:val="24"/>
        </w:rPr>
        <w:t xml:space="preserve"> at low and middle application rates, less rapid at the higher rate with gradual slowing of dissipation as </w:t>
      </w:r>
      <w:r w:rsidR="00BD48A7">
        <w:rPr>
          <w:rFonts w:ascii="Times New Roman" w:hAnsi="Times New Roman" w:cs="Times New Roman"/>
          <w:sz w:val="24"/>
        </w:rPr>
        <w:t xml:space="preserve">the </w:t>
      </w:r>
      <w:r w:rsidR="001013A6">
        <w:rPr>
          <w:rFonts w:ascii="Times New Roman" w:hAnsi="Times New Roman" w:cs="Times New Roman"/>
          <w:sz w:val="24"/>
        </w:rPr>
        <w:t>intervals</w:t>
      </w:r>
      <w:r w:rsidR="00947BEF">
        <w:rPr>
          <w:rFonts w:ascii="Times New Roman" w:hAnsi="Times New Roman" w:cs="Times New Roman"/>
          <w:sz w:val="24"/>
        </w:rPr>
        <w:t xml:space="preserve"> progressed (Figure 4).  </w:t>
      </w:r>
      <w:r w:rsidR="00473780">
        <w:rPr>
          <w:rFonts w:ascii="Times New Roman" w:hAnsi="Times New Roman" w:cs="Times New Roman"/>
          <w:sz w:val="24"/>
        </w:rPr>
        <w:t>P</w:t>
      </w:r>
      <w:r w:rsidR="00560B4A">
        <w:rPr>
          <w:rFonts w:ascii="Times New Roman" w:hAnsi="Times New Roman" w:cs="Times New Roman"/>
          <w:sz w:val="24"/>
        </w:rPr>
        <w:t>yroxasulfone DT50 was 23.8, 25.8, and 54.1 DAT for low, medium, and high rates, respectively</w:t>
      </w:r>
      <w:r w:rsidR="00280DD2">
        <w:rPr>
          <w:rFonts w:ascii="Times New Roman" w:hAnsi="Times New Roman" w:cs="Times New Roman"/>
          <w:sz w:val="24"/>
        </w:rPr>
        <w:t xml:space="preserve"> (Figure 4)</w:t>
      </w:r>
      <w:r w:rsidR="00560B4A">
        <w:rPr>
          <w:rFonts w:ascii="Times New Roman" w:hAnsi="Times New Roman" w:cs="Times New Roman"/>
          <w:sz w:val="24"/>
        </w:rPr>
        <w:t>.</w:t>
      </w:r>
      <w:r w:rsidR="006C795D">
        <w:rPr>
          <w:rFonts w:ascii="Times New Roman" w:hAnsi="Times New Roman" w:cs="Times New Roman"/>
          <w:sz w:val="24"/>
        </w:rPr>
        <w:t xml:space="preserve">  These half-lives </w:t>
      </w:r>
      <w:r w:rsidR="009A5BC9">
        <w:rPr>
          <w:rFonts w:ascii="Times New Roman" w:hAnsi="Times New Roman" w:cs="Times New Roman"/>
          <w:sz w:val="24"/>
        </w:rPr>
        <w:t>are comparable to previous reports for pyroxasulfone (16-143 days)</w:t>
      </w:r>
      <w:r w:rsidR="00AA625E">
        <w:rPr>
          <w:rFonts w:ascii="Times New Roman" w:hAnsi="Times New Roman" w:cs="Times New Roman"/>
          <w:sz w:val="24"/>
        </w:rPr>
        <w:t xml:space="preserve"> (</w:t>
      </w:r>
      <w:r w:rsidR="00F4586E">
        <w:rPr>
          <w:rFonts w:ascii="Times New Roman" w:hAnsi="Times New Roman" w:cs="Times New Roman"/>
          <w:sz w:val="24"/>
        </w:rPr>
        <w:t xml:space="preserve">Mueller and Steckel 2011, </w:t>
      </w:r>
      <w:proofErr w:type="spellStart"/>
      <w:r w:rsidR="00AA625E">
        <w:rPr>
          <w:rFonts w:ascii="Times New Roman" w:hAnsi="Times New Roman" w:cs="Times New Roman"/>
          <w:sz w:val="24"/>
        </w:rPr>
        <w:t>Westra</w:t>
      </w:r>
      <w:proofErr w:type="spellEnd"/>
      <w:r w:rsidR="00AA625E">
        <w:rPr>
          <w:rFonts w:ascii="Times New Roman" w:hAnsi="Times New Roman" w:cs="Times New Roman"/>
          <w:sz w:val="24"/>
        </w:rPr>
        <w:t xml:space="preserve"> et al 2017</w:t>
      </w:r>
      <w:r w:rsidR="00681544">
        <w:rPr>
          <w:rFonts w:ascii="Times New Roman" w:hAnsi="Times New Roman" w:cs="Times New Roman"/>
          <w:sz w:val="24"/>
        </w:rPr>
        <w:t xml:space="preserve">, </w:t>
      </w:r>
      <w:r w:rsidR="00F4586E">
        <w:rPr>
          <w:rFonts w:ascii="Times New Roman" w:hAnsi="Times New Roman" w:cs="Times New Roman"/>
          <w:sz w:val="24"/>
        </w:rPr>
        <w:t xml:space="preserve">and </w:t>
      </w:r>
      <w:proofErr w:type="spellStart"/>
      <w:r w:rsidR="00AA625E">
        <w:rPr>
          <w:rFonts w:ascii="Times New Roman" w:hAnsi="Times New Roman" w:cs="Times New Roman"/>
          <w:sz w:val="24"/>
        </w:rPr>
        <w:t>Shaner</w:t>
      </w:r>
      <w:proofErr w:type="spellEnd"/>
      <w:r w:rsidR="00AA625E">
        <w:rPr>
          <w:rFonts w:ascii="Times New Roman" w:hAnsi="Times New Roman" w:cs="Times New Roman"/>
          <w:sz w:val="24"/>
        </w:rPr>
        <w:t xml:space="preserve"> 2014)</w:t>
      </w:r>
      <w:r w:rsidR="00F4586E">
        <w:rPr>
          <w:rFonts w:ascii="Times New Roman" w:hAnsi="Times New Roman" w:cs="Times New Roman"/>
          <w:sz w:val="24"/>
        </w:rPr>
        <w:t xml:space="preserve">.  Dissipation of pyroxasulfone is highly variable with the major </w:t>
      </w:r>
      <w:r w:rsidR="00BD48A7">
        <w:rPr>
          <w:rFonts w:ascii="Times New Roman" w:hAnsi="Times New Roman" w:cs="Times New Roman"/>
          <w:sz w:val="24"/>
        </w:rPr>
        <w:t xml:space="preserve">environmental </w:t>
      </w:r>
      <w:r w:rsidR="00F4586E">
        <w:rPr>
          <w:rFonts w:ascii="Times New Roman" w:hAnsi="Times New Roman" w:cs="Times New Roman"/>
          <w:sz w:val="24"/>
        </w:rPr>
        <w:t>contributor reported to be soil moisture</w:t>
      </w:r>
      <w:r w:rsidR="00166096">
        <w:rPr>
          <w:rFonts w:ascii="Times New Roman" w:hAnsi="Times New Roman" w:cs="Times New Roman"/>
          <w:sz w:val="24"/>
        </w:rPr>
        <w:t xml:space="preserve"> and the major degradation pathway to be microbial</w:t>
      </w:r>
      <w:r w:rsidR="00F4586E">
        <w:rPr>
          <w:rFonts w:ascii="Times New Roman" w:hAnsi="Times New Roman" w:cs="Times New Roman"/>
          <w:sz w:val="24"/>
        </w:rPr>
        <w:t xml:space="preserve"> (Mueller and Steckel 2011, </w:t>
      </w:r>
      <w:proofErr w:type="spellStart"/>
      <w:r w:rsidR="00F4586E">
        <w:rPr>
          <w:rFonts w:ascii="Times New Roman" w:hAnsi="Times New Roman" w:cs="Times New Roman"/>
          <w:sz w:val="24"/>
        </w:rPr>
        <w:t>Westra</w:t>
      </w:r>
      <w:proofErr w:type="spellEnd"/>
      <w:r w:rsidR="00F4586E">
        <w:rPr>
          <w:rFonts w:ascii="Times New Roman" w:hAnsi="Times New Roman" w:cs="Times New Roman"/>
          <w:sz w:val="24"/>
        </w:rPr>
        <w:t xml:space="preserve"> et al. 2014).  </w:t>
      </w:r>
      <w:r w:rsidR="00166096">
        <w:rPr>
          <w:rFonts w:ascii="Times New Roman" w:hAnsi="Times New Roman" w:cs="Times New Roman"/>
          <w:sz w:val="24"/>
        </w:rPr>
        <w:t>Calculated half-lives</w:t>
      </w:r>
      <w:r w:rsidR="0030579E">
        <w:rPr>
          <w:rFonts w:ascii="Times New Roman" w:hAnsi="Times New Roman" w:cs="Times New Roman"/>
          <w:sz w:val="24"/>
        </w:rPr>
        <w:t xml:space="preserve"> of pyroxasulfone</w:t>
      </w:r>
      <w:r w:rsidR="00166096">
        <w:rPr>
          <w:rFonts w:ascii="Times New Roman" w:hAnsi="Times New Roman" w:cs="Times New Roman"/>
          <w:sz w:val="24"/>
        </w:rPr>
        <w:t xml:space="preserve"> appear to be different based on initial concentration</w:t>
      </w:r>
      <w:r w:rsidR="007E6DFF">
        <w:rPr>
          <w:rFonts w:ascii="Times New Roman" w:hAnsi="Times New Roman" w:cs="Times New Roman"/>
          <w:sz w:val="24"/>
        </w:rPr>
        <w:t>s</w:t>
      </w:r>
      <w:r w:rsidR="00166096">
        <w:rPr>
          <w:rFonts w:ascii="Times New Roman" w:hAnsi="Times New Roman" w:cs="Times New Roman"/>
          <w:sz w:val="24"/>
        </w:rPr>
        <w:t>, plotting half-lives of each concentration suggests there is a relationship (</w:t>
      </w:r>
      <w:r w:rsidR="00EE1537">
        <w:rPr>
          <w:rFonts w:ascii="Times New Roman" w:hAnsi="Times New Roman" w:cs="Times New Roman"/>
          <w:sz w:val="24"/>
        </w:rPr>
        <w:t>r</w:t>
      </w:r>
      <w:r w:rsidR="00166096">
        <w:rPr>
          <w:rFonts w:ascii="Times New Roman" w:hAnsi="Times New Roman" w:cs="Times New Roman"/>
          <w:sz w:val="24"/>
          <w:vertAlign w:val="superscript"/>
        </w:rPr>
        <w:t>2</w:t>
      </w:r>
      <w:r w:rsidR="00166096">
        <w:rPr>
          <w:rFonts w:ascii="Times New Roman" w:hAnsi="Times New Roman" w:cs="Times New Roman"/>
          <w:sz w:val="24"/>
        </w:rPr>
        <w:t xml:space="preserve"> = 0.92)</w:t>
      </w:r>
      <w:r w:rsidR="007E6DFF">
        <w:rPr>
          <w:rFonts w:ascii="Times New Roman" w:hAnsi="Times New Roman" w:cs="Times New Roman"/>
          <w:sz w:val="24"/>
        </w:rPr>
        <w:t xml:space="preserve"> </w:t>
      </w:r>
      <w:r w:rsidR="001013A6">
        <w:rPr>
          <w:rFonts w:ascii="Times New Roman" w:hAnsi="Times New Roman" w:cs="Times New Roman"/>
          <w:sz w:val="24"/>
        </w:rPr>
        <w:t>and</w:t>
      </w:r>
      <w:r w:rsidR="00166096">
        <w:rPr>
          <w:rFonts w:ascii="Times New Roman" w:hAnsi="Times New Roman" w:cs="Times New Roman"/>
          <w:sz w:val="24"/>
        </w:rPr>
        <w:t xml:space="preserve"> an increase in pyroxasulfone herbicide concentration correlate</w:t>
      </w:r>
      <w:r w:rsidR="001013A6">
        <w:rPr>
          <w:rFonts w:ascii="Times New Roman" w:hAnsi="Times New Roman" w:cs="Times New Roman"/>
          <w:sz w:val="24"/>
        </w:rPr>
        <w:t>s</w:t>
      </w:r>
      <w:r w:rsidR="00166096">
        <w:rPr>
          <w:rFonts w:ascii="Times New Roman" w:hAnsi="Times New Roman" w:cs="Times New Roman"/>
          <w:sz w:val="24"/>
        </w:rPr>
        <w:t xml:space="preserve"> to an increase </w:t>
      </w:r>
      <w:r w:rsidR="001013A6">
        <w:rPr>
          <w:rFonts w:ascii="Times New Roman" w:hAnsi="Times New Roman" w:cs="Times New Roman"/>
          <w:sz w:val="24"/>
        </w:rPr>
        <w:t xml:space="preserve">DT50 </w:t>
      </w:r>
      <w:r w:rsidR="00166096">
        <w:rPr>
          <w:rFonts w:ascii="Times New Roman" w:hAnsi="Times New Roman" w:cs="Times New Roman"/>
          <w:sz w:val="24"/>
        </w:rPr>
        <w:t>(Figure 6).</w:t>
      </w:r>
    </w:p>
    <w:p w14:paraId="3513995F" w14:textId="55B638F5" w:rsidR="00F03912" w:rsidRDefault="0030579E" w:rsidP="00F27E6D">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Saflufenacil dissipation was initially rapid, then gradual slowing as the </w:t>
      </w:r>
      <w:r w:rsidR="001013A6">
        <w:rPr>
          <w:rFonts w:ascii="Times New Roman" w:hAnsi="Times New Roman" w:cs="Times New Roman"/>
          <w:sz w:val="24"/>
        </w:rPr>
        <w:t>interval</w:t>
      </w:r>
      <w:r>
        <w:rPr>
          <w:rFonts w:ascii="Times New Roman" w:hAnsi="Times New Roman" w:cs="Times New Roman"/>
          <w:sz w:val="24"/>
        </w:rPr>
        <w:t xml:space="preserve"> progressed (Figure 5).  Saflufenacil</w:t>
      </w:r>
      <w:r w:rsidR="00280DD2">
        <w:rPr>
          <w:rFonts w:ascii="Times New Roman" w:hAnsi="Times New Roman" w:cs="Times New Roman"/>
          <w:sz w:val="24"/>
        </w:rPr>
        <w:t xml:space="preserve"> DT50 was 7.2, 8.7, and 9.2 DAT for low, medium, and high rates, respectively (Figure 5).  </w:t>
      </w:r>
      <w:r>
        <w:rPr>
          <w:rFonts w:ascii="Times New Roman" w:hAnsi="Times New Roman" w:cs="Times New Roman"/>
          <w:sz w:val="24"/>
        </w:rPr>
        <w:t xml:space="preserve">These </w:t>
      </w:r>
      <w:r w:rsidR="001013A6">
        <w:rPr>
          <w:rFonts w:ascii="Times New Roman" w:hAnsi="Times New Roman" w:cs="Times New Roman"/>
          <w:sz w:val="24"/>
        </w:rPr>
        <w:t>half-lives</w:t>
      </w:r>
      <w:r>
        <w:rPr>
          <w:rFonts w:ascii="Times New Roman" w:hAnsi="Times New Roman" w:cs="Times New Roman"/>
          <w:sz w:val="24"/>
        </w:rPr>
        <w:t xml:space="preserve"> are comparable to the reported half-lives of 1-36 days (</w:t>
      </w:r>
      <w:r w:rsidRPr="0005418D">
        <w:rPr>
          <w:rFonts w:ascii="Times New Roman" w:hAnsi="Times New Roman" w:cs="Times New Roman"/>
          <w:sz w:val="24"/>
        </w:rPr>
        <w:t xml:space="preserve">Grossman et al. 2010 and 2011, </w:t>
      </w:r>
      <w:proofErr w:type="spellStart"/>
      <w:r w:rsidRPr="0005418D">
        <w:rPr>
          <w:rFonts w:ascii="Times New Roman" w:hAnsi="Times New Roman" w:cs="Times New Roman"/>
          <w:sz w:val="24"/>
        </w:rPr>
        <w:t>Shaner</w:t>
      </w:r>
      <w:proofErr w:type="spellEnd"/>
      <w:r w:rsidRPr="0005418D">
        <w:rPr>
          <w:rFonts w:ascii="Times New Roman" w:hAnsi="Times New Roman" w:cs="Times New Roman"/>
          <w:sz w:val="24"/>
        </w:rPr>
        <w:t xml:space="preserve"> 2014, Mueller et al. 2014</w:t>
      </w:r>
      <w:r>
        <w:rPr>
          <w:rFonts w:ascii="Times New Roman" w:hAnsi="Times New Roman" w:cs="Times New Roman"/>
          <w:sz w:val="24"/>
        </w:rPr>
        <w:t>).  Although, our half-lives are markedly lower than reported from Canada</w:t>
      </w:r>
      <w:r w:rsidR="00256BB2">
        <w:rPr>
          <w:rFonts w:ascii="Times New Roman" w:hAnsi="Times New Roman" w:cs="Times New Roman"/>
          <w:sz w:val="24"/>
        </w:rPr>
        <w:t xml:space="preserve"> of &gt;200 days</w:t>
      </w:r>
      <w:r w:rsidR="00FF2010">
        <w:rPr>
          <w:rFonts w:ascii="Times New Roman" w:hAnsi="Times New Roman" w:cs="Times New Roman"/>
          <w:sz w:val="24"/>
        </w:rPr>
        <w:t xml:space="preserve"> (Gauthier and </w:t>
      </w:r>
      <w:proofErr w:type="spellStart"/>
      <w:r w:rsidR="00FF2010">
        <w:rPr>
          <w:rFonts w:ascii="Times New Roman" w:hAnsi="Times New Roman" w:cs="Times New Roman"/>
          <w:sz w:val="24"/>
        </w:rPr>
        <w:t>Mabury</w:t>
      </w:r>
      <w:proofErr w:type="spellEnd"/>
      <w:r w:rsidR="00FF2010">
        <w:rPr>
          <w:rFonts w:ascii="Times New Roman" w:hAnsi="Times New Roman" w:cs="Times New Roman"/>
          <w:sz w:val="24"/>
        </w:rPr>
        <w:t xml:space="preserve"> 2020, Robinson and McNaughton 2012</w:t>
      </w:r>
      <w:r w:rsidR="006A3D32">
        <w:rPr>
          <w:rFonts w:ascii="Times New Roman" w:hAnsi="Times New Roman" w:cs="Times New Roman"/>
          <w:sz w:val="24"/>
        </w:rPr>
        <w:t>).  These</w:t>
      </w:r>
      <w:r w:rsidR="00FF2010">
        <w:rPr>
          <w:rFonts w:ascii="Times New Roman" w:hAnsi="Times New Roman" w:cs="Times New Roman"/>
          <w:sz w:val="24"/>
        </w:rPr>
        <w:t xml:space="preserve"> differences can be attributed to the effects of environmental conditions on saflufenacil dissipation.  Calculated half-lives of saflufenacil</w:t>
      </w:r>
      <w:r w:rsidR="006A3D32">
        <w:rPr>
          <w:rFonts w:ascii="Times New Roman" w:hAnsi="Times New Roman" w:cs="Times New Roman"/>
          <w:sz w:val="24"/>
        </w:rPr>
        <w:t xml:space="preserve"> in the field studies</w:t>
      </w:r>
      <w:r w:rsidR="00FF2010">
        <w:rPr>
          <w:rFonts w:ascii="Times New Roman" w:hAnsi="Times New Roman" w:cs="Times New Roman"/>
          <w:sz w:val="24"/>
        </w:rPr>
        <w:t xml:space="preserve"> </w:t>
      </w:r>
      <w:r w:rsidR="00FF2010">
        <w:rPr>
          <w:rFonts w:ascii="Times New Roman" w:hAnsi="Times New Roman" w:cs="Times New Roman"/>
          <w:sz w:val="24"/>
        </w:rPr>
        <w:lastRenderedPageBreak/>
        <w:t>appear to be similar based on initial concentrations, plotting half-lives of each concentration suggests there is no relationship (R</w:t>
      </w:r>
      <w:r w:rsidR="00FF2010">
        <w:rPr>
          <w:rFonts w:ascii="Times New Roman" w:hAnsi="Times New Roman" w:cs="Times New Roman"/>
          <w:sz w:val="24"/>
          <w:vertAlign w:val="superscript"/>
        </w:rPr>
        <w:t>2</w:t>
      </w:r>
      <w:r w:rsidR="00FF2010">
        <w:rPr>
          <w:rFonts w:ascii="Times New Roman" w:hAnsi="Times New Roman" w:cs="Times New Roman"/>
          <w:sz w:val="24"/>
        </w:rPr>
        <w:t xml:space="preserve"> = 0.</w:t>
      </w:r>
      <w:r w:rsidR="006A3D32">
        <w:rPr>
          <w:rFonts w:ascii="Times New Roman" w:hAnsi="Times New Roman" w:cs="Times New Roman"/>
          <w:sz w:val="24"/>
        </w:rPr>
        <w:t>0038</w:t>
      </w:r>
      <w:r w:rsidR="00FF2010">
        <w:rPr>
          <w:rFonts w:ascii="Times New Roman" w:hAnsi="Times New Roman" w:cs="Times New Roman"/>
          <w:sz w:val="24"/>
        </w:rPr>
        <w:t>) (Figure 6).</w:t>
      </w:r>
    </w:p>
    <w:p w14:paraId="2734243B" w14:textId="67B53EA8" w:rsidR="006A3D32" w:rsidRDefault="00EE1537" w:rsidP="00F27E6D">
      <w:pPr>
        <w:spacing w:line="480" w:lineRule="auto"/>
        <w:ind w:firstLine="720"/>
        <w:jc w:val="both"/>
        <w:rPr>
          <w:rFonts w:ascii="Times New Roman" w:hAnsi="Times New Roman" w:cs="Times New Roman"/>
          <w:sz w:val="24"/>
        </w:rPr>
      </w:pPr>
      <w:r>
        <w:rPr>
          <w:rFonts w:ascii="Times New Roman" w:hAnsi="Times New Roman" w:cs="Times New Roman"/>
          <w:sz w:val="24"/>
        </w:rPr>
        <w:t>Understand that in the</w:t>
      </w:r>
      <w:r w:rsidR="00862324">
        <w:rPr>
          <w:rFonts w:ascii="Times New Roman" w:hAnsi="Times New Roman" w:cs="Times New Roman"/>
          <w:sz w:val="24"/>
        </w:rPr>
        <w:t xml:space="preserve"> application rates</w:t>
      </w:r>
      <w:r>
        <w:rPr>
          <w:rFonts w:ascii="Times New Roman" w:hAnsi="Times New Roman" w:cs="Times New Roman"/>
          <w:sz w:val="24"/>
        </w:rPr>
        <w:t xml:space="preserve"> in this research</w:t>
      </w:r>
      <w:r w:rsidR="00862324">
        <w:rPr>
          <w:rFonts w:ascii="Times New Roman" w:hAnsi="Times New Roman" w:cs="Times New Roman"/>
          <w:sz w:val="24"/>
        </w:rPr>
        <w:t xml:space="preserve"> far exceed label recommendations, the f</w:t>
      </w:r>
      <w:r w:rsidR="006A3D32">
        <w:rPr>
          <w:rFonts w:ascii="Times New Roman" w:hAnsi="Times New Roman" w:cs="Times New Roman"/>
          <w:sz w:val="24"/>
        </w:rPr>
        <w:t xml:space="preserve">ield studies indicated </w:t>
      </w:r>
      <w:r w:rsidR="001013A6">
        <w:rPr>
          <w:rFonts w:ascii="Times New Roman" w:hAnsi="Times New Roman" w:cs="Times New Roman"/>
          <w:sz w:val="24"/>
        </w:rPr>
        <w:t>half-lives</w:t>
      </w:r>
      <w:r w:rsidR="006A3D32">
        <w:rPr>
          <w:rFonts w:ascii="Times New Roman" w:hAnsi="Times New Roman" w:cs="Times New Roman"/>
          <w:sz w:val="24"/>
        </w:rPr>
        <w:t xml:space="preserve"> for atrazine, pyroxasulfone, and saflufenacil</w:t>
      </w:r>
      <w:r>
        <w:rPr>
          <w:rFonts w:ascii="Times New Roman" w:hAnsi="Times New Roman" w:cs="Times New Roman"/>
          <w:sz w:val="24"/>
        </w:rPr>
        <w:t xml:space="preserve"> that</w:t>
      </w:r>
      <w:r w:rsidR="006A3D32">
        <w:rPr>
          <w:rFonts w:ascii="Times New Roman" w:hAnsi="Times New Roman" w:cs="Times New Roman"/>
          <w:sz w:val="24"/>
        </w:rPr>
        <w:t xml:space="preserve"> were comparable to previous reports. </w:t>
      </w:r>
      <w:r w:rsidR="008939BB">
        <w:rPr>
          <w:rFonts w:ascii="Times New Roman" w:hAnsi="Times New Roman" w:cs="Times New Roman"/>
          <w:sz w:val="24"/>
        </w:rPr>
        <w:t xml:space="preserve"> Data suggest</w:t>
      </w:r>
      <w:r>
        <w:rPr>
          <w:rFonts w:ascii="Times New Roman" w:hAnsi="Times New Roman" w:cs="Times New Roman"/>
          <w:sz w:val="24"/>
        </w:rPr>
        <w:t>ed</w:t>
      </w:r>
      <w:r w:rsidR="008939BB">
        <w:rPr>
          <w:rFonts w:ascii="Times New Roman" w:hAnsi="Times New Roman" w:cs="Times New Roman"/>
          <w:sz w:val="24"/>
        </w:rPr>
        <w:t xml:space="preserve"> atrazine and saflufenacil </w:t>
      </w:r>
      <w:r w:rsidR="00F73168">
        <w:rPr>
          <w:rFonts w:ascii="Times New Roman" w:hAnsi="Times New Roman" w:cs="Times New Roman"/>
          <w:sz w:val="24"/>
        </w:rPr>
        <w:t xml:space="preserve">dissipation </w:t>
      </w:r>
      <w:r>
        <w:rPr>
          <w:rFonts w:ascii="Times New Roman" w:hAnsi="Times New Roman" w:cs="Times New Roman"/>
          <w:sz w:val="24"/>
        </w:rPr>
        <w:t>were</w:t>
      </w:r>
      <w:r w:rsidR="008939BB">
        <w:rPr>
          <w:rFonts w:ascii="Times New Roman" w:hAnsi="Times New Roman" w:cs="Times New Roman"/>
          <w:sz w:val="24"/>
        </w:rPr>
        <w:t xml:space="preserve"> unaffected by </w:t>
      </w:r>
      <w:r w:rsidR="00F73168">
        <w:rPr>
          <w:rFonts w:ascii="Times New Roman" w:hAnsi="Times New Roman" w:cs="Times New Roman"/>
          <w:sz w:val="24"/>
        </w:rPr>
        <w:t>herbicide concentration (</w:t>
      </w:r>
      <w:r>
        <w:rPr>
          <w:rFonts w:ascii="Times New Roman" w:hAnsi="Times New Roman" w:cs="Times New Roman"/>
          <w:sz w:val="24"/>
        </w:rPr>
        <w:t>r</w:t>
      </w:r>
      <w:r w:rsidR="00F73168">
        <w:rPr>
          <w:rFonts w:ascii="Times New Roman" w:hAnsi="Times New Roman" w:cs="Times New Roman"/>
          <w:sz w:val="24"/>
          <w:vertAlign w:val="superscript"/>
        </w:rPr>
        <w:t xml:space="preserve">2 </w:t>
      </w:r>
      <w:r w:rsidR="00F73168">
        <w:rPr>
          <w:rFonts w:ascii="Times New Roman" w:hAnsi="Times New Roman" w:cs="Times New Roman"/>
          <w:sz w:val="24"/>
        </w:rPr>
        <w:t xml:space="preserve">= 0.080, and 0.0038).  However, pyroxasulfone dissipation </w:t>
      </w:r>
      <w:r>
        <w:rPr>
          <w:rFonts w:ascii="Times New Roman" w:hAnsi="Times New Roman" w:cs="Times New Roman"/>
          <w:sz w:val="24"/>
        </w:rPr>
        <w:t>was</w:t>
      </w:r>
      <w:r w:rsidR="00F73168">
        <w:rPr>
          <w:rFonts w:ascii="Times New Roman" w:hAnsi="Times New Roman" w:cs="Times New Roman"/>
          <w:sz w:val="24"/>
        </w:rPr>
        <w:t xml:space="preserve"> positively correlated with herbicide concentrations</w:t>
      </w:r>
      <w:r w:rsidR="00041AD8">
        <w:rPr>
          <w:rFonts w:ascii="Times New Roman" w:hAnsi="Times New Roman" w:cs="Times New Roman"/>
          <w:sz w:val="24"/>
        </w:rPr>
        <w:t xml:space="preserve"> (</w:t>
      </w:r>
      <w:r>
        <w:rPr>
          <w:rFonts w:ascii="Times New Roman" w:hAnsi="Times New Roman" w:cs="Times New Roman"/>
          <w:sz w:val="24"/>
        </w:rPr>
        <w:t>r</w:t>
      </w:r>
      <w:r w:rsidR="00041AD8">
        <w:rPr>
          <w:rFonts w:ascii="Times New Roman" w:hAnsi="Times New Roman" w:cs="Times New Roman"/>
          <w:sz w:val="24"/>
          <w:vertAlign w:val="superscript"/>
        </w:rPr>
        <w:t>2</w:t>
      </w:r>
      <w:r w:rsidR="00041AD8">
        <w:rPr>
          <w:rFonts w:ascii="Times New Roman" w:hAnsi="Times New Roman" w:cs="Times New Roman"/>
          <w:sz w:val="24"/>
        </w:rPr>
        <w:t xml:space="preserve"> = 0.92).  These data indicate that herbicide concentration can have an effect on </w:t>
      </w:r>
      <w:r w:rsidR="00F40FF6">
        <w:rPr>
          <w:rFonts w:ascii="Times New Roman" w:hAnsi="Times New Roman" w:cs="Times New Roman"/>
          <w:sz w:val="24"/>
        </w:rPr>
        <w:t xml:space="preserve">rate of </w:t>
      </w:r>
      <w:r w:rsidR="00041AD8">
        <w:rPr>
          <w:rFonts w:ascii="Times New Roman" w:hAnsi="Times New Roman" w:cs="Times New Roman"/>
          <w:sz w:val="24"/>
        </w:rPr>
        <w:t xml:space="preserve">dissipation under field conditions.  Furthermore, </w:t>
      </w:r>
      <w:r w:rsidR="008A43A6">
        <w:rPr>
          <w:rFonts w:ascii="Times New Roman" w:hAnsi="Times New Roman" w:cs="Times New Roman"/>
          <w:sz w:val="24"/>
        </w:rPr>
        <w:t>these data indicate using a single rate constant to calculate half-life, since it is assumed to be independent of concentration, can induce errors in herbicide modeling.</w:t>
      </w:r>
      <w:r w:rsidR="00E770C2">
        <w:rPr>
          <w:rFonts w:ascii="Times New Roman" w:hAnsi="Times New Roman" w:cs="Times New Roman"/>
          <w:sz w:val="24"/>
        </w:rPr>
        <w:t xml:space="preserve">  Many herbicide models used by the EPA include </w:t>
      </w:r>
      <w:r w:rsidR="00313A16">
        <w:rPr>
          <w:rFonts w:ascii="Times New Roman" w:hAnsi="Times New Roman" w:cs="Times New Roman"/>
          <w:sz w:val="24"/>
        </w:rPr>
        <w:t>assumptions that herbicide dissipation is a first order reaction rate (PRZM5 and PWC).  First order reaction rates assume that half-life calculations are independent of concentration.</w:t>
      </w:r>
    </w:p>
    <w:p w14:paraId="18BFB2A1" w14:textId="258DF49D" w:rsidR="003A5B33" w:rsidRDefault="003A5B33" w:rsidP="003A5B33">
      <w:pPr>
        <w:spacing w:line="480" w:lineRule="auto"/>
        <w:jc w:val="both"/>
        <w:rPr>
          <w:rFonts w:ascii="Times New Roman" w:hAnsi="Times New Roman" w:cs="Times New Roman"/>
          <w:i/>
          <w:sz w:val="24"/>
        </w:rPr>
      </w:pPr>
      <w:r w:rsidRPr="003A5B33">
        <w:rPr>
          <w:rFonts w:ascii="Times New Roman" w:hAnsi="Times New Roman" w:cs="Times New Roman"/>
          <w:i/>
          <w:sz w:val="24"/>
        </w:rPr>
        <w:t>Lab Degradation</w:t>
      </w:r>
    </w:p>
    <w:p w14:paraId="51EDED0C" w14:textId="27E14517" w:rsidR="003A5B33" w:rsidRDefault="00193325" w:rsidP="00F71D66">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Atrazine degradation DT50 </w:t>
      </w:r>
      <w:r w:rsidR="007E69A1">
        <w:rPr>
          <w:rFonts w:ascii="Times New Roman" w:hAnsi="Times New Roman" w:cs="Times New Roman"/>
          <w:sz w:val="24"/>
        </w:rPr>
        <w:t xml:space="preserve">in TN soil </w:t>
      </w:r>
      <w:r>
        <w:rPr>
          <w:rFonts w:ascii="Times New Roman" w:hAnsi="Times New Roman" w:cs="Times New Roman"/>
          <w:sz w:val="24"/>
        </w:rPr>
        <w:t>ranged from 9-3</w:t>
      </w:r>
      <w:r w:rsidR="00F71D66">
        <w:rPr>
          <w:rFonts w:ascii="Times New Roman" w:hAnsi="Times New Roman" w:cs="Times New Roman"/>
          <w:sz w:val="24"/>
        </w:rPr>
        <w:t>9</w:t>
      </w:r>
      <w:r>
        <w:rPr>
          <w:rFonts w:ascii="Times New Roman" w:hAnsi="Times New Roman" w:cs="Times New Roman"/>
          <w:sz w:val="24"/>
        </w:rPr>
        <w:t xml:space="preserve"> DAT (Table</w:t>
      </w:r>
      <w:r w:rsidR="00F71D66">
        <w:rPr>
          <w:rFonts w:ascii="Times New Roman" w:hAnsi="Times New Roman" w:cs="Times New Roman"/>
          <w:sz w:val="24"/>
        </w:rPr>
        <w:t>s</w:t>
      </w:r>
      <w:r>
        <w:rPr>
          <w:rFonts w:ascii="Times New Roman" w:hAnsi="Times New Roman" w:cs="Times New Roman"/>
          <w:sz w:val="24"/>
        </w:rPr>
        <w:t xml:space="preserve"> 4 and 5).</w:t>
      </w:r>
      <w:r w:rsidR="00F71D66">
        <w:rPr>
          <w:rFonts w:ascii="Times New Roman" w:hAnsi="Times New Roman" w:cs="Times New Roman"/>
          <w:sz w:val="24"/>
        </w:rPr>
        <w:t xml:space="preserve">  These </w:t>
      </w:r>
      <w:r w:rsidR="00672B5B">
        <w:rPr>
          <w:rFonts w:ascii="Times New Roman" w:hAnsi="Times New Roman" w:cs="Times New Roman"/>
          <w:sz w:val="24"/>
        </w:rPr>
        <w:t>DT50s</w:t>
      </w:r>
      <w:r w:rsidR="00F71D66">
        <w:rPr>
          <w:rFonts w:ascii="Times New Roman" w:hAnsi="Times New Roman" w:cs="Times New Roman"/>
          <w:sz w:val="24"/>
        </w:rPr>
        <w:t xml:space="preserve"> are comparable where enhanced atrazine degradation has been reported.  Higher </w:t>
      </w:r>
      <w:r w:rsidR="00EE1537">
        <w:rPr>
          <w:rFonts w:ascii="Times New Roman" w:hAnsi="Times New Roman" w:cs="Times New Roman"/>
          <w:sz w:val="24"/>
        </w:rPr>
        <w:t>DT50</w:t>
      </w:r>
      <w:r w:rsidR="00F71D66">
        <w:rPr>
          <w:rFonts w:ascii="Times New Roman" w:hAnsi="Times New Roman" w:cs="Times New Roman"/>
          <w:sz w:val="24"/>
        </w:rPr>
        <w:t xml:space="preserve"> can be observed for lab experiments where some environmental parameters are kept constant and some dissipation processes are kept minimal</w:t>
      </w:r>
      <w:r w:rsidR="00672B5B">
        <w:rPr>
          <w:rFonts w:ascii="Times New Roman" w:hAnsi="Times New Roman" w:cs="Times New Roman"/>
          <w:sz w:val="24"/>
        </w:rPr>
        <w:t>, as these are designed to observe predominantly microbial degradation (Mueller and Senseman 2015)</w:t>
      </w:r>
      <w:r w:rsidR="00F71D66">
        <w:rPr>
          <w:rFonts w:ascii="Times New Roman" w:hAnsi="Times New Roman" w:cs="Times New Roman"/>
          <w:sz w:val="24"/>
        </w:rPr>
        <w:t xml:space="preserve">.  Pyroxasulfone DT50 ranged from 18-55 DAT (Tables 4 and 5).  These </w:t>
      </w:r>
      <w:r w:rsidR="00672B5B">
        <w:rPr>
          <w:rFonts w:ascii="Times New Roman" w:hAnsi="Times New Roman" w:cs="Times New Roman"/>
          <w:sz w:val="24"/>
        </w:rPr>
        <w:t xml:space="preserve">lab </w:t>
      </w:r>
      <w:r w:rsidR="00F71D66">
        <w:rPr>
          <w:rFonts w:ascii="Times New Roman" w:hAnsi="Times New Roman" w:cs="Times New Roman"/>
          <w:sz w:val="24"/>
        </w:rPr>
        <w:t xml:space="preserve">data are comparable to the </w:t>
      </w:r>
      <w:r w:rsidR="00672B5B">
        <w:rPr>
          <w:rFonts w:ascii="Times New Roman" w:hAnsi="Times New Roman" w:cs="Times New Roman"/>
          <w:sz w:val="24"/>
        </w:rPr>
        <w:t xml:space="preserve">pyroxasulfone </w:t>
      </w:r>
      <w:r w:rsidR="00F71D66">
        <w:rPr>
          <w:rFonts w:ascii="Times New Roman" w:hAnsi="Times New Roman" w:cs="Times New Roman"/>
          <w:sz w:val="24"/>
        </w:rPr>
        <w:t>field studies</w:t>
      </w:r>
      <w:r w:rsidR="00672B5B">
        <w:rPr>
          <w:rFonts w:ascii="Times New Roman" w:hAnsi="Times New Roman" w:cs="Times New Roman"/>
          <w:sz w:val="24"/>
        </w:rPr>
        <w:t xml:space="preserve"> half-lives (Mueller 2017</w:t>
      </w:r>
      <w:r w:rsidR="007E69A1">
        <w:rPr>
          <w:rFonts w:ascii="Times New Roman" w:hAnsi="Times New Roman" w:cs="Times New Roman"/>
          <w:sz w:val="24"/>
        </w:rPr>
        <w:t xml:space="preserve">, </w:t>
      </w:r>
      <w:proofErr w:type="spellStart"/>
      <w:r w:rsidR="007E69A1">
        <w:rPr>
          <w:rFonts w:ascii="Times New Roman" w:hAnsi="Times New Roman" w:cs="Times New Roman"/>
          <w:sz w:val="24"/>
        </w:rPr>
        <w:t>Shaner</w:t>
      </w:r>
      <w:proofErr w:type="spellEnd"/>
      <w:r w:rsidR="007E69A1">
        <w:rPr>
          <w:rFonts w:ascii="Times New Roman" w:hAnsi="Times New Roman" w:cs="Times New Roman"/>
          <w:sz w:val="24"/>
        </w:rPr>
        <w:t xml:space="preserve"> 2014</w:t>
      </w:r>
      <w:r w:rsidR="00672B5B">
        <w:rPr>
          <w:rFonts w:ascii="Times New Roman" w:hAnsi="Times New Roman" w:cs="Times New Roman"/>
          <w:sz w:val="24"/>
        </w:rPr>
        <w:t>).  These comparisons of pyroxasulfone in field an</w:t>
      </w:r>
      <w:r w:rsidR="00CD6C67">
        <w:rPr>
          <w:rFonts w:ascii="Times New Roman" w:hAnsi="Times New Roman" w:cs="Times New Roman"/>
          <w:sz w:val="24"/>
        </w:rPr>
        <w:t>d</w:t>
      </w:r>
      <w:r w:rsidR="00672B5B">
        <w:rPr>
          <w:rFonts w:ascii="Times New Roman" w:hAnsi="Times New Roman" w:cs="Times New Roman"/>
          <w:sz w:val="24"/>
        </w:rPr>
        <w:t xml:space="preserve"> lab could suggest that microbial degradation is the main dissipation pathway</w:t>
      </w:r>
      <w:r w:rsidR="00CD6C67">
        <w:rPr>
          <w:rFonts w:ascii="Times New Roman" w:hAnsi="Times New Roman" w:cs="Times New Roman"/>
          <w:sz w:val="24"/>
        </w:rPr>
        <w:t xml:space="preserve"> as reported previously</w:t>
      </w:r>
      <w:r w:rsidR="00672B5B">
        <w:rPr>
          <w:rFonts w:ascii="Times New Roman" w:hAnsi="Times New Roman" w:cs="Times New Roman"/>
          <w:sz w:val="24"/>
        </w:rPr>
        <w:t xml:space="preserve"> (</w:t>
      </w:r>
      <w:proofErr w:type="spellStart"/>
      <w:r w:rsidR="00672B5B">
        <w:rPr>
          <w:rFonts w:ascii="Times New Roman" w:hAnsi="Times New Roman" w:cs="Times New Roman"/>
          <w:sz w:val="24"/>
        </w:rPr>
        <w:t>Shaner</w:t>
      </w:r>
      <w:proofErr w:type="spellEnd"/>
      <w:r w:rsidR="00672B5B">
        <w:rPr>
          <w:rFonts w:ascii="Times New Roman" w:hAnsi="Times New Roman" w:cs="Times New Roman"/>
          <w:sz w:val="24"/>
        </w:rPr>
        <w:t xml:space="preserve"> 2014</w:t>
      </w:r>
      <w:r w:rsidR="00CD6C67">
        <w:rPr>
          <w:rFonts w:ascii="Times New Roman" w:hAnsi="Times New Roman" w:cs="Times New Roman"/>
          <w:sz w:val="24"/>
        </w:rPr>
        <w:t>).  Saflufenacil</w:t>
      </w:r>
      <w:r w:rsidR="00672B5B">
        <w:rPr>
          <w:rFonts w:ascii="Times New Roman" w:hAnsi="Times New Roman" w:cs="Times New Roman"/>
          <w:sz w:val="24"/>
        </w:rPr>
        <w:t xml:space="preserve"> degradation DT50</w:t>
      </w:r>
      <w:r w:rsidR="00B943D5">
        <w:rPr>
          <w:rFonts w:ascii="Times New Roman" w:hAnsi="Times New Roman" w:cs="Times New Roman"/>
          <w:sz w:val="24"/>
        </w:rPr>
        <w:t>s ranged from 15-70 DAT (Tables 4 and 5).</w:t>
      </w:r>
    </w:p>
    <w:p w14:paraId="43E5BC30" w14:textId="4A80E7C2" w:rsidR="00CD6C67" w:rsidRDefault="00CD6C67" w:rsidP="00F71D66">
      <w:pPr>
        <w:spacing w:line="480" w:lineRule="auto"/>
        <w:ind w:firstLine="720"/>
        <w:jc w:val="both"/>
        <w:rPr>
          <w:rFonts w:ascii="Times New Roman" w:hAnsi="Times New Roman" w:cs="Times New Roman"/>
          <w:sz w:val="24"/>
        </w:rPr>
      </w:pPr>
      <w:r>
        <w:rPr>
          <w:rFonts w:ascii="Times New Roman" w:hAnsi="Times New Roman" w:cs="Times New Roman"/>
          <w:sz w:val="24"/>
        </w:rPr>
        <w:lastRenderedPageBreak/>
        <w:t>Regressing initial saflufenacil herbicide concentration and calculated half-life in the lab studies suggested no correlation (</w:t>
      </w:r>
      <w:r w:rsidR="00EE1537">
        <w:rPr>
          <w:rFonts w:ascii="Times New Roman" w:hAnsi="Times New Roman" w:cs="Times New Roman"/>
          <w:sz w:val="24"/>
        </w:rPr>
        <w:t>r</w:t>
      </w:r>
      <w:r>
        <w:rPr>
          <w:rFonts w:ascii="Times New Roman" w:hAnsi="Times New Roman" w:cs="Times New Roman"/>
          <w:sz w:val="24"/>
          <w:vertAlign w:val="superscript"/>
        </w:rPr>
        <w:t>2</w:t>
      </w:r>
      <w:r>
        <w:rPr>
          <w:rFonts w:ascii="Times New Roman" w:hAnsi="Times New Roman" w:cs="Times New Roman"/>
          <w:sz w:val="24"/>
        </w:rPr>
        <w:t xml:space="preserve"> = 0.02)</w:t>
      </w:r>
      <w:r w:rsidR="002221DD">
        <w:rPr>
          <w:rFonts w:ascii="Times New Roman" w:hAnsi="Times New Roman" w:cs="Times New Roman"/>
          <w:sz w:val="24"/>
        </w:rPr>
        <w:t xml:space="preserve"> (</w:t>
      </w:r>
      <w:r w:rsidR="00EE1537">
        <w:rPr>
          <w:rFonts w:ascii="Times New Roman" w:hAnsi="Times New Roman" w:cs="Times New Roman"/>
          <w:sz w:val="24"/>
        </w:rPr>
        <w:t>Figure</w:t>
      </w:r>
      <w:r w:rsidR="002221DD">
        <w:rPr>
          <w:rFonts w:ascii="Times New Roman" w:hAnsi="Times New Roman" w:cs="Times New Roman"/>
          <w:sz w:val="24"/>
        </w:rPr>
        <w:t xml:space="preserve"> 7)</w:t>
      </w:r>
      <w:r>
        <w:rPr>
          <w:rFonts w:ascii="Times New Roman" w:hAnsi="Times New Roman" w:cs="Times New Roman"/>
          <w:sz w:val="24"/>
        </w:rPr>
        <w:t>.  Pyroxasulfon</w:t>
      </w:r>
      <w:r w:rsidR="007034D1">
        <w:rPr>
          <w:rFonts w:ascii="Times New Roman" w:hAnsi="Times New Roman" w:cs="Times New Roman"/>
          <w:sz w:val="24"/>
        </w:rPr>
        <w:t>e initial concentration regressed against DT50s suggests a correlation (</w:t>
      </w:r>
      <w:r w:rsidR="00EE1537">
        <w:rPr>
          <w:rFonts w:ascii="Times New Roman" w:hAnsi="Times New Roman" w:cs="Times New Roman"/>
          <w:sz w:val="24"/>
        </w:rPr>
        <w:t>r</w:t>
      </w:r>
      <w:r w:rsidR="007034D1">
        <w:rPr>
          <w:rFonts w:ascii="Times New Roman" w:hAnsi="Times New Roman" w:cs="Times New Roman"/>
          <w:sz w:val="24"/>
          <w:vertAlign w:val="superscript"/>
        </w:rPr>
        <w:t>2</w:t>
      </w:r>
      <w:r w:rsidR="007034D1">
        <w:rPr>
          <w:rFonts w:ascii="Times New Roman" w:hAnsi="Times New Roman" w:cs="Times New Roman"/>
          <w:sz w:val="24"/>
        </w:rPr>
        <w:t xml:space="preserve"> = 0.40) where an increase in initial concentration results in an increase of DT50</w:t>
      </w:r>
      <w:r w:rsidR="002221DD">
        <w:rPr>
          <w:rFonts w:ascii="Times New Roman" w:hAnsi="Times New Roman" w:cs="Times New Roman"/>
          <w:sz w:val="24"/>
        </w:rPr>
        <w:t xml:space="preserve"> (</w:t>
      </w:r>
      <w:r w:rsidR="00EE062E">
        <w:rPr>
          <w:rFonts w:ascii="Times New Roman" w:hAnsi="Times New Roman" w:cs="Times New Roman"/>
          <w:sz w:val="24"/>
        </w:rPr>
        <w:t>Figure</w:t>
      </w:r>
      <w:r w:rsidR="002221DD">
        <w:rPr>
          <w:rFonts w:ascii="Times New Roman" w:hAnsi="Times New Roman" w:cs="Times New Roman"/>
          <w:sz w:val="24"/>
        </w:rPr>
        <w:t xml:space="preserve"> 7)</w:t>
      </w:r>
      <w:r w:rsidR="007034D1">
        <w:rPr>
          <w:rFonts w:ascii="Times New Roman" w:hAnsi="Times New Roman" w:cs="Times New Roman"/>
          <w:sz w:val="24"/>
        </w:rPr>
        <w:t>.</w:t>
      </w:r>
      <w:r w:rsidR="0050606F">
        <w:rPr>
          <w:rFonts w:ascii="Times New Roman" w:hAnsi="Times New Roman" w:cs="Times New Roman"/>
          <w:sz w:val="24"/>
        </w:rPr>
        <w:t xml:space="preserve">  Interestingly, when atrazine </w:t>
      </w:r>
      <w:r w:rsidR="009B63BD">
        <w:rPr>
          <w:rFonts w:ascii="Times New Roman" w:hAnsi="Times New Roman" w:cs="Times New Roman"/>
          <w:sz w:val="24"/>
        </w:rPr>
        <w:t xml:space="preserve">herbicide </w:t>
      </w:r>
      <w:r w:rsidR="0050606F">
        <w:rPr>
          <w:rFonts w:ascii="Times New Roman" w:hAnsi="Times New Roman" w:cs="Times New Roman"/>
          <w:sz w:val="24"/>
        </w:rPr>
        <w:t>initial concentration is regressed against DT50s there is a correlation (</w:t>
      </w:r>
      <w:r w:rsidR="00EE1537">
        <w:rPr>
          <w:rFonts w:ascii="Times New Roman" w:hAnsi="Times New Roman" w:cs="Times New Roman"/>
          <w:sz w:val="24"/>
        </w:rPr>
        <w:t>r</w:t>
      </w:r>
      <w:r w:rsidR="0050606F">
        <w:rPr>
          <w:rFonts w:ascii="Times New Roman" w:hAnsi="Times New Roman" w:cs="Times New Roman"/>
          <w:sz w:val="24"/>
          <w:vertAlign w:val="superscript"/>
        </w:rPr>
        <w:t>2</w:t>
      </w:r>
      <w:r w:rsidR="0050606F">
        <w:rPr>
          <w:rFonts w:ascii="Times New Roman" w:hAnsi="Times New Roman" w:cs="Times New Roman"/>
          <w:sz w:val="24"/>
        </w:rPr>
        <w:t xml:space="preserve"> = 0.50)</w:t>
      </w:r>
      <w:r w:rsidR="002221DD">
        <w:rPr>
          <w:rFonts w:ascii="Times New Roman" w:hAnsi="Times New Roman" w:cs="Times New Roman"/>
          <w:sz w:val="24"/>
        </w:rPr>
        <w:t xml:space="preserve"> (</w:t>
      </w:r>
      <w:r w:rsidR="00EE062E">
        <w:rPr>
          <w:rFonts w:ascii="Times New Roman" w:hAnsi="Times New Roman" w:cs="Times New Roman"/>
          <w:sz w:val="24"/>
        </w:rPr>
        <w:t>Figure</w:t>
      </w:r>
      <w:r w:rsidR="002221DD">
        <w:rPr>
          <w:rFonts w:ascii="Times New Roman" w:hAnsi="Times New Roman" w:cs="Times New Roman"/>
          <w:sz w:val="24"/>
        </w:rPr>
        <w:t xml:space="preserve"> 7)</w:t>
      </w:r>
      <w:r w:rsidR="0050606F">
        <w:rPr>
          <w:rFonts w:ascii="Times New Roman" w:hAnsi="Times New Roman" w:cs="Times New Roman"/>
          <w:sz w:val="24"/>
        </w:rPr>
        <w:t>.  However, a visual inspection of the data suggests a curvilinear regression would fit the data better (</w:t>
      </w:r>
      <w:r w:rsidR="00EE1537">
        <w:rPr>
          <w:rFonts w:ascii="Times New Roman" w:hAnsi="Times New Roman" w:cs="Times New Roman"/>
          <w:sz w:val="24"/>
        </w:rPr>
        <w:t>r</w:t>
      </w:r>
      <w:r w:rsidR="0050606F">
        <w:rPr>
          <w:rFonts w:ascii="Times New Roman" w:hAnsi="Times New Roman" w:cs="Times New Roman"/>
          <w:sz w:val="24"/>
          <w:vertAlign w:val="superscript"/>
        </w:rPr>
        <w:t>2</w:t>
      </w:r>
      <w:r w:rsidR="0050606F">
        <w:rPr>
          <w:rFonts w:ascii="Times New Roman" w:hAnsi="Times New Roman" w:cs="Times New Roman"/>
          <w:sz w:val="24"/>
        </w:rPr>
        <w:t xml:space="preserve"> = 0.86).  Atrazine data suggest</w:t>
      </w:r>
      <w:r w:rsidR="00EE062E">
        <w:rPr>
          <w:rFonts w:ascii="Times New Roman" w:hAnsi="Times New Roman" w:cs="Times New Roman"/>
          <w:sz w:val="24"/>
        </w:rPr>
        <w:t>ed</w:t>
      </w:r>
      <w:r w:rsidR="0050606F">
        <w:rPr>
          <w:rFonts w:ascii="Times New Roman" w:hAnsi="Times New Roman" w:cs="Times New Roman"/>
          <w:sz w:val="24"/>
        </w:rPr>
        <w:t xml:space="preserve"> that an increase in concentration would result in a shorter DT50</w:t>
      </w:r>
      <w:r w:rsidR="002221DD">
        <w:rPr>
          <w:rFonts w:ascii="Times New Roman" w:hAnsi="Times New Roman" w:cs="Times New Roman"/>
          <w:sz w:val="24"/>
        </w:rPr>
        <w:t xml:space="preserve">, or that higher initial concentrations of atrazine </w:t>
      </w:r>
      <w:r w:rsidR="00AD108B">
        <w:rPr>
          <w:rFonts w:ascii="Times New Roman" w:hAnsi="Times New Roman" w:cs="Times New Roman"/>
          <w:sz w:val="24"/>
        </w:rPr>
        <w:t>decreases dissipation time.</w:t>
      </w:r>
      <w:r w:rsidR="00C541E6">
        <w:rPr>
          <w:rFonts w:ascii="Times New Roman" w:hAnsi="Times New Roman" w:cs="Times New Roman"/>
          <w:sz w:val="24"/>
        </w:rPr>
        <w:t xml:space="preserve">  This finding contradicts the initial thoughts that an increase in concentration would increase the rate of dissipation.</w:t>
      </w:r>
      <w:r w:rsidR="00EE4378">
        <w:rPr>
          <w:rFonts w:ascii="Times New Roman" w:hAnsi="Times New Roman" w:cs="Times New Roman"/>
          <w:sz w:val="24"/>
        </w:rPr>
        <w:t xml:space="preserve">  Soils with known or suspected enhanced herbicide degradation should be noted in TFD studies as dissipation calculations could be altered compared to a soil without enhanced degradation.  </w:t>
      </w:r>
    </w:p>
    <w:p w14:paraId="66FF9775" w14:textId="50A450B8" w:rsidR="00DD4530" w:rsidRDefault="00AB0405" w:rsidP="00F71D66">
      <w:pPr>
        <w:spacing w:line="480" w:lineRule="auto"/>
        <w:ind w:firstLine="720"/>
        <w:jc w:val="both"/>
        <w:rPr>
          <w:rFonts w:ascii="Times New Roman" w:hAnsi="Times New Roman" w:cs="Times New Roman"/>
          <w:sz w:val="24"/>
        </w:rPr>
      </w:pPr>
      <w:r>
        <w:rPr>
          <w:rFonts w:ascii="Times New Roman" w:hAnsi="Times New Roman" w:cs="Times New Roman"/>
          <w:sz w:val="24"/>
        </w:rPr>
        <w:t>Data from field studies and lab studies</w:t>
      </w:r>
      <w:r w:rsidR="00B37F70">
        <w:rPr>
          <w:rFonts w:ascii="Times New Roman" w:hAnsi="Times New Roman" w:cs="Times New Roman"/>
          <w:sz w:val="24"/>
        </w:rPr>
        <w:t xml:space="preserve"> generally agree,</w:t>
      </w:r>
      <w:r>
        <w:rPr>
          <w:rFonts w:ascii="Times New Roman" w:hAnsi="Times New Roman" w:cs="Times New Roman"/>
          <w:sz w:val="24"/>
        </w:rPr>
        <w:t xml:space="preserve"> suggest</w:t>
      </w:r>
      <w:r w:rsidR="00B37F70">
        <w:rPr>
          <w:rFonts w:ascii="Times New Roman" w:hAnsi="Times New Roman" w:cs="Times New Roman"/>
          <w:sz w:val="24"/>
        </w:rPr>
        <w:t>ing</w:t>
      </w:r>
      <w:r>
        <w:rPr>
          <w:rFonts w:ascii="Times New Roman" w:hAnsi="Times New Roman" w:cs="Times New Roman"/>
          <w:sz w:val="24"/>
        </w:rPr>
        <w:t xml:space="preserve"> that calculating half-life using single first order</w:t>
      </w:r>
      <w:r w:rsidR="002D5BD5">
        <w:rPr>
          <w:rFonts w:ascii="Times New Roman" w:hAnsi="Times New Roman" w:cs="Times New Roman"/>
          <w:sz w:val="24"/>
        </w:rPr>
        <w:t xml:space="preserve"> kinetics could </w:t>
      </w:r>
      <w:r w:rsidR="002A60A4">
        <w:rPr>
          <w:rFonts w:ascii="Times New Roman" w:hAnsi="Times New Roman" w:cs="Times New Roman"/>
          <w:sz w:val="24"/>
        </w:rPr>
        <w:t xml:space="preserve">cause </w:t>
      </w:r>
      <w:r w:rsidR="002D5BD5">
        <w:rPr>
          <w:rFonts w:ascii="Times New Roman" w:hAnsi="Times New Roman" w:cs="Times New Roman"/>
          <w:sz w:val="24"/>
        </w:rPr>
        <w:t>input errors into models used in herbicide environmental fate.</w:t>
      </w:r>
      <w:r w:rsidR="00D73C00">
        <w:rPr>
          <w:rFonts w:ascii="Times New Roman" w:hAnsi="Times New Roman" w:cs="Times New Roman"/>
          <w:sz w:val="24"/>
        </w:rPr>
        <w:t xml:space="preserve">  </w:t>
      </w:r>
      <w:r w:rsidR="00C541E6">
        <w:rPr>
          <w:rFonts w:ascii="Times New Roman" w:hAnsi="Times New Roman" w:cs="Times New Roman"/>
          <w:sz w:val="24"/>
        </w:rPr>
        <w:t>DT50</w:t>
      </w:r>
      <w:r w:rsidR="00AE5E4D">
        <w:rPr>
          <w:rFonts w:ascii="Times New Roman" w:hAnsi="Times New Roman" w:cs="Times New Roman"/>
          <w:sz w:val="24"/>
        </w:rPr>
        <w:t xml:space="preserve"> is a common parameter to describe herbicide persistence and is sometimes used in modelling systems for herbicide fate.  Single first order reactions are used extensively in current modelling regimes.  </w:t>
      </w:r>
      <w:r w:rsidR="00C541E6">
        <w:rPr>
          <w:rFonts w:ascii="Times New Roman" w:hAnsi="Times New Roman" w:cs="Times New Roman"/>
          <w:sz w:val="24"/>
        </w:rPr>
        <w:t xml:space="preserve">These data suggest using caution when assuming herbicide concentration is independent in DT50 calculations.  </w:t>
      </w:r>
      <w:r w:rsidR="00641953">
        <w:rPr>
          <w:rFonts w:ascii="Times New Roman" w:hAnsi="Times New Roman" w:cs="Times New Roman"/>
          <w:sz w:val="24"/>
        </w:rPr>
        <w:t>Th</w:t>
      </w:r>
      <w:r w:rsidR="002A60A4">
        <w:rPr>
          <w:rFonts w:ascii="Times New Roman" w:hAnsi="Times New Roman" w:cs="Times New Roman"/>
          <w:sz w:val="24"/>
        </w:rPr>
        <w:t>ese</w:t>
      </w:r>
      <w:r w:rsidR="00641953">
        <w:rPr>
          <w:rFonts w:ascii="Times New Roman" w:hAnsi="Times New Roman" w:cs="Times New Roman"/>
          <w:sz w:val="24"/>
        </w:rPr>
        <w:t xml:space="preserve"> data suggest some herbicides could follow single first order kinetics, whereas others might not, depending on concentration.  </w:t>
      </w:r>
      <w:r w:rsidR="00AE5E4D">
        <w:rPr>
          <w:rFonts w:ascii="Times New Roman" w:hAnsi="Times New Roman" w:cs="Times New Roman"/>
          <w:sz w:val="24"/>
        </w:rPr>
        <w:t>Residual herbicides have gained renewed interest in the last couple decades to combat herbicide resistant weeds and their field persistence is of particular interest to not injury rotational or cover crops.</w:t>
      </w:r>
      <w:r w:rsidR="00C541E6">
        <w:rPr>
          <w:rFonts w:ascii="Times New Roman" w:hAnsi="Times New Roman" w:cs="Times New Roman"/>
          <w:sz w:val="24"/>
        </w:rPr>
        <w:t xml:space="preserve">  Care should be taken to ensure the most appropriate inputs are used in environmental fate modelling.</w:t>
      </w:r>
    </w:p>
    <w:p w14:paraId="5880D086" w14:textId="7C390EE9" w:rsidR="00280515" w:rsidRDefault="00280515" w:rsidP="00F71D66">
      <w:pPr>
        <w:spacing w:line="480" w:lineRule="auto"/>
        <w:ind w:firstLine="720"/>
        <w:jc w:val="both"/>
        <w:rPr>
          <w:rFonts w:ascii="Times New Roman" w:hAnsi="Times New Roman" w:cs="Times New Roman"/>
          <w:sz w:val="24"/>
        </w:rPr>
      </w:pPr>
      <w:r>
        <w:rPr>
          <w:rFonts w:ascii="Times New Roman" w:hAnsi="Times New Roman" w:cs="Times New Roman"/>
          <w:sz w:val="24"/>
        </w:rPr>
        <w:lastRenderedPageBreak/>
        <w:t xml:space="preserve">In field and lab studies, herbicide mixes were also included as treatments.  However, the data indicated that mixes and individual herbicides dissipated similarly (data not shown).  </w:t>
      </w:r>
      <w:r w:rsidR="00913151">
        <w:rPr>
          <w:rFonts w:ascii="Times New Roman" w:hAnsi="Times New Roman" w:cs="Times New Roman"/>
          <w:sz w:val="24"/>
        </w:rPr>
        <w:t xml:space="preserve">Confidence intervals </w:t>
      </w:r>
      <w:r w:rsidR="00965921">
        <w:rPr>
          <w:rFonts w:ascii="Times New Roman" w:hAnsi="Times New Roman" w:cs="Times New Roman"/>
          <w:sz w:val="24"/>
        </w:rPr>
        <w:t xml:space="preserve">were compared around first order rate constants and since confidence intervals overlapped, there was no significant difference in the dissipation rates of mixes vs individual herbicides.  </w:t>
      </w:r>
      <w:r>
        <w:rPr>
          <w:rFonts w:ascii="Times New Roman" w:hAnsi="Times New Roman" w:cs="Times New Roman"/>
          <w:sz w:val="24"/>
        </w:rPr>
        <w:t>Data in the herbicide mix was pooled with the individual herbicide data in the regression analysis (</w:t>
      </w:r>
      <w:r w:rsidR="00CB726C">
        <w:rPr>
          <w:rFonts w:ascii="Times New Roman" w:hAnsi="Times New Roman" w:cs="Times New Roman"/>
          <w:sz w:val="24"/>
        </w:rPr>
        <w:t>Figure 7</w:t>
      </w:r>
      <w:r>
        <w:rPr>
          <w:rFonts w:ascii="Times New Roman" w:hAnsi="Times New Roman" w:cs="Times New Roman"/>
          <w:sz w:val="24"/>
        </w:rPr>
        <w:t>)</w:t>
      </w:r>
      <w:r w:rsidR="00CB726C">
        <w:rPr>
          <w:rFonts w:ascii="Times New Roman" w:hAnsi="Times New Roman" w:cs="Times New Roman"/>
          <w:sz w:val="24"/>
        </w:rPr>
        <w:t>.</w:t>
      </w:r>
    </w:p>
    <w:p w14:paraId="6E21B56A" w14:textId="77777777" w:rsidR="00FF0BCC" w:rsidRPr="00FF0BCC" w:rsidRDefault="00FF0BCC" w:rsidP="00FF0BCC">
      <w:pPr>
        <w:spacing w:line="480" w:lineRule="auto"/>
        <w:ind w:firstLine="720"/>
        <w:jc w:val="both"/>
        <w:rPr>
          <w:rFonts w:ascii="Times New Roman" w:hAnsi="Times New Roman" w:cs="Times New Roman"/>
          <w:sz w:val="24"/>
        </w:rPr>
      </w:pPr>
      <w:r w:rsidRPr="00FF0BCC">
        <w:rPr>
          <w:rFonts w:ascii="Times New Roman" w:hAnsi="Times New Roman" w:cs="Times New Roman"/>
          <w:sz w:val="24"/>
        </w:rPr>
        <w:t>Although not observed in our studies, understanding herbicide degradation can be influenced positively or negatively in soils when mixed with other pesticides is possible.  For instance, pendimethalin soil degradation was affected when mixed with mancozeb (</w:t>
      </w:r>
      <w:proofErr w:type="spellStart"/>
      <w:r w:rsidRPr="00FF0BCC">
        <w:rPr>
          <w:rFonts w:ascii="Times New Roman" w:hAnsi="Times New Roman" w:cs="Times New Roman"/>
          <w:sz w:val="24"/>
        </w:rPr>
        <w:t>ethylenebisdithiocarbamate</w:t>
      </w:r>
      <w:proofErr w:type="spellEnd"/>
      <w:r w:rsidRPr="00FF0BCC">
        <w:rPr>
          <w:rFonts w:ascii="Times New Roman" w:hAnsi="Times New Roman" w:cs="Times New Roman"/>
          <w:sz w:val="24"/>
        </w:rPr>
        <w:t xml:space="preserve"> class fungicide) and/or thiamethoxam (neonicotinoid insecticide), but degradation was similar when tank-mixed with metribuzin (</w:t>
      </w:r>
      <w:bookmarkStart w:id="13" w:name="_Hlk99631577"/>
      <w:proofErr w:type="spellStart"/>
      <w:r w:rsidRPr="00FF0BCC">
        <w:rPr>
          <w:rFonts w:ascii="Times New Roman" w:hAnsi="Times New Roman" w:cs="Times New Roman"/>
          <w:sz w:val="24"/>
        </w:rPr>
        <w:t>Swarcewicz</w:t>
      </w:r>
      <w:proofErr w:type="spellEnd"/>
      <w:r w:rsidRPr="00FF0BCC">
        <w:rPr>
          <w:rFonts w:ascii="Times New Roman" w:hAnsi="Times New Roman" w:cs="Times New Roman"/>
          <w:sz w:val="24"/>
        </w:rPr>
        <w:t xml:space="preserve"> and </w:t>
      </w:r>
      <w:proofErr w:type="spellStart"/>
      <w:r w:rsidRPr="00FF0BCC">
        <w:rPr>
          <w:rFonts w:ascii="Times New Roman" w:hAnsi="Times New Roman" w:cs="Times New Roman"/>
          <w:sz w:val="24"/>
        </w:rPr>
        <w:t>Gregorczyk</w:t>
      </w:r>
      <w:proofErr w:type="spellEnd"/>
      <w:r w:rsidRPr="00FF0BCC">
        <w:rPr>
          <w:rFonts w:ascii="Times New Roman" w:hAnsi="Times New Roman" w:cs="Times New Roman"/>
          <w:sz w:val="24"/>
        </w:rPr>
        <w:t xml:space="preserve"> 2012</w:t>
      </w:r>
      <w:bookmarkEnd w:id="13"/>
      <w:r w:rsidRPr="00FF0BCC">
        <w:rPr>
          <w:rFonts w:ascii="Times New Roman" w:hAnsi="Times New Roman" w:cs="Times New Roman"/>
          <w:sz w:val="24"/>
        </w:rPr>
        <w:t xml:space="preserve">). </w:t>
      </w:r>
      <w:proofErr w:type="spellStart"/>
      <w:r w:rsidRPr="00FF0BCC">
        <w:rPr>
          <w:rFonts w:ascii="Times New Roman" w:hAnsi="Times New Roman" w:cs="Times New Roman"/>
          <w:sz w:val="24"/>
        </w:rPr>
        <w:t>Swarcewicz</w:t>
      </w:r>
      <w:proofErr w:type="spellEnd"/>
      <w:r w:rsidRPr="00FF0BCC">
        <w:rPr>
          <w:rFonts w:ascii="Times New Roman" w:hAnsi="Times New Roman" w:cs="Times New Roman"/>
          <w:sz w:val="24"/>
        </w:rPr>
        <w:t xml:space="preserve"> and </w:t>
      </w:r>
      <w:proofErr w:type="spellStart"/>
      <w:r w:rsidRPr="00FF0BCC">
        <w:rPr>
          <w:rFonts w:ascii="Times New Roman" w:hAnsi="Times New Roman" w:cs="Times New Roman"/>
          <w:sz w:val="24"/>
        </w:rPr>
        <w:t>Gregorczyk</w:t>
      </w:r>
      <w:proofErr w:type="spellEnd"/>
      <w:r w:rsidRPr="00FF0BCC">
        <w:rPr>
          <w:rFonts w:ascii="Times New Roman" w:hAnsi="Times New Roman" w:cs="Times New Roman"/>
          <w:sz w:val="24"/>
        </w:rPr>
        <w:t xml:space="preserve"> 2012 reported that pendimethalin dissipation DT50 almost doubled when tank mixed versus when applied alone.  It is common practice for an applicator to tank mix several different products together for similar and/or completely different control measures (i.e. herbicide and fungicide, herbicide and herbicide, herbicide and insecticide, etc.) in the same crop.  It is important to remember that residual herbicides applied alone might dissipate differently than when applied in mixtures as dissipation pathways could be affected.  Furthermore, microbial populations and diversity could be affected that, in turn, changes dissipation rates.  For instance, Haney et al. 2000 reported that glyphosate stimulated soil microbial activity even at high rates.  Stimulated microbial activity could cause shorter DT50s than previously observed if applied as a tank mix.</w:t>
      </w:r>
    </w:p>
    <w:p w14:paraId="1B3B41AE" w14:textId="491661AD" w:rsidR="00854908" w:rsidRDefault="00075F1E" w:rsidP="00F71D66">
      <w:pPr>
        <w:spacing w:line="480" w:lineRule="auto"/>
        <w:ind w:firstLine="720"/>
        <w:jc w:val="both"/>
        <w:rPr>
          <w:rFonts w:ascii="Times New Roman" w:hAnsi="Times New Roman" w:cs="Times New Roman"/>
          <w:sz w:val="24"/>
        </w:rPr>
      </w:pPr>
      <w:r>
        <w:rPr>
          <w:rFonts w:ascii="Times New Roman" w:hAnsi="Times New Roman" w:cs="Times New Roman"/>
          <w:sz w:val="24"/>
        </w:rPr>
        <w:t>H</w:t>
      </w:r>
      <w:r w:rsidR="00072BB0">
        <w:rPr>
          <w:rFonts w:ascii="Times New Roman" w:hAnsi="Times New Roman" w:cs="Times New Roman"/>
          <w:sz w:val="24"/>
        </w:rPr>
        <w:t xml:space="preserve">erbicide rates used in the field studies </w:t>
      </w:r>
      <w:r>
        <w:rPr>
          <w:rFonts w:ascii="Times New Roman" w:hAnsi="Times New Roman" w:cs="Times New Roman"/>
          <w:sz w:val="24"/>
        </w:rPr>
        <w:t>differed by 10x between low, medium, and high calculated initial</w:t>
      </w:r>
      <w:r w:rsidR="00072BB0">
        <w:rPr>
          <w:rFonts w:ascii="Times New Roman" w:hAnsi="Times New Roman" w:cs="Times New Roman"/>
          <w:sz w:val="24"/>
        </w:rPr>
        <w:t xml:space="preserve"> concentrations of the herbicides were </w:t>
      </w:r>
      <w:r>
        <w:rPr>
          <w:rFonts w:ascii="Times New Roman" w:hAnsi="Times New Roman" w:cs="Times New Roman"/>
          <w:sz w:val="24"/>
        </w:rPr>
        <w:t>consistent with application rates</w:t>
      </w:r>
      <w:r w:rsidR="001D25B3">
        <w:rPr>
          <w:rFonts w:ascii="Times New Roman" w:hAnsi="Times New Roman" w:cs="Times New Roman"/>
          <w:sz w:val="24"/>
        </w:rPr>
        <w:t xml:space="preserve"> (Table 3)</w:t>
      </w:r>
      <w:r w:rsidR="00072BB0">
        <w:rPr>
          <w:rFonts w:ascii="Times New Roman" w:hAnsi="Times New Roman" w:cs="Times New Roman"/>
          <w:sz w:val="24"/>
        </w:rPr>
        <w:t>.</w:t>
      </w:r>
      <w:r w:rsidR="00017164">
        <w:rPr>
          <w:rFonts w:ascii="Times New Roman" w:hAnsi="Times New Roman" w:cs="Times New Roman"/>
          <w:sz w:val="24"/>
        </w:rPr>
        <w:t xml:space="preserve">  </w:t>
      </w:r>
      <w:r w:rsidR="00017164">
        <w:rPr>
          <w:rFonts w:ascii="Times New Roman" w:hAnsi="Times New Roman" w:cs="Times New Roman"/>
          <w:sz w:val="24"/>
        </w:rPr>
        <w:lastRenderedPageBreak/>
        <w:t xml:space="preserve">During early sampling, herbicide </w:t>
      </w:r>
      <w:r>
        <w:rPr>
          <w:rFonts w:ascii="Times New Roman" w:hAnsi="Times New Roman" w:cs="Times New Roman"/>
          <w:sz w:val="24"/>
        </w:rPr>
        <w:t>variations</w:t>
      </w:r>
      <w:r w:rsidR="00017164">
        <w:rPr>
          <w:rFonts w:ascii="Times New Roman" w:hAnsi="Times New Roman" w:cs="Times New Roman"/>
          <w:sz w:val="24"/>
        </w:rPr>
        <w:t xml:space="preserve"> on the soil surface could </w:t>
      </w:r>
      <w:r w:rsidR="002A60A4">
        <w:rPr>
          <w:rFonts w:ascii="Times New Roman" w:hAnsi="Times New Roman" w:cs="Times New Roman"/>
          <w:sz w:val="24"/>
        </w:rPr>
        <w:t>affect</w:t>
      </w:r>
      <w:r w:rsidR="00017164">
        <w:rPr>
          <w:rFonts w:ascii="Times New Roman" w:hAnsi="Times New Roman" w:cs="Times New Roman"/>
          <w:sz w:val="24"/>
        </w:rPr>
        <w:t xml:space="preserve"> </w:t>
      </w:r>
      <w:r w:rsidR="00CA11CB">
        <w:rPr>
          <w:rFonts w:ascii="Times New Roman" w:hAnsi="Times New Roman" w:cs="Times New Roman"/>
          <w:sz w:val="24"/>
        </w:rPr>
        <w:t xml:space="preserve">initial </w:t>
      </w:r>
      <w:r w:rsidR="00017164">
        <w:rPr>
          <w:rFonts w:ascii="Times New Roman" w:hAnsi="Times New Roman" w:cs="Times New Roman"/>
          <w:sz w:val="24"/>
        </w:rPr>
        <w:t>concentration.  Homogeneity of soil samples is paramount during the duration of the study as samples can exhibit lower or higher concentrations than preceding samples and affect dissipation curves.</w:t>
      </w:r>
      <w:r w:rsidR="001D25B3">
        <w:rPr>
          <w:rFonts w:ascii="Times New Roman" w:hAnsi="Times New Roman" w:cs="Times New Roman"/>
          <w:sz w:val="24"/>
        </w:rPr>
        <w:t xml:space="preserve">  As previously described, early sampling errors are common in these types of studies (</w:t>
      </w:r>
      <w:r w:rsidR="001D25B3" w:rsidRPr="76C32EE0">
        <w:rPr>
          <w:rFonts w:ascii="Times New Roman" w:hAnsi="Times New Roman" w:cs="Times New Roman"/>
          <w:sz w:val="24"/>
          <w:szCs w:val="24"/>
        </w:rPr>
        <w:t xml:space="preserve">McAllister 1994, </w:t>
      </w:r>
      <w:proofErr w:type="spellStart"/>
      <w:r w:rsidR="001D25B3" w:rsidRPr="76C32EE0">
        <w:rPr>
          <w:rFonts w:ascii="Times New Roman" w:hAnsi="Times New Roman" w:cs="Times New Roman"/>
          <w:sz w:val="24"/>
          <w:szCs w:val="24"/>
        </w:rPr>
        <w:t>Blumhorst</w:t>
      </w:r>
      <w:proofErr w:type="spellEnd"/>
      <w:r w:rsidR="001D25B3" w:rsidRPr="76C32EE0">
        <w:rPr>
          <w:rFonts w:ascii="Times New Roman" w:hAnsi="Times New Roman" w:cs="Times New Roman"/>
          <w:sz w:val="24"/>
          <w:szCs w:val="24"/>
        </w:rPr>
        <w:t xml:space="preserve"> and Mueller 1997</w:t>
      </w:r>
      <w:r w:rsidR="001D25B3">
        <w:rPr>
          <w:rFonts w:ascii="Times New Roman" w:hAnsi="Times New Roman" w:cs="Times New Roman"/>
          <w:sz w:val="24"/>
        </w:rPr>
        <w:t>).  Extra care should be taken with early initial samplings.</w:t>
      </w:r>
    </w:p>
    <w:p w14:paraId="15A226A3" w14:textId="3C0C15F5" w:rsidR="008C4E4F" w:rsidRDefault="00F2657A" w:rsidP="00F71D66">
      <w:pPr>
        <w:spacing w:line="480" w:lineRule="auto"/>
        <w:ind w:firstLine="720"/>
        <w:jc w:val="both"/>
        <w:rPr>
          <w:rFonts w:ascii="Times New Roman" w:hAnsi="Times New Roman" w:cs="Times New Roman"/>
          <w:sz w:val="24"/>
        </w:rPr>
      </w:pPr>
      <w:r>
        <w:rPr>
          <w:rFonts w:ascii="Times New Roman" w:hAnsi="Times New Roman" w:cs="Times New Roman"/>
          <w:sz w:val="24"/>
        </w:rPr>
        <w:t>Atrazine dissipation in the lab studies generally agree with other reported DT50s</w:t>
      </w:r>
      <w:r w:rsidR="000D76D5">
        <w:rPr>
          <w:rFonts w:ascii="Times New Roman" w:hAnsi="Times New Roman" w:cs="Times New Roman"/>
          <w:sz w:val="24"/>
        </w:rPr>
        <w:t xml:space="preserve"> (16-38 days)</w:t>
      </w:r>
      <w:r>
        <w:rPr>
          <w:rFonts w:ascii="Times New Roman" w:hAnsi="Times New Roman" w:cs="Times New Roman"/>
          <w:sz w:val="24"/>
        </w:rPr>
        <w:t xml:space="preserve"> (Table 5).  Georgia (GA) and Illinois (IL) soils had </w:t>
      </w:r>
      <w:r w:rsidR="000D76D5">
        <w:rPr>
          <w:rFonts w:ascii="Times New Roman" w:hAnsi="Times New Roman" w:cs="Times New Roman"/>
          <w:sz w:val="24"/>
        </w:rPr>
        <w:t>higher</w:t>
      </w:r>
      <w:r>
        <w:rPr>
          <w:rFonts w:ascii="Times New Roman" w:hAnsi="Times New Roman" w:cs="Times New Roman"/>
          <w:sz w:val="24"/>
        </w:rPr>
        <w:t xml:space="preserve"> DT50s than Tennessee (TN).  These </w:t>
      </w:r>
      <w:r w:rsidR="007B150E">
        <w:rPr>
          <w:rFonts w:ascii="Times New Roman" w:hAnsi="Times New Roman" w:cs="Times New Roman"/>
          <w:sz w:val="24"/>
        </w:rPr>
        <w:t>&gt;DT50</w:t>
      </w:r>
      <w:r w:rsidR="00075F1E">
        <w:rPr>
          <w:rFonts w:ascii="Times New Roman" w:hAnsi="Times New Roman" w:cs="Times New Roman"/>
          <w:sz w:val="24"/>
        </w:rPr>
        <w:t xml:space="preserve"> for atrazine</w:t>
      </w:r>
      <w:r w:rsidR="007B150E">
        <w:rPr>
          <w:rFonts w:ascii="Times New Roman" w:hAnsi="Times New Roman" w:cs="Times New Roman"/>
          <w:sz w:val="24"/>
        </w:rPr>
        <w:t xml:space="preserve"> in GA and IL</w:t>
      </w:r>
      <w:r>
        <w:rPr>
          <w:rFonts w:ascii="Times New Roman" w:hAnsi="Times New Roman" w:cs="Times New Roman"/>
          <w:sz w:val="24"/>
        </w:rPr>
        <w:t xml:space="preserve"> are expected as TN soils are suspected to have enhanced degradation due to previous atrazine exposure</w:t>
      </w:r>
      <w:r w:rsidR="007B150E">
        <w:rPr>
          <w:rFonts w:ascii="Times New Roman" w:hAnsi="Times New Roman" w:cs="Times New Roman"/>
          <w:sz w:val="24"/>
        </w:rPr>
        <w:t xml:space="preserve"> (Mueller et al. 2017)</w:t>
      </w:r>
      <w:r>
        <w:rPr>
          <w:rFonts w:ascii="Times New Roman" w:hAnsi="Times New Roman" w:cs="Times New Roman"/>
          <w:sz w:val="24"/>
        </w:rPr>
        <w:t>.  IL and GA soils have no history of atrazine exposure, so longer dissipation times</w:t>
      </w:r>
      <w:r w:rsidR="00075F1E">
        <w:rPr>
          <w:rFonts w:ascii="Times New Roman" w:hAnsi="Times New Roman" w:cs="Times New Roman"/>
          <w:sz w:val="24"/>
        </w:rPr>
        <w:t xml:space="preserve"> for atrazine</w:t>
      </w:r>
      <w:r>
        <w:rPr>
          <w:rFonts w:ascii="Times New Roman" w:hAnsi="Times New Roman" w:cs="Times New Roman"/>
          <w:sz w:val="24"/>
        </w:rPr>
        <w:t xml:space="preserve"> were expected.</w:t>
      </w:r>
      <w:r w:rsidR="000D76D5">
        <w:rPr>
          <w:rFonts w:ascii="Times New Roman" w:hAnsi="Times New Roman" w:cs="Times New Roman"/>
          <w:sz w:val="24"/>
        </w:rPr>
        <w:t xml:space="preserve">  </w:t>
      </w:r>
    </w:p>
    <w:p w14:paraId="42E787BA" w14:textId="2F116263" w:rsidR="008C4E4F" w:rsidRDefault="00073FA5" w:rsidP="00F71D66">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Pyroxasulfone </w:t>
      </w:r>
      <w:r w:rsidR="00195679">
        <w:rPr>
          <w:rFonts w:ascii="Times New Roman" w:hAnsi="Times New Roman" w:cs="Times New Roman"/>
          <w:sz w:val="24"/>
        </w:rPr>
        <w:t>DT50 ranged from 30-89 days (Table 5) and agree with previous reports (</w:t>
      </w:r>
      <w:proofErr w:type="spellStart"/>
      <w:r w:rsidR="00195679">
        <w:rPr>
          <w:rFonts w:ascii="Times New Roman" w:hAnsi="Times New Roman" w:cs="Times New Roman"/>
          <w:sz w:val="24"/>
        </w:rPr>
        <w:t>Shaner</w:t>
      </w:r>
      <w:proofErr w:type="spellEnd"/>
      <w:r w:rsidR="00195679">
        <w:rPr>
          <w:rFonts w:ascii="Times New Roman" w:hAnsi="Times New Roman" w:cs="Times New Roman"/>
          <w:sz w:val="24"/>
        </w:rPr>
        <w:t xml:space="preserve"> 2014 and </w:t>
      </w:r>
      <w:proofErr w:type="spellStart"/>
      <w:r w:rsidR="00195679" w:rsidRPr="0005418D">
        <w:rPr>
          <w:rFonts w:ascii="Times New Roman" w:hAnsi="Times New Roman" w:cs="Times New Roman"/>
          <w:sz w:val="24"/>
        </w:rPr>
        <w:t>Westra</w:t>
      </w:r>
      <w:proofErr w:type="spellEnd"/>
      <w:r w:rsidR="00195679" w:rsidRPr="0005418D">
        <w:rPr>
          <w:rFonts w:ascii="Times New Roman" w:hAnsi="Times New Roman" w:cs="Times New Roman"/>
          <w:sz w:val="24"/>
        </w:rPr>
        <w:t xml:space="preserve"> et al. 2017</w:t>
      </w:r>
      <w:r w:rsidR="00195679">
        <w:rPr>
          <w:rFonts w:ascii="Times New Roman" w:hAnsi="Times New Roman" w:cs="Times New Roman"/>
          <w:sz w:val="24"/>
        </w:rPr>
        <w:t xml:space="preserve">).  </w:t>
      </w:r>
      <w:r w:rsidR="00301AB1">
        <w:rPr>
          <w:rFonts w:ascii="Times New Roman" w:hAnsi="Times New Roman" w:cs="Times New Roman"/>
          <w:sz w:val="24"/>
        </w:rPr>
        <w:t>GA</w:t>
      </w:r>
      <w:r w:rsidR="00A533A0">
        <w:rPr>
          <w:rFonts w:ascii="Times New Roman" w:hAnsi="Times New Roman" w:cs="Times New Roman"/>
          <w:sz w:val="24"/>
        </w:rPr>
        <w:t xml:space="preserve"> and IL</w:t>
      </w:r>
      <w:r w:rsidR="00301AB1">
        <w:rPr>
          <w:rFonts w:ascii="Times New Roman" w:hAnsi="Times New Roman" w:cs="Times New Roman"/>
          <w:sz w:val="24"/>
        </w:rPr>
        <w:t xml:space="preserve"> DT50s</w:t>
      </w:r>
      <w:r w:rsidR="007B150E">
        <w:rPr>
          <w:rFonts w:ascii="Times New Roman" w:hAnsi="Times New Roman" w:cs="Times New Roman"/>
          <w:sz w:val="24"/>
        </w:rPr>
        <w:t xml:space="preserve"> for pyroxasulfone</w:t>
      </w:r>
      <w:r w:rsidR="00301AB1">
        <w:rPr>
          <w:rFonts w:ascii="Times New Roman" w:hAnsi="Times New Roman" w:cs="Times New Roman"/>
          <w:sz w:val="24"/>
        </w:rPr>
        <w:t xml:space="preserve"> were higher</w:t>
      </w:r>
      <w:r w:rsidR="00A533A0">
        <w:rPr>
          <w:rFonts w:ascii="Times New Roman" w:hAnsi="Times New Roman" w:cs="Times New Roman"/>
          <w:sz w:val="24"/>
        </w:rPr>
        <w:t xml:space="preserve"> than TN soils</w:t>
      </w:r>
      <w:r w:rsidR="007B150E">
        <w:rPr>
          <w:rFonts w:ascii="Times New Roman" w:hAnsi="Times New Roman" w:cs="Times New Roman"/>
          <w:sz w:val="24"/>
        </w:rPr>
        <w:t>.</w:t>
      </w:r>
      <w:r w:rsidR="00A533A0">
        <w:rPr>
          <w:rFonts w:ascii="Times New Roman" w:hAnsi="Times New Roman" w:cs="Times New Roman"/>
          <w:sz w:val="24"/>
        </w:rPr>
        <w:t xml:space="preserve">  </w:t>
      </w:r>
      <w:r w:rsidR="00B8772F">
        <w:rPr>
          <w:rFonts w:ascii="Times New Roman" w:hAnsi="Times New Roman" w:cs="Times New Roman"/>
          <w:sz w:val="24"/>
        </w:rPr>
        <w:t>TN soils had &gt;2.5% organic matter, CEC of 10.7, and moderate nutrient availability which suggests moderate microbial activity.  Pyroxasulfone dissipated faster in soils from TN which suggests a more optimal environment for microbial activity</w:t>
      </w:r>
      <w:r w:rsidR="00CC4611">
        <w:rPr>
          <w:rFonts w:ascii="Times New Roman" w:hAnsi="Times New Roman" w:cs="Times New Roman"/>
          <w:sz w:val="24"/>
        </w:rPr>
        <w:t xml:space="preserve"> than IL or GA in this study</w:t>
      </w:r>
      <w:r w:rsidR="00B8772F">
        <w:rPr>
          <w:rFonts w:ascii="Times New Roman" w:hAnsi="Times New Roman" w:cs="Times New Roman"/>
          <w:sz w:val="24"/>
        </w:rPr>
        <w:t xml:space="preserve">.  </w:t>
      </w:r>
      <w:r w:rsidR="00CC4611">
        <w:rPr>
          <w:rFonts w:ascii="Times New Roman" w:hAnsi="Times New Roman" w:cs="Times New Roman"/>
          <w:sz w:val="24"/>
        </w:rPr>
        <w:t xml:space="preserve">TN soil pH measured 5.3, which is lower than the other soils and could inhibit dissipation as previously reported by Mueller et al (2010) on atrazine. </w:t>
      </w:r>
      <w:r w:rsidR="00B8772F">
        <w:rPr>
          <w:rFonts w:ascii="Times New Roman" w:hAnsi="Times New Roman" w:cs="Times New Roman"/>
          <w:sz w:val="24"/>
        </w:rPr>
        <w:t xml:space="preserve"> </w:t>
      </w:r>
      <w:r w:rsidR="00A533A0">
        <w:rPr>
          <w:rFonts w:ascii="Times New Roman" w:hAnsi="Times New Roman" w:cs="Times New Roman"/>
          <w:sz w:val="24"/>
        </w:rPr>
        <w:t>GA soils were markedly lower in %</w:t>
      </w:r>
      <w:r w:rsidR="00F37B4F">
        <w:rPr>
          <w:rFonts w:ascii="Times New Roman" w:hAnsi="Times New Roman" w:cs="Times New Roman"/>
          <w:sz w:val="24"/>
        </w:rPr>
        <w:t xml:space="preserve"> </w:t>
      </w:r>
      <w:r w:rsidR="00A533A0">
        <w:rPr>
          <w:rFonts w:ascii="Times New Roman" w:hAnsi="Times New Roman" w:cs="Times New Roman"/>
          <w:sz w:val="24"/>
        </w:rPr>
        <w:t xml:space="preserve">OM </w:t>
      </w:r>
      <w:r w:rsidR="00D72F8C">
        <w:rPr>
          <w:rFonts w:ascii="Times New Roman" w:hAnsi="Times New Roman" w:cs="Times New Roman"/>
          <w:sz w:val="24"/>
        </w:rPr>
        <w:t xml:space="preserve">(&lt;1%) </w:t>
      </w:r>
      <w:r w:rsidR="00A533A0">
        <w:rPr>
          <w:rFonts w:ascii="Times New Roman" w:hAnsi="Times New Roman" w:cs="Times New Roman"/>
          <w:sz w:val="24"/>
        </w:rPr>
        <w:t xml:space="preserve">which could negatively influence microbial population diversity and numbers.  Pyroxasulfone dissipation has been reported to be dominantly microbial, and herbicide persistence could be </w:t>
      </w:r>
      <w:r w:rsidR="00D72F8C">
        <w:rPr>
          <w:rFonts w:ascii="Times New Roman" w:hAnsi="Times New Roman" w:cs="Times New Roman"/>
          <w:sz w:val="24"/>
        </w:rPr>
        <w:t>longer in GA soil</w:t>
      </w:r>
      <w:r w:rsidR="00A533A0">
        <w:rPr>
          <w:rFonts w:ascii="Times New Roman" w:hAnsi="Times New Roman" w:cs="Times New Roman"/>
          <w:sz w:val="24"/>
        </w:rPr>
        <w:t xml:space="preserve"> </w:t>
      </w:r>
      <w:r w:rsidR="00D72F8C">
        <w:rPr>
          <w:rFonts w:ascii="Times New Roman" w:hAnsi="Times New Roman" w:cs="Times New Roman"/>
          <w:sz w:val="24"/>
        </w:rPr>
        <w:t>due</w:t>
      </w:r>
      <w:r w:rsidR="00075F1E">
        <w:rPr>
          <w:rFonts w:ascii="Times New Roman" w:hAnsi="Times New Roman" w:cs="Times New Roman"/>
          <w:sz w:val="24"/>
        </w:rPr>
        <w:t xml:space="preserve"> to</w:t>
      </w:r>
      <w:r w:rsidR="00A533A0">
        <w:rPr>
          <w:rFonts w:ascii="Times New Roman" w:hAnsi="Times New Roman" w:cs="Times New Roman"/>
          <w:sz w:val="24"/>
        </w:rPr>
        <w:t xml:space="preserve"> lower microbial presence.  </w:t>
      </w:r>
      <w:r w:rsidR="00D72F8C">
        <w:rPr>
          <w:rFonts w:ascii="Times New Roman" w:hAnsi="Times New Roman" w:cs="Times New Roman"/>
          <w:sz w:val="24"/>
        </w:rPr>
        <w:t xml:space="preserve">Furthermore, </w:t>
      </w:r>
      <w:r w:rsidR="00ED1A8E">
        <w:rPr>
          <w:rFonts w:ascii="Times New Roman" w:hAnsi="Times New Roman" w:cs="Times New Roman"/>
          <w:sz w:val="24"/>
        </w:rPr>
        <w:t>GA soils had the lowest CEC of any of the soils sampled.  Low CEC and nutrient availability could suggest lower microbial activity as well</w:t>
      </w:r>
      <w:r w:rsidR="00DD243A">
        <w:rPr>
          <w:rFonts w:ascii="Times New Roman" w:hAnsi="Times New Roman" w:cs="Times New Roman"/>
          <w:sz w:val="24"/>
        </w:rPr>
        <w:t>,</w:t>
      </w:r>
      <w:r w:rsidR="00ED1A8E">
        <w:rPr>
          <w:rFonts w:ascii="Times New Roman" w:hAnsi="Times New Roman" w:cs="Times New Roman"/>
          <w:sz w:val="24"/>
        </w:rPr>
        <w:t xml:space="preserve"> as bacteria have been reported to be active in nutrient cycling.  GA soil pH was 5.4 which is just under the pH reported</w:t>
      </w:r>
      <w:r w:rsidR="00DD243A">
        <w:rPr>
          <w:rFonts w:ascii="Times New Roman" w:hAnsi="Times New Roman" w:cs="Times New Roman"/>
          <w:sz w:val="24"/>
        </w:rPr>
        <w:t xml:space="preserve"> (&lt;5.5)</w:t>
      </w:r>
      <w:r w:rsidR="00ED1A8E">
        <w:rPr>
          <w:rFonts w:ascii="Times New Roman" w:hAnsi="Times New Roman" w:cs="Times New Roman"/>
          <w:sz w:val="24"/>
        </w:rPr>
        <w:t xml:space="preserve"> to </w:t>
      </w:r>
      <w:r w:rsidR="00DD243A">
        <w:rPr>
          <w:rFonts w:ascii="Times New Roman" w:hAnsi="Times New Roman" w:cs="Times New Roman"/>
          <w:sz w:val="24"/>
        </w:rPr>
        <w:t xml:space="preserve">slow the dissipation of atrazine in TN soils (Mueller et al. </w:t>
      </w:r>
      <w:r w:rsidR="00DD243A">
        <w:rPr>
          <w:rFonts w:ascii="Times New Roman" w:hAnsi="Times New Roman" w:cs="Times New Roman"/>
          <w:sz w:val="24"/>
        </w:rPr>
        <w:lastRenderedPageBreak/>
        <w:t xml:space="preserve">2010).  </w:t>
      </w:r>
      <w:r w:rsidR="00451601">
        <w:rPr>
          <w:rFonts w:ascii="Times New Roman" w:hAnsi="Times New Roman" w:cs="Times New Roman"/>
          <w:sz w:val="24"/>
        </w:rPr>
        <w:t>Pyroxasulfone has been reported to be stable at pH of 5 (</w:t>
      </w:r>
      <w:proofErr w:type="spellStart"/>
      <w:r w:rsidR="00451601">
        <w:rPr>
          <w:rFonts w:ascii="Times New Roman" w:hAnsi="Times New Roman" w:cs="Times New Roman"/>
          <w:sz w:val="24"/>
        </w:rPr>
        <w:t>Shaner</w:t>
      </w:r>
      <w:proofErr w:type="spellEnd"/>
      <w:r w:rsidR="00451601">
        <w:rPr>
          <w:rFonts w:ascii="Times New Roman" w:hAnsi="Times New Roman" w:cs="Times New Roman"/>
          <w:sz w:val="24"/>
        </w:rPr>
        <w:t xml:space="preserve"> 2014).  </w:t>
      </w:r>
      <w:r w:rsidR="00DD243A">
        <w:rPr>
          <w:rFonts w:ascii="Times New Roman" w:hAnsi="Times New Roman" w:cs="Times New Roman"/>
          <w:sz w:val="24"/>
        </w:rPr>
        <w:t xml:space="preserve">Pyroxasulfone dissipation could be slowed if degrading bacteria are inhibited due to this reported </w:t>
      </w:r>
      <w:proofErr w:type="spellStart"/>
      <w:r w:rsidR="00DD243A">
        <w:rPr>
          <w:rFonts w:ascii="Times New Roman" w:hAnsi="Times New Roman" w:cs="Times New Roman"/>
          <w:sz w:val="24"/>
        </w:rPr>
        <w:t>pH.</w:t>
      </w:r>
      <w:proofErr w:type="spellEnd"/>
      <w:r w:rsidR="00DD243A">
        <w:rPr>
          <w:rFonts w:ascii="Times New Roman" w:hAnsi="Times New Roman" w:cs="Times New Roman"/>
          <w:sz w:val="24"/>
        </w:rPr>
        <w:t xml:space="preserve">  </w:t>
      </w:r>
      <w:r w:rsidR="00F37B4F">
        <w:rPr>
          <w:rFonts w:ascii="Times New Roman" w:hAnsi="Times New Roman" w:cs="Times New Roman"/>
          <w:sz w:val="24"/>
        </w:rPr>
        <w:t>In addition</w:t>
      </w:r>
      <w:r w:rsidR="00AC7684">
        <w:rPr>
          <w:rFonts w:ascii="Times New Roman" w:hAnsi="Times New Roman" w:cs="Times New Roman"/>
          <w:sz w:val="24"/>
        </w:rPr>
        <w:t xml:space="preserve">, </w:t>
      </w:r>
      <w:r w:rsidR="00DD243A">
        <w:rPr>
          <w:rFonts w:ascii="Times New Roman" w:hAnsi="Times New Roman" w:cs="Times New Roman"/>
          <w:sz w:val="24"/>
        </w:rPr>
        <w:t xml:space="preserve">soil </w:t>
      </w:r>
      <w:r w:rsidR="00CD3F63">
        <w:rPr>
          <w:rFonts w:ascii="Times New Roman" w:hAnsi="Times New Roman" w:cs="Times New Roman"/>
          <w:sz w:val="24"/>
        </w:rPr>
        <w:t>moisture</w:t>
      </w:r>
      <w:r w:rsidR="00AC7684">
        <w:rPr>
          <w:rFonts w:ascii="Times New Roman" w:hAnsi="Times New Roman" w:cs="Times New Roman"/>
          <w:sz w:val="24"/>
        </w:rPr>
        <w:t xml:space="preserve"> can affect degradation. </w:t>
      </w:r>
      <w:r w:rsidR="00CD3F63">
        <w:rPr>
          <w:rFonts w:ascii="Times New Roman" w:hAnsi="Times New Roman" w:cs="Times New Roman"/>
          <w:sz w:val="24"/>
        </w:rPr>
        <w:t xml:space="preserve">GA soil was 82% sand and very low in organic matter which suggests the water holding capacity to be lower.  Low moisture availability can inhibit bacterial activity. </w:t>
      </w:r>
      <w:r w:rsidR="00AC7684">
        <w:rPr>
          <w:rFonts w:ascii="Times New Roman" w:hAnsi="Times New Roman" w:cs="Times New Roman"/>
          <w:sz w:val="24"/>
        </w:rPr>
        <w:t xml:space="preserve"> </w:t>
      </w:r>
      <w:r w:rsidR="00CD3F63">
        <w:rPr>
          <w:rFonts w:ascii="Times New Roman" w:hAnsi="Times New Roman" w:cs="Times New Roman"/>
          <w:sz w:val="24"/>
        </w:rPr>
        <w:t xml:space="preserve">IL soils were high </w:t>
      </w:r>
      <w:r w:rsidR="0005770C">
        <w:rPr>
          <w:rFonts w:ascii="Times New Roman" w:hAnsi="Times New Roman" w:cs="Times New Roman"/>
          <w:sz w:val="24"/>
        </w:rPr>
        <w:t>in</w:t>
      </w:r>
      <w:r w:rsidR="00CD3F63">
        <w:rPr>
          <w:rFonts w:ascii="Times New Roman" w:hAnsi="Times New Roman" w:cs="Times New Roman"/>
          <w:sz w:val="24"/>
        </w:rPr>
        <w:t xml:space="preserve"> organic matter (</w:t>
      </w:r>
      <w:r w:rsidR="0005770C">
        <w:rPr>
          <w:rFonts w:ascii="Times New Roman" w:hAnsi="Times New Roman" w:cs="Times New Roman"/>
          <w:sz w:val="24"/>
        </w:rPr>
        <w:t>&gt;6.5%</w:t>
      </w:r>
      <w:r w:rsidR="00CD3F63">
        <w:rPr>
          <w:rFonts w:ascii="Times New Roman" w:hAnsi="Times New Roman" w:cs="Times New Roman"/>
          <w:sz w:val="24"/>
        </w:rPr>
        <w:t>)</w:t>
      </w:r>
      <w:r w:rsidR="0005770C">
        <w:rPr>
          <w:rFonts w:ascii="Times New Roman" w:hAnsi="Times New Roman" w:cs="Times New Roman"/>
          <w:sz w:val="24"/>
        </w:rPr>
        <w:t xml:space="preserve">, which would explain the larger CEC and the higher nutrients extracted compared to the other soils (Table 1), IL soil has a higher capacity to retain nutrients and harbor microbial diversity, but herbicides could adsorb to organic matter surfaces and prevent them from being available for microbial degradation.  </w:t>
      </w:r>
      <w:r w:rsidR="002D62EB">
        <w:rPr>
          <w:rFonts w:ascii="Times New Roman" w:hAnsi="Times New Roman" w:cs="Times New Roman"/>
          <w:sz w:val="24"/>
        </w:rPr>
        <w:t xml:space="preserve">IL soils pH was 6.6 and close to neutral which suggests microbial activity was not negatively impacted.  </w:t>
      </w:r>
      <w:r w:rsidR="00B3658B">
        <w:rPr>
          <w:rFonts w:ascii="Times New Roman" w:hAnsi="Times New Roman" w:cs="Times New Roman"/>
          <w:sz w:val="24"/>
        </w:rPr>
        <w:t xml:space="preserve">Pyroxasulfone has been reported to be moderately adsorbed to soils with organic matter </w:t>
      </w:r>
      <w:r w:rsidR="00097E5E">
        <w:rPr>
          <w:rFonts w:ascii="Times New Roman" w:hAnsi="Times New Roman" w:cs="Times New Roman"/>
          <w:sz w:val="24"/>
        </w:rPr>
        <w:t xml:space="preserve">being highly correlated with sorption coefficient </w:t>
      </w:r>
      <w:r w:rsidR="008E2877">
        <w:rPr>
          <w:rFonts w:ascii="Times New Roman" w:hAnsi="Times New Roman" w:cs="Times New Roman"/>
          <w:sz w:val="24"/>
        </w:rPr>
        <w:t>values</w:t>
      </w:r>
      <w:r w:rsidR="00097E5E">
        <w:rPr>
          <w:rFonts w:ascii="Times New Roman" w:hAnsi="Times New Roman" w:cs="Times New Roman"/>
          <w:sz w:val="24"/>
        </w:rPr>
        <w:t xml:space="preserve"> (</w:t>
      </w:r>
      <w:proofErr w:type="spellStart"/>
      <w:r w:rsidR="00097E5E">
        <w:rPr>
          <w:rFonts w:ascii="Times New Roman" w:hAnsi="Times New Roman" w:cs="Times New Roman"/>
          <w:sz w:val="24"/>
        </w:rPr>
        <w:t>Westra</w:t>
      </w:r>
      <w:proofErr w:type="spellEnd"/>
      <w:r w:rsidR="00097E5E">
        <w:rPr>
          <w:rFonts w:ascii="Times New Roman" w:hAnsi="Times New Roman" w:cs="Times New Roman"/>
          <w:sz w:val="24"/>
        </w:rPr>
        <w:t xml:space="preserve"> et al. 2015)</w:t>
      </w:r>
      <w:r w:rsidR="008E2877">
        <w:rPr>
          <w:rFonts w:ascii="Times New Roman" w:hAnsi="Times New Roman" w:cs="Times New Roman"/>
          <w:sz w:val="24"/>
        </w:rPr>
        <w:t xml:space="preserve">. IL soils organic matter concentration and texture also allows for increased water holding capacity compared to the other soils.  </w:t>
      </w:r>
      <w:r w:rsidR="00AC7684">
        <w:rPr>
          <w:rFonts w:ascii="Times New Roman" w:hAnsi="Times New Roman" w:cs="Times New Roman"/>
          <w:sz w:val="24"/>
        </w:rPr>
        <w:t xml:space="preserve">IL </w:t>
      </w:r>
      <w:r w:rsidR="002D62EB">
        <w:rPr>
          <w:rFonts w:ascii="Times New Roman" w:hAnsi="Times New Roman" w:cs="Times New Roman"/>
          <w:sz w:val="24"/>
        </w:rPr>
        <w:t xml:space="preserve">soils </w:t>
      </w:r>
      <w:r w:rsidR="00075F1E">
        <w:rPr>
          <w:rFonts w:ascii="Times New Roman" w:hAnsi="Times New Roman" w:cs="Times New Roman"/>
          <w:sz w:val="24"/>
        </w:rPr>
        <w:t xml:space="preserve">had higher moisture content </w:t>
      </w:r>
      <w:r w:rsidR="00AC7684">
        <w:rPr>
          <w:rFonts w:ascii="Times New Roman" w:hAnsi="Times New Roman" w:cs="Times New Roman"/>
          <w:sz w:val="24"/>
        </w:rPr>
        <w:t>during the study duration</w:t>
      </w:r>
      <w:r w:rsidR="002D62EB">
        <w:rPr>
          <w:rFonts w:ascii="Times New Roman" w:hAnsi="Times New Roman" w:cs="Times New Roman"/>
          <w:sz w:val="24"/>
        </w:rPr>
        <w:t xml:space="preserve"> which could negatively </w:t>
      </w:r>
      <w:r w:rsidR="006F23C0">
        <w:rPr>
          <w:rFonts w:ascii="Times New Roman" w:hAnsi="Times New Roman" w:cs="Times New Roman"/>
          <w:sz w:val="24"/>
        </w:rPr>
        <w:t>impact</w:t>
      </w:r>
      <w:r w:rsidR="002D62EB">
        <w:rPr>
          <w:rFonts w:ascii="Times New Roman" w:hAnsi="Times New Roman" w:cs="Times New Roman"/>
          <w:sz w:val="24"/>
        </w:rPr>
        <w:t xml:space="preserve"> degradation as soil could have </w:t>
      </w:r>
      <w:r w:rsidR="00075F1E">
        <w:rPr>
          <w:rFonts w:ascii="Times New Roman" w:hAnsi="Times New Roman" w:cs="Times New Roman"/>
          <w:sz w:val="24"/>
        </w:rPr>
        <w:t>tended to be</w:t>
      </w:r>
      <w:r w:rsidR="00451601">
        <w:rPr>
          <w:rFonts w:ascii="Times New Roman" w:hAnsi="Times New Roman" w:cs="Times New Roman"/>
          <w:sz w:val="24"/>
        </w:rPr>
        <w:t xml:space="preserve"> </w:t>
      </w:r>
      <w:r w:rsidR="002D62EB">
        <w:rPr>
          <w:rFonts w:ascii="Times New Roman" w:hAnsi="Times New Roman" w:cs="Times New Roman"/>
          <w:sz w:val="24"/>
        </w:rPr>
        <w:t>more anaerobic</w:t>
      </w:r>
      <w:r w:rsidR="005611F6">
        <w:rPr>
          <w:rFonts w:ascii="Times New Roman" w:hAnsi="Times New Roman" w:cs="Times New Roman"/>
          <w:sz w:val="24"/>
        </w:rPr>
        <w:t xml:space="preserve"> (Table 5)</w:t>
      </w:r>
      <w:r w:rsidR="00AC7684">
        <w:rPr>
          <w:rFonts w:ascii="Times New Roman" w:hAnsi="Times New Roman" w:cs="Times New Roman"/>
          <w:sz w:val="24"/>
        </w:rPr>
        <w:t>.</w:t>
      </w:r>
    </w:p>
    <w:p w14:paraId="4561837C" w14:textId="77777777" w:rsidR="00075F1E" w:rsidRDefault="000D76D5" w:rsidP="005549A8">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Saflufenacil in the lab studies had DT50s of </w:t>
      </w:r>
      <w:r w:rsidR="005244C8">
        <w:rPr>
          <w:rFonts w:ascii="Times New Roman" w:hAnsi="Times New Roman" w:cs="Times New Roman"/>
          <w:sz w:val="24"/>
        </w:rPr>
        <w:t>33</w:t>
      </w:r>
      <w:r>
        <w:rPr>
          <w:rFonts w:ascii="Times New Roman" w:hAnsi="Times New Roman" w:cs="Times New Roman"/>
          <w:sz w:val="24"/>
        </w:rPr>
        <w:t>-90 days</w:t>
      </w:r>
      <w:r w:rsidR="00F60A7A">
        <w:rPr>
          <w:rFonts w:ascii="Times New Roman" w:hAnsi="Times New Roman" w:cs="Times New Roman"/>
          <w:sz w:val="24"/>
        </w:rPr>
        <w:t xml:space="preserve"> and were higher than previously reported</w:t>
      </w:r>
      <w:r w:rsidR="001E5097">
        <w:rPr>
          <w:rFonts w:ascii="Times New Roman" w:hAnsi="Times New Roman" w:cs="Times New Roman"/>
          <w:sz w:val="24"/>
        </w:rPr>
        <w:t xml:space="preserve"> (</w:t>
      </w:r>
      <w:proofErr w:type="spellStart"/>
      <w:r w:rsidR="001E5097">
        <w:rPr>
          <w:rFonts w:ascii="Times New Roman" w:hAnsi="Times New Roman" w:cs="Times New Roman"/>
          <w:sz w:val="24"/>
        </w:rPr>
        <w:t>Shaner</w:t>
      </w:r>
      <w:proofErr w:type="spellEnd"/>
      <w:r w:rsidR="001E5097">
        <w:rPr>
          <w:rFonts w:ascii="Times New Roman" w:hAnsi="Times New Roman" w:cs="Times New Roman"/>
          <w:sz w:val="24"/>
        </w:rPr>
        <w:t xml:space="preserve"> 2014, U.S. EPA 2009)</w:t>
      </w:r>
      <w:r w:rsidR="00F60A7A">
        <w:rPr>
          <w:rFonts w:ascii="Times New Roman" w:hAnsi="Times New Roman" w:cs="Times New Roman"/>
          <w:sz w:val="24"/>
        </w:rPr>
        <w:t xml:space="preserve">.  </w:t>
      </w:r>
      <w:r w:rsidR="00F34202">
        <w:rPr>
          <w:rFonts w:ascii="Times New Roman" w:hAnsi="Times New Roman" w:cs="Times New Roman"/>
          <w:sz w:val="24"/>
        </w:rPr>
        <w:t>S</w:t>
      </w:r>
      <w:r w:rsidR="00DC0FC9">
        <w:rPr>
          <w:rFonts w:ascii="Times New Roman" w:hAnsi="Times New Roman" w:cs="Times New Roman"/>
          <w:sz w:val="24"/>
        </w:rPr>
        <w:t>aflufenacil DT50</w:t>
      </w:r>
      <w:r w:rsidR="00F34202">
        <w:rPr>
          <w:rFonts w:ascii="Times New Roman" w:hAnsi="Times New Roman" w:cs="Times New Roman"/>
          <w:sz w:val="24"/>
        </w:rPr>
        <w:t>s were 33-69 days in TN soil</w:t>
      </w:r>
      <w:r w:rsidR="00912344">
        <w:rPr>
          <w:rFonts w:ascii="Times New Roman" w:hAnsi="Times New Roman" w:cs="Times New Roman"/>
          <w:sz w:val="24"/>
        </w:rPr>
        <w:t xml:space="preserve">.  </w:t>
      </w:r>
      <w:r w:rsidR="003F6FE9">
        <w:rPr>
          <w:rFonts w:ascii="Times New Roman" w:hAnsi="Times New Roman" w:cs="Times New Roman"/>
          <w:sz w:val="24"/>
        </w:rPr>
        <w:t>Sa</w:t>
      </w:r>
      <w:r w:rsidR="00275C1F">
        <w:rPr>
          <w:rFonts w:ascii="Times New Roman" w:hAnsi="Times New Roman" w:cs="Times New Roman"/>
          <w:sz w:val="24"/>
        </w:rPr>
        <w:t>flufenacil has a reported solubility that is pH dependent where solubility decreases as pH decreases (acidic) (</w:t>
      </w:r>
      <w:proofErr w:type="spellStart"/>
      <w:r w:rsidR="00275C1F">
        <w:rPr>
          <w:rFonts w:ascii="Times New Roman" w:hAnsi="Times New Roman" w:cs="Times New Roman"/>
          <w:sz w:val="24"/>
        </w:rPr>
        <w:t>Shaner</w:t>
      </w:r>
      <w:proofErr w:type="spellEnd"/>
      <w:r w:rsidR="00275C1F">
        <w:rPr>
          <w:rFonts w:ascii="Times New Roman" w:hAnsi="Times New Roman" w:cs="Times New Roman"/>
          <w:sz w:val="24"/>
        </w:rPr>
        <w:t xml:space="preserve"> 2014).  TN soil pH was 5.3, that could indicate less saflufenacil in the soil solution that was available for degradation.</w:t>
      </w:r>
      <w:r w:rsidR="00E8319D">
        <w:rPr>
          <w:rFonts w:ascii="Times New Roman" w:hAnsi="Times New Roman" w:cs="Times New Roman"/>
          <w:sz w:val="24"/>
        </w:rPr>
        <w:t xml:space="preserve">  Furthermore, having a moderate organic matter content (2.7%) and CEC (10.7), some herbicide could adsorb to soil constituents causing less availability.</w:t>
      </w:r>
      <w:r w:rsidR="008176E2">
        <w:rPr>
          <w:rFonts w:ascii="Times New Roman" w:hAnsi="Times New Roman" w:cs="Times New Roman"/>
          <w:sz w:val="24"/>
        </w:rPr>
        <w:t xml:space="preserve">  </w:t>
      </w:r>
      <w:r w:rsidR="00B77201">
        <w:rPr>
          <w:rFonts w:ascii="Times New Roman" w:hAnsi="Times New Roman" w:cs="Times New Roman"/>
          <w:sz w:val="24"/>
        </w:rPr>
        <w:t xml:space="preserve">A strong correlation between organic matter/clay content with saflufenacil adsorption has been reported previously (Hixson 2008).  </w:t>
      </w:r>
      <w:r w:rsidR="003B0CA7">
        <w:rPr>
          <w:rFonts w:ascii="Times New Roman" w:hAnsi="Times New Roman" w:cs="Times New Roman"/>
          <w:sz w:val="24"/>
        </w:rPr>
        <w:t>The culmination of factors could inhibit degradation of saflufenacil that could explain the longer dissipation times that we observed</w:t>
      </w:r>
      <w:r w:rsidR="0037692F">
        <w:rPr>
          <w:rFonts w:ascii="Times New Roman" w:hAnsi="Times New Roman" w:cs="Times New Roman"/>
          <w:sz w:val="24"/>
        </w:rPr>
        <w:t xml:space="preserve"> in TN soil</w:t>
      </w:r>
      <w:r w:rsidR="003B0CA7">
        <w:rPr>
          <w:rFonts w:ascii="Times New Roman" w:hAnsi="Times New Roman" w:cs="Times New Roman"/>
          <w:sz w:val="24"/>
        </w:rPr>
        <w:t>.</w:t>
      </w:r>
    </w:p>
    <w:p w14:paraId="20A22096" w14:textId="77777777" w:rsidR="00075F1E" w:rsidRDefault="003B0CA7" w:rsidP="005549A8">
      <w:pPr>
        <w:spacing w:line="480" w:lineRule="auto"/>
        <w:ind w:firstLine="720"/>
        <w:jc w:val="both"/>
        <w:rPr>
          <w:rFonts w:ascii="Times New Roman" w:hAnsi="Times New Roman" w:cs="Times New Roman"/>
          <w:sz w:val="24"/>
        </w:rPr>
      </w:pPr>
      <w:r>
        <w:rPr>
          <w:rFonts w:ascii="Times New Roman" w:hAnsi="Times New Roman" w:cs="Times New Roman"/>
          <w:sz w:val="24"/>
        </w:rPr>
        <w:lastRenderedPageBreak/>
        <w:t>GA dissipation DT50s</w:t>
      </w:r>
      <w:r w:rsidR="00912344">
        <w:rPr>
          <w:rFonts w:ascii="Times New Roman" w:hAnsi="Times New Roman" w:cs="Times New Roman"/>
          <w:sz w:val="24"/>
        </w:rPr>
        <w:t xml:space="preserve"> </w:t>
      </w:r>
      <w:r w:rsidR="0037692F">
        <w:rPr>
          <w:rFonts w:ascii="Times New Roman" w:hAnsi="Times New Roman" w:cs="Times New Roman"/>
          <w:sz w:val="24"/>
        </w:rPr>
        <w:t xml:space="preserve">were 49-67 days and higher than previously reported for saflufenacil.  GA soil pH was similar to TN soil at 5.4 and could further indicate that lower saflufenacil solubility could mean less available for degradation. </w:t>
      </w:r>
      <w:r w:rsidR="003607FC">
        <w:rPr>
          <w:rFonts w:ascii="Times New Roman" w:hAnsi="Times New Roman" w:cs="Times New Roman"/>
          <w:sz w:val="24"/>
        </w:rPr>
        <w:t xml:space="preserve"> Longer persistence of saflufenacil in acidic soils has been previously reported (Pest Management Regulatory Agency 2009). </w:t>
      </w:r>
      <w:r w:rsidR="0037692F">
        <w:rPr>
          <w:rFonts w:ascii="Times New Roman" w:hAnsi="Times New Roman" w:cs="Times New Roman"/>
          <w:sz w:val="24"/>
        </w:rPr>
        <w:t xml:space="preserve"> Conversely, GA soil is lower in organic matter (0.9%) and available nutrients than TN soil, which suggests lower microbial presence and activity.  These factors could compound to explain the longer dissipation patterns observed in GA soil.</w:t>
      </w:r>
    </w:p>
    <w:p w14:paraId="212B9275" w14:textId="1478F63A" w:rsidR="00CA11CB" w:rsidRDefault="00FD58FF" w:rsidP="005549A8">
      <w:pPr>
        <w:spacing w:line="480" w:lineRule="auto"/>
        <w:ind w:firstLine="720"/>
        <w:jc w:val="both"/>
        <w:rPr>
          <w:rFonts w:ascii="Times New Roman" w:hAnsi="Times New Roman" w:cs="Times New Roman"/>
          <w:sz w:val="24"/>
        </w:rPr>
      </w:pPr>
      <w:r>
        <w:rPr>
          <w:rFonts w:ascii="Times New Roman" w:hAnsi="Times New Roman" w:cs="Times New Roman"/>
          <w:sz w:val="24"/>
        </w:rPr>
        <w:t>IL saflufenacil DT50s were generally higher than the other soils</w:t>
      </w:r>
      <w:r w:rsidR="005549A8">
        <w:rPr>
          <w:rFonts w:ascii="Times New Roman" w:hAnsi="Times New Roman" w:cs="Times New Roman"/>
          <w:sz w:val="24"/>
        </w:rPr>
        <w:t xml:space="preserve"> (55-90 days)</w:t>
      </w:r>
      <w:r>
        <w:rPr>
          <w:rFonts w:ascii="Times New Roman" w:hAnsi="Times New Roman" w:cs="Times New Roman"/>
          <w:sz w:val="24"/>
        </w:rPr>
        <w:t xml:space="preserve"> and could be attributed to </w:t>
      </w:r>
      <w:r w:rsidR="00AC7684">
        <w:rPr>
          <w:rFonts w:ascii="Times New Roman" w:hAnsi="Times New Roman" w:cs="Times New Roman"/>
          <w:sz w:val="24"/>
        </w:rPr>
        <w:t>higher</w:t>
      </w:r>
      <w:r>
        <w:rPr>
          <w:rFonts w:ascii="Times New Roman" w:hAnsi="Times New Roman" w:cs="Times New Roman"/>
          <w:sz w:val="24"/>
        </w:rPr>
        <w:t xml:space="preserve"> organic matter</w:t>
      </w:r>
      <w:r w:rsidR="00AC7684">
        <w:rPr>
          <w:rFonts w:ascii="Times New Roman" w:hAnsi="Times New Roman" w:cs="Times New Roman"/>
          <w:sz w:val="24"/>
        </w:rPr>
        <w:t xml:space="preserve"> content</w:t>
      </w:r>
      <w:r>
        <w:rPr>
          <w:rFonts w:ascii="Times New Roman" w:hAnsi="Times New Roman" w:cs="Times New Roman"/>
          <w:sz w:val="24"/>
        </w:rPr>
        <w:t xml:space="preserve"> and water holding capacity.  Organic matter has been widely reported to help with water holding capacity of soils (</w:t>
      </w:r>
      <w:proofErr w:type="spellStart"/>
      <w:r>
        <w:rPr>
          <w:rFonts w:ascii="Times New Roman" w:hAnsi="Times New Roman" w:cs="Times New Roman"/>
          <w:sz w:val="24"/>
        </w:rPr>
        <w:t>Libohova</w:t>
      </w:r>
      <w:proofErr w:type="spellEnd"/>
      <w:r>
        <w:rPr>
          <w:rFonts w:ascii="Times New Roman" w:hAnsi="Times New Roman" w:cs="Times New Roman"/>
          <w:sz w:val="24"/>
        </w:rPr>
        <w:t xml:space="preserve"> et al. 2018).  </w:t>
      </w:r>
      <w:r w:rsidR="005244C8">
        <w:rPr>
          <w:rFonts w:ascii="Times New Roman" w:hAnsi="Times New Roman" w:cs="Times New Roman"/>
          <w:sz w:val="24"/>
        </w:rPr>
        <w:t>Saturated soil</w:t>
      </w:r>
      <w:r>
        <w:rPr>
          <w:rFonts w:ascii="Times New Roman" w:hAnsi="Times New Roman" w:cs="Times New Roman"/>
          <w:sz w:val="24"/>
        </w:rPr>
        <w:t>s</w:t>
      </w:r>
      <w:r w:rsidR="005244C8">
        <w:rPr>
          <w:rFonts w:ascii="Times New Roman" w:hAnsi="Times New Roman" w:cs="Times New Roman"/>
          <w:sz w:val="24"/>
        </w:rPr>
        <w:t xml:space="preserve"> </w:t>
      </w:r>
      <w:r>
        <w:rPr>
          <w:rFonts w:ascii="Times New Roman" w:hAnsi="Times New Roman" w:cs="Times New Roman"/>
          <w:sz w:val="24"/>
        </w:rPr>
        <w:t xml:space="preserve">can decrease </w:t>
      </w:r>
      <w:r w:rsidR="00225272">
        <w:rPr>
          <w:rFonts w:ascii="Times New Roman" w:hAnsi="Times New Roman" w:cs="Times New Roman"/>
          <w:sz w:val="24"/>
        </w:rPr>
        <w:t xml:space="preserve">saflufenacil </w:t>
      </w:r>
      <w:r>
        <w:rPr>
          <w:rFonts w:ascii="Times New Roman" w:hAnsi="Times New Roman" w:cs="Times New Roman"/>
          <w:sz w:val="24"/>
        </w:rPr>
        <w:t>microbial activity due to anaerobic conditions</w:t>
      </w:r>
      <w:r w:rsidR="00225272">
        <w:rPr>
          <w:rFonts w:ascii="Times New Roman" w:hAnsi="Times New Roman" w:cs="Times New Roman"/>
          <w:sz w:val="24"/>
        </w:rPr>
        <w:t xml:space="preserve"> (Camargo et al. 2013)</w:t>
      </w:r>
      <w:r>
        <w:rPr>
          <w:rFonts w:ascii="Times New Roman" w:hAnsi="Times New Roman" w:cs="Times New Roman"/>
          <w:sz w:val="24"/>
        </w:rPr>
        <w:t>.</w:t>
      </w:r>
      <w:r w:rsidR="00F17BF5">
        <w:rPr>
          <w:rFonts w:ascii="Times New Roman" w:hAnsi="Times New Roman" w:cs="Times New Roman"/>
          <w:sz w:val="24"/>
        </w:rPr>
        <w:t xml:space="preserve">  </w:t>
      </w:r>
      <w:r w:rsidR="00CA1F85">
        <w:rPr>
          <w:rFonts w:ascii="Times New Roman" w:hAnsi="Times New Roman" w:cs="Times New Roman"/>
          <w:sz w:val="24"/>
        </w:rPr>
        <w:t xml:space="preserve">IL soil pH was 6.6 suggesting more solubility of saflufenacil, but CEC of 28.0 could indicate more herbicide adsorbed to soil constituents making them </w:t>
      </w:r>
      <w:r w:rsidR="00075F1E">
        <w:rPr>
          <w:rFonts w:ascii="Times New Roman" w:hAnsi="Times New Roman" w:cs="Times New Roman"/>
          <w:sz w:val="24"/>
        </w:rPr>
        <w:t xml:space="preserve">less </w:t>
      </w:r>
      <w:r w:rsidR="00CA1F85">
        <w:rPr>
          <w:rFonts w:ascii="Times New Roman" w:hAnsi="Times New Roman" w:cs="Times New Roman"/>
          <w:sz w:val="24"/>
        </w:rPr>
        <w:t xml:space="preserve">available for degradation.  A </w:t>
      </w:r>
      <w:r w:rsidR="003607FC">
        <w:rPr>
          <w:rFonts w:ascii="Times New Roman" w:hAnsi="Times New Roman" w:cs="Times New Roman"/>
          <w:sz w:val="24"/>
        </w:rPr>
        <w:t>combination of these factors</w:t>
      </w:r>
      <w:r w:rsidR="00CA1F85">
        <w:rPr>
          <w:rFonts w:ascii="Times New Roman" w:hAnsi="Times New Roman" w:cs="Times New Roman"/>
          <w:sz w:val="24"/>
        </w:rPr>
        <w:t xml:space="preserve"> could explain the longer dissipation duration observed in IL soil.</w:t>
      </w:r>
    </w:p>
    <w:p w14:paraId="7F8AD4E6" w14:textId="4DD7A6C9" w:rsidR="00025230" w:rsidRDefault="00CA51B1" w:rsidP="005549A8">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These data suggest that care should be taken when </w:t>
      </w:r>
      <w:r w:rsidR="00073748">
        <w:rPr>
          <w:rFonts w:ascii="Times New Roman" w:hAnsi="Times New Roman" w:cs="Times New Roman"/>
          <w:sz w:val="24"/>
        </w:rPr>
        <w:t>using</w:t>
      </w:r>
      <w:r>
        <w:rPr>
          <w:rFonts w:ascii="Times New Roman" w:hAnsi="Times New Roman" w:cs="Times New Roman"/>
          <w:sz w:val="24"/>
        </w:rPr>
        <w:t xml:space="preserve"> DT50s</w:t>
      </w:r>
      <w:r w:rsidR="00073748">
        <w:rPr>
          <w:rFonts w:ascii="Times New Roman" w:hAnsi="Times New Roman" w:cs="Times New Roman"/>
          <w:sz w:val="24"/>
        </w:rPr>
        <w:t xml:space="preserve"> in simulation models</w:t>
      </w:r>
      <w:r>
        <w:rPr>
          <w:rFonts w:ascii="Times New Roman" w:hAnsi="Times New Roman" w:cs="Times New Roman"/>
          <w:sz w:val="24"/>
        </w:rPr>
        <w:t xml:space="preserve">, as initial concentration could influence dissipation rates for some herbicides.  The EPA has increasingly used modeling for herbicide environmental fate and for some </w:t>
      </w:r>
      <w:r w:rsidR="00073748">
        <w:rPr>
          <w:rFonts w:ascii="Times New Roman" w:hAnsi="Times New Roman" w:cs="Times New Roman"/>
          <w:sz w:val="24"/>
        </w:rPr>
        <w:t>computer models</w:t>
      </w:r>
      <w:r>
        <w:rPr>
          <w:rFonts w:ascii="Times New Roman" w:hAnsi="Times New Roman" w:cs="Times New Roman"/>
          <w:sz w:val="24"/>
        </w:rPr>
        <w:t>, dissipation is assumed to be independent of rate applied</w:t>
      </w:r>
      <w:r w:rsidR="00167963">
        <w:rPr>
          <w:rFonts w:ascii="Times New Roman" w:hAnsi="Times New Roman" w:cs="Times New Roman"/>
          <w:sz w:val="24"/>
        </w:rPr>
        <w:t xml:space="preserve"> (Gustafson</w:t>
      </w:r>
      <w:r w:rsidR="003F2F51">
        <w:rPr>
          <w:rFonts w:ascii="Times New Roman" w:hAnsi="Times New Roman" w:cs="Times New Roman"/>
          <w:sz w:val="24"/>
        </w:rPr>
        <w:t xml:space="preserve"> and Holden 1990</w:t>
      </w:r>
      <w:r w:rsidR="00167963">
        <w:rPr>
          <w:rFonts w:ascii="Times New Roman" w:hAnsi="Times New Roman" w:cs="Times New Roman"/>
          <w:sz w:val="24"/>
        </w:rPr>
        <w:t>)</w:t>
      </w:r>
      <w:r>
        <w:rPr>
          <w:rFonts w:ascii="Times New Roman" w:hAnsi="Times New Roman" w:cs="Times New Roman"/>
          <w:sz w:val="24"/>
        </w:rPr>
        <w:t xml:space="preserve">.  This assumption could input errors into models which could mislead regulators when considering a herbicide label.  </w:t>
      </w:r>
      <w:r w:rsidR="00073748">
        <w:rPr>
          <w:rFonts w:ascii="Times New Roman" w:hAnsi="Times New Roman" w:cs="Times New Roman"/>
          <w:sz w:val="24"/>
        </w:rPr>
        <w:t>A second finding is that this research could potentially examine</w:t>
      </w:r>
      <w:r>
        <w:rPr>
          <w:rFonts w:ascii="Times New Roman" w:hAnsi="Times New Roman" w:cs="Times New Roman"/>
          <w:sz w:val="24"/>
        </w:rPr>
        <w:t xml:space="preserve"> &gt;1 herbicide per </w:t>
      </w:r>
      <w:r w:rsidR="0022553A">
        <w:rPr>
          <w:rFonts w:ascii="Times New Roman" w:hAnsi="Times New Roman" w:cs="Times New Roman"/>
          <w:sz w:val="24"/>
        </w:rPr>
        <w:t>dissipation study.  Currently, typical TFD studies are 2-3 plots</w:t>
      </w:r>
      <w:r w:rsidR="00073748">
        <w:rPr>
          <w:rFonts w:ascii="Times New Roman" w:hAnsi="Times New Roman" w:cs="Times New Roman"/>
          <w:sz w:val="24"/>
        </w:rPr>
        <w:t xml:space="preserve"> of a single active ingredient</w:t>
      </w:r>
      <w:r w:rsidR="0022553A">
        <w:rPr>
          <w:rFonts w:ascii="Times New Roman" w:hAnsi="Times New Roman" w:cs="Times New Roman"/>
          <w:sz w:val="24"/>
        </w:rPr>
        <w:t xml:space="preserve"> with at least a 1-year duration (&gt;95% dissipation).  Benefits to these study </w:t>
      </w:r>
      <w:r w:rsidR="00073748">
        <w:rPr>
          <w:rFonts w:ascii="Times New Roman" w:hAnsi="Times New Roman" w:cs="Times New Roman"/>
          <w:sz w:val="24"/>
        </w:rPr>
        <w:t>arrangements</w:t>
      </w:r>
      <w:r w:rsidR="0022553A">
        <w:rPr>
          <w:rFonts w:ascii="Times New Roman" w:hAnsi="Times New Roman" w:cs="Times New Roman"/>
          <w:sz w:val="24"/>
        </w:rPr>
        <w:t xml:space="preserve"> include cost </w:t>
      </w:r>
      <w:r w:rsidR="0022553A">
        <w:rPr>
          <w:rFonts w:ascii="Times New Roman" w:hAnsi="Times New Roman" w:cs="Times New Roman"/>
          <w:sz w:val="24"/>
        </w:rPr>
        <w:lastRenderedPageBreak/>
        <w:t>savings as compared to current TFD parameters and a possible reduction in study variability encountered.</w:t>
      </w:r>
    </w:p>
    <w:p w14:paraId="43CDB207" w14:textId="77777777" w:rsidR="00E03E3F" w:rsidRDefault="00E03E3F" w:rsidP="00E03E3F">
      <w:pPr>
        <w:spacing w:line="480" w:lineRule="auto"/>
        <w:jc w:val="both"/>
        <w:rPr>
          <w:rFonts w:ascii="Times New Roman" w:hAnsi="Times New Roman" w:cs="Times New Roman"/>
          <w:b/>
          <w:sz w:val="24"/>
        </w:rPr>
      </w:pPr>
      <w:r>
        <w:rPr>
          <w:rFonts w:ascii="Times New Roman" w:hAnsi="Times New Roman" w:cs="Times New Roman"/>
          <w:b/>
          <w:sz w:val="24"/>
        </w:rPr>
        <w:t>Acknowledgements</w:t>
      </w:r>
    </w:p>
    <w:p w14:paraId="3557AD25" w14:textId="3E0ED637" w:rsidR="005C15E9" w:rsidRPr="00EE062E" w:rsidRDefault="00E03E3F" w:rsidP="00EE062E">
      <w:pPr>
        <w:spacing w:line="480" w:lineRule="auto"/>
        <w:ind w:firstLine="720"/>
        <w:jc w:val="both"/>
        <w:rPr>
          <w:rFonts w:ascii="Times New Roman" w:hAnsi="Times New Roman" w:cs="Times New Roman"/>
          <w:sz w:val="24"/>
        </w:rPr>
        <w:sectPr w:rsidR="005C15E9" w:rsidRPr="00EE062E" w:rsidSect="00CA7909">
          <w:pgSz w:w="12240" w:h="15840"/>
          <w:pgMar w:top="1440" w:right="1440" w:bottom="1440" w:left="1440" w:header="720" w:footer="720" w:gutter="0"/>
          <w:cols w:space="720"/>
          <w:docGrid w:linePitch="360"/>
        </w:sectPr>
      </w:pPr>
      <w:r>
        <w:rPr>
          <w:rFonts w:ascii="Times New Roman" w:hAnsi="Times New Roman" w:cs="Times New Roman"/>
          <w:sz w:val="24"/>
        </w:rPr>
        <w:t xml:space="preserve">The authors appreciate </w:t>
      </w:r>
      <w:r w:rsidR="00EE062E">
        <w:rPr>
          <w:rFonts w:ascii="Times New Roman" w:hAnsi="Times New Roman" w:cs="Times New Roman"/>
          <w:sz w:val="24"/>
        </w:rPr>
        <w:t>the t</w:t>
      </w:r>
      <w:r>
        <w:rPr>
          <w:rFonts w:ascii="Times New Roman" w:hAnsi="Times New Roman" w:cs="Times New Roman"/>
          <w:sz w:val="24"/>
        </w:rPr>
        <w:t xml:space="preserve">echnical assistance by Trey Clark, Joseph Beeler, Dave Kincer, and Shelby </w:t>
      </w:r>
      <w:proofErr w:type="spellStart"/>
      <w:r>
        <w:rPr>
          <w:rFonts w:ascii="Times New Roman" w:hAnsi="Times New Roman" w:cs="Times New Roman"/>
          <w:sz w:val="24"/>
        </w:rPr>
        <w:t>Lanz</w:t>
      </w:r>
      <w:proofErr w:type="spellEnd"/>
      <w:r>
        <w:rPr>
          <w:rFonts w:ascii="Times New Roman" w:hAnsi="Times New Roman" w:cs="Times New Roman"/>
          <w:sz w:val="24"/>
        </w:rPr>
        <w:t xml:space="preserve">.  </w:t>
      </w:r>
      <w:r w:rsidR="00FC2976">
        <w:rPr>
          <w:rFonts w:ascii="Times New Roman" w:hAnsi="Times New Roman" w:cs="Times New Roman"/>
          <w:sz w:val="24"/>
        </w:rPr>
        <w:t xml:space="preserve">Soil collections by Dr Mark </w:t>
      </w:r>
      <w:proofErr w:type="spellStart"/>
      <w:r w:rsidR="00FC2976">
        <w:rPr>
          <w:rFonts w:ascii="Times New Roman" w:hAnsi="Times New Roman" w:cs="Times New Roman"/>
          <w:sz w:val="24"/>
        </w:rPr>
        <w:t>Bernards</w:t>
      </w:r>
      <w:proofErr w:type="spellEnd"/>
      <w:r w:rsidR="00FC2976">
        <w:rPr>
          <w:rFonts w:ascii="Times New Roman" w:hAnsi="Times New Roman" w:cs="Times New Roman"/>
          <w:sz w:val="24"/>
        </w:rPr>
        <w:t xml:space="preserve">, Western Illinois University and Dr Eric </w:t>
      </w:r>
      <w:proofErr w:type="spellStart"/>
      <w:r w:rsidR="00FC2976">
        <w:rPr>
          <w:rFonts w:ascii="Times New Roman" w:hAnsi="Times New Roman" w:cs="Times New Roman"/>
          <w:sz w:val="24"/>
        </w:rPr>
        <w:t>Prostko</w:t>
      </w:r>
      <w:proofErr w:type="spellEnd"/>
      <w:r w:rsidR="00FC2976">
        <w:rPr>
          <w:rFonts w:ascii="Times New Roman" w:hAnsi="Times New Roman" w:cs="Times New Roman"/>
          <w:sz w:val="24"/>
        </w:rPr>
        <w:t xml:space="preserve">, University of Georgia are appreciated.  </w:t>
      </w:r>
      <w:r>
        <w:rPr>
          <w:rFonts w:ascii="Times New Roman" w:hAnsi="Times New Roman" w:cs="Times New Roman"/>
          <w:sz w:val="24"/>
        </w:rPr>
        <w:t>These soils projects were funded by the Tennessee Agricultural Experiment Station.</w:t>
      </w:r>
      <w:r w:rsidR="00EE062E">
        <w:rPr>
          <w:rFonts w:ascii="Times New Roman" w:hAnsi="Times New Roman" w:cs="Times New Roman"/>
          <w:sz w:val="24"/>
        </w:rPr>
        <w:t xml:space="preserve">  No conflicts of interest are stated or declared.</w:t>
      </w:r>
    </w:p>
    <w:p w14:paraId="0510EE7A" w14:textId="75A6F834" w:rsidR="00E03E3F" w:rsidRDefault="008B3689" w:rsidP="00557AF5">
      <w:pPr>
        <w:pStyle w:val="Heading2"/>
        <w:rPr>
          <w:rFonts w:ascii="Times New Roman" w:hAnsi="Times New Roman" w:cs="Times New Roman"/>
          <w:b/>
          <w:color w:val="000000" w:themeColor="text1"/>
          <w:sz w:val="24"/>
          <w:szCs w:val="24"/>
        </w:rPr>
      </w:pPr>
      <w:bookmarkStart w:id="14" w:name="_Toc99089485"/>
      <w:r w:rsidRPr="00557AF5">
        <w:rPr>
          <w:rFonts w:ascii="Times New Roman" w:hAnsi="Times New Roman" w:cs="Times New Roman"/>
          <w:b/>
          <w:color w:val="000000" w:themeColor="text1"/>
          <w:sz w:val="24"/>
          <w:szCs w:val="24"/>
        </w:rPr>
        <w:lastRenderedPageBreak/>
        <w:t>Literature Cited</w:t>
      </w:r>
      <w:bookmarkEnd w:id="14"/>
    </w:p>
    <w:p w14:paraId="218CD203" w14:textId="77777777" w:rsidR="00557AF5" w:rsidRPr="00557AF5" w:rsidRDefault="00557AF5" w:rsidP="00557AF5">
      <w:pPr>
        <w:spacing w:after="0"/>
      </w:pPr>
    </w:p>
    <w:p w14:paraId="6A7F90C9" w14:textId="239408A9" w:rsidR="00481C23" w:rsidRPr="00481C23" w:rsidRDefault="00481C23" w:rsidP="00E03E3F">
      <w:pPr>
        <w:tabs>
          <w:tab w:val="left" w:pos="0"/>
        </w:tabs>
        <w:spacing w:line="480" w:lineRule="auto"/>
        <w:ind w:left="720" w:hanging="720"/>
        <w:rPr>
          <w:rFonts w:ascii="Times New Roman" w:hAnsi="Times New Roman" w:cs="Times New Roman"/>
          <w:sz w:val="24"/>
        </w:rPr>
      </w:pPr>
      <w:r>
        <w:rPr>
          <w:rFonts w:ascii="Times New Roman" w:hAnsi="Times New Roman" w:cs="Times New Roman"/>
          <w:sz w:val="24"/>
        </w:rPr>
        <w:t xml:space="preserve">Anonymous (2008) </w:t>
      </w:r>
      <w:proofErr w:type="spellStart"/>
      <w:r>
        <w:rPr>
          <w:rFonts w:ascii="Times New Roman" w:hAnsi="Times New Roman" w:cs="Times New Roman"/>
          <w:sz w:val="24"/>
        </w:rPr>
        <w:t>Kixor</w:t>
      </w:r>
      <w:proofErr w:type="spellEnd"/>
      <w:r>
        <w:rPr>
          <w:rFonts w:ascii="Times New Roman" w:hAnsi="Times New Roman" w:cs="Times New Roman"/>
          <w:sz w:val="24"/>
          <w:vertAlign w:val="superscript"/>
        </w:rPr>
        <w:t>®</w:t>
      </w:r>
      <w:r>
        <w:rPr>
          <w:rFonts w:ascii="Times New Roman" w:hAnsi="Times New Roman" w:cs="Times New Roman"/>
          <w:sz w:val="24"/>
        </w:rPr>
        <w:t xml:space="preserve"> Herbicide Technical Brochure. Research Triangle Park, NC: BASF Corporation. 16 p.</w:t>
      </w:r>
    </w:p>
    <w:p w14:paraId="7CBACFB8" w14:textId="2EB425B5" w:rsidR="006C3724" w:rsidRPr="006C3724" w:rsidRDefault="006C3724" w:rsidP="00E03E3F">
      <w:pPr>
        <w:tabs>
          <w:tab w:val="left" w:pos="0"/>
        </w:tabs>
        <w:spacing w:line="480" w:lineRule="auto"/>
        <w:ind w:left="720" w:hanging="720"/>
        <w:rPr>
          <w:rFonts w:ascii="Times New Roman" w:hAnsi="Times New Roman" w:cs="Times New Roman"/>
          <w:sz w:val="24"/>
        </w:rPr>
      </w:pPr>
      <w:r w:rsidRPr="006C3724">
        <w:rPr>
          <w:rFonts w:ascii="Times New Roman" w:hAnsi="Times New Roman" w:cs="Times New Roman"/>
          <w:sz w:val="24"/>
        </w:rPr>
        <w:t>Anon</w:t>
      </w:r>
      <w:r>
        <w:rPr>
          <w:rFonts w:ascii="Times New Roman" w:hAnsi="Times New Roman" w:cs="Times New Roman"/>
          <w:sz w:val="24"/>
        </w:rPr>
        <w:t xml:space="preserve">ymous (2013) </w:t>
      </w:r>
      <w:proofErr w:type="spellStart"/>
      <w:r>
        <w:rPr>
          <w:rFonts w:ascii="Times New Roman" w:hAnsi="Times New Roman" w:cs="Times New Roman"/>
          <w:sz w:val="24"/>
        </w:rPr>
        <w:t>AAtrex</w:t>
      </w:r>
      <w:proofErr w:type="spellEnd"/>
      <w:r>
        <w:rPr>
          <w:rFonts w:ascii="Times New Roman" w:hAnsi="Times New Roman" w:cs="Times New Roman"/>
          <w:sz w:val="24"/>
          <w:vertAlign w:val="superscript"/>
        </w:rPr>
        <w:t>®</w:t>
      </w:r>
      <w:r>
        <w:rPr>
          <w:rFonts w:ascii="Times New Roman" w:hAnsi="Times New Roman" w:cs="Times New Roman"/>
          <w:sz w:val="24"/>
        </w:rPr>
        <w:t xml:space="preserve"> 4L Herbicide. SCP 497A-L38TT 1112. Greensboro, NC. Syngenta Crop Protection. 24 p.</w:t>
      </w:r>
    </w:p>
    <w:p w14:paraId="6BEA8708" w14:textId="305BE2A7" w:rsidR="00FE623D" w:rsidRDefault="00FE623D" w:rsidP="00E03E3F">
      <w:pPr>
        <w:tabs>
          <w:tab w:val="left" w:pos="0"/>
        </w:tabs>
        <w:spacing w:line="480" w:lineRule="auto"/>
        <w:ind w:left="720" w:hanging="720"/>
        <w:rPr>
          <w:rFonts w:ascii="Times New Roman" w:hAnsi="Times New Roman" w:cs="Times New Roman"/>
          <w:sz w:val="24"/>
        </w:rPr>
      </w:pPr>
      <w:r>
        <w:rPr>
          <w:rFonts w:ascii="Times New Roman" w:hAnsi="Times New Roman" w:cs="Times New Roman"/>
          <w:sz w:val="24"/>
        </w:rPr>
        <w:t>Anonymous (2021) Sharpen</w:t>
      </w:r>
      <w:r w:rsidRPr="00FE623D">
        <w:rPr>
          <w:rFonts w:ascii="Times New Roman" w:hAnsi="Times New Roman" w:cs="Times New Roman"/>
          <w:sz w:val="24"/>
          <w:vertAlign w:val="superscript"/>
        </w:rPr>
        <w:t>®</w:t>
      </w:r>
      <w:r>
        <w:rPr>
          <w:rFonts w:ascii="Times New Roman" w:hAnsi="Times New Roman" w:cs="Times New Roman"/>
          <w:sz w:val="24"/>
        </w:rPr>
        <w:t xml:space="preserve"> Powered by </w:t>
      </w:r>
      <w:proofErr w:type="spellStart"/>
      <w:r>
        <w:rPr>
          <w:rFonts w:ascii="Times New Roman" w:hAnsi="Times New Roman" w:cs="Times New Roman"/>
          <w:sz w:val="24"/>
        </w:rPr>
        <w:t>Kixor</w:t>
      </w:r>
      <w:proofErr w:type="spellEnd"/>
      <w:r w:rsidRPr="00FE623D">
        <w:rPr>
          <w:rFonts w:ascii="Times New Roman" w:hAnsi="Times New Roman" w:cs="Times New Roman"/>
          <w:sz w:val="24"/>
          <w:vertAlign w:val="superscript"/>
        </w:rPr>
        <w:t>®</w:t>
      </w:r>
      <w:r>
        <w:rPr>
          <w:rFonts w:ascii="Times New Roman" w:hAnsi="Times New Roman" w:cs="Times New Roman"/>
          <w:sz w:val="24"/>
        </w:rPr>
        <w:t xml:space="preserve"> Herbicide. NVA 2021-04-322-0130. Research Triangle Park, NC</w:t>
      </w:r>
      <w:r w:rsidR="006C3724">
        <w:rPr>
          <w:rFonts w:ascii="Times New Roman" w:hAnsi="Times New Roman" w:cs="Times New Roman"/>
          <w:sz w:val="24"/>
        </w:rPr>
        <w:t>.</w:t>
      </w:r>
      <w:r>
        <w:rPr>
          <w:rFonts w:ascii="Times New Roman" w:hAnsi="Times New Roman" w:cs="Times New Roman"/>
          <w:sz w:val="24"/>
        </w:rPr>
        <w:t xml:space="preserve"> BASF. 30 p</w:t>
      </w:r>
      <w:r w:rsidR="009C2C8A">
        <w:rPr>
          <w:rFonts w:ascii="Times New Roman" w:hAnsi="Times New Roman" w:cs="Times New Roman"/>
          <w:sz w:val="24"/>
        </w:rPr>
        <w:t>.</w:t>
      </w:r>
    </w:p>
    <w:p w14:paraId="6584BEFA" w14:textId="447697DA" w:rsidR="009C2C8A" w:rsidRPr="009C2C8A" w:rsidRDefault="009C2C8A" w:rsidP="00E03E3F">
      <w:pPr>
        <w:tabs>
          <w:tab w:val="left" w:pos="0"/>
        </w:tabs>
        <w:spacing w:line="480" w:lineRule="auto"/>
        <w:ind w:left="720" w:hanging="720"/>
        <w:rPr>
          <w:rFonts w:ascii="Times New Roman" w:hAnsi="Times New Roman" w:cs="Times New Roman"/>
          <w:sz w:val="24"/>
        </w:rPr>
      </w:pPr>
      <w:r>
        <w:rPr>
          <w:rFonts w:ascii="Times New Roman" w:hAnsi="Times New Roman" w:cs="Times New Roman"/>
          <w:sz w:val="24"/>
        </w:rPr>
        <w:t xml:space="preserve">Anonymous (2021) </w:t>
      </w:r>
      <w:proofErr w:type="spellStart"/>
      <w:r>
        <w:rPr>
          <w:rFonts w:ascii="Times New Roman" w:hAnsi="Times New Roman" w:cs="Times New Roman"/>
          <w:sz w:val="24"/>
        </w:rPr>
        <w:t>Zidua</w:t>
      </w:r>
      <w:proofErr w:type="spellEnd"/>
      <w:r>
        <w:rPr>
          <w:rFonts w:ascii="Times New Roman" w:hAnsi="Times New Roman" w:cs="Times New Roman"/>
          <w:sz w:val="24"/>
          <w:vertAlign w:val="superscript"/>
        </w:rPr>
        <w:t>®</w:t>
      </w:r>
      <w:r>
        <w:rPr>
          <w:rFonts w:ascii="Times New Roman" w:hAnsi="Times New Roman" w:cs="Times New Roman"/>
          <w:sz w:val="24"/>
        </w:rPr>
        <w:t xml:space="preserve"> SC Herbicide. NVA 2021-04-489-0112. Research Triangle Park, NC. BASF. 25 p.</w:t>
      </w:r>
    </w:p>
    <w:p w14:paraId="75998307" w14:textId="3A003E92" w:rsidR="00E03E3F" w:rsidRDefault="00E03E3F" w:rsidP="00E03E3F">
      <w:pPr>
        <w:tabs>
          <w:tab w:val="left" w:pos="0"/>
        </w:tabs>
        <w:spacing w:line="480" w:lineRule="auto"/>
        <w:ind w:left="720" w:hanging="720"/>
        <w:rPr>
          <w:rFonts w:ascii="Times New Roman" w:hAnsi="Times New Roman" w:cs="Times New Roman"/>
          <w:sz w:val="24"/>
        </w:rPr>
      </w:pPr>
      <w:r w:rsidRPr="0005418D">
        <w:rPr>
          <w:rFonts w:ascii="Times New Roman" w:hAnsi="Times New Roman" w:cs="Times New Roman"/>
          <w:sz w:val="24"/>
        </w:rPr>
        <w:t xml:space="preserve">Andreu V and </w:t>
      </w:r>
      <w:proofErr w:type="spellStart"/>
      <w:r w:rsidRPr="0005418D">
        <w:rPr>
          <w:rFonts w:ascii="Times New Roman" w:hAnsi="Times New Roman" w:cs="Times New Roman"/>
          <w:sz w:val="24"/>
        </w:rPr>
        <w:t>Picó</w:t>
      </w:r>
      <w:proofErr w:type="spellEnd"/>
      <w:r w:rsidRPr="0005418D">
        <w:rPr>
          <w:rFonts w:ascii="Times New Roman" w:hAnsi="Times New Roman" w:cs="Times New Roman"/>
          <w:sz w:val="24"/>
        </w:rPr>
        <w:t xml:space="preserve"> Y (2004) Determination of pesticides and their degradation products in soil: critical review and comparison of methods. </w:t>
      </w:r>
      <w:proofErr w:type="spellStart"/>
      <w:r w:rsidRPr="0005418D">
        <w:rPr>
          <w:rFonts w:ascii="Times New Roman" w:hAnsi="Times New Roman" w:cs="Times New Roman"/>
          <w:sz w:val="24"/>
        </w:rPr>
        <w:t>TrAC</w:t>
      </w:r>
      <w:proofErr w:type="spellEnd"/>
      <w:r w:rsidRPr="0005418D">
        <w:rPr>
          <w:rFonts w:ascii="Times New Roman" w:hAnsi="Times New Roman" w:cs="Times New Roman"/>
          <w:sz w:val="24"/>
        </w:rPr>
        <w:t xml:space="preserve"> Trends in Analytical Chemistry 23:772-789.</w:t>
      </w:r>
    </w:p>
    <w:p w14:paraId="43507E07" w14:textId="0B75CB7D" w:rsidR="0050209B" w:rsidRDefault="0050209B" w:rsidP="0050209B">
      <w:pPr>
        <w:tabs>
          <w:tab w:val="left" w:pos="0"/>
        </w:tabs>
        <w:spacing w:line="480" w:lineRule="auto"/>
        <w:ind w:left="720" w:hanging="720"/>
        <w:rPr>
          <w:rFonts w:ascii="Times New Roman" w:hAnsi="Times New Roman" w:cs="Times New Roman"/>
          <w:sz w:val="24"/>
        </w:rPr>
      </w:pPr>
      <w:r w:rsidRPr="0050209B">
        <w:rPr>
          <w:rFonts w:ascii="Times New Roman" w:hAnsi="Times New Roman" w:cs="Times New Roman"/>
          <w:sz w:val="24"/>
        </w:rPr>
        <w:t>Armel, GR, Wilson</w:t>
      </w:r>
      <w:r>
        <w:rPr>
          <w:rFonts w:ascii="Times New Roman" w:hAnsi="Times New Roman" w:cs="Times New Roman"/>
          <w:sz w:val="24"/>
        </w:rPr>
        <w:t xml:space="preserve"> HP</w:t>
      </w:r>
      <w:r w:rsidRPr="0050209B">
        <w:rPr>
          <w:rFonts w:ascii="Times New Roman" w:hAnsi="Times New Roman" w:cs="Times New Roman"/>
          <w:sz w:val="24"/>
        </w:rPr>
        <w:t>, Richardson</w:t>
      </w:r>
      <w:r>
        <w:rPr>
          <w:rFonts w:ascii="Times New Roman" w:hAnsi="Times New Roman" w:cs="Times New Roman"/>
          <w:sz w:val="24"/>
        </w:rPr>
        <w:t xml:space="preserve"> RJ</w:t>
      </w:r>
      <w:r w:rsidRPr="0050209B">
        <w:rPr>
          <w:rFonts w:ascii="Times New Roman" w:hAnsi="Times New Roman" w:cs="Times New Roman"/>
          <w:sz w:val="24"/>
        </w:rPr>
        <w:t>, Hines</w:t>
      </w:r>
      <w:r>
        <w:rPr>
          <w:rFonts w:ascii="Times New Roman" w:hAnsi="Times New Roman" w:cs="Times New Roman"/>
          <w:sz w:val="24"/>
        </w:rPr>
        <w:t xml:space="preserve"> TE</w:t>
      </w:r>
      <w:r w:rsidRPr="0050209B">
        <w:rPr>
          <w:rFonts w:ascii="Times New Roman" w:hAnsi="Times New Roman" w:cs="Times New Roman"/>
          <w:sz w:val="24"/>
        </w:rPr>
        <w:t xml:space="preserve"> (2003) </w:t>
      </w:r>
      <w:proofErr w:type="spellStart"/>
      <w:r w:rsidRPr="0050209B">
        <w:rPr>
          <w:rFonts w:ascii="Times New Roman" w:hAnsi="Times New Roman" w:cs="Times New Roman"/>
          <w:sz w:val="24"/>
        </w:rPr>
        <w:t>Mesotrione</w:t>
      </w:r>
      <w:proofErr w:type="spellEnd"/>
      <w:r w:rsidRPr="0050209B">
        <w:rPr>
          <w:rFonts w:ascii="Times New Roman" w:hAnsi="Times New Roman" w:cs="Times New Roman"/>
          <w:sz w:val="24"/>
        </w:rPr>
        <w:t>, Acetochlor, and Atrazine for Weed Management in Corn (</w:t>
      </w:r>
      <w:proofErr w:type="spellStart"/>
      <w:r w:rsidRPr="0050209B">
        <w:rPr>
          <w:rFonts w:ascii="Times New Roman" w:hAnsi="Times New Roman" w:cs="Times New Roman"/>
          <w:sz w:val="24"/>
        </w:rPr>
        <w:t>Zea</w:t>
      </w:r>
      <w:proofErr w:type="spellEnd"/>
      <w:r w:rsidRPr="0050209B">
        <w:rPr>
          <w:rFonts w:ascii="Times New Roman" w:hAnsi="Times New Roman" w:cs="Times New Roman"/>
          <w:sz w:val="24"/>
        </w:rPr>
        <w:t xml:space="preserve"> mays). Weed Technology 17:284–290</w:t>
      </w:r>
      <w:r>
        <w:rPr>
          <w:rFonts w:ascii="Times New Roman" w:hAnsi="Times New Roman" w:cs="Times New Roman"/>
          <w:sz w:val="24"/>
        </w:rPr>
        <w:t>.</w:t>
      </w:r>
    </w:p>
    <w:p w14:paraId="6F924E9F" w14:textId="723FBCDD" w:rsidR="004B5D3D" w:rsidRDefault="00120F8F" w:rsidP="004B5D3D">
      <w:pPr>
        <w:tabs>
          <w:tab w:val="left" w:pos="0"/>
        </w:tabs>
        <w:spacing w:line="480" w:lineRule="auto"/>
        <w:ind w:left="720" w:hanging="720"/>
        <w:rPr>
          <w:rFonts w:ascii="Times New Roman" w:hAnsi="Times New Roman" w:cs="Times New Roman"/>
          <w:sz w:val="24"/>
        </w:rPr>
      </w:pPr>
      <w:r>
        <w:rPr>
          <w:rFonts w:ascii="Times New Roman" w:hAnsi="Times New Roman" w:cs="Times New Roman"/>
          <w:sz w:val="24"/>
        </w:rPr>
        <w:t xml:space="preserve">Armstrong DE, </w:t>
      </w:r>
      <w:proofErr w:type="spellStart"/>
      <w:r>
        <w:rPr>
          <w:rFonts w:ascii="Times New Roman" w:hAnsi="Times New Roman" w:cs="Times New Roman"/>
          <w:sz w:val="24"/>
        </w:rPr>
        <w:t>Chesters</w:t>
      </w:r>
      <w:proofErr w:type="spellEnd"/>
      <w:r>
        <w:rPr>
          <w:rFonts w:ascii="Times New Roman" w:hAnsi="Times New Roman" w:cs="Times New Roman"/>
          <w:sz w:val="24"/>
        </w:rPr>
        <w:t xml:space="preserve"> G, Harris RF (1967) Atrazine hydrolysis in soil. Soil Science Society of America Journal 31:61-66. </w:t>
      </w:r>
      <w:r w:rsidR="00D612D6" w:rsidRPr="00D612D6">
        <w:rPr>
          <w:rFonts w:ascii="Times New Roman" w:hAnsi="Times New Roman" w:cs="Times New Roman"/>
          <w:sz w:val="24"/>
        </w:rPr>
        <w:t>https://doi.org/10.2136/sssaj1967.03615995003100010019x</w:t>
      </w:r>
      <w:r w:rsidR="004B5D3D">
        <w:rPr>
          <w:rFonts w:ascii="Times New Roman" w:hAnsi="Times New Roman" w:cs="Times New Roman"/>
          <w:sz w:val="24"/>
        </w:rPr>
        <w:t>.</w:t>
      </w:r>
    </w:p>
    <w:p w14:paraId="2840F92B" w14:textId="7DDD45ED" w:rsidR="00D612D6" w:rsidRPr="0050209B" w:rsidRDefault="00D612D6" w:rsidP="004B5D3D">
      <w:pPr>
        <w:tabs>
          <w:tab w:val="left" w:pos="0"/>
        </w:tabs>
        <w:spacing w:line="480" w:lineRule="auto"/>
        <w:ind w:left="720" w:hanging="720"/>
        <w:rPr>
          <w:rFonts w:ascii="Times New Roman" w:hAnsi="Times New Roman" w:cs="Times New Roman"/>
          <w:sz w:val="24"/>
        </w:rPr>
      </w:pPr>
      <w:r>
        <w:rPr>
          <w:rFonts w:ascii="Times New Roman" w:hAnsi="Times New Roman" w:cs="Times New Roman"/>
          <w:sz w:val="24"/>
        </w:rPr>
        <w:t xml:space="preserve">Baer U, </w:t>
      </w:r>
      <w:proofErr w:type="spellStart"/>
      <w:r>
        <w:rPr>
          <w:rFonts w:ascii="Times New Roman" w:hAnsi="Times New Roman" w:cs="Times New Roman"/>
          <w:sz w:val="24"/>
        </w:rPr>
        <w:t>Calvet</w:t>
      </w:r>
      <w:proofErr w:type="spellEnd"/>
      <w:r w:rsidR="00177FDD">
        <w:rPr>
          <w:rFonts w:ascii="Times New Roman" w:hAnsi="Times New Roman" w:cs="Times New Roman"/>
          <w:sz w:val="24"/>
        </w:rPr>
        <w:t xml:space="preserve"> R (1999) Fate of soil applied herbicides: experimental data and prediction of dissipation kinetics. Journal of Environmental Quality 28:1765-1777.</w:t>
      </w:r>
    </w:p>
    <w:p w14:paraId="1D44930A" w14:textId="22B033B0" w:rsidR="00E03E3F" w:rsidRDefault="00E03E3F" w:rsidP="00E03E3F">
      <w:pPr>
        <w:spacing w:line="480" w:lineRule="auto"/>
        <w:ind w:left="720" w:hanging="720"/>
        <w:rPr>
          <w:rFonts w:ascii="Times New Roman" w:hAnsi="Times New Roman" w:cs="Times New Roman"/>
          <w:sz w:val="24"/>
        </w:rPr>
      </w:pPr>
      <w:proofErr w:type="spellStart"/>
      <w:r w:rsidRPr="00CE1222">
        <w:rPr>
          <w:rFonts w:ascii="Times New Roman" w:hAnsi="Times New Roman" w:cs="Times New Roman"/>
          <w:sz w:val="24"/>
        </w:rPr>
        <w:t>Blumhorst</w:t>
      </w:r>
      <w:proofErr w:type="spellEnd"/>
      <w:r w:rsidRPr="00CE1222">
        <w:rPr>
          <w:rFonts w:ascii="Times New Roman" w:hAnsi="Times New Roman" w:cs="Times New Roman"/>
          <w:sz w:val="24"/>
        </w:rPr>
        <w:t xml:space="preserve"> MR, Mueller TC (1997) Quality control procedures in herbicide field dissipation studies. Weed Technology 11:832-837.</w:t>
      </w:r>
    </w:p>
    <w:p w14:paraId="5CBBB550" w14:textId="59B4853F" w:rsidR="007E5332" w:rsidRDefault="007E5332" w:rsidP="00E03E3F">
      <w:pPr>
        <w:spacing w:line="480" w:lineRule="auto"/>
        <w:ind w:left="720" w:hanging="720"/>
        <w:rPr>
          <w:rFonts w:ascii="Times New Roman" w:hAnsi="Times New Roman" w:cs="Times New Roman"/>
          <w:sz w:val="24"/>
        </w:rPr>
      </w:pPr>
      <w:proofErr w:type="spellStart"/>
      <w:r>
        <w:rPr>
          <w:rFonts w:ascii="Times New Roman" w:hAnsi="Times New Roman" w:cs="Times New Roman"/>
          <w:sz w:val="24"/>
        </w:rPr>
        <w:lastRenderedPageBreak/>
        <w:t>Beestman</w:t>
      </w:r>
      <w:proofErr w:type="spellEnd"/>
      <w:r>
        <w:rPr>
          <w:rFonts w:ascii="Times New Roman" w:hAnsi="Times New Roman" w:cs="Times New Roman"/>
          <w:sz w:val="24"/>
        </w:rPr>
        <w:t xml:space="preserve"> GB, Deming JM (1974) Dissipation of acetanilide herbicides from soils. Agronomy Journal 66:308-311. </w:t>
      </w:r>
      <w:r w:rsidRPr="00AD335B">
        <w:rPr>
          <w:rFonts w:ascii="Times New Roman" w:hAnsi="Times New Roman" w:cs="Times New Roman"/>
          <w:sz w:val="24"/>
        </w:rPr>
        <w:t>https://doi.org/10.2134/agronj1974.00021962006600020035x</w:t>
      </w:r>
      <w:r>
        <w:rPr>
          <w:rFonts w:ascii="Times New Roman" w:hAnsi="Times New Roman" w:cs="Times New Roman"/>
          <w:sz w:val="24"/>
        </w:rPr>
        <w:t xml:space="preserve">. </w:t>
      </w:r>
    </w:p>
    <w:p w14:paraId="7D68A2EA" w14:textId="533C32B4" w:rsidR="00127F32" w:rsidRDefault="00127F32" w:rsidP="00E03E3F">
      <w:pPr>
        <w:spacing w:line="480" w:lineRule="auto"/>
        <w:ind w:left="720" w:hanging="720"/>
        <w:rPr>
          <w:rFonts w:ascii="Times New Roman" w:hAnsi="Times New Roman" w:cs="Times New Roman"/>
          <w:sz w:val="24"/>
        </w:rPr>
      </w:pPr>
      <w:proofErr w:type="spellStart"/>
      <w:r>
        <w:rPr>
          <w:rFonts w:ascii="Times New Roman" w:hAnsi="Times New Roman" w:cs="Times New Roman"/>
          <w:sz w:val="24"/>
        </w:rPr>
        <w:t>Buelke</w:t>
      </w:r>
      <w:proofErr w:type="spellEnd"/>
      <w:r>
        <w:rPr>
          <w:rFonts w:ascii="Times New Roman" w:hAnsi="Times New Roman" w:cs="Times New Roman"/>
          <w:sz w:val="24"/>
        </w:rPr>
        <w:t xml:space="preserve"> S, Brown, CS (2001) Evaluation of methods to derive pesticide degradation</w:t>
      </w:r>
      <w:r w:rsidR="007C3651">
        <w:rPr>
          <w:rFonts w:ascii="Times New Roman" w:hAnsi="Times New Roman" w:cs="Times New Roman"/>
          <w:sz w:val="24"/>
        </w:rPr>
        <w:t xml:space="preserve"> parameters for regulatory modeling.  Biol </w:t>
      </w:r>
      <w:proofErr w:type="spellStart"/>
      <w:r w:rsidR="007C3651">
        <w:rPr>
          <w:rFonts w:ascii="Times New Roman" w:hAnsi="Times New Roman" w:cs="Times New Roman"/>
          <w:sz w:val="24"/>
        </w:rPr>
        <w:t>Fertil</w:t>
      </w:r>
      <w:proofErr w:type="spellEnd"/>
      <w:r w:rsidR="007C3651">
        <w:rPr>
          <w:rFonts w:ascii="Times New Roman" w:hAnsi="Times New Roman" w:cs="Times New Roman"/>
          <w:sz w:val="24"/>
        </w:rPr>
        <w:t xml:space="preserve"> Soils 33:558-564.</w:t>
      </w:r>
    </w:p>
    <w:p w14:paraId="1C34BCEB" w14:textId="426301ED" w:rsidR="00FB53AA" w:rsidRDefault="00FB53AA" w:rsidP="00E03E3F">
      <w:pPr>
        <w:spacing w:line="480" w:lineRule="auto"/>
        <w:ind w:left="720" w:hanging="720"/>
        <w:rPr>
          <w:rFonts w:ascii="Times New Roman" w:hAnsi="Times New Roman" w:cs="Times New Roman"/>
          <w:sz w:val="24"/>
        </w:rPr>
      </w:pPr>
      <w:r>
        <w:rPr>
          <w:rFonts w:ascii="Times New Roman" w:hAnsi="Times New Roman" w:cs="Times New Roman"/>
          <w:sz w:val="24"/>
        </w:rPr>
        <w:t xml:space="preserve">Camargo ER, Senseman SA, Haney RL, </w:t>
      </w:r>
      <w:proofErr w:type="spellStart"/>
      <w:r>
        <w:rPr>
          <w:rFonts w:ascii="Times New Roman" w:hAnsi="Times New Roman" w:cs="Times New Roman"/>
          <w:sz w:val="24"/>
        </w:rPr>
        <w:t>Guice</w:t>
      </w:r>
      <w:proofErr w:type="spellEnd"/>
      <w:r>
        <w:rPr>
          <w:rFonts w:ascii="Times New Roman" w:hAnsi="Times New Roman" w:cs="Times New Roman"/>
          <w:sz w:val="24"/>
        </w:rPr>
        <w:t xml:space="preserve"> JB, McCauley GN (201</w:t>
      </w:r>
      <w:r w:rsidR="00981251">
        <w:rPr>
          <w:rFonts w:ascii="Times New Roman" w:hAnsi="Times New Roman" w:cs="Times New Roman"/>
          <w:sz w:val="24"/>
        </w:rPr>
        <w:t>3</w:t>
      </w:r>
      <w:r>
        <w:rPr>
          <w:rFonts w:ascii="Times New Roman" w:hAnsi="Times New Roman" w:cs="Times New Roman"/>
          <w:sz w:val="24"/>
        </w:rPr>
        <w:t>) Soil residue analysis and degradation of saflufenacil as affected by moisture content and soil characteristics. Pest Management Science 69: 1291-1297.</w:t>
      </w:r>
    </w:p>
    <w:p w14:paraId="46773AC5" w14:textId="04126785" w:rsidR="005669CF" w:rsidRDefault="005669CF" w:rsidP="00E03E3F">
      <w:pPr>
        <w:spacing w:line="480" w:lineRule="auto"/>
        <w:ind w:left="720" w:hanging="720"/>
        <w:rPr>
          <w:rFonts w:ascii="Times New Roman" w:hAnsi="Times New Roman" w:cs="Times New Roman"/>
          <w:sz w:val="24"/>
        </w:rPr>
      </w:pPr>
      <w:r>
        <w:rPr>
          <w:rFonts w:ascii="Times New Roman" w:hAnsi="Times New Roman" w:cs="Times New Roman"/>
          <w:sz w:val="24"/>
        </w:rPr>
        <w:t xml:space="preserve">Camargo ER, Senseman SA, McCauley GN, </w:t>
      </w:r>
      <w:proofErr w:type="spellStart"/>
      <w:r>
        <w:rPr>
          <w:rFonts w:ascii="Times New Roman" w:hAnsi="Times New Roman" w:cs="Times New Roman"/>
          <w:sz w:val="24"/>
        </w:rPr>
        <w:t>Guice</w:t>
      </w:r>
      <w:proofErr w:type="spellEnd"/>
      <w:r>
        <w:rPr>
          <w:rFonts w:ascii="Times New Roman" w:hAnsi="Times New Roman" w:cs="Times New Roman"/>
          <w:sz w:val="24"/>
        </w:rPr>
        <w:t xml:space="preserve"> JB (201</w:t>
      </w:r>
      <w:r w:rsidR="00981251">
        <w:rPr>
          <w:rFonts w:ascii="Times New Roman" w:hAnsi="Times New Roman" w:cs="Times New Roman"/>
          <w:sz w:val="24"/>
        </w:rPr>
        <w:t>2</w:t>
      </w:r>
      <w:r>
        <w:rPr>
          <w:rFonts w:ascii="Times New Roman" w:hAnsi="Times New Roman" w:cs="Times New Roman"/>
          <w:sz w:val="24"/>
        </w:rPr>
        <w:t>) Rice (</w:t>
      </w:r>
      <w:r w:rsidRPr="005669CF">
        <w:rPr>
          <w:rFonts w:ascii="Times New Roman" w:hAnsi="Times New Roman" w:cs="Times New Roman"/>
          <w:i/>
          <w:sz w:val="24"/>
        </w:rPr>
        <w:t>Oryza sativa</w:t>
      </w:r>
      <w:r>
        <w:rPr>
          <w:rFonts w:ascii="Times New Roman" w:hAnsi="Times New Roman" w:cs="Times New Roman"/>
          <w:sz w:val="24"/>
        </w:rPr>
        <w:t xml:space="preserve"> L.) response and weed control from tank-mix applications of saflufenacil and imazethapyr. Crop Protection 31:94-98.</w:t>
      </w:r>
    </w:p>
    <w:p w14:paraId="511A0FCA" w14:textId="76F1986D" w:rsidR="007C3651" w:rsidRDefault="007C3651" w:rsidP="00E03E3F">
      <w:pPr>
        <w:spacing w:line="480" w:lineRule="auto"/>
        <w:ind w:left="720" w:hanging="720"/>
        <w:rPr>
          <w:rFonts w:ascii="Times New Roman" w:hAnsi="Times New Roman" w:cs="Times New Roman"/>
          <w:sz w:val="24"/>
        </w:rPr>
      </w:pPr>
      <w:proofErr w:type="spellStart"/>
      <w:r>
        <w:rPr>
          <w:rFonts w:ascii="Times New Roman" w:hAnsi="Times New Roman" w:cs="Times New Roman"/>
          <w:sz w:val="24"/>
        </w:rPr>
        <w:t>Carsel</w:t>
      </w:r>
      <w:proofErr w:type="spellEnd"/>
      <w:r>
        <w:rPr>
          <w:rFonts w:ascii="Times New Roman" w:hAnsi="Times New Roman" w:cs="Times New Roman"/>
          <w:sz w:val="24"/>
        </w:rPr>
        <w:t xml:space="preserve"> RF, Mulkey LA, Lorber MN, Baskin LB (1985) The pesticide root zone model (PRZM): a procedure for evaluating pesticide leaching threats to groundwater. Ecological Modeling 30:49-69.</w:t>
      </w:r>
    </w:p>
    <w:p w14:paraId="5B33A7E4" w14:textId="6B59A329" w:rsidR="00DC032A" w:rsidRDefault="00DC032A" w:rsidP="00E03E3F">
      <w:pPr>
        <w:spacing w:line="480" w:lineRule="auto"/>
        <w:ind w:left="720" w:hanging="720"/>
        <w:rPr>
          <w:rFonts w:ascii="Times New Roman" w:hAnsi="Times New Roman" w:cs="Times New Roman"/>
          <w:sz w:val="24"/>
        </w:rPr>
      </w:pPr>
      <w:r>
        <w:rPr>
          <w:rFonts w:ascii="Times New Roman" w:hAnsi="Times New Roman" w:cs="Times New Roman"/>
          <w:sz w:val="24"/>
        </w:rPr>
        <w:t xml:space="preserve">Cheng </w:t>
      </w:r>
      <w:r w:rsidR="00FD1E99">
        <w:rPr>
          <w:rFonts w:ascii="Times New Roman" w:hAnsi="Times New Roman" w:cs="Times New Roman"/>
          <w:sz w:val="24"/>
        </w:rPr>
        <w:t xml:space="preserve">HH (1990) Pesticides in the Soil Environment – An Overview. Pages 1-5 </w:t>
      </w:r>
      <w:r w:rsidR="00FD1E99" w:rsidRPr="00FD1E99">
        <w:rPr>
          <w:rFonts w:ascii="Times New Roman" w:hAnsi="Times New Roman" w:cs="Times New Roman"/>
          <w:i/>
          <w:sz w:val="24"/>
        </w:rPr>
        <w:t>in</w:t>
      </w:r>
      <w:r w:rsidR="00FD1E99">
        <w:rPr>
          <w:rFonts w:ascii="Times New Roman" w:hAnsi="Times New Roman" w:cs="Times New Roman"/>
          <w:sz w:val="24"/>
        </w:rPr>
        <w:t xml:space="preserve"> </w:t>
      </w:r>
      <w:r w:rsidR="008D2AB1">
        <w:rPr>
          <w:rFonts w:ascii="Times New Roman" w:hAnsi="Times New Roman" w:cs="Times New Roman"/>
          <w:sz w:val="24"/>
        </w:rPr>
        <w:t>Cheng HH, ed. Pesticides in the Soil Environment: Processes, Impacts, and Modeling, Volume 2. Madison, Wisconsin: Soil Science Society of America.</w:t>
      </w:r>
    </w:p>
    <w:p w14:paraId="68D547CA" w14:textId="352B9C91" w:rsidR="00DC1C50" w:rsidRPr="00FD1E99" w:rsidRDefault="00DC1C50" w:rsidP="00E03E3F">
      <w:pPr>
        <w:spacing w:line="480" w:lineRule="auto"/>
        <w:ind w:left="720" w:hanging="720"/>
        <w:rPr>
          <w:rFonts w:ascii="Times New Roman" w:hAnsi="Times New Roman" w:cs="Times New Roman"/>
          <w:sz w:val="24"/>
        </w:rPr>
      </w:pPr>
      <w:r>
        <w:rPr>
          <w:rFonts w:ascii="Times New Roman" w:hAnsi="Times New Roman" w:cs="Times New Roman"/>
          <w:sz w:val="24"/>
        </w:rPr>
        <w:t xml:space="preserve">City of Knoxville Rainfall Data (2022) </w:t>
      </w:r>
      <w:r w:rsidRPr="00DC1C50">
        <w:rPr>
          <w:rFonts w:ascii="Times New Roman" w:hAnsi="Times New Roman" w:cs="Times New Roman"/>
          <w:sz w:val="24"/>
        </w:rPr>
        <w:t>https://knoxvilletn.gov/government/city_departments</w:t>
      </w:r>
      <w:r>
        <w:rPr>
          <w:rStyle w:val="Hyperlink"/>
          <w:rFonts w:ascii="Times New Roman" w:hAnsi="Times New Roman" w:cs="Times New Roman"/>
          <w:sz w:val="24"/>
        </w:rPr>
        <w:t xml:space="preserve"> </w:t>
      </w:r>
      <w:r w:rsidRPr="00DC1C50">
        <w:rPr>
          <w:rFonts w:ascii="Times New Roman" w:hAnsi="Times New Roman" w:cs="Times New Roman"/>
          <w:sz w:val="24"/>
        </w:rPr>
        <w:t>_offices/engineering/stormwater_engineering_division/rainfall_data</w:t>
      </w:r>
      <w:r>
        <w:rPr>
          <w:rFonts w:ascii="Times New Roman" w:hAnsi="Times New Roman" w:cs="Times New Roman"/>
          <w:sz w:val="24"/>
        </w:rPr>
        <w:t>. Accessed March 15, 2022.</w:t>
      </w:r>
    </w:p>
    <w:p w14:paraId="1B01BA1C" w14:textId="42448E4E" w:rsidR="00AC48BD" w:rsidRPr="00AC0ED3" w:rsidRDefault="00AC48BD" w:rsidP="00E03E3F">
      <w:pPr>
        <w:spacing w:line="480" w:lineRule="auto"/>
        <w:ind w:left="720" w:hanging="720"/>
        <w:rPr>
          <w:rFonts w:ascii="Times New Roman" w:hAnsi="Times New Roman" w:cs="Times New Roman"/>
          <w:sz w:val="24"/>
        </w:rPr>
      </w:pPr>
      <w:r>
        <w:rPr>
          <w:rFonts w:ascii="Times New Roman" w:hAnsi="Times New Roman" w:cs="Times New Roman"/>
          <w:sz w:val="24"/>
        </w:rPr>
        <w:lastRenderedPageBreak/>
        <w:t>Coats GE, Taylor JM, Kelly ST (2008) Benefits of triazine herbicides in turf. Pages 235-242</w:t>
      </w:r>
      <w:r w:rsidR="00AC0ED3">
        <w:rPr>
          <w:rFonts w:ascii="Times New Roman" w:hAnsi="Times New Roman" w:cs="Times New Roman"/>
          <w:sz w:val="24"/>
        </w:rPr>
        <w:t xml:space="preserve"> </w:t>
      </w:r>
      <w:r w:rsidR="00AC0ED3">
        <w:rPr>
          <w:rFonts w:ascii="Times New Roman" w:hAnsi="Times New Roman" w:cs="Times New Roman"/>
          <w:i/>
          <w:sz w:val="24"/>
        </w:rPr>
        <w:t>in</w:t>
      </w:r>
      <w:r w:rsidR="00AC0ED3">
        <w:rPr>
          <w:rFonts w:ascii="Times New Roman" w:hAnsi="Times New Roman" w:cs="Times New Roman"/>
          <w:sz w:val="24"/>
        </w:rPr>
        <w:t xml:space="preserve"> </w:t>
      </w:r>
      <w:proofErr w:type="spellStart"/>
      <w:r w:rsidR="00AC0ED3">
        <w:rPr>
          <w:rFonts w:ascii="Times New Roman" w:hAnsi="Times New Roman" w:cs="Times New Roman"/>
          <w:sz w:val="24"/>
        </w:rPr>
        <w:t>LeBaron</w:t>
      </w:r>
      <w:proofErr w:type="spellEnd"/>
      <w:r w:rsidR="00AC0ED3">
        <w:rPr>
          <w:rFonts w:ascii="Times New Roman" w:hAnsi="Times New Roman" w:cs="Times New Roman"/>
          <w:sz w:val="24"/>
        </w:rPr>
        <w:t xml:space="preserve"> HM, McFarland JE, Burnside OC eds. The Triazine Herbicides 50 Years Revolutionizing Agriculture. San Diego: Elsevier.</w:t>
      </w:r>
    </w:p>
    <w:p w14:paraId="07F30772" w14:textId="057E51E5" w:rsidR="004A1400" w:rsidRDefault="004A1400" w:rsidP="00E03E3F">
      <w:pPr>
        <w:spacing w:line="480" w:lineRule="auto"/>
        <w:ind w:left="720" w:hanging="720"/>
        <w:rPr>
          <w:rFonts w:ascii="Times New Roman" w:hAnsi="Times New Roman" w:cs="Times New Roman"/>
          <w:sz w:val="24"/>
        </w:rPr>
      </w:pPr>
      <w:proofErr w:type="spellStart"/>
      <w:r w:rsidRPr="004A1400">
        <w:rPr>
          <w:rFonts w:ascii="Times New Roman" w:hAnsi="Times New Roman" w:cs="Times New Roman"/>
          <w:sz w:val="24"/>
        </w:rPr>
        <w:t>Dabrowski</w:t>
      </w:r>
      <w:proofErr w:type="spellEnd"/>
      <w:r w:rsidRPr="004A1400">
        <w:rPr>
          <w:rFonts w:ascii="Times New Roman" w:hAnsi="Times New Roman" w:cs="Times New Roman"/>
          <w:sz w:val="24"/>
        </w:rPr>
        <w:t xml:space="preserve"> JM, </w:t>
      </w:r>
      <w:proofErr w:type="spellStart"/>
      <w:r w:rsidRPr="004A1400">
        <w:rPr>
          <w:rFonts w:ascii="Times New Roman" w:hAnsi="Times New Roman" w:cs="Times New Roman"/>
          <w:sz w:val="24"/>
        </w:rPr>
        <w:t>Shadung</w:t>
      </w:r>
      <w:proofErr w:type="spellEnd"/>
      <w:r w:rsidRPr="004A1400">
        <w:rPr>
          <w:rFonts w:ascii="Times New Roman" w:hAnsi="Times New Roman" w:cs="Times New Roman"/>
          <w:sz w:val="24"/>
        </w:rPr>
        <w:t xml:space="preserve"> JM, </w:t>
      </w:r>
      <w:proofErr w:type="spellStart"/>
      <w:r w:rsidRPr="004A1400">
        <w:rPr>
          <w:rFonts w:ascii="Times New Roman" w:hAnsi="Times New Roman" w:cs="Times New Roman"/>
          <w:sz w:val="24"/>
        </w:rPr>
        <w:t>Wepener</w:t>
      </w:r>
      <w:proofErr w:type="spellEnd"/>
      <w:r w:rsidRPr="004A1400">
        <w:rPr>
          <w:rFonts w:ascii="Times New Roman" w:hAnsi="Times New Roman" w:cs="Times New Roman"/>
          <w:sz w:val="24"/>
        </w:rPr>
        <w:t xml:space="preserve"> V (2014) Prioritizing agricultural pesticides used in South</w:t>
      </w:r>
      <w:r w:rsidRPr="004A1400">
        <w:rPr>
          <w:rFonts w:ascii="Times New Roman" w:hAnsi="Times New Roman" w:cs="Times New Roman"/>
          <w:sz w:val="24"/>
        </w:rPr>
        <w:br/>
        <w:t>Africa based on their environmental mobility and potential human health effects.</w:t>
      </w:r>
      <w:r w:rsidRPr="004A1400">
        <w:rPr>
          <w:rFonts w:ascii="Times New Roman" w:hAnsi="Times New Roman" w:cs="Times New Roman"/>
          <w:sz w:val="24"/>
        </w:rPr>
        <w:br/>
        <w:t>Environment International 62:31-40</w:t>
      </w:r>
      <w:r>
        <w:rPr>
          <w:rFonts w:ascii="Times New Roman" w:hAnsi="Times New Roman" w:cs="Times New Roman"/>
          <w:sz w:val="24"/>
        </w:rPr>
        <w:t>.</w:t>
      </w:r>
    </w:p>
    <w:p w14:paraId="6AC9A4E5" w14:textId="1D8D5B98" w:rsidR="00E03E3F" w:rsidRDefault="00E03E3F" w:rsidP="00E03E3F">
      <w:pPr>
        <w:spacing w:line="480" w:lineRule="auto"/>
        <w:ind w:left="720" w:hanging="720"/>
        <w:rPr>
          <w:rFonts w:ascii="Times New Roman" w:hAnsi="Times New Roman" w:cs="Times New Roman"/>
          <w:sz w:val="24"/>
        </w:rPr>
      </w:pPr>
      <w:r w:rsidRPr="004612FE">
        <w:rPr>
          <w:rFonts w:ascii="Times New Roman" w:hAnsi="Times New Roman" w:cs="Times New Roman"/>
          <w:sz w:val="24"/>
        </w:rPr>
        <w:t>Dean JR, Wade G, Barnabas J (1996) Determination of triazine herbicides in environmental samples. J Chromatography A 733:295-335.</w:t>
      </w:r>
    </w:p>
    <w:p w14:paraId="52FF8BB7" w14:textId="25194B16" w:rsidR="008D2AB1" w:rsidRDefault="008D2AB1" w:rsidP="00E03E3F">
      <w:pPr>
        <w:spacing w:line="480" w:lineRule="auto"/>
        <w:ind w:left="720" w:hanging="720"/>
        <w:rPr>
          <w:rFonts w:ascii="Times New Roman" w:hAnsi="Times New Roman" w:cs="Times New Roman"/>
          <w:sz w:val="24"/>
        </w:rPr>
      </w:pPr>
      <w:r>
        <w:rPr>
          <w:rFonts w:ascii="Times New Roman" w:hAnsi="Times New Roman" w:cs="Times New Roman"/>
          <w:sz w:val="24"/>
        </w:rPr>
        <w:t xml:space="preserve">Diez C, </w:t>
      </w:r>
      <w:proofErr w:type="spellStart"/>
      <w:r>
        <w:rPr>
          <w:rFonts w:ascii="Times New Roman" w:hAnsi="Times New Roman" w:cs="Times New Roman"/>
          <w:sz w:val="24"/>
        </w:rPr>
        <w:t>Barrado</w:t>
      </w:r>
      <w:proofErr w:type="spellEnd"/>
      <w:r>
        <w:rPr>
          <w:rFonts w:ascii="Times New Roman" w:hAnsi="Times New Roman" w:cs="Times New Roman"/>
          <w:sz w:val="24"/>
        </w:rPr>
        <w:t xml:space="preserve"> E (2010) Soil-dissipation kinetics of twelve herbicides used on a rain-fed barley crop in Spain. Anal </w:t>
      </w:r>
      <w:proofErr w:type="spellStart"/>
      <w:r>
        <w:rPr>
          <w:rFonts w:ascii="Times New Roman" w:hAnsi="Times New Roman" w:cs="Times New Roman"/>
          <w:sz w:val="24"/>
        </w:rPr>
        <w:t>Bioanal</w:t>
      </w:r>
      <w:proofErr w:type="spellEnd"/>
      <w:r>
        <w:rPr>
          <w:rFonts w:ascii="Times New Roman" w:hAnsi="Times New Roman" w:cs="Times New Roman"/>
          <w:sz w:val="24"/>
        </w:rPr>
        <w:t xml:space="preserve"> Chem 397:1617-1626.</w:t>
      </w:r>
    </w:p>
    <w:p w14:paraId="56624908" w14:textId="3D574890" w:rsidR="00FF6C8D" w:rsidRPr="006E7F81" w:rsidRDefault="00FF6C8D" w:rsidP="00E03E3F">
      <w:pPr>
        <w:spacing w:line="480" w:lineRule="auto"/>
        <w:ind w:left="720" w:hanging="720"/>
        <w:rPr>
          <w:rFonts w:ascii="Times New Roman" w:hAnsi="Times New Roman" w:cs="Times New Roman"/>
          <w:sz w:val="24"/>
        </w:rPr>
      </w:pPr>
      <w:proofErr w:type="spellStart"/>
      <w:r>
        <w:rPr>
          <w:rFonts w:ascii="Times New Roman" w:hAnsi="Times New Roman" w:cs="Times New Roman"/>
          <w:sz w:val="24"/>
        </w:rPr>
        <w:t>Dyrda</w:t>
      </w:r>
      <w:proofErr w:type="spellEnd"/>
      <w:r>
        <w:rPr>
          <w:rFonts w:ascii="Times New Roman" w:hAnsi="Times New Roman" w:cs="Times New Roman"/>
          <w:sz w:val="24"/>
        </w:rPr>
        <w:t xml:space="preserve"> G, </w:t>
      </w:r>
      <w:proofErr w:type="spellStart"/>
      <w:r>
        <w:rPr>
          <w:rFonts w:ascii="Times New Roman" w:hAnsi="Times New Roman" w:cs="Times New Roman"/>
          <w:sz w:val="24"/>
        </w:rPr>
        <w:t>Boniewska-Bernacka</w:t>
      </w:r>
      <w:proofErr w:type="spellEnd"/>
      <w:r>
        <w:rPr>
          <w:rFonts w:ascii="Times New Roman" w:hAnsi="Times New Roman" w:cs="Times New Roman"/>
          <w:sz w:val="24"/>
        </w:rPr>
        <w:t xml:space="preserve"> E, </w:t>
      </w:r>
      <w:r w:rsidR="006E7F81">
        <w:rPr>
          <w:rFonts w:ascii="Times New Roman" w:hAnsi="Times New Roman" w:cs="Times New Roman"/>
          <w:sz w:val="24"/>
        </w:rPr>
        <w:t xml:space="preserve">Man D, </w:t>
      </w:r>
      <w:proofErr w:type="spellStart"/>
      <w:r w:rsidR="006E7F81">
        <w:rPr>
          <w:rFonts w:ascii="Times New Roman" w:hAnsi="Times New Roman" w:cs="Times New Roman"/>
          <w:sz w:val="24"/>
        </w:rPr>
        <w:t>Barchiewicz</w:t>
      </w:r>
      <w:proofErr w:type="spellEnd"/>
      <w:r w:rsidR="006E7F81">
        <w:rPr>
          <w:rFonts w:ascii="Times New Roman" w:hAnsi="Times New Roman" w:cs="Times New Roman"/>
          <w:sz w:val="24"/>
        </w:rPr>
        <w:t xml:space="preserve"> K, </w:t>
      </w:r>
      <w:proofErr w:type="spellStart"/>
      <w:r w:rsidR="006E7F81">
        <w:rPr>
          <w:rFonts w:ascii="Times New Roman" w:hAnsi="Times New Roman" w:cs="Times New Roman"/>
          <w:sz w:val="24"/>
        </w:rPr>
        <w:t>Slota</w:t>
      </w:r>
      <w:proofErr w:type="spellEnd"/>
      <w:r w:rsidR="006E7F81">
        <w:rPr>
          <w:rFonts w:ascii="Times New Roman" w:hAnsi="Times New Roman" w:cs="Times New Roman"/>
          <w:sz w:val="24"/>
        </w:rPr>
        <w:t xml:space="preserve"> R (2019) The effect of organic solvents on selected microorganisms and model liposome membrane. </w:t>
      </w:r>
      <w:r w:rsidR="006E7F81" w:rsidRPr="006E7F81">
        <w:rPr>
          <w:rFonts w:ascii="Times New Roman" w:hAnsi="Times New Roman" w:cs="Times New Roman"/>
          <w:i/>
          <w:sz w:val="24"/>
        </w:rPr>
        <w:t>Molecular Biology Reports</w:t>
      </w:r>
      <w:r w:rsidR="006E7F81">
        <w:rPr>
          <w:rFonts w:ascii="Times New Roman" w:hAnsi="Times New Roman" w:cs="Times New Roman"/>
          <w:sz w:val="24"/>
        </w:rPr>
        <w:t xml:space="preserve"> 46:3225-3232.</w:t>
      </w:r>
    </w:p>
    <w:p w14:paraId="54C7E338" w14:textId="7144C9CD" w:rsidR="00E03E3F" w:rsidRDefault="00E03E3F" w:rsidP="00E03E3F">
      <w:pPr>
        <w:spacing w:line="480" w:lineRule="auto"/>
        <w:ind w:left="720" w:hanging="720"/>
        <w:rPr>
          <w:rFonts w:ascii="Times New Roman" w:hAnsi="Times New Roman" w:cs="Times New Roman"/>
          <w:sz w:val="24"/>
        </w:rPr>
      </w:pPr>
      <w:r w:rsidRPr="001A6470">
        <w:rPr>
          <w:rFonts w:ascii="Times New Roman" w:hAnsi="Times New Roman" w:cs="Times New Roman"/>
          <w:sz w:val="24"/>
        </w:rPr>
        <w:t>Gallaher K, Mueller TC (1996) Effect of crop presence on</w:t>
      </w:r>
      <w:r>
        <w:rPr>
          <w:rFonts w:ascii="Times New Roman" w:hAnsi="Times New Roman" w:cs="Times New Roman"/>
          <w:sz w:val="24"/>
        </w:rPr>
        <w:t xml:space="preserve"> </w:t>
      </w:r>
      <w:r w:rsidRPr="001A6470">
        <w:rPr>
          <w:rFonts w:ascii="Times New Roman" w:hAnsi="Times New Roman" w:cs="Times New Roman"/>
          <w:sz w:val="24"/>
        </w:rPr>
        <w:t>persistence of atrazine, metribuzin,</w:t>
      </w:r>
      <w:r>
        <w:rPr>
          <w:rFonts w:ascii="Times New Roman" w:hAnsi="Times New Roman" w:cs="Times New Roman"/>
          <w:sz w:val="24"/>
        </w:rPr>
        <w:t xml:space="preserve"> </w:t>
      </w:r>
      <w:r w:rsidRPr="001A6470">
        <w:rPr>
          <w:rFonts w:ascii="Times New Roman" w:hAnsi="Times New Roman" w:cs="Times New Roman"/>
          <w:sz w:val="24"/>
        </w:rPr>
        <w:t>and clomazone in surface</w:t>
      </w:r>
      <w:r>
        <w:rPr>
          <w:rFonts w:ascii="Times New Roman" w:hAnsi="Times New Roman" w:cs="Times New Roman"/>
          <w:sz w:val="24"/>
        </w:rPr>
        <w:t xml:space="preserve"> </w:t>
      </w:r>
      <w:r w:rsidRPr="001A6470">
        <w:rPr>
          <w:rFonts w:ascii="Times New Roman" w:hAnsi="Times New Roman" w:cs="Times New Roman"/>
          <w:sz w:val="24"/>
        </w:rPr>
        <w:t>soil. Weed Sci 44:698–703</w:t>
      </w:r>
      <w:r>
        <w:rPr>
          <w:rFonts w:ascii="Times New Roman" w:hAnsi="Times New Roman" w:cs="Times New Roman"/>
          <w:sz w:val="24"/>
        </w:rPr>
        <w:t>.</w:t>
      </w:r>
    </w:p>
    <w:p w14:paraId="76FEC0D2" w14:textId="62A8E755" w:rsidR="004B5D3D" w:rsidRDefault="004B5D3D" w:rsidP="00E03E3F">
      <w:pPr>
        <w:spacing w:line="480" w:lineRule="auto"/>
        <w:ind w:left="720" w:hanging="720"/>
        <w:rPr>
          <w:rFonts w:ascii="Times New Roman" w:hAnsi="Times New Roman" w:cs="Times New Roman"/>
          <w:sz w:val="24"/>
        </w:rPr>
      </w:pPr>
      <w:r>
        <w:rPr>
          <w:rFonts w:ascii="Times New Roman" w:hAnsi="Times New Roman" w:cs="Times New Roman"/>
          <w:sz w:val="24"/>
        </w:rPr>
        <w:t>Gan J, Becker RL, Koskinen WC, Buhler DD (1996) Degradation of atrazine in two soils as a function of concentration. Journal of Environmental Quality 25:1064-1072.</w:t>
      </w:r>
    </w:p>
    <w:p w14:paraId="1364C944" w14:textId="71350EED" w:rsidR="00E03E3F" w:rsidRDefault="00E03E3F" w:rsidP="00E03E3F">
      <w:pPr>
        <w:spacing w:line="480" w:lineRule="auto"/>
        <w:ind w:left="720" w:hanging="720"/>
        <w:rPr>
          <w:rFonts w:ascii="Times New Roman" w:hAnsi="Times New Roman" w:cs="Times New Roman"/>
          <w:sz w:val="24"/>
        </w:rPr>
      </w:pPr>
      <w:proofErr w:type="spellStart"/>
      <w:r w:rsidRPr="004612FE">
        <w:rPr>
          <w:rFonts w:ascii="Times New Roman" w:hAnsi="Times New Roman" w:cs="Times New Roman"/>
          <w:sz w:val="24"/>
        </w:rPr>
        <w:t>Garcinuño</w:t>
      </w:r>
      <w:proofErr w:type="spellEnd"/>
      <w:r w:rsidRPr="004612FE">
        <w:rPr>
          <w:rFonts w:ascii="Times New Roman" w:hAnsi="Times New Roman" w:cs="Times New Roman"/>
          <w:sz w:val="24"/>
        </w:rPr>
        <w:t xml:space="preserve"> RM, Fernández-Hernando P, Cámara C (2003) Evaluation of pesticide uptake by </w:t>
      </w:r>
      <w:r w:rsidRPr="004612FE">
        <w:rPr>
          <w:rFonts w:ascii="Times New Roman" w:hAnsi="Times New Roman" w:cs="Times New Roman"/>
          <w:i/>
          <w:iCs/>
          <w:sz w:val="24"/>
        </w:rPr>
        <w:t>Lupinus</w:t>
      </w:r>
      <w:r w:rsidRPr="004612FE">
        <w:rPr>
          <w:rFonts w:ascii="Times New Roman" w:hAnsi="Times New Roman" w:cs="Times New Roman"/>
          <w:sz w:val="24"/>
        </w:rPr>
        <w:t xml:space="preserve"> seeds. Water Research 37:3481-3489.</w:t>
      </w:r>
    </w:p>
    <w:p w14:paraId="1B8A7B22" w14:textId="64C88C3E" w:rsidR="003F18CC" w:rsidRDefault="003F18CC" w:rsidP="00E03E3F">
      <w:pPr>
        <w:spacing w:line="480" w:lineRule="auto"/>
        <w:ind w:left="720" w:hanging="720"/>
        <w:rPr>
          <w:rFonts w:ascii="Times New Roman" w:hAnsi="Times New Roman" w:cs="Times New Roman"/>
          <w:sz w:val="24"/>
        </w:rPr>
      </w:pPr>
      <w:r>
        <w:rPr>
          <w:rFonts w:ascii="Times New Roman" w:hAnsi="Times New Roman" w:cs="Times New Roman"/>
          <w:sz w:val="24"/>
        </w:rPr>
        <w:lastRenderedPageBreak/>
        <w:t xml:space="preserve">Gauthier JR, </w:t>
      </w:r>
      <w:proofErr w:type="spellStart"/>
      <w:r>
        <w:rPr>
          <w:rFonts w:ascii="Times New Roman" w:hAnsi="Times New Roman" w:cs="Times New Roman"/>
          <w:sz w:val="24"/>
        </w:rPr>
        <w:t>Mabury</w:t>
      </w:r>
      <w:proofErr w:type="spellEnd"/>
      <w:r>
        <w:rPr>
          <w:rFonts w:ascii="Times New Roman" w:hAnsi="Times New Roman" w:cs="Times New Roman"/>
          <w:sz w:val="24"/>
        </w:rPr>
        <w:t xml:space="preserve"> SA (2020) The environmental degradation</w:t>
      </w:r>
      <w:r w:rsidR="000E3990">
        <w:rPr>
          <w:rFonts w:ascii="Times New Roman" w:hAnsi="Times New Roman" w:cs="Times New Roman"/>
          <w:sz w:val="24"/>
        </w:rPr>
        <w:t xml:space="preserve"> and distribution of saflufenacil, a fluorinated protoporphyrinogen IX oxidase-inhibiting herbicide, on a Canadian winter wheat field. Environmental Toxicology and Chemistry 39:1918-1928.</w:t>
      </w:r>
    </w:p>
    <w:p w14:paraId="381465FB" w14:textId="7BC4A347" w:rsidR="00526961" w:rsidRPr="005C3D0E" w:rsidRDefault="00526961" w:rsidP="008F3A0F">
      <w:pPr>
        <w:spacing w:line="480" w:lineRule="auto"/>
        <w:ind w:left="720" w:hanging="720"/>
        <w:rPr>
          <w:rFonts w:ascii="Times New Roman" w:hAnsi="Times New Roman" w:cs="Times New Roman"/>
          <w:sz w:val="24"/>
        </w:rPr>
      </w:pPr>
      <w:r>
        <w:rPr>
          <w:rFonts w:ascii="Times New Roman" w:hAnsi="Times New Roman" w:cs="Times New Roman"/>
          <w:sz w:val="24"/>
        </w:rPr>
        <w:t xml:space="preserve">Graham DG, Clay V, Jackson SH, </w:t>
      </w:r>
      <w:r w:rsidR="005C3D0E">
        <w:rPr>
          <w:rFonts w:ascii="Times New Roman" w:hAnsi="Times New Roman" w:cs="Times New Roman"/>
          <w:sz w:val="24"/>
        </w:rPr>
        <w:t xml:space="preserve">Jones R (2003) Field Dissipation Studies: The measurement of zero-time residues. Pages 54-72 </w:t>
      </w:r>
      <w:r w:rsidR="005C3D0E">
        <w:rPr>
          <w:rFonts w:ascii="Times New Roman" w:hAnsi="Times New Roman" w:cs="Times New Roman"/>
          <w:i/>
          <w:sz w:val="24"/>
        </w:rPr>
        <w:t>in</w:t>
      </w:r>
      <w:r w:rsidR="005C3D0E">
        <w:rPr>
          <w:rFonts w:ascii="Times New Roman" w:hAnsi="Times New Roman" w:cs="Times New Roman"/>
          <w:sz w:val="24"/>
        </w:rPr>
        <w:t xml:space="preserve"> Arthur EL, Barefoot AC, Clay VE, eds. Terrestrial Field Dissipation Studies – Purpose, design, and interpretation. American Chemical Society. Washington D.C.: Oxford University Press.</w:t>
      </w:r>
    </w:p>
    <w:p w14:paraId="24C8B05A" w14:textId="555F803B" w:rsidR="0050209B" w:rsidRPr="0050209B" w:rsidRDefault="0050209B" w:rsidP="0050209B">
      <w:pPr>
        <w:spacing w:line="480" w:lineRule="auto"/>
        <w:ind w:left="720" w:hanging="720"/>
        <w:rPr>
          <w:rFonts w:ascii="Times New Roman" w:hAnsi="Times New Roman" w:cs="Times New Roman"/>
          <w:sz w:val="24"/>
        </w:rPr>
      </w:pPr>
      <w:proofErr w:type="spellStart"/>
      <w:r w:rsidRPr="0050209B">
        <w:rPr>
          <w:rFonts w:ascii="Times New Roman" w:hAnsi="Times New Roman" w:cs="Times New Roman"/>
          <w:sz w:val="24"/>
        </w:rPr>
        <w:t>Grichar</w:t>
      </w:r>
      <w:proofErr w:type="spellEnd"/>
      <w:r w:rsidRPr="0050209B">
        <w:rPr>
          <w:rFonts w:ascii="Times New Roman" w:hAnsi="Times New Roman" w:cs="Times New Roman"/>
          <w:sz w:val="24"/>
        </w:rPr>
        <w:t>, WJ, Besler</w:t>
      </w:r>
      <w:r>
        <w:rPr>
          <w:rFonts w:ascii="Times New Roman" w:hAnsi="Times New Roman" w:cs="Times New Roman"/>
          <w:sz w:val="24"/>
        </w:rPr>
        <w:t xml:space="preserve"> BA</w:t>
      </w:r>
      <w:r w:rsidRPr="0050209B">
        <w:rPr>
          <w:rFonts w:ascii="Times New Roman" w:hAnsi="Times New Roman" w:cs="Times New Roman"/>
          <w:sz w:val="24"/>
        </w:rPr>
        <w:t>, Brewer</w:t>
      </w:r>
      <w:r>
        <w:rPr>
          <w:rFonts w:ascii="Times New Roman" w:hAnsi="Times New Roman" w:cs="Times New Roman"/>
          <w:sz w:val="24"/>
        </w:rPr>
        <w:t xml:space="preserve"> KD</w:t>
      </w:r>
      <w:r w:rsidRPr="0050209B">
        <w:rPr>
          <w:rFonts w:ascii="Times New Roman" w:hAnsi="Times New Roman" w:cs="Times New Roman"/>
          <w:sz w:val="24"/>
        </w:rPr>
        <w:t xml:space="preserve"> (2005) Weed Control and Grain Sorghum (Sorghum bicolor) Response to Postemergence Applications of Atrazine, Pendimethalin, and Trifluralin. Weed Technology 19:999–1003</w:t>
      </w:r>
      <w:r>
        <w:rPr>
          <w:rFonts w:ascii="Times New Roman" w:hAnsi="Times New Roman" w:cs="Times New Roman"/>
          <w:sz w:val="24"/>
        </w:rPr>
        <w:t>.</w:t>
      </w:r>
    </w:p>
    <w:p w14:paraId="1176FE27" w14:textId="5AB51FC4" w:rsidR="0050209B" w:rsidRPr="008F3A0F" w:rsidRDefault="0050209B" w:rsidP="008F3A0F">
      <w:pPr>
        <w:spacing w:line="480" w:lineRule="auto"/>
        <w:ind w:left="720" w:hanging="720"/>
        <w:rPr>
          <w:rFonts w:ascii="Times New Roman" w:hAnsi="Times New Roman" w:cs="Times New Roman"/>
          <w:sz w:val="24"/>
        </w:rPr>
      </w:pPr>
      <w:r>
        <w:rPr>
          <w:rFonts w:ascii="Times New Roman" w:hAnsi="Times New Roman" w:cs="Times New Roman"/>
          <w:sz w:val="24"/>
        </w:rPr>
        <w:t>Griffin JL, Judice WA (2009) Winter weed control in sugarcane. Journal of the American Society of Sugar Cane Technologists 29: 128-136.</w:t>
      </w:r>
    </w:p>
    <w:p w14:paraId="1C89FB17" w14:textId="77777777" w:rsidR="00E03E3F" w:rsidRPr="0005418D" w:rsidRDefault="00E03E3F" w:rsidP="00E03E3F">
      <w:pPr>
        <w:spacing w:line="480" w:lineRule="auto"/>
        <w:ind w:left="720" w:hanging="720"/>
        <w:rPr>
          <w:rFonts w:ascii="Times New Roman" w:hAnsi="Times New Roman" w:cs="Times New Roman"/>
          <w:sz w:val="24"/>
        </w:rPr>
      </w:pPr>
      <w:r w:rsidRPr="0005418D">
        <w:rPr>
          <w:rFonts w:ascii="Times New Roman" w:hAnsi="Times New Roman" w:cs="Times New Roman"/>
          <w:sz w:val="24"/>
        </w:rPr>
        <w:t xml:space="preserve">Grossman K, </w:t>
      </w:r>
      <w:proofErr w:type="spellStart"/>
      <w:r w:rsidRPr="0005418D">
        <w:rPr>
          <w:rFonts w:ascii="Times New Roman" w:hAnsi="Times New Roman" w:cs="Times New Roman"/>
          <w:sz w:val="24"/>
        </w:rPr>
        <w:t>Niggeweg</w:t>
      </w:r>
      <w:proofErr w:type="spellEnd"/>
      <w:r w:rsidRPr="0005418D">
        <w:rPr>
          <w:rFonts w:ascii="Times New Roman" w:hAnsi="Times New Roman" w:cs="Times New Roman"/>
          <w:sz w:val="24"/>
        </w:rPr>
        <w:t xml:space="preserve"> R, Christiansen N, Looser R, Ehrhardt T (2010) The herbicide saflufenacil (</w:t>
      </w:r>
      <w:proofErr w:type="spellStart"/>
      <w:r w:rsidRPr="0005418D">
        <w:rPr>
          <w:rFonts w:ascii="Times New Roman" w:hAnsi="Times New Roman" w:cs="Times New Roman"/>
          <w:sz w:val="24"/>
        </w:rPr>
        <w:t>Kixor</w:t>
      </w:r>
      <w:proofErr w:type="spellEnd"/>
      <w:r w:rsidRPr="0005418D">
        <w:rPr>
          <w:rFonts w:ascii="Times New Roman" w:hAnsi="Times New Roman" w:cs="Times New Roman"/>
          <w:sz w:val="24"/>
          <w:vertAlign w:val="superscript"/>
        </w:rPr>
        <w:t>™</w:t>
      </w:r>
      <w:r w:rsidRPr="0005418D">
        <w:rPr>
          <w:rFonts w:ascii="Times New Roman" w:hAnsi="Times New Roman" w:cs="Times New Roman"/>
          <w:sz w:val="24"/>
        </w:rPr>
        <w:t>) is a new inhibitor of protoporphyrinogen IX oxidase activity. Weed Science 58:1-9.</w:t>
      </w:r>
    </w:p>
    <w:p w14:paraId="74725C79" w14:textId="35FC90A6" w:rsidR="00E03E3F" w:rsidRDefault="00E03E3F" w:rsidP="00E03E3F">
      <w:pPr>
        <w:spacing w:line="480" w:lineRule="auto"/>
        <w:ind w:left="720" w:hanging="720"/>
        <w:rPr>
          <w:rFonts w:ascii="Times New Roman" w:hAnsi="Times New Roman" w:cs="Times New Roman"/>
          <w:sz w:val="24"/>
        </w:rPr>
      </w:pPr>
      <w:r w:rsidRPr="0005418D">
        <w:rPr>
          <w:rFonts w:ascii="Times New Roman" w:hAnsi="Times New Roman" w:cs="Times New Roman"/>
          <w:sz w:val="24"/>
        </w:rPr>
        <w:t xml:space="preserve">Grossman K, </w:t>
      </w:r>
      <w:proofErr w:type="spellStart"/>
      <w:r w:rsidRPr="0005418D">
        <w:rPr>
          <w:rFonts w:ascii="Times New Roman" w:hAnsi="Times New Roman" w:cs="Times New Roman"/>
          <w:sz w:val="24"/>
        </w:rPr>
        <w:t>Hutzler</w:t>
      </w:r>
      <w:proofErr w:type="spellEnd"/>
      <w:r w:rsidRPr="0005418D">
        <w:rPr>
          <w:rFonts w:ascii="Times New Roman" w:hAnsi="Times New Roman" w:cs="Times New Roman"/>
          <w:sz w:val="24"/>
        </w:rPr>
        <w:t xml:space="preserve"> J, Caspar G, Kwiatkowski J, </w:t>
      </w:r>
      <w:proofErr w:type="spellStart"/>
      <w:r w:rsidRPr="0005418D">
        <w:rPr>
          <w:rFonts w:ascii="Times New Roman" w:hAnsi="Times New Roman" w:cs="Times New Roman"/>
          <w:sz w:val="24"/>
        </w:rPr>
        <w:t>Brommer</w:t>
      </w:r>
      <w:proofErr w:type="spellEnd"/>
      <w:r w:rsidRPr="0005418D">
        <w:rPr>
          <w:rFonts w:ascii="Times New Roman" w:hAnsi="Times New Roman" w:cs="Times New Roman"/>
          <w:sz w:val="24"/>
        </w:rPr>
        <w:t xml:space="preserve"> C (2011) Saflufenacil (</w:t>
      </w:r>
      <w:proofErr w:type="spellStart"/>
      <w:r w:rsidRPr="0005418D">
        <w:rPr>
          <w:rFonts w:ascii="Times New Roman" w:hAnsi="Times New Roman" w:cs="Times New Roman"/>
          <w:sz w:val="24"/>
        </w:rPr>
        <w:t>Kixor</w:t>
      </w:r>
      <w:proofErr w:type="spellEnd"/>
      <w:r w:rsidRPr="0005418D">
        <w:rPr>
          <w:rFonts w:ascii="Times New Roman" w:hAnsi="Times New Roman" w:cs="Times New Roman"/>
          <w:sz w:val="24"/>
          <w:vertAlign w:val="superscript"/>
        </w:rPr>
        <w:t>™</w:t>
      </w:r>
      <w:r w:rsidRPr="0005418D">
        <w:rPr>
          <w:rFonts w:ascii="Times New Roman" w:hAnsi="Times New Roman" w:cs="Times New Roman"/>
          <w:sz w:val="24"/>
        </w:rPr>
        <w:t>): biokinetic properties and mechanism of selectivity of a new protoporphyrinogen IX oxidase inhibiting herbicide. Weed Science 59:290-298.</w:t>
      </w:r>
    </w:p>
    <w:p w14:paraId="3545F551" w14:textId="530D3B47" w:rsidR="004B5D3D" w:rsidRDefault="004B5D3D" w:rsidP="00E03E3F">
      <w:pPr>
        <w:spacing w:line="480" w:lineRule="auto"/>
        <w:ind w:left="720" w:hanging="720"/>
        <w:rPr>
          <w:rFonts w:ascii="Times New Roman" w:hAnsi="Times New Roman" w:cs="Times New Roman"/>
          <w:sz w:val="24"/>
        </w:rPr>
      </w:pPr>
      <w:r>
        <w:rPr>
          <w:rFonts w:ascii="Times New Roman" w:hAnsi="Times New Roman" w:cs="Times New Roman"/>
          <w:sz w:val="24"/>
        </w:rPr>
        <w:t xml:space="preserve">Gupta S, </w:t>
      </w:r>
      <w:proofErr w:type="spellStart"/>
      <w:r>
        <w:rPr>
          <w:rFonts w:ascii="Times New Roman" w:hAnsi="Times New Roman" w:cs="Times New Roman"/>
          <w:sz w:val="24"/>
        </w:rPr>
        <w:t>Gajbhiye</w:t>
      </w:r>
      <w:proofErr w:type="spellEnd"/>
      <w:r>
        <w:rPr>
          <w:rFonts w:ascii="Times New Roman" w:hAnsi="Times New Roman" w:cs="Times New Roman"/>
          <w:sz w:val="24"/>
        </w:rPr>
        <w:t xml:space="preserve"> VT (2002) Effect of concentration, moisture and soil type on the dissipation of flufenacet from soil. Chemosphere 47:901-906.</w:t>
      </w:r>
    </w:p>
    <w:p w14:paraId="3DA80702" w14:textId="5F15302A" w:rsidR="003F2F51" w:rsidRDefault="003F2F51" w:rsidP="00E03E3F">
      <w:pPr>
        <w:spacing w:line="480" w:lineRule="auto"/>
        <w:ind w:left="720" w:hanging="720"/>
        <w:rPr>
          <w:rFonts w:ascii="Times New Roman" w:hAnsi="Times New Roman" w:cs="Times New Roman"/>
          <w:sz w:val="24"/>
        </w:rPr>
      </w:pPr>
      <w:r>
        <w:rPr>
          <w:rFonts w:ascii="Times New Roman" w:hAnsi="Times New Roman" w:cs="Times New Roman"/>
          <w:sz w:val="24"/>
        </w:rPr>
        <w:lastRenderedPageBreak/>
        <w:t>Gustafson DI, Holden LR (1990) Nonlinear dissipation in soil: a new model based on spatial variability. Environmental Science Technology 24:1032-1038.</w:t>
      </w:r>
    </w:p>
    <w:p w14:paraId="1CADD775" w14:textId="3554B89F" w:rsidR="003A4681" w:rsidRDefault="003A4681" w:rsidP="00E03E3F">
      <w:pPr>
        <w:spacing w:line="480" w:lineRule="auto"/>
        <w:ind w:left="720" w:hanging="720"/>
        <w:rPr>
          <w:rFonts w:ascii="Times New Roman" w:hAnsi="Times New Roman" w:cs="Times New Roman"/>
          <w:sz w:val="24"/>
        </w:rPr>
      </w:pPr>
      <w:r>
        <w:rPr>
          <w:rFonts w:ascii="Times New Roman" w:hAnsi="Times New Roman" w:cs="Times New Roman"/>
          <w:sz w:val="24"/>
        </w:rPr>
        <w:t xml:space="preserve">Haney RL, Senseman SA, Hons FM, </w:t>
      </w:r>
      <w:proofErr w:type="spellStart"/>
      <w:r>
        <w:rPr>
          <w:rFonts w:ascii="Times New Roman" w:hAnsi="Times New Roman" w:cs="Times New Roman"/>
          <w:sz w:val="24"/>
        </w:rPr>
        <w:t>Zuberer</w:t>
      </w:r>
      <w:proofErr w:type="spellEnd"/>
      <w:r>
        <w:rPr>
          <w:rFonts w:ascii="Times New Roman" w:hAnsi="Times New Roman" w:cs="Times New Roman"/>
          <w:sz w:val="24"/>
        </w:rPr>
        <w:t xml:space="preserve"> DA (2000) Effect of glyphosate on soil microbial activity and biomass. Weed Science 48:89-93.</w:t>
      </w:r>
    </w:p>
    <w:p w14:paraId="625273DC" w14:textId="31A8682A" w:rsidR="00E03E3F" w:rsidRDefault="00E03E3F" w:rsidP="00E03E3F">
      <w:pPr>
        <w:spacing w:line="480" w:lineRule="auto"/>
        <w:ind w:left="720" w:hanging="720"/>
        <w:rPr>
          <w:rFonts w:ascii="Times New Roman" w:hAnsi="Times New Roman" w:cs="Times New Roman"/>
          <w:sz w:val="24"/>
        </w:rPr>
      </w:pPr>
      <w:r w:rsidRPr="00D47D76">
        <w:rPr>
          <w:rFonts w:ascii="Times New Roman" w:hAnsi="Times New Roman" w:cs="Times New Roman"/>
          <w:sz w:val="24"/>
        </w:rPr>
        <w:t xml:space="preserve">Harrison R, Bull I, </w:t>
      </w:r>
      <w:proofErr w:type="spellStart"/>
      <w:r w:rsidRPr="00D47D76">
        <w:rPr>
          <w:rFonts w:ascii="Times New Roman" w:hAnsi="Times New Roman" w:cs="Times New Roman"/>
          <w:sz w:val="24"/>
        </w:rPr>
        <w:t>Michaelides</w:t>
      </w:r>
      <w:proofErr w:type="spellEnd"/>
      <w:r w:rsidRPr="00D47D76">
        <w:rPr>
          <w:rFonts w:ascii="Times New Roman" w:hAnsi="Times New Roman" w:cs="Times New Roman"/>
          <w:sz w:val="24"/>
        </w:rPr>
        <w:t xml:space="preserve"> K (2013) A method for the simultaneous extraction of seven pesticides from soil and sediment. Anal. Methods 5:2053</w:t>
      </w:r>
      <w:r>
        <w:rPr>
          <w:rFonts w:ascii="Times New Roman" w:hAnsi="Times New Roman" w:cs="Times New Roman"/>
          <w:sz w:val="24"/>
        </w:rPr>
        <w:t>.</w:t>
      </w:r>
    </w:p>
    <w:p w14:paraId="24B0D08D" w14:textId="018D8AA0" w:rsidR="004A1400" w:rsidRDefault="004A1400" w:rsidP="00E03E3F">
      <w:pPr>
        <w:spacing w:line="480" w:lineRule="auto"/>
        <w:ind w:left="720" w:hanging="720"/>
        <w:rPr>
          <w:rFonts w:ascii="Times New Roman" w:hAnsi="Times New Roman" w:cs="Times New Roman"/>
          <w:sz w:val="24"/>
        </w:rPr>
      </w:pPr>
      <w:r w:rsidRPr="004A1400">
        <w:rPr>
          <w:rFonts w:ascii="Times New Roman" w:hAnsi="Times New Roman" w:cs="Times New Roman"/>
          <w:sz w:val="24"/>
        </w:rPr>
        <w:t xml:space="preserve">Hayes T, </w:t>
      </w:r>
      <w:proofErr w:type="spellStart"/>
      <w:r w:rsidRPr="004A1400">
        <w:rPr>
          <w:rFonts w:ascii="Times New Roman" w:hAnsi="Times New Roman" w:cs="Times New Roman"/>
          <w:sz w:val="24"/>
        </w:rPr>
        <w:t>Haston</w:t>
      </w:r>
      <w:proofErr w:type="spellEnd"/>
      <w:r w:rsidRPr="004A1400">
        <w:rPr>
          <w:rFonts w:ascii="Times New Roman" w:hAnsi="Times New Roman" w:cs="Times New Roman"/>
          <w:sz w:val="24"/>
        </w:rPr>
        <w:t xml:space="preserve"> K, </w:t>
      </w:r>
      <w:proofErr w:type="spellStart"/>
      <w:r w:rsidRPr="004A1400">
        <w:rPr>
          <w:rFonts w:ascii="Times New Roman" w:hAnsi="Times New Roman" w:cs="Times New Roman"/>
          <w:sz w:val="24"/>
        </w:rPr>
        <w:t>Tsui</w:t>
      </w:r>
      <w:proofErr w:type="spellEnd"/>
      <w:r w:rsidRPr="004A1400">
        <w:rPr>
          <w:rFonts w:ascii="Times New Roman" w:hAnsi="Times New Roman" w:cs="Times New Roman"/>
          <w:sz w:val="24"/>
        </w:rPr>
        <w:t xml:space="preserve"> M, Hoang A, </w:t>
      </w:r>
      <w:proofErr w:type="spellStart"/>
      <w:r w:rsidRPr="004A1400">
        <w:rPr>
          <w:rFonts w:ascii="Times New Roman" w:hAnsi="Times New Roman" w:cs="Times New Roman"/>
          <w:sz w:val="24"/>
        </w:rPr>
        <w:t>Haeffele</w:t>
      </w:r>
      <w:proofErr w:type="spellEnd"/>
      <w:r w:rsidRPr="004A1400">
        <w:rPr>
          <w:rFonts w:ascii="Times New Roman" w:hAnsi="Times New Roman" w:cs="Times New Roman"/>
          <w:sz w:val="24"/>
        </w:rPr>
        <w:t xml:space="preserve"> C, </w:t>
      </w:r>
      <w:proofErr w:type="spellStart"/>
      <w:r w:rsidRPr="004A1400">
        <w:rPr>
          <w:rFonts w:ascii="Times New Roman" w:hAnsi="Times New Roman" w:cs="Times New Roman"/>
          <w:sz w:val="24"/>
        </w:rPr>
        <w:t>Vonk</w:t>
      </w:r>
      <w:proofErr w:type="spellEnd"/>
      <w:r w:rsidRPr="004A1400">
        <w:rPr>
          <w:rFonts w:ascii="Times New Roman" w:hAnsi="Times New Roman" w:cs="Times New Roman"/>
          <w:sz w:val="24"/>
        </w:rPr>
        <w:t xml:space="preserve"> A (2002) Atrazine-Induced</w:t>
      </w:r>
      <w:r w:rsidRPr="004A1400">
        <w:rPr>
          <w:rFonts w:ascii="Times New Roman" w:hAnsi="Times New Roman" w:cs="Times New Roman"/>
          <w:sz w:val="24"/>
        </w:rPr>
        <w:br/>
        <w:t xml:space="preserve">Hermaphroditism at 0.1 ppb in American Leopard Frogs (Rana </w:t>
      </w:r>
      <w:proofErr w:type="spellStart"/>
      <w:r w:rsidRPr="004A1400">
        <w:rPr>
          <w:rFonts w:ascii="Times New Roman" w:hAnsi="Times New Roman" w:cs="Times New Roman"/>
          <w:sz w:val="24"/>
        </w:rPr>
        <w:t>pipiens</w:t>
      </w:r>
      <w:proofErr w:type="spellEnd"/>
      <w:r w:rsidRPr="004A1400">
        <w:rPr>
          <w:rFonts w:ascii="Times New Roman" w:hAnsi="Times New Roman" w:cs="Times New Roman"/>
          <w:sz w:val="24"/>
        </w:rPr>
        <w:t>): Laboratory and</w:t>
      </w:r>
      <w:r w:rsidRPr="004A1400">
        <w:rPr>
          <w:rFonts w:ascii="Times New Roman" w:hAnsi="Times New Roman" w:cs="Times New Roman"/>
          <w:sz w:val="24"/>
        </w:rPr>
        <w:br/>
        <w:t>Field Evidence. Environmental Health Perspectives 111:568-575</w:t>
      </w:r>
      <w:r>
        <w:rPr>
          <w:rFonts w:ascii="Times New Roman" w:hAnsi="Times New Roman" w:cs="Times New Roman"/>
          <w:sz w:val="24"/>
        </w:rPr>
        <w:t>.</w:t>
      </w:r>
    </w:p>
    <w:p w14:paraId="133902D1" w14:textId="1C483302" w:rsidR="004A1400" w:rsidRDefault="004A1400" w:rsidP="00E03E3F">
      <w:pPr>
        <w:spacing w:line="480" w:lineRule="auto"/>
        <w:ind w:left="720" w:hanging="720"/>
        <w:rPr>
          <w:rFonts w:ascii="Times New Roman" w:hAnsi="Times New Roman" w:cs="Times New Roman"/>
          <w:sz w:val="24"/>
        </w:rPr>
      </w:pPr>
      <w:r w:rsidRPr="004A1400">
        <w:rPr>
          <w:rFonts w:ascii="Times New Roman" w:hAnsi="Times New Roman" w:cs="Times New Roman"/>
          <w:sz w:val="24"/>
        </w:rPr>
        <w:t xml:space="preserve">Hayes TB, Khoury V, Narayan A, Nazir M, Park A, Brown T, </w:t>
      </w:r>
      <w:proofErr w:type="spellStart"/>
      <w:r w:rsidRPr="004A1400">
        <w:rPr>
          <w:rFonts w:ascii="Times New Roman" w:hAnsi="Times New Roman" w:cs="Times New Roman"/>
          <w:sz w:val="24"/>
        </w:rPr>
        <w:t>Adame</w:t>
      </w:r>
      <w:proofErr w:type="spellEnd"/>
      <w:r w:rsidRPr="004A1400">
        <w:rPr>
          <w:rFonts w:ascii="Times New Roman" w:hAnsi="Times New Roman" w:cs="Times New Roman"/>
          <w:sz w:val="24"/>
        </w:rPr>
        <w:t xml:space="preserve"> L, Chan E, Buchholz D,</w:t>
      </w:r>
      <w:r w:rsidRPr="004A1400">
        <w:rPr>
          <w:rFonts w:ascii="Times New Roman" w:hAnsi="Times New Roman" w:cs="Times New Roman"/>
          <w:sz w:val="24"/>
        </w:rPr>
        <w:br/>
      </w:r>
      <w:proofErr w:type="spellStart"/>
      <w:r w:rsidRPr="004A1400">
        <w:rPr>
          <w:rFonts w:ascii="Times New Roman" w:hAnsi="Times New Roman" w:cs="Times New Roman"/>
          <w:sz w:val="24"/>
        </w:rPr>
        <w:t>Stueve</w:t>
      </w:r>
      <w:proofErr w:type="spellEnd"/>
      <w:r w:rsidRPr="004A1400">
        <w:rPr>
          <w:rFonts w:ascii="Times New Roman" w:hAnsi="Times New Roman" w:cs="Times New Roman"/>
          <w:sz w:val="24"/>
        </w:rPr>
        <w:t xml:space="preserve"> T, </w:t>
      </w:r>
      <w:proofErr w:type="spellStart"/>
      <w:r w:rsidRPr="004A1400">
        <w:rPr>
          <w:rFonts w:ascii="Times New Roman" w:hAnsi="Times New Roman" w:cs="Times New Roman"/>
          <w:sz w:val="24"/>
        </w:rPr>
        <w:t>Gallipeau</w:t>
      </w:r>
      <w:proofErr w:type="spellEnd"/>
      <w:r w:rsidRPr="004A1400">
        <w:rPr>
          <w:rFonts w:ascii="Times New Roman" w:hAnsi="Times New Roman" w:cs="Times New Roman"/>
          <w:sz w:val="24"/>
        </w:rPr>
        <w:t xml:space="preserve"> S (2010) Atrazine induces complete feminization and chemical</w:t>
      </w:r>
      <w:r w:rsidRPr="004A1400">
        <w:rPr>
          <w:rFonts w:ascii="Times New Roman" w:hAnsi="Times New Roman" w:cs="Times New Roman"/>
          <w:sz w:val="24"/>
        </w:rPr>
        <w:br/>
        <w:t xml:space="preserve">castration in male African clawed frogs (Xenopus </w:t>
      </w:r>
      <w:proofErr w:type="spellStart"/>
      <w:r w:rsidRPr="004A1400">
        <w:rPr>
          <w:rFonts w:ascii="Times New Roman" w:hAnsi="Times New Roman" w:cs="Times New Roman"/>
          <w:sz w:val="24"/>
        </w:rPr>
        <w:t>laevis</w:t>
      </w:r>
      <w:proofErr w:type="spellEnd"/>
      <w:r w:rsidRPr="004A1400">
        <w:rPr>
          <w:rFonts w:ascii="Times New Roman" w:hAnsi="Times New Roman" w:cs="Times New Roman"/>
          <w:sz w:val="24"/>
        </w:rPr>
        <w:t>). Proceedings of the National</w:t>
      </w:r>
      <w:r w:rsidRPr="004A1400">
        <w:rPr>
          <w:rFonts w:ascii="Times New Roman" w:hAnsi="Times New Roman" w:cs="Times New Roman"/>
          <w:sz w:val="24"/>
        </w:rPr>
        <w:br/>
        <w:t>Academy of Sciences 107:4612-4617</w:t>
      </w:r>
      <w:r>
        <w:rPr>
          <w:rFonts w:ascii="Times New Roman" w:hAnsi="Times New Roman" w:cs="Times New Roman"/>
          <w:sz w:val="24"/>
        </w:rPr>
        <w:t>.</w:t>
      </w:r>
    </w:p>
    <w:p w14:paraId="18D9A327" w14:textId="55138889" w:rsidR="00AF3FE3" w:rsidRDefault="00AF3FE3" w:rsidP="00E03E3F">
      <w:pPr>
        <w:spacing w:line="480" w:lineRule="auto"/>
        <w:ind w:left="720" w:hanging="720"/>
        <w:rPr>
          <w:rFonts w:ascii="Times New Roman" w:hAnsi="Times New Roman" w:cs="Times New Roman"/>
          <w:sz w:val="24"/>
        </w:rPr>
      </w:pPr>
      <w:proofErr w:type="spellStart"/>
      <w:r>
        <w:rPr>
          <w:rFonts w:ascii="Times New Roman" w:hAnsi="Times New Roman" w:cs="Times New Roman"/>
          <w:sz w:val="24"/>
        </w:rPr>
        <w:t>Helling</w:t>
      </w:r>
      <w:proofErr w:type="spellEnd"/>
      <w:r>
        <w:rPr>
          <w:rFonts w:ascii="Times New Roman" w:hAnsi="Times New Roman" w:cs="Times New Roman"/>
          <w:sz w:val="24"/>
        </w:rPr>
        <w:t xml:space="preserve"> CS (2005) </w:t>
      </w:r>
      <w:r w:rsidR="00FD1E99">
        <w:rPr>
          <w:rFonts w:ascii="Times New Roman" w:hAnsi="Times New Roman" w:cs="Times New Roman"/>
          <w:sz w:val="24"/>
        </w:rPr>
        <w:t xml:space="preserve">The science of soil residual herbicides. Pages 14-33 </w:t>
      </w:r>
      <w:r w:rsidR="00FD1E99" w:rsidRPr="00FD1E99">
        <w:rPr>
          <w:rFonts w:ascii="Times New Roman" w:hAnsi="Times New Roman" w:cs="Times New Roman"/>
          <w:i/>
          <w:sz w:val="24"/>
        </w:rPr>
        <w:t>in</w:t>
      </w:r>
      <w:r w:rsidR="00FD1E99">
        <w:rPr>
          <w:rFonts w:ascii="Times New Roman" w:hAnsi="Times New Roman" w:cs="Times New Roman"/>
          <w:sz w:val="24"/>
        </w:rPr>
        <w:t xml:space="preserve"> Van Acker RC, ed. Soil Residual Herbicides: Science and Management. Topics in Canadian Weed Science, Volume 3. Sainte-Anne-de Bellevue, Québec: Canadian Weed Science Society – Société Canadienne de </w:t>
      </w:r>
      <w:proofErr w:type="spellStart"/>
      <w:r w:rsidR="00FD1E99">
        <w:rPr>
          <w:rFonts w:ascii="Times New Roman" w:hAnsi="Times New Roman" w:cs="Times New Roman"/>
          <w:sz w:val="24"/>
        </w:rPr>
        <w:t>malherbologie</w:t>
      </w:r>
      <w:proofErr w:type="spellEnd"/>
      <w:r w:rsidR="00FD1E99">
        <w:rPr>
          <w:rFonts w:ascii="Times New Roman" w:hAnsi="Times New Roman" w:cs="Times New Roman"/>
          <w:sz w:val="24"/>
        </w:rPr>
        <w:t>.</w:t>
      </w:r>
    </w:p>
    <w:p w14:paraId="6969C543" w14:textId="4294FE05" w:rsidR="007E5332" w:rsidRDefault="007E5332" w:rsidP="00E03E3F">
      <w:pPr>
        <w:spacing w:line="480" w:lineRule="auto"/>
        <w:ind w:left="720" w:hanging="720"/>
        <w:rPr>
          <w:rFonts w:ascii="Times New Roman" w:hAnsi="Times New Roman" w:cs="Times New Roman"/>
          <w:sz w:val="24"/>
        </w:rPr>
      </w:pPr>
      <w:r>
        <w:rPr>
          <w:rFonts w:ascii="Times New Roman" w:hAnsi="Times New Roman" w:cs="Times New Roman"/>
          <w:sz w:val="24"/>
        </w:rPr>
        <w:t xml:space="preserve">Hill BD, Moyer JR, Inaba DJ, </w:t>
      </w:r>
      <w:proofErr w:type="spellStart"/>
      <w:r>
        <w:rPr>
          <w:rFonts w:ascii="Times New Roman" w:hAnsi="Times New Roman" w:cs="Times New Roman"/>
          <w:sz w:val="24"/>
        </w:rPr>
        <w:t>Doram</w:t>
      </w:r>
      <w:proofErr w:type="spellEnd"/>
      <w:r>
        <w:rPr>
          <w:rFonts w:ascii="Times New Roman" w:hAnsi="Times New Roman" w:cs="Times New Roman"/>
          <w:sz w:val="24"/>
        </w:rPr>
        <w:t xml:space="preserve"> R (1998) Effect of moisture on quinclorac dissipation in Lethbridge soil. Can</w:t>
      </w:r>
      <w:r w:rsidR="009C3ECF">
        <w:rPr>
          <w:rFonts w:ascii="Times New Roman" w:hAnsi="Times New Roman" w:cs="Times New Roman"/>
          <w:sz w:val="24"/>
        </w:rPr>
        <w:t>.</w:t>
      </w:r>
      <w:r>
        <w:rPr>
          <w:rFonts w:ascii="Times New Roman" w:hAnsi="Times New Roman" w:cs="Times New Roman"/>
          <w:sz w:val="24"/>
        </w:rPr>
        <w:t xml:space="preserve"> J</w:t>
      </w:r>
      <w:r w:rsidR="009C3ECF">
        <w:rPr>
          <w:rFonts w:ascii="Times New Roman" w:hAnsi="Times New Roman" w:cs="Times New Roman"/>
          <w:sz w:val="24"/>
        </w:rPr>
        <w:t>.</w:t>
      </w:r>
      <w:r>
        <w:rPr>
          <w:rFonts w:ascii="Times New Roman" w:hAnsi="Times New Roman" w:cs="Times New Roman"/>
          <w:sz w:val="24"/>
        </w:rPr>
        <w:t xml:space="preserve"> of Plant Sci</w:t>
      </w:r>
      <w:r w:rsidR="009C3ECF">
        <w:rPr>
          <w:rFonts w:ascii="Times New Roman" w:hAnsi="Times New Roman" w:cs="Times New Roman"/>
          <w:sz w:val="24"/>
        </w:rPr>
        <w:t>.</w:t>
      </w:r>
      <w:r>
        <w:rPr>
          <w:rFonts w:ascii="Times New Roman" w:hAnsi="Times New Roman" w:cs="Times New Roman"/>
          <w:sz w:val="24"/>
        </w:rPr>
        <w:t xml:space="preserve"> 78:697-</w:t>
      </w:r>
      <w:r w:rsidR="009C3ECF">
        <w:rPr>
          <w:rFonts w:ascii="Times New Roman" w:hAnsi="Times New Roman" w:cs="Times New Roman"/>
          <w:sz w:val="24"/>
        </w:rPr>
        <w:t>702.</w:t>
      </w:r>
    </w:p>
    <w:p w14:paraId="68E1D9CF" w14:textId="6F5D25DD" w:rsidR="00B77201" w:rsidRDefault="00B77201" w:rsidP="00E03E3F">
      <w:pPr>
        <w:spacing w:line="480" w:lineRule="auto"/>
        <w:ind w:left="720" w:hanging="720"/>
        <w:rPr>
          <w:rFonts w:ascii="Times New Roman" w:hAnsi="Times New Roman" w:cs="Times New Roman"/>
          <w:sz w:val="24"/>
        </w:rPr>
      </w:pPr>
      <w:r w:rsidRPr="00B77201">
        <w:rPr>
          <w:rFonts w:ascii="Times New Roman" w:hAnsi="Times New Roman" w:cs="Times New Roman"/>
          <w:sz w:val="24"/>
        </w:rPr>
        <w:t xml:space="preserve">Hixon AD </w:t>
      </w:r>
      <w:r>
        <w:rPr>
          <w:rFonts w:ascii="Times New Roman" w:hAnsi="Times New Roman" w:cs="Times New Roman"/>
          <w:sz w:val="24"/>
        </w:rPr>
        <w:t>(</w:t>
      </w:r>
      <w:r w:rsidRPr="00B77201">
        <w:rPr>
          <w:rFonts w:ascii="Times New Roman" w:hAnsi="Times New Roman" w:cs="Times New Roman"/>
          <w:sz w:val="24"/>
        </w:rPr>
        <w:t>2008</w:t>
      </w:r>
      <w:r>
        <w:rPr>
          <w:rFonts w:ascii="Times New Roman" w:hAnsi="Times New Roman" w:cs="Times New Roman"/>
          <w:sz w:val="24"/>
        </w:rPr>
        <w:t>)</w:t>
      </w:r>
      <w:r w:rsidRPr="00B77201">
        <w:rPr>
          <w:rFonts w:ascii="Times New Roman" w:hAnsi="Times New Roman" w:cs="Times New Roman"/>
          <w:sz w:val="24"/>
        </w:rPr>
        <w:t xml:space="preserve"> Soil Properties Affect Simazine and Saflufenacil Fate,</w:t>
      </w:r>
      <w:r>
        <w:rPr>
          <w:rFonts w:ascii="Times New Roman" w:hAnsi="Times New Roman" w:cs="Times New Roman"/>
          <w:sz w:val="24"/>
        </w:rPr>
        <w:t xml:space="preserve"> </w:t>
      </w:r>
      <w:r w:rsidRPr="00B77201">
        <w:rPr>
          <w:rFonts w:ascii="Times New Roman" w:hAnsi="Times New Roman" w:cs="Times New Roman"/>
          <w:sz w:val="24"/>
        </w:rPr>
        <w:t>Behavior, and</w:t>
      </w:r>
      <w:r>
        <w:rPr>
          <w:rFonts w:ascii="Times New Roman" w:hAnsi="Times New Roman" w:cs="Times New Roman"/>
          <w:sz w:val="24"/>
        </w:rPr>
        <w:t xml:space="preserve"> </w:t>
      </w:r>
      <w:r w:rsidRPr="00B77201">
        <w:rPr>
          <w:rFonts w:ascii="Times New Roman" w:hAnsi="Times New Roman" w:cs="Times New Roman"/>
          <w:sz w:val="24"/>
        </w:rPr>
        <w:t>Performance. Ph.D. dissertation. Raleigh, NC: North Carolina</w:t>
      </w:r>
      <w:r>
        <w:rPr>
          <w:rFonts w:ascii="Times New Roman" w:hAnsi="Times New Roman" w:cs="Times New Roman"/>
          <w:sz w:val="24"/>
        </w:rPr>
        <w:t xml:space="preserve"> </w:t>
      </w:r>
      <w:r w:rsidRPr="00B77201">
        <w:rPr>
          <w:rFonts w:ascii="Times New Roman" w:hAnsi="Times New Roman" w:cs="Times New Roman"/>
          <w:sz w:val="24"/>
        </w:rPr>
        <w:t xml:space="preserve">State University, </w:t>
      </w:r>
      <w:r w:rsidRPr="00B77201">
        <w:rPr>
          <w:rFonts w:ascii="Times New Roman" w:hAnsi="Times New Roman" w:cs="Times New Roman"/>
          <w:sz w:val="24"/>
        </w:rPr>
        <w:lastRenderedPageBreak/>
        <w:t>http://repository.lib.ncsu.edu/ir/bitstream/1840.16/3956/1/etd.pdf. Accessed: Ma</w:t>
      </w:r>
      <w:r>
        <w:rPr>
          <w:rFonts w:ascii="Times New Roman" w:hAnsi="Times New Roman" w:cs="Times New Roman"/>
          <w:sz w:val="24"/>
        </w:rPr>
        <w:t>rch</w:t>
      </w:r>
      <w:r w:rsidRPr="00B77201">
        <w:rPr>
          <w:rFonts w:ascii="Times New Roman" w:hAnsi="Times New Roman" w:cs="Times New Roman"/>
          <w:sz w:val="24"/>
        </w:rPr>
        <w:t xml:space="preserve"> </w:t>
      </w:r>
      <w:r>
        <w:rPr>
          <w:rFonts w:ascii="Times New Roman" w:hAnsi="Times New Roman" w:cs="Times New Roman"/>
          <w:sz w:val="24"/>
        </w:rPr>
        <w:t>3</w:t>
      </w:r>
      <w:r w:rsidRPr="00B77201">
        <w:rPr>
          <w:rFonts w:ascii="Times New Roman" w:hAnsi="Times New Roman" w:cs="Times New Roman"/>
          <w:sz w:val="24"/>
        </w:rPr>
        <w:t>1, 20</w:t>
      </w:r>
      <w:r>
        <w:rPr>
          <w:rFonts w:ascii="Times New Roman" w:hAnsi="Times New Roman" w:cs="Times New Roman"/>
          <w:sz w:val="24"/>
        </w:rPr>
        <w:t>22</w:t>
      </w:r>
      <w:r w:rsidR="00677F27">
        <w:rPr>
          <w:rFonts w:ascii="Times New Roman" w:hAnsi="Times New Roman" w:cs="Times New Roman"/>
          <w:sz w:val="24"/>
        </w:rPr>
        <w:t>.</w:t>
      </w:r>
    </w:p>
    <w:p w14:paraId="06499738" w14:textId="75DE4FC7" w:rsidR="007C3651" w:rsidRDefault="007C3651" w:rsidP="00E03E3F">
      <w:pPr>
        <w:spacing w:line="480" w:lineRule="auto"/>
        <w:ind w:left="720" w:hanging="720"/>
        <w:rPr>
          <w:rFonts w:ascii="Times New Roman" w:hAnsi="Times New Roman" w:cs="Times New Roman"/>
          <w:sz w:val="24"/>
        </w:rPr>
      </w:pPr>
      <w:r>
        <w:rPr>
          <w:rFonts w:ascii="Times New Roman" w:hAnsi="Times New Roman" w:cs="Times New Roman"/>
          <w:sz w:val="24"/>
        </w:rPr>
        <w:t>Jackson SH (2003) Use of PRZM-3 to validate a laboratory to field degradation conceptual model. Pest Management Science 60:8-16.</w:t>
      </w:r>
    </w:p>
    <w:p w14:paraId="09C8C053" w14:textId="5C71DE93" w:rsidR="00E2133B" w:rsidRDefault="00E2133B" w:rsidP="00E03E3F">
      <w:pPr>
        <w:spacing w:line="480" w:lineRule="auto"/>
        <w:ind w:left="720" w:hanging="720"/>
        <w:rPr>
          <w:rFonts w:ascii="Times New Roman" w:hAnsi="Times New Roman" w:cs="Times New Roman"/>
          <w:sz w:val="24"/>
        </w:rPr>
      </w:pPr>
      <w:proofErr w:type="spellStart"/>
      <w:r>
        <w:rPr>
          <w:rFonts w:ascii="Times New Roman" w:hAnsi="Times New Roman" w:cs="Times New Roman"/>
          <w:sz w:val="24"/>
        </w:rPr>
        <w:t>Krutz</w:t>
      </w:r>
      <w:proofErr w:type="spellEnd"/>
      <w:r>
        <w:rPr>
          <w:rFonts w:ascii="Times New Roman" w:hAnsi="Times New Roman" w:cs="Times New Roman"/>
          <w:sz w:val="24"/>
        </w:rPr>
        <w:t xml:space="preserve"> LJ, </w:t>
      </w:r>
      <w:proofErr w:type="spellStart"/>
      <w:r>
        <w:rPr>
          <w:rFonts w:ascii="Times New Roman" w:hAnsi="Times New Roman" w:cs="Times New Roman"/>
          <w:sz w:val="24"/>
        </w:rPr>
        <w:t>Zablotowicz</w:t>
      </w:r>
      <w:proofErr w:type="spellEnd"/>
      <w:r>
        <w:rPr>
          <w:rFonts w:ascii="Times New Roman" w:hAnsi="Times New Roman" w:cs="Times New Roman"/>
          <w:sz w:val="24"/>
        </w:rPr>
        <w:t xml:space="preserve"> RM, Reddy KN, Koger III CH, Weaver MA (2006) Enhanced degradation of atrazine under field conditions correlates with a loss of weed control in the glasshouse Pest Management Science 63:23-31.</w:t>
      </w:r>
    </w:p>
    <w:p w14:paraId="103399F7" w14:textId="1DC056B1" w:rsidR="00E03E3F" w:rsidRDefault="00E03E3F" w:rsidP="00E03E3F">
      <w:pPr>
        <w:spacing w:line="480" w:lineRule="auto"/>
        <w:ind w:left="720" w:hanging="720"/>
        <w:rPr>
          <w:rFonts w:ascii="Times New Roman" w:hAnsi="Times New Roman" w:cs="Times New Roman"/>
          <w:sz w:val="24"/>
        </w:rPr>
      </w:pPr>
      <w:proofErr w:type="spellStart"/>
      <w:r>
        <w:rPr>
          <w:rFonts w:ascii="Times New Roman" w:hAnsi="Times New Roman" w:cs="Times New Roman"/>
          <w:sz w:val="24"/>
        </w:rPr>
        <w:t>Krutz</w:t>
      </w:r>
      <w:proofErr w:type="spellEnd"/>
      <w:r>
        <w:rPr>
          <w:rFonts w:ascii="Times New Roman" w:hAnsi="Times New Roman" w:cs="Times New Roman"/>
          <w:sz w:val="24"/>
        </w:rPr>
        <w:t xml:space="preserve"> LJ, </w:t>
      </w:r>
      <w:proofErr w:type="spellStart"/>
      <w:r>
        <w:rPr>
          <w:rFonts w:ascii="Times New Roman" w:hAnsi="Times New Roman" w:cs="Times New Roman"/>
          <w:sz w:val="24"/>
        </w:rPr>
        <w:t>Shaner</w:t>
      </w:r>
      <w:proofErr w:type="spellEnd"/>
      <w:r>
        <w:rPr>
          <w:rFonts w:ascii="Times New Roman" w:hAnsi="Times New Roman" w:cs="Times New Roman"/>
          <w:sz w:val="24"/>
        </w:rPr>
        <w:t xml:space="preserve"> DL, Weaver MA, Webb RMT, </w:t>
      </w:r>
      <w:proofErr w:type="spellStart"/>
      <w:r>
        <w:rPr>
          <w:rFonts w:ascii="Times New Roman" w:hAnsi="Times New Roman" w:cs="Times New Roman"/>
          <w:sz w:val="24"/>
        </w:rPr>
        <w:t>Zablotowicz</w:t>
      </w:r>
      <w:proofErr w:type="spellEnd"/>
      <w:r>
        <w:rPr>
          <w:rFonts w:ascii="Times New Roman" w:hAnsi="Times New Roman" w:cs="Times New Roman"/>
          <w:sz w:val="24"/>
        </w:rPr>
        <w:t xml:space="preserve"> RM, Reddy KN, Huang Y, Thomson SJ (2010) Agronomic and environmental implications of enhanced s-triazine degradation. Pest </w:t>
      </w:r>
      <w:proofErr w:type="spellStart"/>
      <w:r>
        <w:rPr>
          <w:rFonts w:ascii="Times New Roman" w:hAnsi="Times New Roman" w:cs="Times New Roman"/>
          <w:sz w:val="24"/>
        </w:rPr>
        <w:t>Manag</w:t>
      </w:r>
      <w:proofErr w:type="spellEnd"/>
      <w:r>
        <w:rPr>
          <w:rFonts w:ascii="Times New Roman" w:hAnsi="Times New Roman" w:cs="Times New Roman"/>
          <w:sz w:val="24"/>
        </w:rPr>
        <w:t>. Sci. 66: 461-481.</w:t>
      </w:r>
    </w:p>
    <w:p w14:paraId="76CA826A" w14:textId="5947F859" w:rsidR="00EC5025" w:rsidRDefault="000F11B3" w:rsidP="00E03E3F">
      <w:pPr>
        <w:spacing w:line="480" w:lineRule="auto"/>
        <w:ind w:left="720" w:hanging="720"/>
        <w:rPr>
          <w:rFonts w:ascii="Times New Roman" w:hAnsi="Times New Roman" w:cs="Times New Roman"/>
          <w:sz w:val="24"/>
        </w:rPr>
      </w:pPr>
      <w:proofErr w:type="spellStart"/>
      <w:r>
        <w:rPr>
          <w:rFonts w:ascii="Times New Roman" w:hAnsi="Times New Roman" w:cs="Times New Roman"/>
          <w:sz w:val="24"/>
        </w:rPr>
        <w:t>Libohova</w:t>
      </w:r>
      <w:proofErr w:type="spellEnd"/>
      <w:r>
        <w:rPr>
          <w:rFonts w:ascii="Times New Roman" w:hAnsi="Times New Roman" w:cs="Times New Roman"/>
          <w:sz w:val="24"/>
        </w:rPr>
        <w:t xml:space="preserve"> Z, Seybold C, Wysocki D, Wills S, </w:t>
      </w:r>
      <w:proofErr w:type="spellStart"/>
      <w:r>
        <w:rPr>
          <w:rFonts w:ascii="Times New Roman" w:hAnsi="Times New Roman" w:cs="Times New Roman"/>
          <w:sz w:val="24"/>
        </w:rPr>
        <w:t>Schoeneberger</w:t>
      </w:r>
      <w:proofErr w:type="spellEnd"/>
      <w:r>
        <w:rPr>
          <w:rFonts w:ascii="Times New Roman" w:hAnsi="Times New Roman" w:cs="Times New Roman"/>
          <w:sz w:val="24"/>
        </w:rPr>
        <w:t xml:space="preserve"> P, Williams C, </w:t>
      </w:r>
      <w:proofErr w:type="spellStart"/>
      <w:r>
        <w:rPr>
          <w:rFonts w:ascii="Times New Roman" w:hAnsi="Times New Roman" w:cs="Times New Roman"/>
          <w:sz w:val="24"/>
        </w:rPr>
        <w:t>Lindbo</w:t>
      </w:r>
      <w:proofErr w:type="spellEnd"/>
      <w:r>
        <w:rPr>
          <w:rFonts w:ascii="Times New Roman" w:hAnsi="Times New Roman" w:cs="Times New Roman"/>
          <w:sz w:val="24"/>
        </w:rPr>
        <w:t xml:space="preserve"> D, Stott D, Owens PR (2018) Reevaluating the effects of soil organic matter and other properties on available water-holding capacity using the National Cooperative Soil Survey Characterization database. Journal of Soil and Water Conservation 73:411-421.</w:t>
      </w:r>
    </w:p>
    <w:p w14:paraId="5AD989EF" w14:textId="1933F0EB" w:rsidR="005C5DC0" w:rsidRPr="0005418D" w:rsidRDefault="005C5DC0" w:rsidP="00E03E3F">
      <w:pPr>
        <w:spacing w:line="480" w:lineRule="auto"/>
        <w:ind w:left="720" w:hanging="720"/>
        <w:rPr>
          <w:rFonts w:ascii="Times New Roman" w:hAnsi="Times New Roman" w:cs="Times New Roman"/>
          <w:sz w:val="24"/>
        </w:rPr>
      </w:pPr>
      <w:r>
        <w:rPr>
          <w:rFonts w:ascii="Times New Roman" w:hAnsi="Times New Roman" w:cs="Times New Roman"/>
          <w:sz w:val="24"/>
        </w:rPr>
        <w:t xml:space="preserve">Ma QL, Holland PT, James TK, McNaughton DE, Rahman A (2000) Persistence and leaching of the herbicides acetochlor and terbuthylazine in an </w:t>
      </w:r>
      <w:proofErr w:type="spellStart"/>
      <w:r>
        <w:rPr>
          <w:rFonts w:ascii="Times New Roman" w:hAnsi="Times New Roman" w:cs="Times New Roman"/>
          <w:sz w:val="24"/>
        </w:rPr>
        <w:t>allophanic</w:t>
      </w:r>
      <w:proofErr w:type="spellEnd"/>
      <w:r>
        <w:rPr>
          <w:rFonts w:ascii="Times New Roman" w:hAnsi="Times New Roman" w:cs="Times New Roman"/>
          <w:sz w:val="24"/>
        </w:rPr>
        <w:t xml:space="preserve"> soil: comparisons of field results with PRZM-3 predictions. Pest Management Science 56:159-167</w:t>
      </w:r>
    </w:p>
    <w:p w14:paraId="4BED7B2D" w14:textId="65C454B3" w:rsidR="009B1D40" w:rsidRPr="009B1D40" w:rsidRDefault="009B1D40" w:rsidP="009B1D40">
      <w:pPr>
        <w:spacing w:line="480" w:lineRule="auto"/>
        <w:ind w:left="720" w:hanging="720"/>
        <w:rPr>
          <w:rFonts w:ascii="Times New Roman" w:hAnsi="Times New Roman" w:cs="Times New Roman"/>
          <w:sz w:val="24"/>
        </w:rPr>
      </w:pPr>
      <w:r w:rsidRPr="009B1D40">
        <w:rPr>
          <w:rFonts w:ascii="Times New Roman" w:hAnsi="Times New Roman" w:cs="Times New Roman"/>
          <w:sz w:val="24"/>
        </w:rPr>
        <w:t xml:space="preserve">Mahoney KJ, </w:t>
      </w:r>
      <w:proofErr w:type="spellStart"/>
      <w:r w:rsidRPr="009B1D40">
        <w:rPr>
          <w:rFonts w:ascii="Times New Roman" w:hAnsi="Times New Roman" w:cs="Times New Roman"/>
          <w:sz w:val="24"/>
        </w:rPr>
        <w:t>Shropshire</w:t>
      </w:r>
      <w:proofErr w:type="spellEnd"/>
      <w:r>
        <w:rPr>
          <w:rFonts w:ascii="Times New Roman" w:hAnsi="Times New Roman" w:cs="Times New Roman"/>
          <w:sz w:val="24"/>
        </w:rPr>
        <w:t xml:space="preserve"> C</w:t>
      </w:r>
      <w:r w:rsidRPr="009B1D40">
        <w:rPr>
          <w:rFonts w:ascii="Times New Roman" w:hAnsi="Times New Roman" w:cs="Times New Roman"/>
          <w:sz w:val="24"/>
        </w:rPr>
        <w:t xml:space="preserve">, </w:t>
      </w:r>
      <w:proofErr w:type="spellStart"/>
      <w:r w:rsidRPr="009B1D40">
        <w:rPr>
          <w:rFonts w:ascii="Times New Roman" w:hAnsi="Times New Roman" w:cs="Times New Roman"/>
          <w:sz w:val="24"/>
        </w:rPr>
        <w:t>Sikkema</w:t>
      </w:r>
      <w:proofErr w:type="spellEnd"/>
      <w:r>
        <w:rPr>
          <w:rFonts w:ascii="Times New Roman" w:hAnsi="Times New Roman" w:cs="Times New Roman"/>
          <w:sz w:val="24"/>
        </w:rPr>
        <w:t xml:space="preserve"> PH</w:t>
      </w:r>
      <w:r w:rsidRPr="009B1D40">
        <w:rPr>
          <w:rFonts w:ascii="Times New Roman" w:hAnsi="Times New Roman" w:cs="Times New Roman"/>
          <w:sz w:val="24"/>
        </w:rPr>
        <w:t xml:space="preserve"> (2014) Weed Management in Conventional- and No-Till Soybean Using Flumioxazin/Pyroxasulfone. Weed Technology 28:298–306</w:t>
      </w:r>
    </w:p>
    <w:p w14:paraId="26A64072" w14:textId="714388A7" w:rsidR="00E03E3F" w:rsidRDefault="00E03E3F" w:rsidP="00E03E3F">
      <w:pPr>
        <w:spacing w:line="480" w:lineRule="auto"/>
        <w:ind w:left="720" w:hanging="720"/>
        <w:rPr>
          <w:rFonts w:ascii="Times New Roman" w:hAnsi="Times New Roman" w:cs="Times New Roman"/>
          <w:sz w:val="24"/>
        </w:rPr>
      </w:pPr>
      <w:r w:rsidRPr="00CE1222">
        <w:rPr>
          <w:rFonts w:ascii="Times New Roman" w:hAnsi="Times New Roman" w:cs="Times New Roman"/>
          <w:sz w:val="24"/>
        </w:rPr>
        <w:lastRenderedPageBreak/>
        <w:t>McAllister RS (1994) Memorandum to NACA principal contacts concerning: 1) field dissipation studies-zero-time recovery; and 2) a request for participation in research project. Washington, DC: American Crop Protection Association (formerly NACA).</w:t>
      </w:r>
    </w:p>
    <w:p w14:paraId="46DE656E" w14:textId="5A026362" w:rsidR="00716994" w:rsidRDefault="00716994" w:rsidP="00E03E3F">
      <w:pPr>
        <w:spacing w:line="480" w:lineRule="auto"/>
        <w:ind w:left="720" w:hanging="720"/>
        <w:rPr>
          <w:rFonts w:ascii="Times New Roman" w:hAnsi="Times New Roman" w:cs="Times New Roman"/>
          <w:sz w:val="24"/>
        </w:rPr>
      </w:pPr>
      <w:proofErr w:type="spellStart"/>
      <w:r>
        <w:rPr>
          <w:rFonts w:ascii="Times New Roman" w:hAnsi="Times New Roman" w:cs="Times New Roman"/>
          <w:sz w:val="24"/>
        </w:rPr>
        <w:t>Menne</w:t>
      </w:r>
      <w:proofErr w:type="spellEnd"/>
      <w:r>
        <w:rPr>
          <w:rFonts w:ascii="Times New Roman" w:hAnsi="Times New Roman" w:cs="Times New Roman"/>
          <w:sz w:val="24"/>
        </w:rPr>
        <w:t xml:space="preserve"> HJ, Berger BM (2000) Influence of straw management, nitrogen fertilization and dosage rates on the dissipation of five sulfonylureas in soil. Weed Research 41:229-244.</w:t>
      </w:r>
    </w:p>
    <w:p w14:paraId="28AB91FA" w14:textId="0FAF4818" w:rsidR="00BB6B37" w:rsidRDefault="00BB6B37" w:rsidP="00E03E3F">
      <w:pPr>
        <w:spacing w:line="480" w:lineRule="auto"/>
        <w:ind w:left="720" w:hanging="720"/>
        <w:rPr>
          <w:rFonts w:ascii="Times New Roman" w:hAnsi="Times New Roman" w:cs="Times New Roman"/>
          <w:sz w:val="24"/>
        </w:rPr>
      </w:pPr>
      <w:r>
        <w:rPr>
          <w:rFonts w:ascii="Times New Roman" w:hAnsi="Times New Roman" w:cs="Times New Roman"/>
          <w:sz w:val="24"/>
        </w:rPr>
        <w:t>Mueller TC, Jones RE, Bush PB, Banks PA (1992) Comparison of PZRM and GLEAMS computer-model predictions with field data for alachlor, metribuzin and norflurazon leaching. Environmental Toxicology and Chemistry 11:427-436.</w:t>
      </w:r>
    </w:p>
    <w:p w14:paraId="1D27C853" w14:textId="3F9447CC" w:rsidR="00BB6B37" w:rsidRDefault="00BB6B37" w:rsidP="00E03E3F">
      <w:pPr>
        <w:spacing w:line="480" w:lineRule="auto"/>
        <w:ind w:left="720" w:hanging="720"/>
        <w:rPr>
          <w:rFonts w:ascii="Times New Roman" w:hAnsi="Times New Roman" w:cs="Times New Roman"/>
          <w:sz w:val="24"/>
        </w:rPr>
      </w:pPr>
      <w:r>
        <w:rPr>
          <w:rFonts w:ascii="Times New Roman" w:hAnsi="Times New Roman" w:cs="Times New Roman"/>
          <w:sz w:val="24"/>
        </w:rPr>
        <w:t xml:space="preserve">Mueller TC (1994) </w:t>
      </w:r>
      <w:r w:rsidR="004D4019">
        <w:rPr>
          <w:rFonts w:ascii="Times New Roman" w:hAnsi="Times New Roman" w:cs="Times New Roman"/>
          <w:sz w:val="24"/>
        </w:rPr>
        <w:t xml:space="preserve">Comparison of PRZM computer-model predictions with field lysimeter data for </w:t>
      </w:r>
      <w:proofErr w:type="spellStart"/>
      <w:r w:rsidR="004D4019">
        <w:rPr>
          <w:rFonts w:ascii="Times New Roman" w:hAnsi="Times New Roman" w:cs="Times New Roman"/>
          <w:sz w:val="24"/>
        </w:rPr>
        <w:t>dichlorprop</w:t>
      </w:r>
      <w:proofErr w:type="spellEnd"/>
      <w:r w:rsidR="004D4019">
        <w:rPr>
          <w:rFonts w:ascii="Times New Roman" w:hAnsi="Times New Roman" w:cs="Times New Roman"/>
          <w:sz w:val="24"/>
        </w:rPr>
        <w:t xml:space="preserve"> and </w:t>
      </w:r>
      <w:proofErr w:type="spellStart"/>
      <w:r w:rsidR="004D4019">
        <w:rPr>
          <w:rFonts w:ascii="Times New Roman" w:hAnsi="Times New Roman" w:cs="Times New Roman"/>
          <w:sz w:val="24"/>
        </w:rPr>
        <w:t>bentazon</w:t>
      </w:r>
      <w:proofErr w:type="spellEnd"/>
      <w:r w:rsidR="004D4019">
        <w:rPr>
          <w:rFonts w:ascii="Times New Roman" w:hAnsi="Times New Roman" w:cs="Times New Roman"/>
          <w:sz w:val="24"/>
        </w:rPr>
        <w:t xml:space="preserve"> leaching. Journal of Environmental Science and Health 29:1183-1195.</w:t>
      </w:r>
    </w:p>
    <w:p w14:paraId="278AA274" w14:textId="285A8312" w:rsidR="00120F8F" w:rsidRPr="00120F8F" w:rsidRDefault="00120F8F" w:rsidP="00120F8F">
      <w:pPr>
        <w:spacing w:line="480" w:lineRule="auto"/>
        <w:ind w:left="720" w:hanging="720"/>
        <w:rPr>
          <w:rFonts w:ascii="Times New Roman" w:hAnsi="Times New Roman" w:cs="Times New Roman"/>
          <w:sz w:val="24"/>
        </w:rPr>
      </w:pPr>
      <w:r w:rsidRPr="00120F8F">
        <w:rPr>
          <w:rFonts w:ascii="Times New Roman" w:hAnsi="Times New Roman" w:cs="Times New Roman"/>
          <w:sz w:val="24"/>
        </w:rPr>
        <w:t>Mueller TC, Steckel</w:t>
      </w:r>
      <w:r>
        <w:rPr>
          <w:rFonts w:ascii="Times New Roman" w:hAnsi="Times New Roman" w:cs="Times New Roman"/>
          <w:sz w:val="24"/>
        </w:rPr>
        <w:t xml:space="preserve"> LE</w:t>
      </w:r>
      <w:r w:rsidRPr="00120F8F">
        <w:rPr>
          <w:rFonts w:ascii="Times New Roman" w:hAnsi="Times New Roman" w:cs="Times New Roman"/>
          <w:sz w:val="24"/>
        </w:rPr>
        <w:t>, Radosevich</w:t>
      </w:r>
      <w:r>
        <w:rPr>
          <w:rFonts w:ascii="Times New Roman" w:hAnsi="Times New Roman" w:cs="Times New Roman"/>
          <w:sz w:val="24"/>
        </w:rPr>
        <w:t xml:space="preserve"> M</w:t>
      </w:r>
      <w:r w:rsidRPr="00120F8F">
        <w:rPr>
          <w:rFonts w:ascii="Times New Roman" w:hAnsi="Times New Roman" w:cs="Times New Roman"/>
          <w:sz w:val="24"/>
        </w:rPr>
        <w:t xml:space="preserve"> (2010) Effect of Soil pH and Previous Atrazine Use History on Atrazine Degradation in a Tennessee Field Soil. Weed Science 58:478–483</w:t>
      </w:r>
      <w:r>
        <w:rPr>
          <w:rFonts w:ascii="Times New Roman" w:hAnsi="Times New Roman" w:cs="Times New Roman"/>
          <w:sz w:val="24"/>
        </w:rPr>
        <w:t>.</w:t>
      </w:r>
    </w:p>
    <w:p w14:paraId="417C7ED1" w14:textId="730217FD" w:rsidR="009B1D40" w:rsidRPr="009B1D40" w:rsidRDefault="009B1D40" w:rsidP="009B1D40">
      <w:pPr>
        <w:spacing w:line="480" w:lineRule="auto"/>
        <w:ind w:left="720" w:hanging="720"/>
        <w:rPr>
          <w:rFonts w:ascii="Times New Roman" w:hAnsi="Times New Roman" w:cs="Times New Roman"/>
          <w:sz w:val="24"/>
        </w:rPr>
      </w:pPr>
      <w:r w:rsidRPr="009B1D40">
        <w:rPr>
          <w:rFonts w:ascii="Times New Roman" w:hAnsi="Times New Roman" w:cs="Times New Roman"/>
          <w:sz w:val="24"/>
        </w:rPr>
        <w:t>Mueller TC, Steckel</w:t>
      </w:r>
      <w:r>
        <w:rPr>
          <w:rFonts w:ascii="Times New Roman" w:hAnsi="Times New Roman" w:cs="Times New Roman"/>
          <w:sz w:val="24"/>
        </w:rPr>
        <w:t xml:space="preserve"> LE</w:t>
      </w:r>
      <w:r w:rsidRPr="009B1D40">
        <w:rPr>
          <w:rFonts w:ascii="Times New Roman" w:hAnsi="Times New Roman" w:cs="Times New Roman"/>
          <w:sz w:val="24"/>
        </w:rPr>
        <w:t xml:space="preserve"> (2011) Efficacy and Dissipation of Pyroxasulfone and Three </w:t>
      </w:r>
      <w:proofErr w:type="spellStart"/>
      <w:r w:rsidRPr="009B1D40">
        <w:rPr>
          <w:rFonts w:ascii="Times New Roman" w:hAnsi="Times New Roman" w:cs="Times New Roman"/>
          <w:sz w:val="24"/>
        </w:rPr>
        <w:t>Chloroacetamides</w:t>
      </w:r>
      <w:proofErr w:type="spellEnd"/>
      <w:r w:rsidRPr="009B1D40">
        <w:rPr>
          <w:rFonts w:ascii="Times New Roman" w:hAnsi="Times New Roman" w:cs="Times New Roman"/>
          <w:sz w:val="24"/>
        </w:rPr>
        <w:t xml:space="preserve"> in a Tennessee Field Soil. Weed Science 59:574–579</w:t>
      </w:r>
      <w:r>
        <w:rPr>
          <w:rFonts w:ascii="Times New Roman" w:hAnsi="Times New Roman" w:cs="Times New Roman"/>
          <w:sz w:val="24"/>
        </w:rPr>
        <w:t>.</w:t>
      </w:r>
    </w:p>
    <w:p w14:paraId="5303133B" w14:textId="77777777" w:rsidR="00E03E3F" w:rsidRPr="0005418D" w:rsidRDefault="00E03E3F" w:rsidP="00E03E3F">
      <w:pPr>
        <w:spacing w:line="480" w:lineRule="auto"/>
        <w:ind w:left="720" w:hanging="720"/>
        <w:rPr>
          <w:rFonts w:ascii="Times New Roman" w:hAnsi="Times New Roman" w:cs="Times New Roman"/>
          <w:sz w:val="24"/>
        </w:rPr>
      </w:pPr>
      <w:r w:rsidRPr="0005418D">
        <w:rPr>
          <w:rFonts w:ascii="Times New Roman" w:hAnsi="Times New Roman" w:cs="Times New Roman"/>
          <w:sz w:val="24"/>
        </w:rPr>
        <w:t xml:space="preserve">Mueller TC, Boswell BW, Mueller SS, Steckel LE (2014) Dissipation of </w:t>
      </w:r>
      <w:proofErr w:type="spellStart"/>
      <w:r w:rsidRPr="0005418D">
        <w:rPr>
          <w:rFonts w:ascii="Times New Roman" w:hAnsi="Times New Roman" w:cs="Times New Roman"/>
          <w:sz w:val="24"/>
        </w:rPr>
        <w:t>fomesafen</w:t>
      </w:r>
      <w:proofErr w:type="spellEnd"/>
      <w:r w:rsidRPr="0005418D">
        <w:rPr>
          <w:rFonts w:ascii="Times New Roman" w:hAnsi="Times New Roman" w:cs="Times New Roman"/>
          <w:sz w:val="24"/>
        </w:rPr>
        <w:t xml:space="preserve">, saflufenacil, </w:t>
      </w:r>
      <w:proofErr w:type="spellStart"/>
      <w:r w:rsidRPr="0005418D">
        <w:rPr>
          <w:rFonts w:ascii="Times New Roman" w:hAnsi="Times New Roman" w:cs="Times New Roman"/>
          <w:sz w:val="24"/>
        </w:rPr>
        <w:t>sulfentrazone</w:t>
      </w:r>
      <w:proofErr w:type="spellEnd"/>
      <w:r w:rsidRPr="0005418D">
        <w:rPr>
          <w:rFonts w:ascii="Times New Roman" w:hAnsi="Times New Roman" w:cs="Times New Roman"/>
          <w:sz w:val="24"/>
        </w:rPr>
        <w:t>, and flumioxazin from a Tennessee soil under field conditions. Weed Science 62:664-671.</w:t>
      </w:r>
    </w:p>
    <w:p w14:paraId="380592A7" w14:textId="7FDCE534" w:rsidR="00E03E3F" w:rsidRDefault="00E03E3F" w:rsidP="00E03E3F">
      <w:pPr>
        <w:spacing w:line="480" w:lineRule="auto"/>
        <w:ind w:left="720" w:hanging="720"/>
        <w:rPr>
          <w:rFonts w:ascii="Times New Roman" w:hAnsi="Times New Roman" w:cs="Times New Roman"/>
          <w:sz w:val="24"/>
        </w:rPr>
      </w:pPr>
      <w:r w:rsidRPr="001A6470">
        <w:rPr>
          <w:rFonts w:ascii="Times New Roman" w:hAnsi="Times New Roman" w:cs="Times New Roman"/>
          <w:sz w:val="24"/>
        </w:rPr>
        <w:t>Mueller TC, Senseman SA (2015) Methods related to herbicide dissipation or degradation under field or laboratory conditions. Weed Science Special Issue:133-139.</w:t>
      </w:r>
    </w:p>
    <w:p w14:paraId="1F0E21E6" w14:textId="5C9229A0" w:rsidR="0084417F" w:rsidRPr="0084417F" w:rsidRDefault="0084417F" w:rsidP="0084417F">
      <w:pPr>
        <w:spacing w:line="480" w:lineRule="auto"/>
        <w:ind w:left="720" w:hanging="720"/>
        <w:rPr>
          <w:rFonts w:ascii="Times New Roman" w:hAnsi="Times New Roman" w:cs="Times New Roman"/>
          <w:sz w:val="24"/>
        </w:rPr>
      </w:pPr>
      <w:r w:rsidRPr="0084417F">
        <w:rPr>
          <w:rFonts w:ascii="Times New Roman" w:hAnsi="Times New Roman" w:cs="Times New Roman"/>
          <w:sz w:val="24"/>
        </w:rPr>
        <w:lastRenderedPageBreak/>
        <w:t>Mueller, TC (2017) Effect of Pyroxasulfone Formulation on Dissipation from a Winter Wheat Field in Tennessee. Weed Technology 31:822–827</w:t>
      </w:r>
      <w:r>
        <w:rPr>
          <w:rFonts w:ascii="Times New Roman" w:hAnsi="Times New Roman" w:cs="Times New Roman"/>
          <w:sz w:val="24"/>
        </w:rPr>
        <w:t>.</w:t>
      </w:r>
    </w:p>
    <w:p w14:paraId="48D7F0CD" w14:textId="0D6611B7" w:rsidR="00E03E3F" w:rsidRDefault="00E03E3F" w:rsidP="00E03E3F">
      <w:pPr>
        <w:spacing w:line="480" w:lineRule="auto"/>
        <w:ind w:left="720" w:hanging="720"/>
        <w:rPr>
          <w:rFonts w:ascii="Times New Roman" w:hAnsi="Times New Roman" w:cs="Times New Roman"/>
          <w:sz w:val="24"/>
        </w:rPr>
      </w:pPr>
      <w:r w:rsidRPr="008A5345">
        <w:rPr>
          <w:rFonts w:ascii="Times New Roman" w:hAnsi="Times New Roman" w:cs="Times New Roman"/>
          <w:sz w:val="24"/>
        </w:rPr>
        <w:t xml:space="preserve">Mueller TC, Parker ET, Steckel L, Clay SA, Owen MDK, Curran WS, Currie R, Scott R, Sprague C, Stephenson DO, Miller DK, </w:t>
      </w:r>
      <w:proofErr w:type="spellStart"/>
      <w:r w:rsidRPr="008A5345">
        <w:rPr>
          <w:rFonts w:ascii="Times New Roman" w:hAnsi="Times New Roman" w:cs="Times New Roman"/>
          <w:sz w:val="24"/>
        </w:rPr>
        <w:t>Prostko</w:t>
      </w:r>
      <w:proofErr w:type="spellEnd"/>
      <w:r w:rsidRPr="008A5345">
        <w:rPr>
          <w:rFonts w:ascii="Times New Roman" w:hAnsi="Times New Roman" w:cs="Times New Roman"/>
          <w:sz w:val="24"/>
        </w:rPr>
        <w:t xml:space="preserve"> EP, </w:t>
      </w:r>
      <w:proofErr w:type="spellStart"/>
      <w:r w:rsidRPr="008A5345">
        <w:rPr>
          <w:rFonts w:ascii="Times New Roman" w:hAnsi="Times New Roman" w:cs="Times New Roman"/>
          <w:sz w:val="24"/>
        </w:rPr>
        <w:t>Grichar</w:t>
      </w:r>
      <w:proofErr w:type="spellEnd"/>
      <w:r w:rsidRPr="008A5345">
        <w:rPr>
          <w:rFonts w:ascii="Times New Roman" w:hAnsi="Times New Roman" w:cs="Times New Roman"/>
          <w:sz w:val="24"/>
        </w:rPr>
        <w:t xml:space="preserve"> WJ, Martin J, </w:t>
      </w:r>
      <w:proofErr w:type="spellStart"/>
      <w:r w:rsidRPr="008A5345">
        <w:rPr>
          <w:rFonts w:ascii="Times New Roman" w:hAnsi="Times New Roman" w:cs="Times New Roman"/>
          <w:sz w:val="24"/>
        </w:rPr>
        <w:t>Kruz</w:t>
      </w:r>
      <w:proofErr w:type="spellEnd"/>
      <w:r w:rsidRPr="008A5345">
        <w:rPr>
          <w:rFonts w:ascii="Times New Roman" w:hAnsi="Times New Roman" w:cs="Times New Roman"/>
          <w:sz w:val="24"/>
        </w:rPr>
        <w:t xml:space="preserve"> LJ, Bradley K, </w:t>
      </w:r>
      <w:proofErr w:type="spellStart"/>
      <w:r w:rsidRPr="008A5345">
        <w:rPr>
          <w:rFonts w:ascii="Times New Roman" w:hAnsi="Times New Roman" w:cs="Times New Roman"/>
          <w:sz w:val="24"/>
        </w:rPr>
        <w:t>Bernards</w:t>
      </w:r>
      <w:proofErr w:type="spellEnd"/>
      <w:r w:rsidRPr="008A5345">
        <w:rPr>
          <w:rFonts w:ascii="Times New Roman" w:hAnsi="Times New Roman" w:cs="Times New Roman"/>
          <w:sz w:val="24"/>
        </w:rPr>
        <w:t xml:space="preserve"> ML, </w:t>
      </w:r>
      <w:proofErr w:type="spellStart"/>
      <w:r w:rsidRPr="008A5345">
        <w:rPr>
          <w:rFonts w:ascii="Times New Roman" w:hAnsi="Times New Roman" w:cs="Times New Roman"/>
          <w:sz w:val="24"/>
        </w:rPr>
        <w:t>Dotray</w:t>
      </w:r>
      <w:proofErr w:type="spellEnd"/>
      <w:r w:rsidRPr="008A5345">
        <w:rPr>
          <w:rFonts w:ascii="Times New Roman" w:hAnsi="Times New Roman" w:cs="Times New Roman"/>
          <w:sz w:val="24"/>
        </w:rPr>
        <w:t xml:space="preserve"> P, </w:t>
      </w:r>
      <w:proofErr w:type="spellStart"/>
      <w:r w:rsidRPr="008A5345">
        <w:rPr>
          <w:rFonts w:ascii="Times New Roman" w:hAnsi="Times New Roman" w:cs="Times New Roman"/>
          <w:sz w:val="24"/>
        </w:rPr>
        <w:t>Knezevic</w:t>
      </w:r>
      <w:proofErr w:type="spellEnd"/>
      <w:r w:rsidRPr="008A5345">
        <w:rPr>
          <w:rFonts w:ascii="Times New Roman" w:hAnsi="Times New Roman" w:cs="Times New Roman"/>
          <w:sz w:val="24"/>
        </w:rPr>
        <w:t xml:space="preserve"> S, Davis V, Klein R. (2017) Enhanced atrazine degradation is widespread across the United States. Pest </w:t>
      </w:r>
      <w:proofErr w:type="spellStart"/>
      <w:r w:rsidRPr="008A5345">
        <w:rPr>
          <w:rFonts w:ascii="Times New Roman" w:hAnsi="Times New Roman" w:cs="Times New Roman"/>
          <w:sz w:val="24"/>
        </w:rPr>
        <w:t>Manag</w:t>
      </w:r>
      <w:proofErr w:type="spellEnd"/>
      <w:r w:rsidRPr="008A5345">
        <w:rPr>
          <w:rFonts w:ascii="Times New Roman" w:hAnsi="Times New Roman" w:cs="Times New Roman"/>
          <w:sz w:val="24"/>
        </w:rPr>
        <w:t xml:space="preserve"> Sci 73:1953-1961.</w:t>
      </w:r>
    </w:p>
    <w:p w14:paraId="1FC26456" w14:textId="337B4257" w:rsidR="001640ED" w:rsidRPr="002D4175" w:rsidRDefault="001640ED" w:rsidP="00E03E3F">
      <w:pPr>
        <w:spacing w:line="480" w:lineRule="auto"/>
        <w:ind w:left="720" w:hanging="720"/>
        <w:rPr>
          <w:rFonts w:ascii="Times New Roman" w:hAnsi="Times New Roman" w:cs="Times New Roman"/>
          <w:sz w:val="24"/>
        </w:rPr>
      </w:pPr>
      <w:r>
        <w:rPr>
          <w:rFonts w:ascii="Times New Roman" w:hAnsi="Times New Roman" w:cs="Times New Roman"/>
          <w:sz w:val="24"/>
        </w:rPr>
        <w:t>Nash RG</w:t>
      </w:r>
      <w:r w:rsidR="002D4175">
        <w:rPr>
          <w:rFonts w:ascii="Times New Roman" w:hAnsi="Times New Roman" w:cs="Times New Roman"/>
          <w:sz w:val="24"/>
        </w:rPr>
        <w:t xml:space="preserve"> (1988) Dissipation from soil. Pages 131-170 </w:t>
      </w:r>
      <w:r w:rsidR="002D4175" w:rsidRPr="002D4175">
        <w:rPr>
          <w:rFonts w:ascii="Times New Roman" w:hAnsi="Times New Roman" w:cs="Times New Roman"/>
          <w:i/>
          <w:sz w:val="24"/>
        </w:rPr>
        <w:t>in</w:t>
      </w:r>
      <w:r w:rsidR="002D4175">
        <w:rPr>
          <w:rFonts w:ascii="Times New Roman" w:hAnsi="Times New Roman" w:cs="Times New Roman"/>
          <w:sz w:val="24"/>
        </w:rPr>
        <w:t xml:space="preserve"> R. Grover, ed. Environmental Chemistry of Herbicides, Vol. I. CRC Press, Inc. Boca Raton, FL.</w:t>
      </w:r>
    </w:p>
    <w:p w14:paraId="06A74F43" w14:textId="1BF19D1C" w:rsidR="004A1400" w:rsidRDefault="004A1400" w:rsidP="00E03E3F">
      <w:pPr>
        <w:spacing w:line="480" w:lineRule="auto"/>
        <w:ind w:left="720" w:hanging="720"/>
        <w:rPr>
          <w:rFonts w:ascii="Times New Roman" w:hAnsi="Times New Roman" w:cs="Times New Roman"/>
          <w:sz w:val="24"/>
        </w:rPr>
      </w:pPr>
      <w:proofErr w:type="spellStart"/>
      <w:r w:rsidRPr="004A1400">
        <w:rPr>
          <w:rFonts w:ascii="Times New Roman" w:hAnsi="Times New Roman" w:cs="Times New Roman"/>
          <w:sz w:val="24"/>
        </w:rPr>
        <w:t>Norsworthy</w:t>
      </w:r>
      <w:proofErr w:type="spellEnd"/>
      <w:r w:rsidRPr="004A1400">
        <w:rPr>
          <w:rFonts w:ascii="Times New Roman" w:hAnsi="Times New Roman" w:cs="Times New Roman"/>
          <w:sz w:val="24"/>
        </w:rPr>
        <w:t xml:space="preserve"> JK, Griffith GM, Scott RC, Smith KL, Oliver LR (2008) Confirmation and Control</w:t>
      </w:r>
      <w:r w:rsidRPr="004A1400">
        <w:rPr>
          <w:rFonts w:ascii="Times New Roman" w:hAnsi="Times New Roman" w:cs="Times New Roman"/>
          <w:sz w:val="24"/>
        </w:rPr>
        <w:br/>
        <w:t xml:space="preserve">of Glyphosate-Resistant Palmer Amaranth (Amaranthus </w:t>
      </w:r>
      <w:proofErr w:type="spellStart"/>
      <w:r w:rsidRPr="004A1400">
        <w:rPr>
          <w:rFonts w:ascii="Times New Roman" w:hAnsi="Times New Roman" w:cs="Times New Roman"/>
          <w:sz w:val="24"/>
        </w:rPr>
        <w:t>palmeri</w:t>
      </w:r>
      <w:proofErr w:type="spellEnd"/>
      <w:r w:rsidRPr="004A1400">
        <w:rPr>
          <w:rFonts w:ascii="Times New Roman" w:hAnsi="Times New Roman" w:cs="Times New Roman"/>
          <w:sz w:val="24"/>
        </w:rPr>
        <w:t>) in Arkansas. Weed</w:t>
      </w:r>
      <w:r w:rsidRPr="004A1400">
        <w:rPr>
          <w:rFonts w:ascii="Times New Roman" w:hAnsi="Times New Roman" w:cs="Times New Roman"/>
          <w:sz w:val="24"/>
        </w:rPr>
        <w:br/>
        <w:t>Technology 22:108-113</w:t>
      </w:r>
      <w:r>
        <w:rPr>
          <w:rFonts w:ascii="Times New Roman" w:hAnsi="Times New Roman" w:cs="Times New Roman"/>
          <w:sz w:val="24"/>
        </w:rPr>
        <w:t>.</w:t>
      </w:r>
    </w:p>
    <w:p w14:paraId="1F3DC40A" w14:textId="69D0A54B" w:rsidR="00E03E3F" w:rsidRDefault="00E03E3F" w:rsidP="00E03E3F">
      <w:pPr>
        <w:spacing w:line="480" w:lineRule="auto"/>
        <w:ind w:left="720" w:hanging="720"/>
        <w:rPr>
          <w:rFonts w:ascii="Times New Roman" w:hAnsi="Times New Roman" w:cs="Times New Roman"/>
          <w:sz w:val="24"/>
        </w:rPr>
      </w:pPr>
      <w:proofErr w:type="spellStart"/>
      <w:r>
        <w:rPr>
          <w:rFonts w:ascii="Times New Roman" w:hAnsi="Times New Roman" w:cs="Times New Roman"/>
          <w:sz w:val="24"/>
        </w:rPr>
        <w:t>Norsworthy</w:t>
      </w:r>
      <w:proofErr w:type="spellEnd"/>
      <w:r>
        <w:rPr>
          <w:rFonts w:ascii="Times New Roman" w:hAnsi="Times New Roman" w:cs="Times New Roman"/>
          <w:sz w:val="24"/>
        </w:rPr>
        <w:t xml:space="preserve"> JK, Ward SM, Shaw DR, Llewellyn RS, Nichols RL, Webster TM, Bradley KW, </w:t>
      </w:r>
      <w:proofErr w:type="spellStart"/>
      <w:r>
        <w:rPr>
          <w:rFonts w:ascii="Times New Roman" w:hAnsi="Times New Roman" w:cs="Times New Roman"/>
          <w:sz w:val="24"/>
        </w:rPr>
        <w:t>Frisvold</w:t>
      </w:r>
      <w:proofErr w:type="spellEnd"/>
      <w:r>
        <w:rPr>
          <w:rFonts w:ascii="Times New Roman" w:hAnsi="Times New Roman" w:cs="Times New Roman"/>
          <w:sz w:val="24"/>
        </w:rPr>
        <w:t xml:space="preserve"> G, Powles SB, Burgos NR, Witt WW, Barrett M (2012) Reducing the risks of herbicide resistance: best management practices and recommendations. Weed Science Special Issue: 31-62.</w:t>
      </w:r>
    </w:p>
    <w:p w14:paraId="45DDFF84" w14:textId="1A325CA8" w:rsidR="009B1D40" w:rsidRPr="009B1D40" w:rsidRDefault="009B1D40" w:rsidP="009B1D40">
      <w:pPr>
        <w:spacing w:line="480" w:lineRule="auto"/>
        <w:ind w:left="720" w:hanging="720"/>
        <w:rPr>
          <w:rFonts w:ascii="Times New Roman" w:hAnsi="Times New Roman" w:cs="Times New Roman"/>
          <w:sz w:val="24"/>
        </w:rPr>
      </w:pPr>
      <w:r w:rsidRPr="009B1D40">
        <w:rPr>
          <w:rFonts w:ascii="Times New Roman" w:hAnsi="Times New Roman" w:cs="Times New Roman"/>
          <w:sz w:val="24"/>
        </w:rPr>
        <w:t>Olson BLS, Zollinger</w:t>
      </w:r>
      <w:r>
        <w:rPr>
          <w:rFonts w:ascii="Times New Roman" w:hAnsi="Times New Roman" w:cs="Times New Roman"/>
          <w:sz w:val="24"/>
        </w:rPr>
        <w:t xml:space="preserve"> RK</w:t>
      </w:r>
      <w:r w:rsidRPr="009B1D40">
        <w:rPr>
          <w:rFonts w:ascii="Times New Roman" w:hAnsi="Times New Roman" w:cs="Times New Roman"/>
          <w:sz w:val="24"/>
        </w:rPr>
        <w:t>, Thompson</w:t>
      </w:r>
      <w:r>
        <w:rPr>
          <w:rFonts w:ascii="Times New Roman" w:hAnsi="Times New Roman" w:cs="Times New Roman"/>
          <w:sz w:val="24"/>
        </w:rPr>
        <w:t xml:space="preserve"> CR</w:t>
      </w:r>
      <w:r w:rsidRPr="009B1D40">
        <w:rPr>
          <w:rFonts w:ascii="Times New Roman" w:hAnsi="Times New Roman" w:cs="Times New Roman"/>
          <w:sz w:val="24"/>
        </w:rPr>
        <w:t>, Peterson</w:t>
      </w:r>
      <w:r>
        <w:rPr>
          <w:rFonts w:ascii="Times New Roman" w:hAnsi="Times New Roman" w:cs="Times New Roman"/>
          <w:sz w:val="24"/>
        </w:rPr>
        <w:t xml:space="preserve"> DE</w:t>
      </w:r>
      <w:r w:rsidRPr="009B1D40">
        <w:rPr>
          <w:rFonts w:ascii="Times New Roman" w:hAnsi="Times New Roman" w:cs="Times New Roman"/>
          <w:sz w:val="24"/>
        </w:rPr>
        <w:t>, Jenks</w:t>
      </w:r>
      <w:r>
        <w:rPr>
          <w:rFonts w:ascii="Times New Roman" w:hAnsi="Times New Roman" w:cs="Times New Roman"/>
          <w:sz w:val="24"/>
        </w:rPr>
        <w:t xml:space="preserve"> B</w:t>
      </w:r>
      <w:r w:rsidRPr="009B1D40">
        <w:rPr>
          <w:rFonts w:ascii="Times New Roman" w:hAnsi="Times New Roman" w:cs="Times New Roman"/>
          <w:sz w:val="24"/>
        </w:rPr>
        <w:t xml:space="preserve">, </w:t>
      </w:r>
      <w:proofErr w:type="spellStart"/>
      <w:r w:rsidRPr="009B1D40">
        <w:rPr>
          <w:rFonts w:ascii="Times New Roman" w:hAnsi="Times New Roman" w:cs="Times New Roman"/>
          <w:sz w:val="24"/>
        </w:rPr>
        <w:t>Moechnig</w:t>
      </w:r>
      <w:proofErr w:type="spellEnd"/>
      <w:r>
        <w:rPr>
          <w:rFonts w:ascii="Times New Roman" w:hAnsi="Times New Roman" w:cs="Times New Roman"/>
          <w:sz w:val="24"/>
        </w:rPr>
        <w:t xml:space="preserve"> M</w:t>
      </w:r>
      <w:r w:rsidRPr="009B1D40">
        <w:rPr>
          <w:rFonts w:ascii="Times New Roman" w:hAnsi="Times New Roman" w:cs="Times New Roman"/>
          <w:sz w:val="24"/>
        </w:rPr>
        <w:t xml:space="preserve">, </w:t>
      </w:r>
      <w:proofErr w:type="spellStart"/>
      <w:r w:rsidRPr="009B1D40">
        <w:rPr>
          <w:rFonts w:ascii="Times New Roman" w:hAnsi="Times New Roman" w:cs="Times New Roman"/>
          <w:sz w:val="24"/>
        </w:rPr>
        <w:t>Stahlman</w:t>
      </w:r>
      <w:proofErr w:type="spellEnd"/>
      <w:r>
        <w:rPr>
          <w:rFonts w:ascii="Times New Roman" w:hAnsi="Times New Roman" w:cs="Times New Roman"/>
          <w:sz w:val="24"/>
        </w:rPr>
        <w:t xml:space="preserve"> PW</w:t>
      </w:r>
      <w:r w:rsidRPr="009B1D40">
        <w:rPr>
          <w:rFonts w:ascii="Times New Roman" w:hAnsi="Times New Roman" w:cs="Times New Roman"/>
          <w:sz w:val="24"/>
        </w:rPr>
        <w:t xml:space="preserve"> (2011) Pyroxasulfone with and without </w:t>
      </w:r>
      <w:proofErr w:type="spellStart"/>
      <w:r w:rsidRPr="009B1D40">
        <w:rPr>
          <w:rFonts w:ascii="Times New Roman" w:hAnsi="Times New Roman" w:cs="Times New Roman"/>
          <w:sz w:val="24"/>
        </w:rPr>
        <w:t>Sulfentrazone</w:t>
      </w:r>
      <w:proofErr w:type="spellEnd"/>
      <w:r w:rsidRPr="009B1D40">
        <w:rPr>
          <w:rFonts w:ascii="Times New Roman" w:hAnsi="Times New Roman" w:cs="Times New Roman"/>
          <w:sz w:val="24"/>
        </w:rPr>
        <w:t xml:space="preserve"> in Sunflower (</w:t>
      </w:r>
      <w:r w:rsidRPr="009B1D40">
        <w:rPr>
          <w:rFonts w:ascii="Times New Roman" w:hAnsi="Times New Roman" w:cs="Times New Roman"/>
          <w:i/>
          <w:sz w:val="24"/>
        </w:rPr>
        <w:t>Helianthus annuus</w:t>
      </w:r>
      <w:r w:rsidRPr="009B1D40">
        <w:rPr>
          <w:rFonts w:ascii="Times New Roman" w:hAnsi="Times New Roman" w:cs="Times New Roman"/>
          <w:sz w:val="24"/>
        </w:rPr>
        <w:t>). Weed Technology 25:217–221</w:t>
      </w:r>
      <w:r>
        <w:rPr>
          <w:rFonts w:ascii="Times New Roman" w:hAnsi="Times New Roman" w:cs="Times New Roman"/>
          <w:sz w:val="24"/>
        </w:rPr>
        <w:t>.</w:t>
      </w:r>
    </w:p>
    <w:p w14:paraId="55AA3DA2" w14:textId="2A7F7031" w:rsidR="00FB53AA" w:rsidRDefault="00FB53AA" w:rsidP="00E03E3F">
      <w:pPr>
        <w:spacing w:line="480" w:lineRule="auto"/>
        <w:ind w:left="720" w:hanging="720"/>
        <w:rPr>
          <w:rFonts w:ascii="Times New Roman" w:hAnsi="Times New Roman" w:cs="Times New Roman"/>
          <w:sz w:val="24"/>
        </w:rPr>
      </w:pPr>
      <w:proofErr w:type="spellStart"/>
      <w:r>
        <w:rPr>
          <w:rFonts w:ascii="Times New Roman" w:hAnsi="Times New Roman" w:cs="Times New Roman"/>
          <w:sz w:val="24"/>
        </w:rPr>
        <w:t>Papiernik</w:t>
      </w:r>
      <w:proofErr w:type="spellEnd"/>
      <w:r>
        <w:rPr>
          <w:rFonts w:ascii="Times New Roman" w:hAnsi="Times New Roman" w:cs="Times New Roman"/>
          <w:sz w:val="24"/>
        </w:rPr>
        <w:t xml:space="preserve"> SK, Koskinen WC, Barber BL (2012) Low sorption and fast dissipation of the herbicide saflufenacil in surface soils and subsoils of an eroded prairie landscape. J. Agric. Food Chem. 60:10936-10941. </w:t>
      </w:r>
      <w:proofErr w:type="spellStart"/>
      <w:r>
        <w:rPr>
          <w:rFonts w:ascii="Times New Roman" w:hAnsi="Times New Roman" w:cs="Times New Roman"/>
          <w:sz w:val="24"/>
        </w:rPr>
        <w:t>doi</w:t>
      </w:r>
      <w:proofErr w:type="spellEnd"/>
      <w:r>
        <w:rPr>
          <w:rFonts w:ascii="Times New Roman" w:hAnsi="Times New Roman" w:cs="Times New Roman"/>
          <w:sz w:val="24"/>
        </w:rPr>
        <w:t>: 10.1021/jf303271p</w:t>
      </w:r>
      <w:r w:rsidR="00120F8F">
        <w:rPr>
          <w:rFonts w:ascii="Times New Roman" w:hAnsi="Times New Roman" w:cs="Times New Roman"/>
          <w:sz w:val="24"/>
        </w:rPr>
        <w:t>.</w:t>
      </w:r>
    </w:p>
    <w:p w14:paraId="75FFCCFE" w14:textId="5F3216FC" w:rsidR="003607FC" w:rsidRDefault="003607FC" w:rsidP="00E03E3F">
      <w:pPr>
        <w:spacing w:line="480" w:lineRule="auto"/>
        <w:ind w:left="720" w:hanging="720"/>
        <w:rPr>
          <w:rFonts w:ascii="Times New Roman" w:hAnsi="Times New Roman" w:cs="Times New Roman"/>
          <w:sz w:val="24"/>
        </w:rPr>
      </w:pPr>
      <w:r>
        <w:rPr>
          <w:rFonts w:ascii="Times New Roman" w:hAnsi="Times New Roman" w:cs="Times New Roman"/>
          <w:sz w:val="24"/>
        </w:rPr>
        <w:lastRenderedPageBreak/>
        <w:t>Pest Management Regulatory Agency (2009) Proposed registration decision PRD-2009-18: Saflufenacil. Ottawa, ON</w:t>
      </w:r>
      <w:r w:rsidR="00B77201">
        <w:rPr>
          <w:rFonts w:ascii="Times New Roman" w:hAnsi="Times New Roman" w:cs="Times New Roman"/>
          <w:sz w:val="24"/>
        </w:rPr>
        <w:t>, Canada: Health Canada. 125 p.</w:t>
      </w:r>
    </w:p>
    <w:p w14:paraId="4962F967" w14:textId="36EBCE05" w:rsidR="0060554E" w:rsidRDefault="00120F8F" w:rsidP="0060554E">
      <w:pPr>
        <w:spacing w:line="480" w:lineRule="auto"/>
        <w:ind w:left="720" w:hanging="720"/>
        <w:rPr>
          <w:rFonts w:ascii="Times New Roman" w:hAnsi="Times New Roman" w:cs="Times New Roman"/>
          <w:sz w:val="24"/>
        </w:rPr>
      </w:pPr>
      <w:r>
        <w:rPr>
          <w:rFonts w:ascii="Times New Roman" w:hAnsi="Times New Roman" w:cs="Times New Roman"/>
          <w:sz w:val="24"/>
        </w:rPr>
        <w:t xml:space="preserve">Radosevich M, </w:t>
      </w:r>
      <w:proofErr w:type="spellStart"/>
      <w:r w:rsidR="0060554E">
        <w:rPr>
          <w:rFonts w:ascii="Times New Roman" w:hAnsi="Times New Roman" w:cs="Times New Roman"/>
          <w:sz w:val="24"/>
        </w:rPr>
        <w:t>Traina</w:t>
      </w:r>
      <w:proofErr w:type="spellEnd"/>
      <w:r w:rsidR="0060554E">
        <w:rPr>
          <w:rFonts w:ascii="Times New Roman" w:hAnsi="Times New Roman" w:cs="Times New Roman"/>
          <w:sz w:val="24"/>
        </w:rPr>
        <w:t xml:space="preserve"> SJ, Hao YL, </w:t>
      </w:r>
      <w:proofErr w:type="spellStart"/>
      <w:r w:rsidR="0060554E">
        <w:rPr>
          <w:rFonts w:ascii="Times New Roman" w:hAnsi="Times New Roman" w:cs="Times New Roman"/>
          <w:sz w:val="24"/>
        </w:rPr>
        <w:t>Tuovinen</w:t>
      </w:r>
      <w:proofErr w:type="spellEnd"/>
      <w:r w:rsidR="0060554E">
        <w:rPr>
          <w:rFonts w:ascii="Times New Roman" w:hAnsi="Times New Roman" w:cs="Times New Roman"/>
          <w:sz w:val="24"/>
        </w:rPr>
        <w:t xml:space="preserve"> OH (1995) Degradation and mineralization of atrazine by a soil bacterial isolate. Applied and Environmental Microbiology 61:297-302 </w:t>
      </w:r>
      <w:r w:rsidR="0060554E" w:rsidRPr="0060554E">
        <w:rPr>
          <w:rFonts w:ascii="Times New Roman" w:hAnsi="Times New Roman" w:cs="Times New Roman"/>
          <w:sz w:val="24"/>
        </w:rPr>
        <w:t>https://doi.org/10.1128/aem.61.1.297-302.1995</w:t>
      </w:r>
      <w:r w:rsidR="0060554E">
        <w:rPr>
          <w:rFonts w:ascii="Times New Roman" w:hAnsi="Times New Roman" w:cs="Times New Roman"/>
          <w:sz w:val="24"/>
        </w:rPr>
        <w:t>.</w:t>
      </w:r>
    </w:p>
    <w:p w14:paraId="021613B8" w14:textId="31814020" w:rsidR="00F97E5C" w:rsidRDefault="00F97E5C" w:rsidP="00E03E3F">
      <w:pPr>
        <w:spacing w:line="480" w:lineRule="auto"/>
        <w:ind w:left="720" w:hanging="720"/>
        <w:rPr>
          <w:rFonts w:ascii="Times New Roman" w:hAnsi="Times New Roman" w:cs="Times New Roman"/>
          <w:sz w:val="24"/>
        </w:rPr>
      </w:pPr>
      <w:r>
        <w:rPr>
          <w:rFonts w:ascii="Times New Roman" w:hAnsi="Times New Roman" w:cs="Times New Roman"/>
          <w:sz w:val="24"/>
        </w:rPr>
        <w:t xml:space="preserve">Reddy SS, </w:t>
      </w:r>
      <w:proofErr w:type="spellStart"/>
      <w:r>
        <w:rPr>
          <w:rFonts w:ascii="Times New Roman" w:hAnsi="Times New Roman" w:cs="Times New Roman"/>
          <w:sz w:val="24"/>
        </w:rPr>
        <w:t>Stahlman</w:t>
      </w:r>
      <w:proofErr w:type="spellEnd"/>
      <w:r>
        <w:rPr>
          <w:rFonts w:ascii="Times New Roman" w:hAnsi="Times New Roman" w:cs="Times New Roman"/>
          <w:sz w:val="24"/>
        </w:rPr>
        <w:t xml:space="preserve"> PW, Geier PW, Thompson CR (2012) Weed control and crop safety with premixed s-metolachlor and </w:t>
      </w:r>
      <w:proofErr w:type="spellStart"/>
      <w:r>
        <w:rPr>
          <w:rFonts w:ascii="Times New Roman" w:hAnsi="Times New Roman" w:cs="Times New Roman"/>
          <w:sz w:val="24"/>
        </w:rPr>
        <w:t>sulfentrazone</w:t>
      </w:r>
      <w:proofErr w:type="spellEnd"/>
      <w:r>
        <w:rPr>
          <w:rFonts w:ascii="Times New Roman" w:hAnsi="Times New Roman" w:cs="Times New Roman"/>
          <w:sz w:val="24"/>
        </w:rPr>
        <w:t xml:space="preserve"> in sunflower. American Journal of Plant Sciences 3:1625-1631.</w:t>
      </w:r>
    </w:p>
    <w:p w14:paraId="4685D102" w14:textId="29F09659" w:rsidR="0060554E" w:rsidRDefault="0060554E" w:rsidP="00E03E3F">
      <w:pPr>
        <w:spacing w:line="480" w:lineRule="auto"/>
        <w:ind w:left="720" w:hanging="720"/>
        <w:rPr>
          <w:rFonts w:ascii="Times New Roman" w:hAnsi="Times New Roman" w:cs="Times New Roman"/>
          <w:sz w:val="24"/>
        </w:rPr>
      </w:pPr>
      <w:r>
        <w:rPr>
          <w:rFonts w:ascii="Times New Roman" w:hAnsi="Times New Roman" w:cs="Times New Roman"/>
          <w:sz w:val="24"/>
        </w:rPr>
        <w:t>Rhine ED, Fuhrmann JJ, Radosevich M (2003) Microbial community responses to atrazine exposure and nutrient availability: linking degradation capacity to community structure. Microbial Ecology 46:145-160.</w:t>
      </w:r>
      <w:r w:rsidRPr="0060554E">
        <w:t xml:space="preserve"> </w:t>
      </w:r>
      <w:r w:rsidRPr="0060554E">
        <w:rPr>
          <w:rFonts w:ascii="Times New Roman" w:hAnsi="Times New Roman" w:cs="Times New Roman"/>
          <w:sz w:val="24"/>
        </w:rPr>
        <w:t>https://doi.org/10.1007/s00248-002-1048-6</w:t>
      </w:r>
      <w:r>
        <w:rPr>
          <w:rFonts w:ascii="Times New Roman" w:hAnsi="Times New Roman" w:cs="Times New Roman"/>
          <w:sz w:val="24"/>
        </w:rPr>
        <w:t xml:space="preserve">. </w:t>
      </w:r>
    </w:p>
    <w:p w14:paraId="1AE867D0" w14:textId="7B31F34F" w:rsidR="00182459" w:rsidRDefault="00182459" w:rsidP="00E03E3F">
      <w:pPr>
        <w:spacing w:line="480" w:lineRule="auto"/>
        <w:ind w:left="720" w:hanging="720"/>
        <w:rPr>
          <w:rFonts w:ascii="Times New Roman" w:hAnsi="Times New Roman" w:cs="Times New Roman"/>
          <w:sz w:val="24"/>
        </w:rPr>
      </w:pPr>
      <w:r>
        <w:rPr>
          <w:rFonts w:ascii="Times New Roman" w:hAnsi="Times New Roman" w:cs="Times New Roman"/>
          <w:sz w:val="24"/>
        </w:rPr>
        <w:t xml:space="preserve">Robinson DE, McNaughton KE (2012) Saflufenacil carryover injury varies among rotational crops. Weed Technology 26:177-182. </w:t>
      </w:r>
      <w:proofErr w:type="spellStart"/>
      <w:r>
        <w:rPr>
          <w:rFonts w:ascii="Times New Roman" w:hAnsi="Times New Roman" w:cs="Times New Roman"/>
          <w:sz w:val="24"/>
        </w:rPr>
        <w:t>doi</w:t>
      </w:r>
      <w:proofErr w:type="spellEnd"/>
      <w:r>
        <w:rPr>
          <w:rFonts w:ascii="Times New Roman" w:hAnsi="Times New Roman" w:cs="Times New Roman"/>
          <w:sz w:val="24"/>
        </w:rPr>
        <w:t>: 10.1614/WT-D-11-00080.1.</w:t>
      </w:r>
    </w:p>
    <w:p w14:paraId="46502997" w14:textId="73120D4C" w:rsidR="00716994" w:rsidRDefault="00716994" w:rsidP="00E03E3F">
      <w:pPr>
        <w:spacing w:line="480" w:lineRule="auto"/>
        <w:ind w:left="720" w:hanging="720"/>
        <w:rPr>
          <w:rFonts w:ascii="Times New Roman" w:hAnsi="Times New Roman" w:cs="Times New Roman"/>
          <w:sz w:val="24"/>
        </w:rPr>
      </w:pPr>
      <w:r>
        <w:rPr>
          <w:rFonts w:ascii="Times New Roman" w:hAnsi="Times New Roman" w:cs="Times New Roman"/>
          <w:sz w:val="24"/>
        </w:rPr>
        <w:t>Rodr</w:t>
      </w:r>
      <w:r w:rsidR="00E55BF4">
        <w:rPr>
          <w:rFonts w:ascii="Times New Roman" w:hAnsi="Times New Roman" w:cs="Times New Roman"/>
          <w:sz w:val="24"/>
        </w:rPr>
        <w:t>í</w:t>
      </w:r>
      <w:r>
        <w:rPr>
          <w:rFonts w:ascii="Times New Roman" w:hAnsi="Times New Roman" w:cs="Times New Roman"/>
          <w:sz w:val="24"/>
        </w:rPr>
        <w:t>guez-Cruz MS, Pose-Juan E, Mar</w:t>
      </w:r>
      <w:r w:rsidR="00E55BF4">
        <w:rPr>
          <w:rFonts w:ascii="Times New Roman" w:hAnsi="Times New Roman" w:cs="Times New Roman"/>
          <w:sz w:val="24"/>
        </w:rPr>
        <w:t>í</w:t>
      </w:r>
      <w:r>
        <w:rPr>
          <w:rFonts w:ascii="Times New Roman" w:hAnsi="Times New Roman" w:cs="Times New Roman"/>
          <w:sz w:val="24"/>
        </w:rPr>
        <w:t xml:space="preserve">n-Benito JM, </w:t>
      </w:r>
      <w:proofErr w:type="spellStart"/>
      <w:r>
        <w:rPr>
          <w:rFonts w:ascii="Times New Roman" w:hAnsi="Times New Roman" w:cs="Times New Roman"/>
          <w:sz w:val="24"/>
        </w:rPr>
        <w:t>Igual</w:t>
      </w:r>
      <w:proofErr w:type="spellEnd"/>
      <w:r>
        <w:rPr>
          <w:rFonts w:ascii="Times New Roman" w:hAnsi="Times New Roman" w:cs="Times New Roman"/>
          <w:sz w:val="24"/>
        </w:rPr>
        <w:t xml:space="preserve"> JM, S</w:t>
      </w:r>
      <w:r w:rsidR="00E55BF4">
        <w:rPr>
          <w:rFonts w:ascii="Times New Roman" w:hAnsi="Times New Roman" w:cs="Times New Roman"/>
          <w:sz w:val="24"/>
        </w:rPr>
        <w:t>a</w:t>
      </w:r>
      <w:r>
        <w:rPr>
          <w:rFonts w:ascii="Times New Roman" w:hAnsi="Times New Roman" w:cs="Times New Roman"/>
          <w:sz w:val="24"/>
        </w:rPr>
        <w:t xml:space="preserve">nchez-Martin MJ (2019) </w:t>
      </w:r>
      <w:proofErr w:type="spellStart"/>
      <w:r>
        <w:rPr>
          <w:rFonts w:ascii="Times New Roman" w:hAnsi="Times New Roman" w:cs="Times New Roman"/>
          <w:sz w:val="24"/>
        </w:rPr>
        <w:t>Pethoxamid</w:t>
      </w:r>
      <w:proofErr w:type="spellEnd"/>
      <w:r>
        <w:rPr>
          <w:rFonts w:ascii="Times New Roman" w:hAnsi="Times New Roman" w:cs="Times New Roman"/>
          <w:sz w:val="24"/>
        </w:rPr>
        <w:t xml:space="preserve"> dissipation </w:t>
      </w:r>
      <w:r w:rsidR="00E55BF4">
        <w:rPr>
          <w:rFonts w:ascii="Times New Roman" w:hAnsi="Times New Roman" w:cs="Times New Roman"/>
          <w:sz w:val="24"/>
        </w:rPr>
        <w:t>and microbial activity and structure in an agricultural soil: Effect of herbicide rate and organic residues. Applied Soil Ecology 140:135-143.</w:t>
      </w:r>
    </w:p>
    <w:p w14:paraId="3EF365F1" w14:textId="1D7DAB64" w:rsidR="003F6735" w:rsidRPr="008A5345" w:rsidRDefault="003F6735" w:rsidP="00E03E3F">
      <w:pPr>
        <w:spacing w:line="480" w:lineRule="auto"/>
        <w:ind w:left="720" w:hanging="720"/>
        <w:rPr>
          <w:rFonts w:ascii="Times New Roman" w:hAnsi="Times New Roman" w:cs="Times New Roman"/>
          <w:sz w:val="24"/>
        </w:rPr>
      </w:pPr>
      <w:r>
        <w:rPr>
          <w:rFonts w:ascii="Times New Roman" w:hAnsi="Times New Roman" w:cs="Times New Roman"/>
          <w:sz w:val="24"/>
        </w:rPr>
        <w:t>Savage KE (1978) Persistence of several dinitroaniline herbicides as affected by soil moisture. Weed Science 26:465-471.</w:t>
      </w:r>
    </w:p>
    <w:p w14:paraId="60BE3BAC" w14:textId="20CAD60E" w:rsidR="00613E35" w:rsidRDefault="00613E35" w:rsidP="00E03E3F">
      <w:pPr>
        <w:spacing w:line="480" w:lineRule="auto"/>
        <w:ind w:left="720" w:hanging="720"/>
        <w:rPr>
          <w:rFonts w:ascii="Times New Roman" w:hAnsi="Times New Roman" w:cs="Times New Roman"/>
          <w:sz w:val="24"/>
        </w:rPr>
      </w:pPr>
      <w:proofErr w:type="spellStart"/>
      <w:r w:rsidRPr="00613E35">
        <w:rPr>
          <w:rFonts w:ascii="Times New Roman" w:hAnsi="Times New Roman" w:cs="Times New Roman"/>
          <w:sz w:val="24"/>
        </w:rPr>
        <w:t>Shaner</w:t>
      </w:r>
      <w:proofErr w:type="spellEnd"/>
      <w:r w:rsidRPr="00613E35">
        <w:rPr>
          <w:rFonts w:ascii="Times New Roman" w:hAnsi="Times New Roman" w:cs="Times New Roman"/>
          <w:sz w:val="24"/>
        </w:rPr>
        <w:t xml:space="preserve"> DL, Henry WB (2007) Field history and dissipation of atrazine and metolachlor in</w:t>
      </w:r>
      <w:r w:rsidRPr="00613E35">
        <w:rPr>
          <w:rFonts w:ascii="Times New Roman" w:hAnsi="Times New Roman" w:cs="Times New Roman"/>
          <w:sz w:val="24"/>
        </w:rPr>
        <w:br/>
        <w:t>Colorado. Journal of Environment Quality 36:1-5</w:t>
      </w:r>
      <w:r>
        <w:rPr>
          <w:rFonts w:ascii="Times New Roman" w:hAnsi="Times New Roman" w:cs="Times New Roman"/>
          <w:sz w:val="24"/>
        </w:rPr>
        <w:t>.</w:t>
      </w:r>
    </w:p>
    <w:p w14:paraId="2CF7A17B" w14:textId="6AF7A1C3" w:rsidR="00613E35" w:rsidRDefault="00613E35" w:rsidP="00E03E3F">
      <w:pPr>
        <w:spacing w:line="480" w:lineRule="auto"/>
        <w:ind w:left="720" w:hanging="720"/>
        <w:rPr>
          <w:rFonts w:ascii="Times New Roman" w:hAnsi="Times New Roman" w:cs="Times New Roman"/>
          <w:sz w:val="24"/>
        </w:rPr>
      </w:pPr>
      <w:proofErr w:type="spellStart"/>
      <w:r w:rsidRPr="00613E35">
        <w:rPr>
          <w:rFonts w:ascii="Times New Roman" w:hAnsi="Times New Roman" w:cs="Times New Roman"/>
          <w:sz w:val="24"/>
        </w:rPr>
        <w:lastRenderedPageBreak/>
        <w:t>Shaner</w:t>
      </w:r>
      <w:proofErr w:type="spellEnd"/>
      <w:r w:rsidRPr="00613E35">
        <w:rPr>
          <w:rFonts w:ascii="Times New Roman" w:hAnsi="Times New Roman" w:cs="Times New Roman"/>
          <w:sz w:val="24"/>
        </w:rPr>
        <w:t xml:space="preserve"> DL, Henry WB, </w:t>
      </w:r>
      <w:proofErr w:type="spellStart"/>
      <w:r w:rsidRPr="00613E35">
        <w:rPr>
          <w:rFonts w:ascii="Times New Roman" w:hAnsi="Times New Roman" w:cs="Times New Roman"/>
          <w:sz w:val="24"/>
        </w:rPr>
        <w:t>Krutz</w:t>
      </w:r>
      <w:proofErr w:type="spellEnd"/>
      <w:r w:rsidRPr="00613E35">
        <w:rPr>
          <w:rFonts w:ascii="Times New Roman" w:hAnsi="Times New Roman" w:cs="Times New Roman"/>
          <w:sz w:val="24"/>
        </w:rPr>
        <w:t xml:space="preserve"> LJ, Hanson B (2007) Rapid Assay for Detecting Enhanced Atrazine</w:t>
      </w:r>
      <w:r>
        <w:rPr>
          <w:rFonts w:ascii="Times New Roman" w:hAnsi="Times New Roman" w:cs="Times New Roman"/>
          <w:sz w:val="24"/>
        </w:rPr>
        <w:t xml:space="preserve"> </w:t>
      </w:r>
      <w:r w:rsidRPr="00613E35">
        <w:rPr>
          <w:rFonts w:ascii="Times New Roman" w:hAnsi="Times New Roman" w:cs="Times New Roman"/>
          <w:sz w:val="24"/>
        </w:rPr>
        <w:t>Degradation in Soil. Weed Science 55:528-535</w:t>
      </w:r>
      <w:r>
        <w:rPr>
          <w:rFonts w:ascii="Times New Roman" w:hAnsi="Times New Roman" w:cs="Times New Roman"/>
          <w:sz w:val="24"/>
        </w:rPr>
        <w:t>.</w:t>
      </w:r>
    </w:p>
    <w:p w14:paraId="39059C31" w14:textId="2BD87B3A" w:rsidR="00CB1E40" w:rsidRDefault="00CB1E40" w:rsidP="00E03E3F">
      <w:pPr>
        <w:spacing w:line="480" w:lineRule="auto"/>
        <w:ind w:left="720" w:hanging="720"/>
        <w:rPr>
          <w:rFonts w:ascii="Times New Roman" w:hAnsi="Times New Roman" w:cs="Times New Roman"/>
          <w:sz w:val="24"/>
        </w:rPr>
      </w:pPr>
      <w:proofErr w:type="spellStart"/>
      <w:r>
        <w:rPr>
          <w:rFonts w:ascii="Times New Roman" w:hAnsi="Times New Roman" w:cs="Times New Roman"/>
          <w:sz w:val="24"/>
        </w:rPr>
        <w:t>Shaner</w:t>
      </w:r>
      <w:proofErr w:type="spellEnd"/>
      <w:r>
        <w:rPr>
          <w:rFonts w:ascii="Times New Roman" w:hAnsi="Times New Roman" w:cs="Times New Roman"/>
          <w:sz w:val="24"/>
        </w:rPr>
        <w:t xml:space="preserve"> DL, </w:t>
      </w:r>
      <w:proofErr w:type="spellStart"/>
      <w:r>
        <w:rPr>
          <w:rFonts w:ascii="Times New Roman" w:hAnsi="Times New Roman" w:cs="Times New Roman"/>
          <w:sz w:val="24"/>
        </w:rPr>
        <w:t>Krutz</w:t>
      </w:r>
      <w:proofErr w:type="spellEnd"/>
      <w:r>
        <w:rPr>
          <w:rFonts w:ascii="Times New Roman" w:hAnsi="Times New Roman" w:cs="Times New Roman"/>
          <w:sz w:val="24"/>
        </w:rPr>
        <w:t xml:space="preserve"> LJ, Henry WB, Hanson BD, Poteet MD, </w:t>
      </w:r>
      <w:proofErr w:type="spellStart"/>
      <w:r>
        <w:rPr>
          <w:rFonts w:ascii="Times New Roman" w:hAnsi="Times New Roman" w:cs="Times New Roman"/>
          <w:sz w:val="24"/>
        </w:rPr>
        <w:t>Rainbolt</w:t>
      </w:r>
      <w:proofErr w:type="spellEnd"/>
      <w:r>
        <w:rPr>
          <w:rFonts w:ascii="Times New Roman" w:hAnsi="Times New Roman" w:cs="Times New Roman"/>
          <w:sz w:val="24"/>
        </w:rPr>
        <w:t xml:space="preserve"> CR (2010) Sugarcane soils exhibit enhanced atrazine degradation and cross adaptation to other s-triazines. Journal American Society of Sugar Cane Technologists 30:1-10.</w:t>
      </w:r>
    </w:p>
    <w:p w14:paraId="1F9665C3" w14:textId="5B6E2E6B" w:rsidR="00E03E3F" w:rsidRPr="0005418D" w:rsidRDefault="00E03E3F" w:rsidP="00E03E3F">
      <w:pPr>
        <w:spacing w:line="480" w:lineRule="auto"/>
        <w:ind w:left="720" w:hanging="720"/>
        <w:rPr>
          <w:rFonts w:ascii="Times New Roman" w:hAnsi="Times New Roman" w:cs="Times New Roman"/>
          <w:sz w:val="24"/>
        </w:rPr>
      </w:pPr>
      <w:proofErr w:type="spellStart"/>
      <w:r w:rsidRPr="0005418D">
        <w:rPr>
          <w:rFonts w:ascii="Times New Roman" w:hAnsi="Times New Roman" w:cs="Times New Roman"/>
          <w:sz w:val="24"/>
        </w:rPr>
        <w:t>Shaner</w:t>
      </w:r>
      <w:proofErr w:type="spellEnd"/>
      <w:r w:rsidRPr="0005418D">
        <w:rPr>
          <w:rFonts w:ascii="Times New Roman" w:hAnsi="Times New Roman" w:cs="Times New Roman"/>
          <w:sz w:val="24"/>
        </w:rPr>
        <w:t xml:space="preserve"> DL (2014) Herbicide handbook. 10</w:t>
      </w:r>
      <w:r w:rsidRPr="0005418D">
        <w:rPr>
          <w:rFonts w:ascii="Times New Roman" w:hAnsi="Times New Roman" w:cs="Times New Roman"/>
          <w:sz w:val="24"/>
          <w:vertAlign w:val="superscript"/>
        </w:rPr>
        <w:t>th</w:t>
      </w:r>
      <w:r w:rsidRPr="0005418D">
        <w:rPr>
          <w:rFonts w:ascii="Times New Roman" w:hAnsi="Times New Roman" w:cs="Times New Roman"/>
          <w:sz w:val="24"/>
        </w:rPr>
        <w:t xml:space="preserve"> Edition, Weed Science Society of America, Champaign, 513.</w:t>
      </w:r>
    </w:p>
    <w:p w14:paraId="67CAB12B" w14:textId="4438511E" w:rsidR="00E03E3F" w:rsidRDefault="00E03E3F" w:rsidP="00E03E3F">
      <w:pPr>
        <w:spacing w:line="480" w:lineRule="auto"/>
        <w:ind w:left="720" w:hanging="720"/>
        <w:rPr>
          <w:rFonts w:ascii="Times New Roman" w:hAnsi="Times New Roman" w:cs="Times New Roman"/>
          <w:sz w:val="24"/>
        </w:rPr>
      </w:pPr>
      <w:r w:rsidRPr="001965C1">
        <w:rPr>
          <w:rFonts w:ascii="Times New Roman" w:hAnsi="Times New Roman" w:cs="Times New Roman"/>
          <w:sz w:val="24"/>
        </w:rPr>
        <w:t xml:space="preserve">Soil Survey Staff, Natural Resources Conservation Service, United States Department of Agriculture. Web Soil Survey. Available online at the following link: </w:t>
      </w:r>
      <w:r w:rsidRPr="00AD335B">
        <w:rPr>
          <w:rFonts w:ascii="Times New Roman" w:hAnsi="Times New Roman" w:cs="Times New Roman"/>
          <w:sz w:val="24"/>
        </w:rPr>
        <w:t>http://websoilsurvey.sc.egov.usda.gov/</w:t>
      </w:r>
      <w:r w:rsidRPr="001965C1">
        <w:rPr>
          <w:rFonts w:ascii="Times New Roman" w:hAnsi="Times New Roman" w:cs="Times New Roman"/>
          <w:sz w:val="24"/>
        </w:rPr>
        <w:t xml:space="preserve">. Accessed </w:t>
      </w:r>
      <w:r>
        <w:rPr>
          <w:rFonts w:ascii="Times New Roman" w:hAnsi="Times New Roman" w:cs="Times New Roman"/>
          <w:sz w:val="24"/>
        </w:rPr>
        <w:t>December 3, 2021.</w:t>
      </w:r>
    </w:p>
    <w:p w14:paraId="21DF4136" w14:textId="4ED8D7D5" w:rsidR="00F97E5C" w:rsidRDefault="00F97E5C" w:rsidP="00E03E3F">
      <w:pPr>
        <w:spacing w:line="480" w:lineRule="auto"/>
        <w:ind w:left="720" w:hanging="720"/>
        <w:rPr>
          <w:rFonts w:ascii="Times New Roman" w:hAnsi="Times New Roman" w:cs="Times New Roman"/>
          <w:sz w:val="24"/>
        </w:rPr>
      </w:pPr>
      <w:r>
        <w:rPr>
          <w:rFonts w:ascii="Times New Roman" w:hAnsi="Times New Roman" w:cs="Times New Roman"/>
          <w:sz w:val="24"/>
        </w:rPr>
        <w:t xml:space="preserve">Stephenson, IV DO, Bond JA, Griffin JL, Landry RL, </w:t>
      </w:r>
      <w:proofErr w:type="spellStart"/>
      <w:r>
        <w:rPr>
          <w:rFonts w:ascii="Times New Roman" w:hAnsi="Times New Roman" w:cs="Times New Roman"/>
          <w:sz w:val="24"/>
        </w:rPr>
        <w:t>Woolam</w:t>
      </w:r>
      <w:proofErr w:type="spellEnd"/>
      <w:r>
        <w:rPr>
          <w:rFonts w:ascii="Times New Roman" w:hAnsi="Times New Roman" w:cs="Times New Roman"/>
          <w:sz w:val="24"/>
        </w:rPr>
        <w:t xml:space="preserve"> BC, Edwards HM, Hardwick JM (2017</w:t>
      </w:r>
      <w:r w:rsidR="00897E69">
        <w:rPr>
          <w:rFonts w:ascii="Times New Roman" w:hAnsi="Times New Roman" w:cs="Times New Roman"/>
          <w:sz w:val="24"/>
        </w:rPr>
        <w:t>a</w:t>
      </w:r>
      <w:r>
        <w:rPr>
          <w:rFonts w:ascii="Times New Roman" w:hAnsi="Times New Roman" w:cs="Times New Roman"/>
          <w:sz w:val="24"/>
        </w:rPr>
        <w:t xml:space="preserve">) Weed management programs </w:t>
      </w:r>
      <w:r w:rsidR="00897E69">
        <w:rPr>
          <w:rFonts w:ascii="Times New Roman" w:hAnsi="Times New Roman" w:cs="Times New Roman"/>
          <w:sz w:val="24"/>
        </w:rPr>
        <w:t>with pyroxasulfone in field corn (</w:t>
      </w:r>
      <w:proofErr w:type="spellStart"/>
      <w:r w:rsidR="00897E69">
        <w:rPr>
          <w:rFonts w:ascii="Times New Roman" w:hAnsi="Times New Roman" w:cs="Times New Roman"/>
          <w:sz w:val="24"/>
        </w:rPr>
        <w:t>Zea</w:t>
      </w:r>
      <w:proofErr w:type="spellEnd"/>
      <w:r w:rsidR="00897E69">
        <w:rPr>
          <w:rFonts w:ascii="Times New Roman" w:hAnsi="Times New Roman" w:cs="Times New Roman"/>
          <w:sz w:val="24"/>
        </w:rPr>
        <w:t xml:space="preserve"> mays). Weed Technology 31:496-502.</w:t>
      </w:r>
    </w:p>
    <w:p w14:paraId="6FDCDB32" w14:textId="27A0AAD4" w:rsidR="00897E69" w:rsidRDefault="00897E69" w:rsidP="00E03E3F">
      <w:pPr>
        <w:spacing w:line="480" w:lineRule="auto"/>
        <w:ind w:left="720" w:hanging="720"/>
        <w:rPr>
          <w:rFonts w:ascii="Times New Roman" w:hAnsi="Times New Roman" w:cs="Times New Roman"/>
          <w:sz w:val="24"/>
        </w:rPr>
      </w:pPr>
      <w:r>
        <w:rPr>
          <w:rFonts w:ascii="Times New Roman" w:hAnsi="Times New Roman" w:cs="Times New Roman"/>
          <w:sz w:val="24"/>
        </w:rPr>
        <w:t xml:space="preserve">Stephenson, IV DO, Blouin DC, Griffin JL, Landry RL, </w:t>
      </w:r>
      <w:proofErr w:type="spellStart"/>
      <w:r>
        <w:rPr>
          <w:rFonts w:ascii="Times New Roman" w:hAnsi="Times New Roman" w:cs="Times New Roman"/>
          <w:sz w:val="24"/>
        </w:rPr>
        <w:t>Woolam</w:t>
      </w:r>
      <w:proofErr w:type="spellEnd"/>
      <w:r>
        <w:rPr>
          <w:rFonts w:ascii="Times New Roman" w:hAnsi="Times New Roman" w:cs="Times New Roman"/>
          <w:sz w:val="24"/>
        </w:rPr>
        <w:t xml:space="preserve"> BC, Hardwick JM (2017b) Effect of pyroxasulfone application timing and rate on soybean. Weed Technology 31:202-206.</w:t>
      </w:r>
    </w:p>
    <w:p w14:paraId="59C64162" w14:textId="7F5FA9E9" w:rsidR="005D2C2B" w:rsidRDefault="005D2C2B" w:rsidP="00E03E3F">
      <w:pPr>
        <w:spacing w:line="480" w:lineRule="auto"/>
        <w:ind w:left="720" w:hanging="720"/>
        <w:rPr>
          <w:rFonts w:ascii="Times New Roman" w:hAnsi="Times New Roman" w:cs="Times New Roman"/>
          <w:sz w:val="24"/>
        </w:rPr>
      </w:pPr>
      <w:proofErr w:type="spellStart"/>
      <w:r>
        <w:rPr>
          <w:rFonts w:ascii="Times New Roman" w:hAnsi="Times New Roman" w:cs="Times New Roman"/>
          <w:sz w:val="24"/>
        </w:rPr>
        <w:t>Swarcewicz</w:t>
      </w:r>
      <w:proofErr w:type="spellEnd"/>
      <w:r>
        <w:rPr>
          <w:rFonts w:ascii="Times New Roman" w:hAnsi="Times New Roman" w:cs="Times New Roman"/>
          <w:sz w:val="24"/>
        </w:rPr>
        <w:t xml:space="preserve"> MK, </w:t>
      </w:r>
      <w:proofErr w:type="spellStart"/>
      <w:r>
        <w:rPr>
          <w:rFonts w:ascii="Times New Roman" w:hAnsi="Times New Roman" w:cs="Times New Roman"/>
          <w:sz w:val="24"/>
        </w:rPr>
        <w:t>Gregorczyk</w:t>
      </w:r>
      <w:proofErr w:type="spellEnd"/>
      <w:r>
        <w:rPr>
          <w:rFonts w:ascii="Times New Roman" w:hAnsi="Times New Roman" w:cs="Times New Roman"/>
          <w:sz w:val="24"/>
        </w:rPr>
        <w:t xml:space="preserve"> A (2012) The effects of pesticide mixtures on degradation of pendimethalin in soils. Environmental Monitoring and Assessment 184:3077-3084.</w:t>
      </w:r>
    </w:p>
    <w:p w14:paraId="65FBBBD3" w14:textId="77777777" w:rsidR="00E03E3F" w:rsidRDefault="00E03E3F" w:rsidP="00E03E3F">
      <w:pPr>
        <w:spacing w:line="480" w:lineRule="auto"/>
        <w:ind w:left="720" w:hanging="720"/>
        <w:rPr>
          <w:rFonts w:ascii="Times New Roman" w:hAnsi="Times New Roman" w:cs="Times New Roman"/>
          <w:sz w:val="24"/>
        </w:rPr>
      </w:pPr>
      <w:proofErr w:type="spellStart"/>
      <w:r>
        <w:rPr>
          <w:rFonts w:ascii="Times New Roman" w:hAnsi="Times New Roman" w:cs="Times New Roman"/>
          <w:sz w:val="24"/>
        </w:rPr>
        <w:t>Tanetani</w:t>
      </w:r>
      <w:proofErr w:type="spellEnd"/>
      <w:r>
        <w:rPr>
          <w:rFonts w:ascii="Times New Roman" w:hAnsi="Times New Roman" w:cs="Times New Roman"/>
          <w:sz w:val="24"/>
        </w:rPr>
        <w:t xml:space="preserve"> Y, Kaku K, Kawai K, Fujioka T, Shimizu T (2009) Action mechanism of a novel herbicide, pyroxasulfone. Pesticide Biochemistry and Physiology 95: 47-55.</w:t>
      </w:r>
    </w:p>
    <w:p w14:paraId="05617B80" w14:textId="2AA94BF6" w:rsidR="00E03E3F" w:rsidRDefault="00E03E3F" w:rsidP="00E03E3F">
      <w:pPr>
        <w:spacing w:line="480" w:lineRule="auto"/>
        <w:ind w:left="720" w:hanging="720"/>
        <w:rPr>
          <w:rFonts w:ascii="Times New Roman" w:hAnsi="Times New Roman" w:cs="Times New Roman"/>
          <w:sz w:val="24"/>
        </w:rPr>
      </w:pPr>
      <w:proofErr w:type="spellStart"/>
      <w:r w:rsidRPr="004612FE">
        <w:rPr>
          <w:rFonts w:ascii="Times New Roman" w:hAnsi="Times New Roman" w:cs="Times New Roman"/>
          <w:sz w:val="24"/>
        </w:rPr>
        <w:lastRenderedPageBreak/>
        <w:t>Tanetani</w:t>
      </w:r>
      <w:proofErr w:type="spellEnd"/>
      <w:r w:rsidRPr="004612FE">
        <w:rPr>
          <w:rFonts w:ascii="Times New Roman" w:hAnsi="Times New Roman" w:cs="Times New Roman"/>
          <w:sz w:val="24"/>
        </w:rPr>
        <w:t xml:space="preserve"> Y, Ikeda M, Kaku K, Shimizu T, Matsumoto H (2013) Role of metabolism in the selectivity of a herbicide, pyroxasulfone, between wheat and rigid ryegrass seedlings. J. </w:t>
      </w:r>
      <w:proofErr w:type="spellStart"/>
      <w:r w:rsidRPr="004612FE">
        <w:rPr>
          <w:rFonts w:ascii="Times New Roman" w:hAnsi="Times New Roman" w:cs="Times New Roman"/>
          <w:sz w:val="24"/>
        </w:rPr>
        <w:t>Pestic</w:t>
      </w:r>
      <w:proofErr w:type="spellEnd"/>
      <w:r w:rsidRPr="004612FE">
        <w:rPr>
          <w:rFonts w:ascii="Times New Roman" w:hAnsi="Times New Roman" w:cs="Times New Roman"/>
          <w:sz w:val="24"/>
        </w:rPr>
        <w:t>. Sci. 38:152-156.</w:t>
      </w:r>
    </w:p>
    <w:p w14:paraId="3BD3E460" w14:textId="22C5DEFA" w:rsidR="003F6735" w:rsidRDefault="003F6735" w:rsidP="00E03E3F">
      <w:pPr>
        <w:spacing w:line="480" w:lineRule="auto"/>
        <w:ind w:left="720" w:hanging="720"/>
        <w:rPr>
          <w:rFonts w:ascii="Times New Roman" w:hAnsi="Times New Roman" w:cs="Times New Roman"/>
          <w:sz w:val="24"/>
        </w:rPr>
      </w:pPr>
      <w:r>
        <w:rPr>
          <w:rFonts w:ascii="Times New Roman" w:hAnsi="Times New Roman" w:cs="Times New Roman"/>
          <w:sz w:val="24"/>
        </w:rPr>
        <w:t xml:space="preserve">Taylor-Lovell S, Sims GK, Wax LM (2002) Effects of moisture, temperature, and biological activity on the degradation of </w:t>
      </w:r>
      <w:proofErr w:type="spellStart"/>
      <w:r>
        <w:rPr>
          <w:rFonts w:ascii="Times New Roman" w:hAnsi="Times New Roman" w:cs="Times New Roman"/>
          <w:sz w:val="24"/>
        </w:rPr>
        <w:t>isoxaflutole</w:t>
      </w:r>
      <w:proofErr w:type="spellEnd"/>
      <w:r>
        <w:rPr>
          <w:rFonts w:ascii="Times New Roman" w:hAnsi="Times New Roman" w:cs="Times New Roman"/>
          <w:sz w:val="24"/>
        </w:rPr>
        <w:t xml:space="preserve"> in soil. J. Agric. Food Chem. 50:5626-5633.</w:t>
      </w:r>
    </w:p>
    <w:p w14:paraId="07CB9BEB" w14:textId="400FA4D0" w:rsidR="00E03E3F" w:rsidRDefault="00E03E3F" w:rsidP="00E03E3F">
      <w:pPr>
        <w:spacing w:line="480" w:lineRule="auto"/>
        <w:ind w:left="720" w:hanging="720"/>
        <w:rPr>
          <w:rFonts w:ascii="Times New Roman" w:hAnsi="Times New Roman" w:cs="Times New Roman"/>
          <w:sz w:val="24"/>
        </w:rPr>
      </w:pPr>
      <w:r w:rsidRPr="004612FE">
        <w:rPr>
          <w:rFonts w:ascii="Times New Roman" w:hAnsi="Times New Roman" w:cs="Times New Roman"/>
          <w:sz w:val="24"/>
        </w:rPr>
        <w:t xml:space="preserve">US EPA </w:t>
      </w:r>
      <w:r w:rsidR="00FA18DC">
        <w:rPr>
          <w:rFonts w:ascii="Times New Roman" w:hAnsi="Times New Roman" w:cs="Times New Roman"/>
          <w:sz w:val="24"/>
        </w:rPr>
        <w:t xml:space="preserve">Office of </w:t>
      </w:r>
      <w:r w:rsidRPr="004612FE">
        <w:rPr>
          <w:rFonts w:ascii="Times New Roman" w:hAnsi="Times New Roman" w:cs="Times New Roman"/>
          <w:sz w:val="24"/>
        </w:rPr>
        <w:t xml:space="preserve">Prevention, Pesticides and Toxic Substances (1998) Product performance test guidelines OPPTS 810.1000 overview, definitions, and general considerations Online. Thursday, </w:t>
      </w:r>
      <w:r>
        <w:rPr>
          <w:rFonts w:ascii="Times New Roman" w:hAnsi="Times New Roman" w:cs="Times New Roman"/>
          <w:sz w:val="24"/>
        </w:rPr>
        <w:t>February</w:t>
      </w:r>
      <w:r w:rsidRPr="004612FE">
        <w:rPr>
          <w:rFonts w:ascii="Times New Roman" w:hAnsi="Times New Roman" w:cs="Times New Roman"/>
          <w:sz w:val="24"/>
        </w:rPr>
        <w:t xml:space="preserve"> </w:t>
      </w:r>
      <w:r>
        <w:rPr>
          <w:rFonts w:ascii="Times New Roman" w:hAnsi="Times New Roman" w:cs="Times New Roman"/>
          <w:sz w:val="24"/>
        </w:rPr>
        <w:t>16</w:t>
      </w:r>
      <w:r w:rsidRPr="004612FE">
        <w:rPr>
          <w:rFonts w:ascii="Times New Roman" w:hAnsi="Times New Roman" w:cs="Times New Roman"/>
          <w:sz w:val="24"/>
        </w:rPr>
        <w:t>, 202</w:t>
      </w:r>
      <w:r>
        <w:rPr>
          <w:rFonts w:ascii="Times New Roman" w:hAnsi="Times New Roman" w:cs="Times New Roman"/>
          <w:sz w:val="24"/>
        </w:rPr>
        <w:t>2</w:t>
      </w:r>
      <w:r w:rsidRPr="004612FE">
        <w:rPr>
          <w:rFonts w:ascii="Times New Roman" w:hAnsi="Times New Roman" w:cs="Times New Roman"/>
          <w:sz w:val="24"/>
        </w:rPr>
        <w:t xml:space="preserve">.  </w:t>
      </w:r>
      <w:r w:rsidRPr="00AD335B">
        <w:rPr>
          <w:rFonts w:ascii="Times New Roman" w:hAnsi="Times New Roman" w:cs="Times New Roman"/>
          <w:sz w:val="24"/>
        </w:rPr>
        <w:t>www.regulations.gov/document/EPA-HQ-OPPT-2009-0150-0002</w:t>
      </w:r>
      <w:r w:rsidRPr="004612FE">
        <w:rPr>
          <w:rFonts w:ascii="Times New Roman" w:hAnsi="Times New Roman" w:cs="Times New Roman"/>
          <w:sz w:val="24"/>
        </w:rPr>
        <w:t>.</w:t>
      </w:r>
    </w:p>
    <w:p w14:paraId="1200D76A" w14:textId="49305B4C" w:rsidR="00537939" w:rsidRDefault="00537939" w:rsidP="00E03E3F">
      <w:pPr>
        <w:spacing w:line="480" w:lineRule="auto"/>
        <w:ind w:left="720" w:hanging="720"/>
        <w:rPr>
          <w:rFonts w:ascii="Times New Roman" w:hAnsi="Times New Roman" w:cs="Times New Roman"/>
          <w:sz w:val="24"/>
        </w:rPr>
      </w:pPr>
      <w:r>
        <w:rPr>
          <w:rFonts w:ascii="Times New Roman" w:hAnsi="Times New Roman" w:cs="Times New Roman"/>
          <w:sz w:val="24"/>
        </w:rPr>
        <w:t xml:space="preserve">US EPA </w:t>
      </w:r>
      <w:r w:rsidR="00FA18DC">
        <w:rPr>
          <w:rFonts w:ascii="Times New Roman" w:hAnsi="Times New Roman" w:cs="Times New Roman"/>
          <w:sz w:val="24"/>
        </w:rPr>
        <w:t xml:space="preserve">Office of </w:t>
      </w:r>
      <w:r>
        <w:rPr>
          <w:rFonts w:ascii="Times New Roman" w:hAnsi="Times New Roman" w:cs="Times New Roman"/>
          <w:sz w:val="24"/>
        </w:rPr>
        <w:t xml:space="preserve">Prevention, Pesticides and Toxic Substances (2008a) Fate, transport and transformation test guidelines OPPTS 835.4100 aerobic soil metabolism. Online. March 8, 2022. </w:t>
      </w:r>
      <w:r w:rsidRPr="00AD335B">
        <w:rPr>
          <w:rFonts w:ascii="Times New Roman" w:hAnsi="Times New Roman" w:cs="Times New Roman"/>
          <w:sz w:val="24"/>
        </w:rPr>
        <w:t>https://www.regulations.gov/document/EPA-HQ-OPPT-2009-0152-0038</w:t>
      </w:r>
      <w:r>
        <w:rPr>
          <w:rFonts w:ascii="Times New Roman" w:hAnsi="Times New Roman" w:cs="Times New Roman"/>
          <w:sz w:val="24"/>
        </w:rPr>
        <w:t xml:space="preserve">. </w:t>
      </w:r>
    </w:p>
    <w:p w14:paraId="5E8F3C94" w14:textId="49738458" w:rsidR="00AF3FE3" w:rsidRDefault="00E03E3F" w:rsidP="00AF3FE3">
      <w:pPr>
        <w:spacing w:line="480" w:lineRule="auto"/>
        <w:ind w:left="720" w:hanging="720"/>
        <w:rPr>
          <w:rFonts w:ascii="Times New Roman" w:hAnsi="Times New Roman" w:cs="Times New Roman"/>
          <w:sz w:val="24"/>
        </w:rPr>
      </w:pPr>
      <w:r w:rsidRPr="004612FE">
        <w:rPr>
          <w:rFonts w:ascii="Times New Roman" w:hAnsi="Times New Roman" w:cs="Times New Roman"/>
          <w:sz w:val="24"/>
        </w:rPr>
        <w:t xml:space="preserve">US EPA </w:t>
      </w:r>
      <w:r w:rsidR="00FA18DC">
        <w:rPr>
          <w:rFonts w:ascii="Times New Roman" w:hAnsi="Times New Roman" w:cs="Times New Roman"/>
          <w:sz w:val="24"/>
        </w:rPr>
        <w:t xml:space="preserve">Office of </w:t>
      </w:r>
      <w:r w:rsidRPr="004612FE">
        <w:rPr>
          <w:rFonts w:ascii="Times New Roman" w:hAnsi="Times New Roman" w:cs="Times New Roman"/>
          <w:sz w:val="24"/>
        </w:rPr>
        <w:t>Prevention, Pesticides and Toxic Substances (2008</w:t>
      </w:r>
      <w:r w:rsidR="00537939">
        <w:rPr>
          <w:rFonts w:ascii="Times New Roman" w:hAnsi="Times New Roman" w:cs="Times New Roman"/>
          <w:sz w:val="24"/>
        </w:rPr>
        <w:t>b</w:t>
      </w:r>
      <w:r w:rsidRPr="004612FE">
        <w:rPr>
          <w:rFonts w:ascii="Times New Roman" w:hAnsi="Times New Roman" w:cs="Times New Roman"/>
          <w:sz w:val="24"/>
        </w:rPr>
        <w:t xml:space="preserve">) Fate, transport and transformation test guidelines OPPTS 835.6100 terrestrial field dissipation. Online. </w:t>
      </w:r>
      <w:r>
        <w:rPr>
          <w:rFonts w:ascii="Times New Roman" w:hAnsi="Times New Roman" w:cs="Times New Roman"/>
          <w:sz w:val="24"/>
        </w:rPr>
        <w:t>February</w:t>
      </w:r>
      <w:r w:rsidRPr="004612FE">
        <w:rPr>
          <w:rFonts w:ascii="Times New Roman" w:hAnsi="Times New Roman" w:cs="Times New Roman"/>
          <w:sz w:val="24"/>
        </w:rPr>
        <w:t xml:space="preserve"> 1</w:t>
      </w:r>
      <w:r>
        <w:rPr>
          <w:rFonts w:ascii="Times New Roman" w:hAnsi="Times New Roman" w:cs="Times New Roman"/>
          <w:sz w:val="24"/>
        </w:rPr>
        <w:t>6</w:t>
      </w:r>
      <w:r w:rsidRPr="004612FE">
        <w:rPr>
          <w:rFonts w:ascii="Times New Roman" w:hAnsi="Times New Roman" w:cs="Times New Roman"/>
          <w:sz w:val="24"/>
        </w:rPr>
        <w:t>, 202</w:t>
      </w:r>
      <w:r>
        <w:rPr>
          <w:rFonts w:ascii="Times New Roman" w:hAnsi="Times New Roman" w:cs="Times New Roman"/>
          <w:sz w:val="24"/>
        </w:rPr>
        <w:t>2</w:t>
      </w:r>
      <w:r w:rsidRPr="004612FE">
        <w:rPr>
          <w:rFonts w:ascii="Times New Roman" w:hAnsi="Times New Roman" w:cs="Times New Roman"/>
          <w:sz w:val="24"/>
        </w:rPr>
        <w:t xml:space="preserve">.  </w:t>
      </w:r>
      <w:r w:rsidR="00FA18DC" w:rsidRPr="00FA18DC">
        <w:rPr>
          <w:rFonts w:ascii="Times New Roman" w:hAnsi="Times New Roman" w:cs="Times New Roman"/>
          <w:sz w:val="24"/>
        </w:rPr>
        <w:t>www.regulations.gov/document/EPA-HQ-OPPT-2009-0152-0040</w:t>
      </w:r>
      <w:r w:rsidRPr="004612FE">
        <w:rPr>
          <w:rFonts w:ascii="Times New Roman" w:hAnsi="Times New Roman" w:cs="Times New Roman"/>
          <w:sz w:val="24"/>
        </w:rPr>
        <w:t>.</w:t>
      </w:r>
    </w:p>
    <w:p w14:paraId="580875CA" w14:textId="12BB3AA2" w:rsidR="00FA18DC" w:rsidRPr="004612FE" w:rsidRDefault="00FA18DC" w:rsidP="00AF3FE3">
      <w:pPr>
        <w:spacing w:line="480" w:lineRule="auto"/>
        <w:ind w:left="720" w:hanging="720"/>
        <w:rPr>
          <w:rFonts w:ascii="Times New Roman" w:hAnsi="Times New Roman" w:cs="Times New Roman"/>
          <w:sz w:val="24"/>
        </w:rPr>
      </w:pPr>
      <w:r>
        <w:rPr>
          <w:rFonts w:ascii="Times New Roman" w:hAnsi="Times New Roman" w:cs="Times New Roman"/>
          <w:sz w:val="24"/>
        </w:rPr>
        <w:t xml:space="preserve">US EPA Office of Prevention Pesticides, and Toxic Substances (2009) Pesticide Fact Sheet: Saflufenacil: New Chemical Tolerances Established. Online. March 31, 2022. </w:t>
      </w:r>
      <w:r w:rsidRPr="00FA18DC">
        <w:rPr>
          <w:rFonts w:ascii="Times New Roman" w:hAnsi="Times New Roman" w:cs="Times New Roman"/>
          <w:sz w:val="24"/>
        </w:rPr>
        <w:t>https://nepis.epa.gov/Exe/ZyPDF.cgi?Dockey=P1008R8C.pdf</w:t>
      </w:r>
      <w:r>
        <w:rPr>
          <w:rFonts w:ascii="Times New Roman" w:hAnsi="Times New Roman" w:cs="Times New Roman"/>
          <w:sz w:val="24"/>
        </w:rPr>
        <w:t>.</w:t>
      </w:r>
    </w:p>
    <w:p w14:paraId="2F605733" w14:textId="080CDE0C" w:rsidR="00E03E3F" w:rsidRDefault="00E03E3F" w:rsidP="00E03E3F">
      <w:pPr>
        <w:spacing w:line="480" w:lineRule="auto"/>
        <w:ind w:left="720" w:hanging="720"/>
        <w:rPr>
          <w:rFonts w:ascii="Times New Roman" w:hAnsi="Times New Roman" w:cs="Times New Roman"/>
          <w:sz w:val="24"/>
        </w:rPr>
      </w:pPr>
      <w:r w:rsidRPr="004612FE">
        <w:rPr>
          <w:rFonts w:ascii="Times New Roman" w:hAnsi="Times New Roman" w:cs="Times New Roman"/>
          <w:sz w:val="24"/>
        </w:rPr>
        <w:t>Walker A (1987) Herbicide persistence in soil. Rev. Weed Science 3:1.</w:t>
      </w:r>
    </w:p>
    <w:p w14:paraId="7A2DC035" w14:textId="0BA1DF27" w:rsidR="0084417F" w:rsidRDefault="0084417F" w:rsidP="0084417F">
      <w:pPr>
        <w:spacing w:line="480" w:lineRule="auto"/>
        <w:ind w:left="720" w:hanging="720"/>
        <w:rPr>
          <w:rFonts w:ascii="Times New Roman" w:hAnsi="Times New Roman" w:cs="Times New Roman"/>
          <w:sz w:val="24"/>
        </w:rPr>
      </w:pPr>
      <w:proofErr w:type="spellStart"/>
      <w:r w:rsidRPr="0084417F">
        <w:rPr>
          <w:rFonts w:ascii="Times New Roman" w:hAnsi="Times New Roman" w:cs="Times New Roman"/>
          <w:sz w:val="24"/>
        </w:rPr>
        <w:t>Westra</w:t>
      </w:r>
      <w:proofErr w:type="spellEnd"/>
      <w:r w:rsidRPr="0084417F">
        <w:rPr>
          <w:rFonts w:ascii="Times New Roman" w:hAnsi="Times New Roman" w:cs="Times New Roman"/>
          <w:sz w:val="24"/>
        </w:rPr>
        <w:t>, EP,</w:t>
      </w:r>
      <w:r>
        <w:rPr>
          <w:rFonts w:ascii="Times New Roman" w:hAnsi="Times New Roman" w:cs="Times New Roman"/>
          <w:sz w:val="24"/>
        </w:rPr>
        <w:t xml:space="preserve"> </w:t>
      </w:r>
      <w:proofErr w:type="spellStart"/>
      <w:r w:rsidRPr="0084417F">
        <w:rPr>
          <w:rFonts w:ascii="Times New Roman" w:hAnsi="Times New Roman" w:cs="Times New Roman"/>
          <w:sz w:val="24"/>
        </w:rPr>
        <w:t>Shaner</w:t>
      </w:r>
      <w:proofErr w:type="spellEnd"/>
      <w:r>
        <w:rPr>
          <w:rFonts w:ascii="Times New Roman" w:hAnsi="Times New Roman" w:cs="Times New Roman"/>
          <w:sz w:val="24"/>
        </w:rPr>
        <w:t xml:space="preserve"> DL</w:t>
      </w:r>
      <w:r w:rsidRPr="0084417F">
        <w:rPr>
          <w:rFonts w:ascii="Times New Roman" w:hAnsi="Times New Roman" w:cs="Times New Roman"/>
          <w:sz w:val="24"/>
        </w:rPr>
        <w:t xml:space="preserve">, </w:t>
      </w:r>
      <w:proofErr w:type="spellStart"/>
      <w:r w:rsidRPr="0084417F">
        <w:rPr>
          <w:rFonts w:ascii="Times New Roman" w:hAnsi="Times New Roman" w:cs="Times New Roman"/>
          <w:sz w:val="24"/>
        </w:rPr>
        <w:t>Westra</w:t>
      </w:r>
      <w:proofErr w:type="spellEnd"/>
      <w:r>
        <w:rPr>
          <w:rFonts w:ascii="Times New Roman" w:hAnsi="Times New Roman" w:cs="Times New Roman"/>
          <w:sz w:val="24"/>
        </w:rPr>
        <w:t xml:space="preserve"> PH</w:t>
      </w:r>
      <w:r w:rsidRPr="0084417F">
        <w:rPr>
          <w:rFonts w:ascii="Times New Roman" w:hAnsi="Times New Roman" w:cs="Times New Roman"/>
          <w:sz w:val="24"/>
        </w:rPr>
        <w:t>, Chapman</w:t>
      </w:r>
      <w:r>
        <w:rPr>
          <w:rFonts w:ascii="Times New Roman" w:hAnsi="Times New Roman" w:cs="Times New Roman"/>
          <w:sz w:val="24"/>
        </w:rPr>
        <w:t xml:space="preserve"> PL</w:t>
      </w:r>
      <w:r w:rsidRPr="0084417F">
        <w:rPr>
          <w:rFonts w:ascii="Times New Roman" w:hAnsi="Times New Roman" w:cs="Times New Roman"/>
          <w:sz w:val="24"/>
        </w:rPr>
        <w:t xml:space="preserve"> (2014) Dissipation and Leaching of Pyroxasulfone and S-Metolachlor. Weed Technology 28:72–81</w:t>
      </w:r>
      <w:r>
        <w:rPr>
          <w:rFonts w:ascii="Times New Roman" w:hAnsi="Times New Roman" w:cs="Times New Roman"/>
          <w:sz w:val="24"/>
        </w:rPr>
        <w:t>.</w:t>
      </w:r>
    </w:p>
    <w:p w14:paraId="5BFA8726" w14:textId="23FDC46A" w:rsidR="00097E5E" w:rsidRPr="0084417F" w:rsidRDefault="00097E5E" w:rsidP="0084417F">
      <w:pPr>
        <w:spacing w:line="480" w:lineRule="auto"/>
        <w:ind w:left="720" w:hanging="720"/>
        <w:rPr>
          <w:rFonts w:ascii="Times New Roman" w:hAnsi="Times New Roman" w:cs="Times New Roman"/>
          <w:sz w:val="24"/>
        </w:rPr>
      </w:pPr>
      <w:proofErr w:type="spellStart"/>
      <w:r>
        <w:rPr>
          <w:rFonts w:ascii="Times New Roman" w:hAnsi="Times New Roman" w:cs="Times New Roman"/>
          <w:sz w:val="24"/>
        </w:rPr>
        <w:lastRenderedPageBreak/>
        <w:t>Westra</w:t>
      </w:r>
      <w:proofErr w:type="spellEnd"/>
      <w:r>
        <w:rPr>
          <w:rFonts w:ascii="Times New Roman" w:hAnsi="Times New Roman" w:cs="Times New Roman"/>
          <w:sz w:val="24"/>
        </w:rPr>
        <w:t xml:space="preserve"> EP, </w:t>
      </w:r>
      <w:proofErr w:type="spellStart"/>
      <w:r>
        <w:rPr>
          <w:rFonts w:ascii="Times New Roman" w:hAnsi="Times New Roman" w:cs="Times New Roman"/>
          <w:sz w:val="24"/>
        </w:rPr>
        <w:t>Shaner</w:t>
      </w:r>
      <w:proofErr w:type="spellEnd"/>
      <w:r>
        <w:rPr>
          <w:rFonts w:ascii="Times New Roman" w:hAnsi="Times New Roman" w:cs="Times New Roman"/>
          <w:sz w:val="24"/>
        </w:rPr>
        <w:t xml:space="preserve"> DL, </w:t>
      </w:r>
      <w:proofErr w:type="spellStart"/>
      <w:r>
        <w:rPr>
          <w:rFonts w:ascii="Times New Roman" w:hAnsi="Times New Roman" w:cs="Times New Roman"/>
          <w:sz w:val="24"/>
        </w:rPr>
        <w:t>Barbarick</w:t>
      </w:r>
      <w:proofErr w:type="spellEnd"/>
      <w:r>
        <w:rPr>
          <w:rFonts w:ascii="Times New Roman" w:hAnsi="Times New Roman" w:cs="Times New Roman"/>
          <w:sz w:val="24"/>
        </w:rPr>
        <w:t xml:space="preserve"> KA, Khosla R (2015) Evaluation of sorption coefficients for pyroxasulfone, s-metolachlor, and dimethenamid-p. Air, Soil and Water Research 8:9-15. </w:t>
      </w:r>
      <w:r w:rsidRPr="00097E5E">
        <w:rPr>
          <w:rFonts w:ascii="Times New Roman" w:hAnsi="Times New Roman" w:cs="Times New Roman"/>
          <w:sz w:val="24"/>
        </w:rPr>
        <w:t>https://doi.org/10.4137/ASWR.S19682</w:t>
      </w:r>
      <w:r>
        <w:rPr>
          <w:rFonts w:ascii="Times New Roman" w:hAnsi="Times New Roman" w:cs="Times New Roman"/>
          <w:sz w:val="24"/>
        </w:rPr>
        <w:t>.</w:t>
      </w:r>
    </w:p>
    <w:p w14:paraId="38D514AC" w14:textId="651C37E4" w:rsidR="00E03E3F" w:rsidRDefault="00E03E3F" w:rsidP="00E03E3F">
      <w:pPr>
        <w:spacing w:line="480" w:lineRule="auto"/>
        <w:ind w:left="720" w:hanging="720"/>
        <w:rPr>
          <w:rFonts w:ascii="Times New Roman" w:hAnsi="Times New Roman" w:cs="Times New Roman"/>
          <w:sz w:val="24"/>
        </w:rPr>
      </w:pPr>
      <w:proofErr w:type="spellStart"/>
      <w:r w:rsidRPr="0005418D">
        <w:rPr>
          <w:rFonts w:ascii="Times New Roman" w:hAnsi="Times New Roman" w:cs="Times New Roman"/>
          <w:sz w:val="24"/>
        </w:rPr>
        <w:t>Westra</w:t>
      </w:r>
      <w:proofErr w:type="spellEnd"/>
      <w:r w:rsidRPr="0005418D">
        <w:rPr>
          <w:rFonts w:ascii="Times New Roman" w:hAnsi="Times New Roman" w:cs="Times New Roman"/>
          <w:sz w:val="24"/>
        </w:rPr>
        <w:t xml:space="preserve"> EP, </w:t>
      </w:r>
      <w:proofErr w:type="spellStart"/>
      <w:r w:rsidRPr="0005418D">
        <w:rPr>
          <w:rFonts w:ascii="Times New Roman" w:hAnsi="Times New Roman" w:cs="Times New Roman"/>
          <w:sz w:val="24"/>
        </w:rPr>
        <w:t>Shaner</w:t>
      </w:r>
      <w:proofErr w:type="spellEnd"/>
      <w:r w:rsidR="00F95C08">
        <w:rPr>
          <w:rFonts w:ascii="Times New Roman" w:hAnsi="Times New Roman" w:cs="Times New Roman"/>
          <w:sz w:val="24"/>
        </w:rPr>
        <w:t xml:space="preserve"> DL</w:t>
      </w:r>
      <w:r w:rsidRPr="0005418D">
        <w:rPr>
          <w:rFonts w:ascii="Times New Roman" w:hAnsi="Times New Roman" w:cs="Times New Roman"/>
          <w:sz w:val="24"/>
        </w:rPr>
        <w:t xml:space="preserve">, </w:t>
      </w:r>
      <w:proofErr w:type="spellStart"/>
      <w:r w:rsidRPr="0005418D">
        <w:rPr>
          <w:rFonts w:ascii="Times New Roman" w:hAnsi="Times New Roman" w:cs="Times New Roman"/>
          <w:sz w:val="24"/>
        </w:rPr>
        <w:t>Westra</w:t>
      </w:r>
      <w:proofErr w:type="spellEnd"/>
      <w:r w:rsidR="00F95C08">
        <w:rPr>
          <w:rFonts w:ascii="Times New Roman" w:hAnsi="Times New Roman" w:cs="Times New Roman"/>
          <w:sz w:val="24"/>
        </w:rPr>
        <w:t xml:space="preserve"> PH</w:t>
      </w:r>
      <w:r w:rsidRPr="0005418D">
        <w:rPr>
          <w:rFonts w:ascii="Times New Roman" w:hAnsi="Times New Roman" w:cs="Times New Roman"/>
          <w:sz w:val="24"/>
        </w:rPr>
        <w:t>, Chapman</w:t>
      </w:r>
      <w:r w:rsidR="00F95C08">
        <w:rPr>
          <w:rFonts w:ascii="Times New Roman" w:hAnsi="Times New Roman" w:cs="Times New Roman"/>
          <w:sz w:val="24"/>
        </w:rPr>
        <w:t xml:space="preserve"> PL</w:t>
      </w:r>
      <w:r w:rsidRPr="0005418D">
        <w:rPr>
          <w:rFonts w:ascii="Times New Roman" w:hAnsi="Times New Roman" w:cs="Times New Roman"/>
          <w:sz w:val="24"/>
        </w:rPr>
        <w:t xml:space="preserve"> (2017) Dissipation and leaching of pyroxasulfone and s-metolachlor. Weed Technology 28:72-81</w:t>
      </w:r>
      <w:r w:rsidR="00E74527">
        <w:rPr>
          <w:rFonts w:ascii="Times New Roman" w:hAnsi="Times New Roman" w:cs="Times New Roman"/>
          <w:sz w:val="24"/>
        </w:rPr>
        <w:t>.</w:t>
      </w:r>
    </w:p>
    <w:p w14:paraId="06991194" w14:textId="7321A1FB" w:rsidR="004D4019" w:rsidRDefault="004D4019" w:rsidP="00E03E3F">
      <w:pPr>
        <w:spacing w:line="480" w:lineRule="auto"/>
        <w:ind w:left="720" w:hanging="720"/>
        <w:rPr>
          <w:rFonts w:ascii="Times New Roman" w:hAnsi="Times New Roman" w:cs="Times New Roman"/>
          <w:sz w:val="24"/>
        </w:rPr>
      </w:pPr>
      <w:r>
        <w:rPr>
          <w:rFonts w:ascii="Times New Roman" w:hAnsi="Times New Roman" w:cs="Times New Roman"/>
          <w:sz w:val="24"/>
        </w:rPr>
        <w:t>William WT, Mueller TC, Hayes RM, Bridges DC, Snipes CE (1999) Comparison of PRZM and GLEAMS computer model predictions with field data for fluometuron and norflurazon behavior in soil. Weed Technology 13:561-570.</w:t>
      </w:r>
    </w:p>
    <w:p w14:paraId="00E31F14" w14:textId="63900459" w:rsidR="00897E69" w:rsidRDefault="00897E69" w:rsidP="00E03E3F">
      <w:pPr>
        <w:spacing w:line="480" w:lineRule="auto"/>
        <w:ind w:left="720" w:hanging="720"/>
        <w:rPr>
          <w:rFonts w:ascii="Times New Roman" w:hAnsi="Times New Roman" w:cs="Times New Roman"/>
          <w:sz w:val="24"/>
        </w:rPr>
      </w:pPr>
      <w:r>
        <w:rPr>
          <w:rFonts w:ascii="Times New Roman" w:hAnsi="Times New Roman" w:cs="Times New Roman"/>
          <w:sz w:val="24"/>
        </w:rPr>
        <w:t>Williams MM, Hausman NE, Moody JL (2017) Vegetable soybean tolerance to pyroxasulfone. Weed Technology 31:416-420.</w:t>
      </w:r>
    </w:p>
    <w:p w14:paraId="759DCCAE" w14:textId="0B3206C4" w:rsidR="00E74527" w:rsidRDefault="00E74527" w:rsidP="00E03E3F">
      <w:pPr>
        <w:spacing w:line="480" w:lineRule="auto"/>
        <w:ind w:left="720" w:hanging="720"/>
        <w:rPr>
          <w:rFonts w:ascii="Times New Roman" w:hAnsi="Times New Roman" w:cs="Times New Roman"/>
          <w:sz w:val="24"/>
        </w:rPr>
      </w:pPr>
      <w:proofErr w:type="spellStart"/>
      <w:r>
        <w:rPr>
          <w:rFonts w:ascii="Times New Roman" w:hAnsi="Times New Roman" w:cs="Times New Roman"/>
          <w:sz w:val="24"/>
        </w:rPr>
        <w:t>Yamaji</w:t>
      </w:r>
      <w:proofErr w:type="spellEnd"/>
      <w:r>
        <w:rPr>
          <w:rFonts w:ascii="Times New Roman" w:hAnsi="Times New Roman" w:cs="Times New Roman"/>
          <w:sz w:val="24"/>
        </w:rPr>
        <w:t xml:space="preserve"> Y, Honda H, Kobayashi M, </w:t>
      </w:r>
      <w:proofErr w:type="spellStart"/>
      <w:r>
        <w:rPr>
          <w:rFonts w:ascii="Times New Roman" w:hAnsi="Times New Roman" w:cs="Times New Roman"/>
          <w:sz w:val="24"/>
        </w:rPr>
        <w:t>Hanai</w:t>
      </w:r>
      <w:proofErr w:type="spellEnd"/>
      <w:r>
        <w:rPr>
          <w:rFonts w:ascii="Times New Roman" w:hAnsi="Times New Roman" w:cs="Times New Roman"/>
          <w:sz w:val="24"/>
        </w:rPr>
        <w:t xml:space="preserve"> R, Inoue J (2014) Weed control efficacy of a novel herbicide, pyroxasulfone. </w:t>
      </w:r>
      <w:r w:rsidRPr="00E74527">
        <w:rPr>
          <w:rFonts w:ascii="Times New Roman" w:hAnsi="Times New Roman" w:cs="Times New Roman"/>
          <w:i/>
          <w:sz w:val="24"/>
        </w:rPr>
        <w:t xml:space="preserve">J. </w:t>
      </w:r>
      <w:proofErr w:type="spellStart"/>
      <w:r w:rsidRPr="00E74527">
        <w:rPr>
          <w:rFonts w:ascii="Times New Roman" w:hAnsi="Times New Roman" w:cs="Times New Roman"/>
          <w:i/>
          <w:sz w:val="24"/>
        </w:rPr>
        <w:t>Pestic</w:t>
      </w:r>
      <w:proofErr w:type="spellEnd"/>
      <w:r w:rsidRPr="00E74527">
        <w:rPr>
          <w:rFonts w:ascii="Times New Roman" w:hAnsi="Times New Roman" w:cs="Times New Roman"/>
          <w:i/>
          <w:sz w:val="24"/>
        </w:rPr>
        <w:t>. Sci</w:t>
      </w:r>
      <w:r>
        <w:rPr>
          <w:rFonts w:ascii="Times New Roman" w:hAnsi="Times New Roman" w:cs="Times New Roman"/>
          <w:sz w:val="24"/>
        </w:rPr>
        <w:t>. 39:165-169.</w:t>
      </w:r>
    </w:p>
    <w:p w14:paraId="11D4045F" w14:textId="7B23FC20" w:rsidR="005F7DE5" w:rsidRPr="005F7DE5" w:rsidRDefault="005F7DE5" w:rsidP="00066E29">
      <w:pPr>
        <w:spacing w:line="480" w:lineRule="auto"/>
        <w:ind w:left="720" w:hanging="720"/>
        <w:rPr>
          <w:rFonts w:ascii="Times New Roman" w:hAnsi="Times New Roman" w:cs="Times New Roman"/>
          <w:bCs/>
          <w:sz w:val="24"/>
        </w:rPr>
        <w:sectPr w:rsidR="005F7DE5" w:rsidRPr="005F7DE5" w:rsidSect="00CA7909">
          <w:pgSz w:w="12240" w:h="15840"/>
          <w:pgMar w:top="1440" w:right="1440" w:bottom="1440" w:left="1440" w:header="720" w:footer="720" w:gutter="0"/>
          <w:cols w:space="720"/>
          <w:docGrid w:linePitch="360"/>
        </w:sectPr>
      </w:pPr>
      <w:r w:rsidRPr="005F7DE5">
        <w:rPr>
          <w:rFonts w:ascii="Times New Roman" w:hAnsi="Times New Roman" w:cs="Times New Roman"/>
          <w:bCs/>
          <w:sz w:val="24"/>
        </w:rPr>
        <w:t>Z</w:t>
      </w:r>
      <w:r>
        <w:rPr>
          <w:rFonts w:ascii="Times New Roman" w:hAnsi="Times New Roman" w:cs="Times New Roman"/>
          <w:bCs/>
          <w:sz w:val="24"/>
        </w:rPr>
        <w:t xml:space="preserve">hang X, Goh KS (2015) Evaluation of three models for simulating pesticide runoff from irrigated </w:t>
      </w:r>
      <w:r w:rsidR="00066E29">
        <w:rPr>
          <w:rFonts w:ascii="Times New Roman" w:hAnsi="Times New Roman" w:cs="Times New Roman"/>
          <w:bCs/>
          <w:sz w:val="24"/>
        </w:rPr>
        <w:t>agricultural fields. Journal of Environmental Quality 44:1809-1820.</w:t>
      </w:r>
    </w:p>
    <w:p w14:paraId="08A09531" w14:textId="29B4C63C" w:rsidR="008E5A16" w:rsidRDefault="008E5A16" w:rsidP="008E5A16">
      <w:pPr>
        <w:spacing w:line="480" w:lineRule="auto"/>
        <w:jc w:val="center"/>
        <w:rPr>
          <w:rFonts w:ascii="Times New Roman" w:hAnsi="Times New Roman" w:cs="Times New Roman"/>
          <w:b/>
          <w:color w:val="000000" w:themeColor="text1"/>
          <w:sz w:val="24"/>
        </w:rPr>
      </w:pPr>
      <w:r w:rsidRPr="00557AF5">
        <w:rPr>
          <w:rFonts w:ascii="Times New Roman" w:hAnsi="Times New Roman" w:cs="Times New Roman"/>
          <w:b/>
          <w:color w:val="000000" w:themeColor="text1"/>
          <w:sz w:val="24"/>
        </w:rPr>
        <w:lastRenderedPageBreak/>
        <w:t>Appendix</w:t>
      </w:r>
    </w:p>
    <w:p w14:paraId="28686E9D" w14:textId="09C143AB" w:rsidR="00DA0C64" w:rsidRPr="00080CEB" w:rsidRDefault="00DA0C64" w:rsidP="0020442A">
      <w:pPr>
        <w:pBdr>
          <w:bottom w:val="single" w:sz="4" w:space="1" w:color="auto"/>
        </w:pBdr>
        <w:spacing w:line="480" w:lineRule="auto"/>
        <w:rPr>
          <w:rFonts w:ascii="Times New Roman" w:hAnsi="Times New Roman" w:cs="Times New Roman"/>
          <w:color w:val="000000" w:themeColor="text1"/>
          <w:sz w:val="24"/>
          <w:vertAlign w:val="superscript"/>
        </w:rPr>
      </w:pPr>
      <w:bookmarkStart w:id="15" w:name="_Toc99089426"/>
      <w:r w:rsidRPr="008E5A16">
        <w:rPr>
          <w:rFonts w:ascii="Times New Roman" w:hAnsi="Times New Roman" w:cs="Times New Roman"/>
          <w:color w:val="000000" w:themeColor="text1"/>
          <w:sz w:val="24"/>
        </w:rPr>
        <w:t xml:space="preserve">Table </w:t>
      </w:r>
      <w:r w:rsidRPr="008E5A16">
        <w:rPr>
          <w:rFonts w:ascii="Times New Roman" w:hAnsi="Times New Roman" w:cs="Times New Roman"/>
          <w:color w:val="000000" w:themeColor="text1"/>
          <w:sz w:val="24"/>
        </w:rPr>
        <w:fldChar w:fldCharType="begin"/>
      </w:r>
      <w:r w:rsidRPr="008E5A16">
        <w:rPr>
          <w:rFonts w:ascii="Times New Roman" w:hAnsi="Times New Roman" w:cs="Times New Roman"/>
          <w:color w:val="000000" w:themeColor="text1"/>
          <w:sz w:val="24"/>
        </w:rPr>
        <w:instrText xml:space="preserve"> SEQ Table \* ARABIC </w:instrText>
      </w:r>
      <w:r w:rsidRPr="008E5A16">
        <w:rPr>
          <w:rFonts w:ascii="Times New Roman" w:hAnsi="Times New Roman" w:cs="Times New Roman"/>
          <w:color w:val="000000" w:themeColor="text1"/>
          <w:sz w:val="24"/>
        </w:rPr>
        <w:fldChar w:fldCharType="separate"/>
      </w:r>
      <w:r w:rsidR="001A53A1">
        <w:rPr>
          <w:rFonts w:ascii="Times New Roman" w:hAnsi="Times New Roman" w:cs="Times New Roman"/>
          <w:noProof/>
          <w:color w:val="000000" w:themeColor="text1"/>
          <w:sz w:val="24"/>
        </w:rPr>
        <w:t>1</w:t>
      </w:r>
      <w:r w:rsidRPr="008E5A16">
        <w:rPr>
          <w:rFonts w:ascii="Times New Roman" w:hAnsi="Times New Roman" w:cs="Times New Roman"/>
          <w:color w:val="000000" w:themeColor="text1"/>
          <w:sz w:val="24"/>
        </w:rPr>
        <w:fldChar w:fldCharType="end"/>
      </w:r>
      <w:r w:rsidRPr="008E5A16">
        <w:rPr>
          <w:rFonts w:ascii="Times New Roman" w:hAnsi="Times New Roman" w:cs="Times New Roman"/>
          <w:color w:val="000000" w:themeColor="text1"/>
          <w:sz w:val="24"/>
        </w:rPr>
        <w:t xml:space="preserve">. Pertinent properties of soils used in dissipation </w:t>
      </w:r>
      <w:proofErr w:type="spellStart"/>
      <w:r w:rsidRPr="008E5A16">
        <w:rPr>
          <w:rFonts w:ascii="Times New Roman" w:hAnsi="Times New Roman" w:cs="Times New Roman"/>
          <w:color w:val="000000" w:themeColor="text1"/>
          <w:sz w:val="24"/>
        </w:rPr>
        <w:t>experiments</w:t>
      </w:r>
      <w:r w:rsidR="00080CEB">
        <w:rPr>
          <w:rFonts w:ascii="Times New Roman" w:hAnsi="Times New Roman" w:cs="Times New Roman"/>
          <w:color w:val="000000" w:themeColor="text1"/>
          <w:sz w:val="24"/>
          <w:vertAlign w:val="superscript"/>
        </w:rPr>
        <w:t>a</w:t>
      </w:r>
      <w:bookmarkEnd w:id="15"/>
      <w:proofErr w:type="spellEnd"/>
    </w:p>
    <w:tbl>
      <w:tblPr>
        <w:tblpPr w:leftFromText="180" w:rightFromText="180" w:vertAnchor="page" w:horzAnchor="margin" w:tblpY="2746"/>
        <w:tblW w:w="0" w:type="auto"/>
        <w:tblCellMar>
          <w:top w:w="15" w:type="dxa"/>
          <w:left w:w="15" w:type="dxa"/>
          <w:bottom w:w="15" w:type="dxa"/>
          <w:right w:w="15" w:type="dxa"/>
        </w:tblCellMar>
        <w:tblLook w:val="04A0" w:firstRow="1" w:lastRow="0" w:firstColumn="1" w:lastColumn="0" w:noHBand="0" w:noVBand="1"/>
      </w:tblPr>
      <w:tblGrid>
        <w:gridCol w:w="1333"/>
        <w:gridCol w:w="1640"/>
        <w:gridCol w:w="426"/>
        <w:gridCol w:w="1321"/>
        <w:gridCol w:w="539"/>
        <w:gridCol w:w="659"/>
        <w:gridCol w:w="470"/>
        <w:gridCol w:w="625"/>
        <w:gridCol w:w="1799"/>
        <w:gridCol w:w="349"/>
        <w:gridCol w:w="504"/>
        <w:gridCol w:w="504"/>
        <w:gridCol w:w="659"/>
        <w:gridCol w:w="572"/>
        <w:gridCol w:w="780"/>
        <w:gridCol w:w="780"/>
      </w:tblGrid>
      <w:tr w:rsidR="0020442A" w:rsidRPr="001505E7" w14:paraId="1F53F1AE" w14:textId="17069FFC" w:rsidTr="0020442A">
        <w:trPr>
          <w:trHeight w:val="360"/>
        </w:trPr>
        <w:tc>
          <w:tcPr>
            <w:tcW w:w="0" w:type="auto"/>
            <w:shd w:val="clear" w:color="auto" w:fill="auto"/>
            <w:vAlign w:val="center"/>
            <w:hideMark/>
          </w:tcPr>
          <w:p w14:paraId="3245C71A" w14:textId="77777777" w:rsidR="00A00F82" w:rsidRPr="001505E7" w:rsidRDefault="00A00F82" w:rsidP="0020442A">
            <w:pPr>
              <w:spacing w:before="100" w:beforeAutospacing="1" w:after="100" w:afterAutospacing="1" w:line="240" w:lineRule="auto"/>
              <w:jc w:val="center"/>
              <w:textAlignment w:val="baseline"/>
              <w:rPr>
                <w:rFonts w:ascii="Times New Roman" w:eastAsia="Times New Roman" w:hAnsi="Times New Roman" w:cs="Times New Roman"/>
                <w:sz w:val="24"/>
                <w:szCs w:val="24"/>
              </w:rPr>
            </w:pPr>
          </w:p>
        </w:tc>
        <w:tc>
          <w:tcPr>
            <w:tcW w:w="0" w:type="auto"/>
            <w:vAlign w:val="center"/>
          </w:tcPr>
          <w:p w14:paraId="39F4045E" w14:textId="77777777" w:rsidR="00A00F82" w:rsidRDefault="00A00F82" w:rsidP="0020442A">
            <w:pPr>
              <w:spacing w:before="100" w:beforeAutospacing="1" w:after="100" w:afterAutospacing="1" w:line="240" w:lineRule="auto"/>
              <w:jc w:val="center"/>
              <w:textAlignment w:val="baseline"/>
              <w:rPr>
                <w:rFonts w:ascii="Times New Roman" w:eastAsia="Times New Roman" w:hAnsi="Times New Roman" w:cs="Times New Roman"/>
                <w:sz w:val="24"/>
                <w:szCs w:val="24"/>
              </w:rPr>
            </w:pPr>
          </w:p>
        </w:tc>
        <w:tc>
          <w:tcPr>
            <w:tcW w:w="0" w:type="auto"/>
            <w:vAlign w:val="center"/>
          </w:tcPr>
          <w:p w14:paraId="13C4D7D5" w14:textId="77777777" w:rsidR="00A00F82" w:rsidRDefault="00A00F82" w:rsidP="0020442A">
            <w:pPr>
              <w:spacing w:before="100" w:beforeAutospacing="1" w:after="100" w:afterAutospacing="1" w:line="240" w:lineRule="auto"/>
              <w:jc w:val="center"/>
              <w:textAlignment w:val="baseline"/>
              <w:rPr>
                <w:rFonts w:ascii="Times New Roman" w:eastAsia="Times New Roman" w:hAnsi="Times New Roman" w:cs="Times New Roman"/>
                <w:sz w:val="24"/>
                <w:szCs w:val="24"/>
              </w:rPr>
            </w:pPr>
          </w:p>
        </w:tc>
        <w:tc>
          <w:tcPr>
            <w:tcW w:w="0" w:type="auto"/>
            <w:vAlign w:val="center"/>
          </w:tcPr>
          <w:p w14:paraId="0198B703" w14:textId="77777777" w:rsidR="00A00F82" w:rsidRDefault="00A00F82" w:rsidP="0020442A">
            <w:pPr>
              <w:spacing w:before="100" w:beforeAutospacing="1" w:after="100" w:afterAutospacing="1" w:line="240" w:lineRule="auto"/>
              <w:jc w:val="center"/>
              <w:textAlignment w:val="baseline"/>
              <w:rPr>
                <w:rFonts w:ascii="Times New Roman" w:eastAsia="Times New Roman" w:hAnsi="Times New Roman" w:cs="Times New Roman"/>
                <w:sz w:val="24"/>
                <w:szCs w:val="24"/>
              </w:rPr>
            </w:pPr>
          </w:p>
        </w:tc>
        <w:tc>
          <w:tcPr>
            <w:tcW w:w="0" w:type="auto"/>
            <w:tcBorders>
              <w:bottom w:val="single" w:sz="4" w:space="0" w:color="auto"/>
            </w:tcBorders>
            <w:shd w:val="clear" w:color="auto" w:fill="auto"/>
            <w:vAlign w:val="bottom"/>
            <w:hideMark/>
          </w:tcPr>
          <w:p w14:paraId="5AB19D25" w14:textId="77777777" w:rsidR="00A00F82" w:rsidRPr="001505E7" w:rsidRDefault="00A00F82" w:rsidP="0020442A">
            <w:pPr>
              <w:spacing w:before="100" w:beforeAutospacing="1" w:after="100" w:afterAutospacing="1" w:line="240" w:lineRule="auto"/>
              <w:jc w:val="center"/>
              <w:textAlignment w:val="baseline"/>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OM</w:t>
            </w:r>
          </w:p>
        </w:tc>
        <w:tc>
          <w:tcPr>
            <w:tcW w:w="0" w:type="auto"/>
            <w:tcBorders>
              <w:bottom w:val="single" w:sz="4" w:space="0" w:color="auto"/>
            </w:tcBorders>
            <w:shd w:val="clear" w:color="auto" w:fill="auto"/>
            <w:vAlign w:val="bottom"/>
            <w:hideMark/>
          </w:tcPr>
          <w:p w14:paraId="6AE670FA" w14:textId="77777777" w:rsidR="00A00F82" w:rsidRPr="001505E7" w:rsidRDefault="00A00F82" w:rsidP="0020442A">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Sand</w:t>
            </w:r>
          </w:p>
        </w:tc>
        <w:tc>
          <w:tcPr>
            <w:tcW w:w="0" w:type="auto"/>
            <w:tcBorders>
              <w:bottom w:val="single" w:sz="4" w:space="0" w:color="auto"/>
            </w:tcBorders>
            <w:shd w:val="clear" w:color="auto" w:fill="auto"/>
            <w:vAlign w:val="bottom"/>
            <w:hideMark/>
          </w:tcPr>
          <w:p w14:paraId="258918A3" w14:textId="77777777" w:rsidR="00A00F82" w:rsidRPr="001505E7" w:rsidRDefault="00A00F82" w:rsidP="0020442A">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Silt</w:t>
            </w:r>
          </w:p>
        </w:tc>
        <w:tc>
          <w:tcPr>
            <w:tcW w:w="0" w:type="auto"/>
            <w:tcBorders>
              <w:bottom w:val="single" w:sz="4" w:space="0" w:color="auto"/>
            </w:tcBorders>
            <w:vAlign w:val="bottom"/>
          </w:tcPr>
          <w:p w14:paraId="1782FBC3" w14:textId="77777777" w:rsidR="00A00F82" w:rsidRDefault="00A00F82" w:rsidP="0020442A">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Clay</w:t>
            </w:r>
          </w:p>
        </w:tc>
        <w:tc>
          <w:tcPr>
            <w:tcW w:w="0" w:type="auto"/>
            <w:vAlign w:val="bottom"/>
          </w:tcPr>
          <w:p w14:paraId="17011373" w14:textId="77777777" w:rsidR="00A00F82" w:rsidRDefault="00A00F82" w:rsidP="0020442A">
            <w:pPr>
              <w:spacing w:before="100" w:beforeAutospacing="1" w:after="100" w:afterAutospacing="1" w:line="240" w:lineRule="auto"/>
              <w:jc w:val="center"/>
              <w:textAlignment w:val="baseline"/>
              <w:rPr>
                <w:rFonts w:ascii="Times New Roman" w:eastAsia="Times New Roman" w:hAnsi="Times New Roman" w:cs="Times New Roman"/>
                <w:sz w:val="24"/>
                <w:szCs w:val="24"/>
              </w:rPr>
            </w:pPr>
          </w:p>
        </w:tc>
        <w:tc>
          <w:tcPr>
            <w:tcW w:w="0" w:type="auto"/>
            <w:tcBorders>
              <w:bottom w:val="single" w:sz="4" w:space="0" w:color="auto"/>
            </w:tcBorders>
            <w:vAlign w:val="bottom"/>
          </w:tcPr>
          <w:p w14:paraId="0EFE48C0" w14:textId="4092148B" w:rsidR="00A00F82" w:rsidRDefault="00072139" w:rsidP="0020442A">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w:t>
            </w:r>
          </w:p>
        </w:tc>
        <w:tc>
          <w:tcPr>
            <w:tcW w:w="0" w:type="auto"/>
            <w:tcBorders>
              <w:bottom w:val="single" w:sz="4" w:space="0" w:color="auto"/>
            </w:tcBorders>
            <w:vAlign w:val="bottom"/>
          </w:tcPr>
          <w:p w14:paraId="4E6DEEF1" w14:textId="6B6F1821" w:rsidR="00A00F82" w:rsidRDefault="00072139" w:rsidP="0020442A">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K</w:t>
            </w:r>
          </w:p>
        </w:tc>
        <w:tc>
          <w:tcPr>
            <w:tcW w:w="0" w:type="auto"/>
            <w:tcBorders>
              <w:bottom w:val="single" w:sz="4" w:space="0" w:color="auto"/>
            </w:tcBorders>
            <w:vAlign w:val="bottom"/>
          </w:tcPr>
          <w:p w14:paraId="16D93DE5" w14:textId="253153A6" w:rsidR="00A00F82" w:rsidRDefault="00072139" w:rsidP="0020442A">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Mg</w:t>
            </w:r>
          </w:p>
        </w:tc>
        <w:tc>
          <w:tcPr>
            <w:tcW w:w="0" w:type="auto"/>
            <w:tcBorders>
              <w:bottom w:val="single" w:sz="4" w:space="0" w:color="auto"/>
            </w:tcBorders>
            <w:vAlign w:val="bottom"/>
          </w:tcPr>
          <w:p w14:paraId="277A3913" w14:textId="7F34C879" w:rsidR="00A00F82" w:rsidRDefault="00072139" w:rsidP="0020442A">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Ca</w:t>
            </w:r>
          </w:p>
        </w:tc>
        <w:tc>
          <w:tcPr>
            <w:tcW w:w="0" w:type="auto"/>
            <w:gridSpan w:val="3"/>
            <w:tcBorders>
              <w:bottom w:val="single" w:sz="4" w:space="0" w:color="auto"/>
            </w:tcBorders>
            <w:vAlign w:val="bottom"/>
          </w:tcPr>
          <w:p w14:paraId="7434531F" w14:textId="3456C0B3" w:rsidR="00A00F82" w:rsidRDefault="00A00F82" w:rsidP="0020442A">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Base Saturation</w:t>
            </w:r>
          </w:p>
        </w:tc>
      </w:tr>
      <w:tr w:rsidR="009A60E8" w:rsidRPr="001505E7" w14:paraId="575B33D4" w14:textId="1665BE88" w:rsidTr="00AA5226">
        <w:trPr>
          <w:trHeight w:val="360"/>
        </w:trPr>
        <w:tc>
          <w:tcPr>
            <w:tcW w:w="0" w:type="auto"/>
            <w:tcBorders>
              <w:bottom w:val="single" w:sz="4" w:space="0" w:color="auto"/>
            </w:tcBorders>
            <w:shd w:val="clear" w:color="auto" w:fill="auto"/>
            <w:vAlign w:val="center"/>
          </w:tcPr>
          <w:p w14:paraId="726B5DF3" w14:textId="6D4AF96D"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Soil</w:t>
            </w:r>
          </w:p>
        </w:tc>
        <w:tc>
          <w:tcPr>
            <w:tcW w:w="0" w:type="auto"/>
            <w:tcBorders>
              <w:bottom w:val="single" w:sz="4" w:space="0" w:color="auto"/>
            </w:tcBorders>
            <w:vAlign w:val="center"/>
          </w:tcPr>
          <w:p w14:paraId="1C0026E5" w14:textId="77777777"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Coordinates</w:t>
            </w:r>
          </w:p>
        </w:tc>
        <w:tc>
          <w:tcPr>
            <w:tcW w:w="0" w:type="auto"/>
            <w:tcBorders>
              <w:bottom w:val="single" w:sz="4" w:space="0" w:color="auto"/>
            </w:tcBorders>
            <w:vAlign w:val="center"/>
          </w:tcPr>
          <w:p w14:paraId="699129AF" w14:textId="77777777"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pH</w:t>
            </w:r>
          </w:p>
        </w:tc>
        <w:tc>
          <w:tcPr>
            <w:tcW w:w="0" w:type="auto"/>
            <w:tcBorders>
              <w:bottom w:val="single" w:sz="4" w:space="0" w:color="auto"/>
            </w:tcBorders>
            <w:vAlign w:val="center"/>
          </w:tcPr>
          <w:p w14:paraId="34B74A4C" w14:textId="77777777" w:rsidR="009A60E8" w:rsidRDefault="009A60E8" w:rsidP="00AA5226">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CEC</w:t>
            </w:r>
          </w:p>
          <w:p w14:paraId="00F91CD5" w14:textId="69A9DE05" w:rsidR="009A60E8" w:rsidRDefault="009A60E8" w:rsidP="00AA5226">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meq</w:t>
            </w:r>
            <w:proofErr w:type="spellEnd"/>
            <w:r>
              <w:rPr>
                <w:rFonts w:ascii="Times New Roman" w:eastAsia="Times New Roman" w:hAnsi="Times New Roman" w:cs="Times New Roman"/>
                <w:sz w:val="24"/>
                <w:szCs w:val="24"/>
              </w:rPr>
              <w:t xml:space="preserve"> 100 g)</w:t>
            </w:r>
          </w:p>
        </w:tc>
        <w:tc>
          <w:tcPr>
            <w:tcW w:w="0" w:type="auto"/>
            <w:gridSpan w:val="4"/>
            <w:tcBorders>
              <w:top w:val="single" w:sz="4" w:space="0" w:color="auto"/>
              <w:bottom w:val="single" w:sz="4" w:space="0" w:color="auto"/>
            </w:tcBorders>
            <w:shd w:val="clear" w:color="auto" w:fill="auto"/>
            <w:vAlign w:val="center"/>
          </w:tcPr>
          <w:p w14:paraId="6FD3CD53" w14:textId="77777777"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0" w:type="auto"/>
            <w:tcBorders>
              <w:bottom w:val="single" w:sz="4" w:space="0" w:color="auto"/>
            </w:tcBorders>
            <w:vAlign w:val="center"/>
          </w:tcPr>
          <w:p w14:paraId="2B78E0F7" w14:textId="77777777"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Soil Texture</w:t>
            </w:r>
          </w:p>
        </w:tc>
        <w:tc>
          <w:tcPr>
            <w:tcW w:w="0" w:type="auto"/>
            <w:gridSpan w:val="4"/>
            <w:tcBorders>
              <w:top w:val="single" w:sz="4" w:space="0" w:color="auto"/>
              <w:bottom w:val="single" w:sz="4" w:space="0" w:color="auto"/>
            </w:tcBorders>
            <w:vAlign w:val="center"/>
          </w:tcPr>
          <w:p w14:paraId="04384E03" w14:textId="2713CD5D" w:rsidR="009A60E8" w:rsidRDefault="009A60E8" w:rsidP="00AA5226">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(ppm)</w:t>
            </w:r>
          </w:p>
        </w:tc>
        <w:tc>
          <w:tcPr>
            <w:tcW w:w="0" w:type="auto"/>
            <w:tcBorders>
              <w:top w:val="single" w:sz="4" w:space="0" w:color="auto"/>
              <w:bottom w:val="single" w:sz="4" w:space="0" w:color="auto"/>
            </w:tcBorders>
            <w:vAlign w:val="center"/>
          </w:tcPr>
          <w:p w14:paraId="2BD4DF7A" w14:textId="14916861"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K</w:t>
            </w:r>
          </w:p>
        </w:tc>
        <w:tc>
          <w:tcPr>
            <w:tcW w:w="0" w:type="auto"/>
            <w:tcBorders>
              <w:top w:val="single" w:sz="4" w:space="0" w:color="auto"/>
              <w:bottom w:val="single" w:sz="4" w:space="0" w:color="auto"/>
            </w:tcBorders>
            <w:vAlign w:val="center"/>
          </w:tcPr>
          <w:p w14:paraId="2AE732EF" w14:textId="274C1235"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Mg</w:t>
            </w:r>
          </w:p>
        </w:tc>
        <w:tc>
          <w:tcPr>
            <w:tcW w:w="0" w:type="auto"/>
            <w:tcBorders>
              <w:top w:val="single" w:sz="4" w:space="0" w:color="auto"/>
              <w:bottom w:val="single" w:sz="4" w:space="0" w:color="auto"/>
            </w:tcBorders>
            <w:vAlign w:val="center"/>
          </w:tcPr>
          <w:p w14:paraId="40954691" w14:textId="794E70B1"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Ca</w:t>
            </w:r>
          </w:p>
        </w:tc>
      </w:tr>
      <w:tr w:rsidR="009A60E8" w:rsidRPr="001505E7" w14:paraId="0463A436" w14:textId="5458E184" w:rsidTr="00AA5226">
        <w:trPr>
          <w:trHeight w:val="720"/>
        </w:trPr>
        <w:tc>
          <w:tcPr>
            <w:tcW w:w="0" w:type="auto"/>
            <w:tcBorders>
              <w:top w:val="single" w:sz="4" w:space="0" w:color="auto"/>
            </w:tcBorders>
            <w:shd w:val="clear" w:color="auto" w:fill="auto"/>
            <w:hideMark/>
          </w:tcPr>
          <w:p w14:paraId="60E02C86" w14:textId="4472E5B8" w:rsidR="009A60E8" w:rsidRPr="001505E7"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Tennessee</w:t>
            </w:r>
          </w:p>
        </w:tc>
        <w:tc>
          <w:tcPr>
            <w:tcW w:w="0" w:type="auto"/>
            <w:tcBorders>
              <w:top w:val="single" w:sz="4" w:space="0" w:color="auto"/>
            </w:tcBorders>
          </w:tcPr>
          <w:p w14:paraId="54882C60" w14:textId="77777777" w:rsidR="009A60E8" w:rsidRDefault="009A60E8" w:rsidP="00AA5226">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35.97567 N,</w:t>
            </w:r>
          </w:p>
          <w:p w14:paraId="1318E8B9" w14:textId="16FF2055" w:rsidR="009A60E8" w:rsidRPr="001505E7" w:rsidRDefault="009A60E8" w:rsidP="00AA5226">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-83.85548 W</w:t>
            </w:r>
          </w:p>
        </w:tc>
        <w:tc>
          <w:tcPr>
            <w:tcW w:w="0" w:type="auto"/>
            <w:tcBorders>
              <w:top w:val="single" w:sz="4" w:space="0" w:color="auto"/>
            </w:tcBorders>
          </w:tcPr>
          <w:p w14:paraId="7529F2EC" w14:textId="77777777" w:rsidR="009A60E8" w:rsidRPr="001505E7"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c>
          <w:tcPr>
            <w:tcW w:w="0" w:type="auto"/>
            <w:tcBorders>
              <w:top w:val="single" w:sz="4" w:space="0" w:color="auto"/>
            </w:tcBorders>
          </w:tcPr>
          <w:p w14:paraId="65593354" w14:textId="77777777"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10.7</w:t>
            </w:r>
          </w:p>
        </w:tc>
        <w:tc>
          <w:tcPr>
            <w:tcW w:w="0" w:type="auto"/>
            <w:tcBorders>
              <w:top w:val="single" w:sz="4" w:space="0" w:color="auto"/>
            </w:tcBorders>
            <w:shd w:val="clear" w:color="auto" w:fill="auto"/>
          </w:tcPr>
          <w:p w14:paraId="2A13176D" w14:textId="72DB3A0A" w:rsidR="009A60E8" w:rsidRPr="001505E7"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0" w:type="auto"/>
            <w:tcBorders>
              <w:top w:val="single" w:sz="4" w:space="0" w:color="auto"/>
            </w:tcBorders>
            <w:shd w:val="clear" w:color="auto" w:fill="auto"/>
          </w:tcPr>
          <w:p w14:paraId="39767861" w14:textId="77777777" w:rsidR="009A60E8" w:rsidRPr="001505E7"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0" w:type="auto"/>
            <w:tcBorders>
              <w:top w:val="single" w:sz="4" w:space="0" w:color="auto"/>
            </w:tcBorders>
          </w:tcPr>
          <w:p w14:paraId="10F4FB88" w14:textId="77777777" w:rsidR="009A60E8" w:rsidRPr="001505E7"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0" w:type="auto"/>
            <w:tcBorders>
              <w:top w:val="single" w:sz="4" w:space="0" w:color="auto"/>
            </w:tcBorders>
          </w:tcPr>
          <w:p w14:paraId="21623F2A" w14:textId="77777777" w:rsidR="009A60E8" w:rsidRPr="001505E7"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0" w:type="auto"/>
            <w:tcBorders>
              <w:top w:val="single" w:sz="4" w:space="0" w:color="auto"/>
            </w:tcBorders>
          </w:tcPr>
          <w:p w14:paraId="511DEEEC" w14:textId="77777777"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Clay Loam</w:t>
            </w:r>
          </w:p>
        </w:tc>
        <w:tc>
          <w:tcPr>
            <w:tcW w:w="0" w:type="auto"/>
            <w:tcBorders>
              <w:top w:val="single" w:sz="4" w:space="0" w:color="auto"/>
            </w:tcBorders>
          </w:tcPr>
          <w:p w14:paraId="5109AF51" w14:textId="66A47F71"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0" w:type="auto"/>
            <w:tcBorders>
              <w:top w:val="single" w:sz="4" w:space="0" w:color="auto"/>
            </w:tcBorders>
          </w:tcPr>
          <w:p w14:paraId="146DD46B" w14:textId="6C61F36E"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194</w:t>
            </w:r>
          </w:p>
        </w:tc>
        <w:tc>
          <w:tcPr>
            <w:tcW w:w="0" w:type="auto"/>
            <w:tcBorders>
              <w:top w:val="single" w:sz="4" w:space="0" w:color="auto"/>
            </w:tcBorders>
          </w:tcPr>
          <w:p w14:paraId="1A441EDB" w14:textId="336F88AD"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148</w:t>
            </w:r>
          </w:p>
        </w:tc>
        <w:tc>
          <w:tcPr>
            <w:tcW w:w="0" w:type="auto"/>
            <w:tcBorders>
              <w:top w:val="single" w:sz="4" w:space="0" w:color="auto"/>
            </w:tcBorders>
          </w:tcPr>
          <w:p w14:paraId="7766CC30" w14:textId="6070825A"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1137</w:t>
            </w:r>
          </w:p>
        </w:tc>
        <w:tc>
          <w:tcPr>
            <w:tcW w:w="0" w:type="auto"/>
            <w:tcBorders>
              <w:top w:val="single" w:sz="4" w:space="0" w:color="auto"/>
            </w:tcBorders>
          </w:tcPr>
          <w:p w14:paraId="072073FC" w14:textId="3DBEA50F"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4.6</w:t>
            </w:r>
          </w:p>
        </w:tc>
        <w:tc>
          <w:tcPr>
            <w:tcW w:w="0" w:type="auto"/>
            <w:tcBorders>
              <w:top w:val="single" w:sz="4" w:space="0" w:color="auto"/>
            </w:tcBorders>
          </w:tcPr>
          <w:p w14:paraId="5DFFA34A" w14:textId="66336DB2"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11.5</w:t>
            </w:r>
          </w:p>
        </w:tc>
        <w:tc>
          <w:tcPr>
            <w:tcW w:w="0" w:type="auto"/>
            <w:tcBorders>
              <w:top w:val="single" w:sz="4" w:space="0" w:color="auto"/>
            </w:tcBorders>
          </w:tcPr>
          <w:p w14:paraId="3BF4DA5A" w14:textId="504FFF21"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53.1</w:t>
            </w:r>
          </w:p>
        </w:tc>
      </w:tr>
      <w:tr w:rsidR="009A60E8" w:rsidRPr="001505E7" w14:paraId="36F1ADF0" w14:textId="0383F26C" w:rsidTr="00AA5226">
        <w:trPr>
          <w:trHeight w:val="720"/>
        </w:trPr>
        <w:tc>
          <w:tcPr>
            <w:tcW w:w="0" w:type="auto"/>
            <w:shd w:val="clear" w:color="auto" w:fill="auto"/>
            <w:hideMark/>
          </w:tcPr>
          <w:p w14:paraId="7D9F623D" w14:textId="5026515D" w:rsidR="009A60E8" w:rsidRPr="001505E7"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Georgia</w:t>
            </w:r>
          </w:p>
        </w:tc>
        <w:tc>
          <w:tcPr>
            <w:tcW w:w="0" w:type="auto"/>
          </w:tcPr>
          <w:p w14:paraId="31C48E0B" w14:textId="77777777" w:rsidR="009A60E8" w:rsidRDefault="009A60E8" w:rsidP="00AA5226">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31.50583 N,</w:t>
            </w:r>
          </w:p>
          <w:p w14:paraId="6688A7F5" w14:textId="2F8C3B1D" w:rsidR="009A60E8" w:rsidRPr="001505E7" w:rsidRDefault="009A60E8" w:rsidP="00AA5226">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-83.65611 W</w:t>
            </w:r>
          </w:p>
        </w:tc>
        <w:tc>
          <w:tcPr>
            <w:tcW w:w="0" w:type="auto"/>
          </w:tcPr>
          <w:p w14:paraId="57E1FF95" w14:textId="77777777" w:rsidR="009A60E8" w:rsidRPr="001505E7"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0" w:type="auto"/>
          </w:tcPr>
          <w:p w14:paraId="1416EECB" w14:textId="77777777"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4.6</w:t>
            </w:r>
          </w:p>
        </w:tc>
        <w:tc>
          <w:tcPr>
            <w:tcW w:w="0" w:type="auto"/>
            <w:shd w:val="clear" w:color="auto" w:fill="auto"/>
          </w:tcPr>
          <w:p w14:paraId="4ED3984B" w14:textId="3296D412" w:rsidR="009A60E8" w:rsidRPr="001505E7"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c>
          <w:tcPr>
            <w:tcW w:w="0" w:type="auto"/>
            <w:shd w:val="clear" w:color="auto" w:fill="auto"/>
          </w:tcPr>
          <w:p w14:paraId="26865814" w14:textId="77777777" w:rsidR="009A60E8" w:rsidRPr="001505E7"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82</w:t>
            </w:r>
          </w:p>
        </w:tc>
        <w:tc>
          <w:tcPr>
            <w:tcW w:w="0" w:type="auto"/>
            <w:shd w:val="clear" w:color="auto" w:fill="auto"/>
          </w:tcPr>
          <w:p w14:paraId="0AEDC126" w14:textId="77777777" w:rsidR="009A60E8" w:rsidRPr="001505E7"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0" w:type="auto"/>
          </w:tcPr>
          <w:p w14:paraId="5E178606" w14:textId="77777777" w:rsidR="009A60E8" w:rsidRPr="001505E7"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0" w:type="auto"/>
          </w:tcPr>
          <w:p w14:paraId="477D8F5D" w14:textId="77777777" w:rsidR="009A60E8" w:rsidRPr="001505E7"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Sandy Loam</w:t>
            </w:r>
          </w:p>
        </w:tc>
        <w:tc>
          <w:tcPr>
            <w:tcW w:w="0" w:type="auto"/>
          </w:tcPr>
          <w:p w14:paraId="034C526F" w14:textId="2B16F5F1"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62</w:t>
            </w:r>
          </w:p>
        </w:tc>
        <w:tc>
          <w:tcPr>
            <w:tcW w:w="0" w:type="auto"/>
          </w:tcPr>
          <w:p w14:paraId="05799944" w14:textId="5E6A475D"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0" w:type="auto"/>
          </w:tcPr>
          <w:p w14:paraId="097558BF" w14:textId="695081FD"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0" w:type="auto"/>
          </w:tcPr>
          <w:p w14:paraId="48726591" w14:textId="6CCB3FF4"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530</w:t>
            </w:r>
          </w:p>
        </w:tc>
        <w:tc>
          <w:tcPr>
            <w:tcW w:w="0" w:type="auto"/>
          </w:tcPr>
          <w:p w14:paraId="5628E9EF" w14:textId="3EC6BACF"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7.8</w:t>
            </w:r>
          </w:p>
        </w:tc>
        <w:tc>
          <w:tcPr>
            <w:tcW w:w="0" w:type="auto"/>
          </w:tcPr>
          <w:p w14:paraId="26E7A89E" w14:textId="1B9A0E3B"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c>
          <w:tcPr>
            <w:tcW w:w="0" w:type="auto"/>
          </w:tcPr>
          <w:p w14:paraId="58351DA2" w14:textId="248F8AAF"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57.6</w:t>
            </w:r>
          </w:p>
        </w:tc>
      </w:tr>
      <w:tr w:rsidR="009A60E8" w:rsidRPr="001505E7" w14:paraId="2B9A9A17" w14:textId="7B1015C8" w:rsidTr="00AA5226">
        <w:trPr>
          <w:trHeight w:val="720"/>
        </w:trPr>
        <w:tc>
          <w:tcPr>
            <w:tcW w:w="0" w:type="auto"/>
            <w:tcBorders>
              <w:bottom w:val="single" w:sz="4" w:space="0" w:color="auto"/>
            </w:tcBorders>
            <w:shd w:val="clear" w:color="auto" w:fill="auto"/>
            <w:hideMark/>
          </w:tcPr>
          <w:p w14:paraId="70AAB124" w14:textId="4FA59468" w:rsidR="009A60E8" w:rsidRPr="001505E7"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Illinois</w:t>
            </w:r>
          </w:p>
        </w:tc>
        <w:tc>
          <w:tcPr>
            <w:tcW w:w="0" w:type="auto"/>
            <w:tcBorders>
              <w:bottom w:val="single" w:sz="4" w:space="0" w:color="auto"/>
            </w:tcBorders>
          </w:tcPr>
          <w:p w14:paraId="0CB0A0E0" w14:textId="77777777" w:rsidR="009A60E8" w:rsidRDefault="009A60E8" w:rsidP="00AA5226">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40.66668 N,</w:t>
            </w:r>
          </w:p>
          <w:p w14:paraId="5F5AB3ED" w14:textId="1C4E8E2A" w:rsidR="009A60E8" w:rsidRPr="001505E7" w:rsidRDefault="009A60E8" w:rsidP="00AA5226">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-90.75149 W</w:t>
            </w:r>
          </w:p>
        </w:tc>
        <w:tc>
          <w:tcPr>
            <w:tcW w:w="0" w:type="auto"/>
            <w:tcBorders>
              <w:bottom w:val="single" w:sz="4" w:space="0" w:color="auto"/>
            </w:tcBorders>
          </w:tcPr>
          <w:p w14:paraId="0F71A8E0" w14:textId="77777777" w:rsidR="009A60E8" w:rsidRPr="001505E7"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6.6</w:t>
            </w:r>
          </w:p>
        </w:tc>
        <w:tc>
          <w:tcPr>
            <w:tcW w:w="0" w:type="auto"/>
            <w:tcBorders>
              <w:bottom w:val="single" w:sz="4" w:space="0" w:color="auto"/>
            </w:tcBorders>
          </w:tcPr>
          <w:p w14:paraId="1668455C" w14:textId="77777777"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28.0</w:t>
            </w:r>
          </w:p>
        </w:tc>
        <w:tc>
          <w:tcPr>
            <w:tcW w:w="0" w:type="auto"/>
            <w:tcBorders>
              <w:bottom w:val="single" w:sz="4" w:space="0" w:color="auto"/>
            </w:tcBorders>
            <w:shd w:val="clear" w:color="auto" w:fill="auto"/>
          </w:tcPr>
          <w:p w14:paraId="3939A5CD" w14:textId="455D97D6" w:rsidR="009A60E8" w:rsidRPr="001505E7"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0" w:type="auto"/>
            <w:tcBorders>
              <w:bottom w:val="single" w:sz="4" w:space="0" w:color="auto"/>
            </w:tcBorders>
            <w:shd w:val="clear" w:color="auto" w:fill="auto"/>
          </w:tcPr>
          <w:p w14:paraId="739A78F8" w14:textId="77777777" w:rsidR="009A60E8" w:rsidRPr="001505E7"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0" w:type="auto"/>
            <w:tcBorders>
              <w:bottom w:val="single" w:sz="4" w:space="0" w:color="auto"/>
            </w:tcBorders>
            <w:shd w:val="clear" w:color="auto" w:fill="auto"/>
          </w:tcPr>
          <w:p w14:paraId="081FB796" w14:textId="77777777" w:rsidR="009A60E8" w:rsidRPr="001505E7"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0" w:type="auto"/>
            <w:tcBorders>
              <w:bottom w:val="single" w:sz="4" w:space="0" w:color="auto"/>
            </w:tcBorders>
          </w:tcPr>
          <w:p w14:paraId="43D2A1C6" w14:textId="77777777" w:rsidR="009A60E8" w:rsidRPr="001505E7"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0" w:type="auto"/>
            <w:tcBorders>
              <w:bottom w:val="single" w:sz="4" w:space="0" w:color="auto"/>
            </w:tcBorders>
          </w:tcPr>
          <w:p w14:paraId="0295102F" w14:textId="77777777" w:rsidR="009A60E8" w:rsidRPr="001505E7"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Silty Clay Loam</w:t>
            </w:r>
          </w:p>
        </w:tc>
        <w:tc>
          <w:tcPr>
            <w:tcW w:w="0" w:type="auto"/>
            <w:tcBorders>
              <w:bottom w:val="single" w:sz="4" w:space="0" w:color="auto"/>
            </w:tcBorders>
          </w:tcPr>
          <w:p w14:paraId="6F886EE2" w14:textId="4FD66FC6"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0" w:type="auto"/>
            <w:tcBorders>
              <w:bottom w:val="single" w:sz="4" w:space="0" w:color="auto"/>
            </w:tcBorders>
          </w:tcPr>
          <w:p w14:paraId="102F3C75" w14:textId="1633780B"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270</w:t>
            </w:r>
          </w:p>
        </w:tc>
        <w:tc>
          <w:tcPr>
            <w:tcW w:w="0" w:type="auto"/>
            <w:tcBorders>
              <w:bottom w:val="single" w:sz="4" w:space="0" w:color="auto"/>
            </w:tcBorders>
          </w:tcPr>
          <w:p w14:paraId="50BF05BE" w14:textId="40E29D1C"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626</w:t>
            </w:r>
          </w:p>
        </w:tc>
        <w:tc>
          <w:tcPr>
            <w:tcW w:w="0" w:type="auto"/>
            <w:tcBorders>
              <w:bottom w:val="single" w:sz="4" w:space="0" w:color="auto"/>
            </w:tcBorders>
          </w:tcPr>
          <w:p w14:paraId="4B1BBE57" w14:textId="7BF2B5E0"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4081</w:t>
            </w:r>
          </w:p>
        </w:tc>
        <w:tc>
          <w:tcPr>
            <w:tcW w:w="0" w:type="auto"/>
            <w:tcBorders>
              <w:bottom w:val="single" w:sz="4" w:space="0" w:color="auto"/>
            </w:tcBorders>
          </w:tcPr>
          <w:p w14:paraId="68C377F2" w14:textId="6F0921CF"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0" w:type="auto"/>
            <w:tcBorders>
              <w:bottom w:val="single" w:sz="4" w:space="0" w:color="auto"/>
            </w:tcBorders>
          </w:tcPr>
          <w:p w14:paraId="49C0DD57" w14:textId="086666CF"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18.6</w:t>
            </w:r>
          </w:p>
        </w:tc>
        <w:tc>
          <w:tcPr>
            <w:tcW w:w="0" w:type="auto"/>
            <w:tcBorders>
              <w:bottom w:val="single" w:sz="4" w:space="0" w:color="auto"/>
            </w:tcBorders>
          </w:tcPr>
          <w:p w14:paraId="17D6A213" w14:textId="26DCBE52" w:rsidR="009A60E8" w:rsidRDefault="009A60E8" w:rsidP="00AA5226">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72.9</w:t>
            </w:r>
          </w:p>
        </w:tc>
      </w:tr>
      <w:tr w:rsidR="00A00F82" w:rsidRPr="001505E7" w14:paraId="742FF611" w14:textId="77777777" w:rsidTr="0020442A">
        <w:trPr>
          <w:trHeight w:val="576"/>
        </w:trPr>
        <w:tc>
          <w:tcPr>
            <w:tcW w:w="0" w:type="auto"/>
            <w:gridSpan w:val="16"/>
            <w:tcBorders>
              <w:top w:val="single" w:sz="4" w:space="0" w:color="auto"/>
            </w:tcBorders>
            <w:shd w:val="clear" w:color="auto" w:fill="auto"/>
            <w:vAlign w:val="center"/>
          </w:tcPr>
          <w:p w14:paraId="297A3B65" w14:textId="77777777" w:rsidR="00A00F82" w:rsidRPr="00080CEB" w:rsidRDefault="00A00F82" w:rsidP="0020442A">
            <w:pPr>
              <w:spacing w:before="100" w:beforeAutospacing="1" w:after="100" w:afterAutospacing="1"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a</w:t>
            </w:r>
            <w:r>
              <w:rPr>
                <w:rFonts w:ascii="Times New Roman" w:eastAsia="Times New Roman" w:hAnsi="Times New Roman" w:cs="Times New Roman"/>
                <w:sz w:val="24"/>
                <w:szCs w:val="24"/>
              </w:rPr>
              <w:t xml:space="preserve"> Soil analysis performed by Midwest Laboratories, Omaha, NE (https://midwestlabs.com).</w:t>
            </w:r>
          </w:p>
          <w:p w14:paraId="0921E3E1" w14:textId="64EA97BD" w:rsidR="00A00F82" w:rsidRPr="001505E7" w:rsidRDefault="00A00F82" w:rsidP="0020442A">
            <w:pPr>
              <w:spacing w:before="100" w:beforeAutospacing="1" w:after="100" w:afterAutospacing="1"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Abbreviations: CEC, cation exchange capacity; OM, organic matter content; </w:t>
            </w:r>
            <w:r w:rsidR="0020442A">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 </w:t>
            </w:r>
            <w:r w:rsidR="0020442A">
              <w:rPr>
                <w:rFonts w:ascii="Times New Roman" w:eastAsia="Times New Roman" w:hAnsi="Times New Roman" w:cs="Times New Roman"/>
                <w:sz w:val="24"/>
                <w:szCs w:val="24"/>
              </w:rPr>
              <w:t>phosphorus</w:t>
            </w:r>
            <w:r>
              <w:rPr>
                <w:rFonts w:ascii="Times New Roman" w:eastAsia="Times New Roman" w:hAnsi="Times New Roman" w:cs="Times New Roman"/>
                <w:sz w:val="24"/>
                <w:szCs w:val="24"/>
              </w:rPr>
              <w:t xml:space="preserve">; </w:t>
            </w:r>
            <w:r w:rsidR="0020442A">
              <w:rPr>
                <w:rFonts w:ascii="Times New Roman" w:eastAsia="Times New Roman" w:hAnsi="Times New Roman" w:cs="Times New Roman"/>
                <w:sz w:val="24"/>
                <w:szCs w:val="24"/>
              </w:rPr>
              <w:t>K</w:t>
            </w:r>
            <w:r>
              <w:rPr>
                <w:rFonts w:ascii="Times New Roman" w:eastAsia="Times New Roman" w:hAnsi="Times New Roman" w:cs="Times New Roman"/>
                <w:sz w:val="24"/>
                <w:szCs w:val="24"/>
              </w:rPr>
              <w:t xml:space="preserve">, </w:t>
            </w:r>
            <w:r w:rsidR="0020442A">
              <w:rPr>
                <w:rFonts w:ascii="Times New Roman" w:eastAsia="Times New Roman" w:hAnsi="Times New Roman" w:cs="Times New Roman"/>
                <w:sz w:val="24"/>
                <w:szCs w:val="24"/>
              </w:rPr>
              <w:t>potassium</w:t>
            </w:r>
            <w:r>
              <w:rPr>
                <w:rFonts w:ascii="Times New Roman" w:eastAsia="Times New Roman" w:hAnsi="Times New Roman" w:cs="Times New Roman"/>
                <w:sz w:val="24"/>
                <w:szCs w:val="24"/>
              </w:rPr>
              <w:t xml:space="preserve">; </w:t>
            </w:r>
            <w:r w:rsidR="0020442A">
              <w:rPr>
                <w:rFonts w:ascii="Times New Roman" w:eastAsia="Times New Roman" w:hAnsi="Times New Roman" w:cs="Times New Roman"/>
                <w:sz w:val="24"/>
                <w:szCs w:val="24"/>
              </w:rPr>
              <w:t>Mg</w:t>
            </w:r>
            <w:r>
              <w:rPr>
                <w:rFonts w:ascii="Times New Roman" w:eastAsia="Times New Roman" w:hAnsi="Times New Roman" w:cs="Times New Roman"/>
                <w:sz w:val="24"/>
                <w:szCs w:val="24"/>
              </w:rPr>
              <w:t xml:space="preserve">, </w:t>
            </w:r>
            <w:r w:rsidR="0020442A">
              <w:rPr>
                <w:rFonts w:ascii="Times New Roman" w:eastAsia="Times New Roman" w:hAnsi="Times New Roman" w:cs="Times New Roman"/>
                <w:sz w:val="24"/>
                <w:szCs w:val="24"/>
              </w:rPr>
              <w:t>magnesium; Ca, calcium</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meq</w:t>
            </w:r>
            <w:proofErr w:type="spellEnd"/>
            <w:r>
              <w:rPr>
                <w:rFonts w:ascii="Times New Roman" w:eastAsia="Times New Roman" w:hAnsi="Times New Roman" w:cs="Times New Roman"/>
                <w:sz w:val="24"/>
                <w:szCs w:val="24"/>
              </w:rPr>
              <w:t>, milliequivalents</w:t>
            </w:r>
          </w:p>
        </w:tc>
      </w:tr>
    </w:tbl>
    <w:p w14:paraId="60B6669B" w14:textId="6927B275" w:rsidR="00256047" w:rsidRPr="00557AF5" w:rsidRDefault="00256047" w:rsidP="00557AF5">
      <w:pPr>
        <w:pStyle w:val="Heading2"/>
        <w:jc w:val="center"/>
        <w:rPr>
          <w:rFonts w:ascii="Times New Roman" w:eastAsia="Times New Roman" w:hAnsi="Times New Roman" w:cs="Times New Roman"/>
          <w:b/>
          <w:color w:val="000000" w:themeColor="text1"/>
          <w:sz w:val="24"/>
        </w:rPr>
        <w:sectPr w:rsidR="00256047" w:rsidRPr="00557AF5" w:rsidSect="00CA7909">
          <w:pgSz w:w="15840" w:h="12240" w:orient="landscape"/>
          <w:pgMar w:top="1440" w:right="1440" w:bottom="1440" w:left="1440" w:header="720" w:footer="720" w:gutter="0"/>
          <w:cols w:space="720"/>
          <w:docGrid w:linePitch="360"/>
        </w:sectPr>
      </w:pPr>
    </w:p>
    <w:p w14:paraId="5CCE2030" w14:textId="00080DEC" w:rsidR="008E5A16" w:rsidRPr="008E5A16" w:rsidRDefault="008E5A16" w:rsidP="008E5A16">
      <w:pPr>
        <w:pStyle w:val="Caption"/>
        <w:keepNext/>
        <w:rPr>
          <w:rFonts w:ascii="Times New Roman" w:hAnsi="Times New Roman" w:cs="Times New Roman"/>
          <w:i w:val="0"/>
          <w:color w:val="000000" w:themeColor="text1"/>
          <w:sz w:val="24"/>
        </w:rPr>
      </w:pPr>
      <w:bookmarkStart w:id="16" w:name="_Toc99089427"/>
      <w:r w:rsidRPr="008E5A16">
        <w:rPr>
          <w:rFonts w:ascii="Times New Roman" w:hAnsi="Times New Roman" w:cs="Times New Roman"/>
          <w:i w:val="0"/>
          <w:color w:val="000000" w:themeColor="text1"/>
          <w:sz w:val="24"/>
        </w:rPr>
        <w:lastRenderedPageBreak/>
        <w:t xml:space="preserve">Table </w:t>
      </w:r>
      <w:r w:rsidRPr="008E5A16">
        <w:rPr>
          <w:rFonts w:ascii="Times New Roman" w:hAnsi="Times New Roman" w:cs="Times New Roman"/>
          <w:i w:val="0"/>
          <w:color w:val="000000" w:themeColor="text1"/>
          <w:sz w:val="24"/>
        </w:rPr>
        <w:fldChar w:fldCharType="begin"/>
      </w:r>
      <w:r w:rsidRPr="008E5A16">
        <w:rPr>
          <w:rFonts w:ascii="Times New Roman" w:hAnsi="Times New Roman" w:cs="Times New Roman"/>
          <w:i w:val="0"/>
          <w:color w:val="000000" w:themeColor="text1"/>
          <w:sz w:val="24"/>
        </w:rPr>
        <w:instrText xml:space="preserve"> SEQ Table \* ARABIC </w:instrText>
      </w:r>
      <w:r w:rsidRPr="008E5A16">
        <w:rPr>
          <w:rFonts w:ascii="Times New Roman" w:hAnsi="Times New Roman" w:cs="Times New Roman"/>
          <w:i w:val="0"/>
          <w:color w:val="000000" w:themeColor="text1"/>
          <w:sz w:val="24"/>
        </w:rPr>
        <w:fldChar w:fldCharType="separate"/>
      </w:r>
      <w:r w:rsidR="001A53A1">
        <w:rPr>
          <w:rFonts w:ascii="Times New Roman" w:hAnsi="Times New Roman" w:cs="Times New Roman"/>
          <w:i w:val="0"/>
          <w:noProof/>
          <w:color w:val="000000" w:themeColor="text1"/>
          <w:sz w:val="24"/>
        </w:rPr>
        <w:t>2</w:t>
      </w:r>
      <w:r w:rsidRPr="008E5A16">
        <w:rPr>
          <w:rFonts w:ascii="Times New Roman" w:hAnsi="Times New Roman" w:cs="Times New Roman"/>
          <w:i w:val="0"/>
          <w:color w:val="000000" w:themeColor="text1"/>
          <w:sz w:val="24"/>
        </w:rPr>
        <w:fldChar w:fldCharType="end"/>
      </w:r>
      <w:r w:rsidRPr="008E5A16">
        <w:rPr>
          <w:rFonts w:ascii="Times New Roman" w:hAnsi="Times New Roman" w:cs="Times New Roman"/>
          <w:i w:val="0"/>
          <w:color w:val="000000" w:themeColor="text1"/>
          <w:sz w:val="24"/>
        </w:rPr>
        <w:t>. Liquid chromatography - mass spectrometry methods for atrazine, pyroxasulfone, and sa</w:t>
      </w:r>
      <w:r>
        <w:rPr>
          <w:rFonts w:ascii="Times New Roman" w:hAnsi="Times New Roman" w:cs="Times New Roman"/>
          <w:i w:val="0"/>
          <w:color w:val="000000" w:themeColor="text1"/>
          <w:sz w:val="24"/>
        </w:rPr>
        <w:t>flu</w:t>
      </w:r>
      <w:r w:rsidRPr="008E5A16">
        <w:rPr>
          <w:rFonts w:ascii="Times New Roman" w:hAnsi="Times New Roman" w:cs="Times New Roman"/>
          <w:i w:val="0"/>
          <w:color w:val="000000" w:themeColor="text1"/>
          <w:sz w:val="24"/>
        </w:rPr>
        <w:t>fenacil</w:t>
      </w:r>
      <w:bookmarkEnd w:id="16"/>
    </w:p>
    <w:tbl>
      <w:tblPr>
        <w:tblpPr w:leftFromText="180" w:rightFromText="180" w:tblpY="735"/>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490"/>
        <w:gridCol w:w="241"/>
        <w:gridCol w:w="1874"/>
        <w:gridCol w:w="2999"/>
        <w:gridCol w:w="2356"/>
      </w:tblGrid>
      <w:tr w:rsidR="00265101" w:rsidRPr="00265101" w14:paraId="059B241A" w14:textId="77777777" w:rsidTr="008E5A16">
        <w:trPr>
          <w:trHeight w:val="360"/>
        </w:trPr>
        <w:tc>
          <w:tcPr>
            <w:tcW w:w="2211" w:type="pct"/>
            <w:gridSpan w:val="2"/>
            <w:tcBorders>
              <w:top w:val="single" w:sz="6" w:space="0" w:color="auto"/>
              <w:left w:val="nil"/>
              <w:bottom w:val="single" w:sz="6" w:space="0" w:color="auto"/>
              <w:right w:val="nil"/>
            </w:tcBorders>
            <w:shd w:val="clear" w:color="auto" w:fill="auto"/>
            <w:vAlign w:val="center"/>
            <w:hideMark/>
          </w:tcPr>
          <w:p w14:paraId="1C808254" w14:textId="031F0D56" w:rsidR="00265101" w:rsidRPr="00265101" w:rsidRDefault="00265101" w:rsidP="008E5A16">
            <w:pPr>
              <w:spacing w:before="100" w:beforeAutospacing="1" w:after="100" w:afterAutospacing="1" w:line="360" w:lineRule="auto"/>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Parameters</w:t>
            </w:r>
          </w:p>
        </w:tc>
        <w:tc>
          <w:tcPr>
            <w:tcW w:w="723" w:type="pct"/>
            <w:tcBorders>
              <w:top w:val="single" w:sz="6" w:space="0" w:color="auto"/>
              <w:left w:val="nil"/>
              <w:bottom w:val="single" w:sz="6" w:space="0" w:color="auto"/>
              <w:right w:val="nil"/>
            </w:tcBorders>
            <w:shd w:val="clear" w:color="auto" w:fill="auto"/>
            <w:vAlign w:val="center"/>
            <w:hideMark/>
          </w:tcPr>
          <w:p w14:paraId="091485A5" w14:textId="594F4ED1"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Atrazine</w:t>
            </w:r>
          </w:p>
        </w:tc>
        <w:tc>
          <w:tcPr>
            <w:tcW w:w="1157" w:type="pct"/>
            <w:tcBorders>
              <w:top w:val="single" w:sz="6" w:space="0" w:color="auto"/>
              <w:left w:val="nil"/>
              <w:bottom w:val="single" w:sz="6" w:space="0" w:color="auto"/>
              <w:right w:val="nil"/>
            </w:tcBorders>
            <w:shd w:val="clear" w:color="auto" w:fill="auto"/>
            <w:vAlign w:val="center"/>
            <w:hideMark/>
          </w:tcPr>
          <w:p w14:paraId="7357B619" w14:textId="528F9912"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Pyroxasulfone</w:t>
            </w:r>
          </w:p>
        </w:tc>
        <w:tc>
          <w:tcPr>
            <w:tcW w:w="909" w:type="pct"/>
            <w:tcBorders>
              <w:top w:val="single" w:sz="6" w:space="0" w:color="auto"/>
              <w:left w:val="nil"/>
              <w:bottom w:val="single" w:sz="6" w:space="0" w:color="auto"/>
              <w:right w:val="nil"/>
            </w:tcBorders>
            <w:shd w:val="clear" w:color="auto" w:fill="auto"/>
            <w:vAlign w:val="center"/>
            <w:hideMark/>
          </w:tcPr>
          <w:p w14:paraId="06F1CEE7" w14:textId="69F01CA8"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Saflufenacil</w:t>
            </w:r>
          </w:p>
        </w:tc>
      </w:tr>
      <w:tr w:rsidR="00265101" w:rsidRPr="00265101" w14:paraId="7900199F" w14:textId="77777777" w:rsidTr="008E5A16">
        <w:trPr>
          <w:trHeight w:val="360"/>
        </w:trPr>
        <w:tc>
          <w:tcPr>
            <w:tcW w:w="2118" w:type="pct"/>
            <w:tcBorders>
              <w:top w:val="single" w:sz="6" w:space="0" w:color="auto"/>
              <w:left w:val="nil"/>
              <w:bottom w:val="nil"/>
              <w:right w:val="nil"/>
            </w:tcBorders>
            <w:shd w:val="clear" w:color="auto" w:fill="auto"/>
            <w:hideMark/>
          </w:tcPr>
          <w:p w14:paraId="2BC4A50E" w14:textId="77777777" w:rsidR="00265101" w:rsidRPr="00265101" w:rsidRDefault="00265101" w:rsidP="008E5A16">
            <w:pPr>
              <w:spacing w:before="100" w:beforeAutospacing="1" w:after="100" w:afterAutospacing="1" w:line="360" w:lineRule="auto"/>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Mobile phase flow </w:t>
            </w:r>
          </w:p>
        </w:tc>
        <w:tc>
          <w:tcPr>
            <w:tcW w:w="816" w:type="pct"/>
            <w:gridSpan w:val="2"/>
            <w:tcBorders>
              <w:top w:val="single" w:sz="6" w:space="0" w:color="auto"/>
              <w:left w:val="nil"/>
              <w:bottom w:val="nil"/>
              <w:right w:val="nil"/>
            </w:tcBorders>
            <w:shd w:val="clear" w:color="auto" w:fill="auto"/>
            <w:hideMark/>
          </w:tcPr>
          <w:p w14:paraId="31FCD8FD"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17FFA2C6">
              <w:rPr>
                <w:rFonts w:ascii="Times New Roman" w:eastAsia="Times New Roman" w:hAnsi="Times New Roman" w:cs="Times New Roman"/>
                <w:sz w:val="24"/>
                <w:szCs w:val="24"/>
              </w:rPr>
              <w:t xml:space="preserve">0.3 mL </w:t>
            </w:r>
            <w:bookmarkStart w:id="17" w:name="_Int_uq6Ck1zJ"/>
            <w:r w:rsidRPr="17FFA2C6">
              <w:rPr>
                <w:rFonts w:ascii="Times New Roman" w:eastAsia="Times New Roman" w:hAnsi="Times New Roman" w:cs="Times New Roman"/>
                <w:sz w:val="24"/>
                <w:szCs w:val="24"/>
              </w:rPr>
              <w:t>min</w:t>
            </w:r>
            <w:r w:rsidRPr="17FFA2C6">
              <w:rPr>
                <w:rFonts w:ascii="Times New Roman" w:eastAsia="Times New Roman" w:hAnsi="Times New Roman" w:cs="Times New Roman"/>
                <w:sz w:val="19"/>
                <w:szCs w:val="19"/>
                <w:vertAlign w:val="superscript"/>
              </w:rPr>
              <w:t>-1</w:t>
            </w:r>
            <w:bookmarkEnd w:id="17"/>
            <w:r w:rsidRPr="17FFA2C6">
              <w:rPr>
                <w:rFonts w:ascii="Times New Roman" w:eastAsia="Times New Roman" w:hAnsi="Times New Roman" w:cs="Times New Roman"/>
                <w:sz w:val="19"/>
                <w:szCs w:val="19"/>
              </w:rPr>
              <w:t> </w:t>
            </w:r>
          </w:p>
        </w:tc>
        <w:tc>
          <w:tcPr>
            <w:tcW w:w="1157" w:type="pct"/>
            <w:tcBorders>
              <w:top w:val="single" w:sz="6" w:space="0" w:color="auto"/>
              <w:left w:val="nil"/>
              <w:bottom w:val="nil"/>
              <w:right w:val="nil"/>
            </w:tcBorders>
            <w:shd w:val="clear" w:color="auto" w:fill="auto"/>
            <w:hideMark/>
          </w:tcPr>
          <w:p w14:paraId="4C1D1FA7"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17FFA2C6">
              <w:rPr>
                <w:rFonts w:ascii="Times New Roman" w:eastAsia="Times New Roman" w:hAnsi="Times New Roman" w:cs="Times New Roman"/>
                <w:sz w:val="24"/>
                <w:szCs w:val="24"/>
              </w:rPr>
              <w:t xml:space="preserve">0.3 mL </w:t>
            </w:r>
            <w:bookmarkStart w:id="18" w:name="_Int_TJC169Ap"/>
            <w:r w:rsidRPr="17FFA2C6">
              <w:rPr>
                <w:rFonts w:ascii="Times New Roman" w:eastAsia="Times New Roman" w:hAnsi="Times New Roman" w:cs="Times New Roman"/>
                <w:sz w:val="24"/>
                <w:szCs w:val="24"/>
              </w:rPr>
              <w:t>min</w:t>
            </w:r>
            <w:r w:rsidRPr="17FFA2C6">
              <w:rPr>
                <w:rFonts w:ascii="Times New Roman" w:eastAsia="Times New Roman" w:hAnsi="Times New Roman" w:cs="Times New Roman"/>
                <w:sz w:val="19"/>
                <w:szCs w:val="19"/>
                <w:vertAlign w:val="superscript"/>
              </w:rPr>
              <w:t>-1</w:t>
            </w:r>
            <w:bookmarkEnd w:id="18"/>
            <w:r w:rsidRPr="17FFA2C6">
              <w:rPr>
                <w:rFonts w:ascii="Times New Roman" w:eastAsia="Times New Roman" w:hAnsi="Times New Roman" w:cs="Times New Roman"/>
                <w:sz w:val="19"/>
                <w:szCs w:val="19"/>
              </w:rPr>
              <w:t> </w:t>
            </w:r>
          </w:p>
        </w:tc>
        <w:tc>
          <w:tcPr>
            <w:tcW w:w="909" w:type="pct"/>
            <w:tcBorders>
              <w:top w:val="single" w:sz="6" w:space="0" w:color="auto"/>
              <w:left w:val="nil"/>
              <w:bottom w:val="nil"/>
              <w:right w:val="nil"/>
            </w:tcBorders>
            <w:shd w:val="clear" w:color="auto" w:fill="auto"/>
            <w:hideMark/>
          </w:tcPr>
          <w:p w14:paraId="145416EC"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17FFA2C6">
              <w:rPr>
                <w:rFonts w:ascii="Times New Roman" w:eastAsia="Times New Roman" w:hAnsi="Times New Roman" w:cs="Times New Roman"/>
                <w:sz w:val="24"/>
                <w:szCs w:val="24"/>
              </w:rPr>
              <w:t xml:space="preserve">0.3 mL </w:t>
            </w:r>
            <w:bookmarkStart w:id="19" w:name="_Int_PyySxdM5"/>
            <w:r w:rsidRPr="17FFA2C6">
              <w:rPr>
                <w:rFonts w:ascii="Times New Roman" w:eastAsia="Times New Roman" w:hAnsi="Times New Roman" w:cs="Times New Roman"/>
                <w:sz w:val="24"/>
                <w:szCs w:val="24"/>
              </w:rPr>
              <w:t>min</w:t>
            </w:r>
            <w:r w:rsidRPr="17FFA2C6">
              <w:rPr>
                <w:rFonts w:ascii="Times New Roman" w:eastAsia="Times New Roman" w:hAnsi="Times New Roman" w:cs="Times New Roman"/>
                <w:sz w:val="19"/>
                <w:szCs w:val="19"/>
                <w:vertAlign w:val="superscript"/>
              </w:rPr>
              <w:t>-1</w:t>
            </w:r>
            <w:bookmarkEnd w:id="19"/>
            <w:r w:rsidRPr="17FFA2C6">
              <w:rPr>
                <w:rFonts w:ascii="Times New Roman" w:eastAsia="Times New Roman" w:hAnsi="Times New Roman" w:cs="Times New Roman"/>
                <w:sz w:val="19"/>
                <w:szCs w:val="19"/>
              </w:rPr>
              <w:t> </w:t>
            </w:r>
          </w:p>
        </w:tc>
      </w:tr>
      <w:tr w:rsidR="00265101" w:rsidRPr="00265101" w14:paraId="4D1C5632" w14:textId="77777777" w:rsidTr="008E5A16">
        <w:trPr>
          <w:trHeight w:val="360"/>
        </w:trPr>
        <w:tc>
          <w:tcPr>
            <w:tcW w:w="2211" w:type="pct"/>
            <w:gridSpan w:val="2"/>
            <w:tcBorders>
              <w:top w:val="nil"/>
              <w:left w:val="nil"/>
              <w:bottom w:val="nil"/>
              <w:right w:val="nil"/>
            </w:tcBorders>
            <w:shd w:val="clear" w:color="auto" w:fill="auto"/>
            <w:hideMark/>
          </w:tcPr>
          <w:p w14:paraId="13E3EA51" w14:textId="77777777" w:rsidR="00265101" w:rsidRPr="00265101" w:rsidRDefault="00265101" w:rsidP="008E5A16">
            <w:pPr>
              <w:spacing w:before="100" w:beforeAutospacing="1" w:after="100" w:afterAutospacing="1" w:line="360" w:lineRule="auto"/>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Mode of operation </w:t>
            </w:r>
          </w:p>
        </w:tc>
        <w:tc>
          <w:tcPr>
            <w:tcW w:w="723" w:type="pct"/>
            <w:tcBorders>
              <w:top w:val="nil"/>
              <w:left w:val="nil"/>
              <w:bottom w:val="nil"/>
              <w:right w:val="nil"/>
            </w:tcBorders>
            <w:shd w:val="clear" w:color="auto" w:fill="auto"/>
            <w:hideMark/>
          </w:tcPr>
          <w:p w14:paraId="29A0DB27"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positive </w:t>
            </w:r>
          </w:p>
        </w:tc>
        <w:tc>
          <w:tcPr>
            <w:tcW w:w="1157" w:type="pct"/>
            <w:tcBorders>
              <w:top w:val="nil"/>
              <w:left w:val="nil"/>
              <w:bottom w:val="nil"/>
              <w:right w:val="nil"/>
            </w:tcBorders>
            <w:shd w:val="clear" w:color="auto" w:fill="auto"/>
            <w:hideMark/>
          </w:tcPr>
          <w:p w14:paraId="1B0423B6"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positive </w:t>
            </w:r>
          </w:p>
        </w:tc>
        <w:tc>
          <w:tcPr>
            <w:tcW w:w="909" w:type="pct"/>
            <w:tcBorders>
              <w:top w:val="nil"/>
              <w:left w:val="nil"/>
              <w:bottom w:val="nil"/>
              <w:right w:val="nil"/>
            </w:tcBorders>
            <w:shd w:val="clear" w:color="auto" w:fill="auto"/>
            <w:hideMark/>
          </w:tcPr>
          <w:p w14:paraId="08DACDF8"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positive </w:t>
            </w:r>
          </w:p>
        </w:tc>
      </w:tr>
      <w:tr w:rsidR="00265101" w:rsidRPr="00265101" w14:paraId="0F6803A4" w14:textId="77777777" w:rsidTr="008E5A16">
        <w:trPr>
          <w:trHeight w:val="360"/>
        </w:trPr>
        <w:tc>
          <w:tcPr>
            <w:tcW w:w="2211" w:type="pct"/>
            <w:gridSpan w:val="2"/>
            <w:tcBorders>
              <w:top w:val="nil"/>
              <w:left w:val="nil"/>
              <w:bottom w:val="nil"/>
              <w:right w:val="nil"/>
            </w:tcBorders>
            <w:shd w:val="clear" w:color="auto" w:fill="auto"/>
            <w:hideMark/>
          </w:tcPr>
          <w:p w14:paraId="5323915B" w14:textId="77777777" w:rsidR="00265101" w:rsidRPr="00265101" w:rsidRDefault="00265101" w:rsidP="008E5A16">
            <w:pPr>
              <w:spacing w:before="100" w:beforeAutospacing="1" w:after="100" w:afterAutospacing="1" w:line="360" w:lineRule="auto"/>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Gas temp </w:t>
            </w:r>
          </w:p>
        </w:tc>
        <w:tc>
          <w:tcPr>
            <w:tcW w:w="723" w:type="pct"/>
            <w:tcBorders>
              <w:top w:val="nil"/>
              <w:left w:val="nil"/>
              <w:bottom w:val="nil"/>
              <w:right w:val="nil"/>
            </w:tcBorders>
            <w:shd w:val="clear" w:color="auto" w:fill="auto"/>
            <w:hideMark/>
          </w:tcPr>
          <w:p w14:paraId="168C3E0E"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250 C </w:t>
            </w:r>
          </w:p>
        </w:tc>
        <w:tc>
          <w:tcPr>
            <w:tcW w:w="1157" w:type="pct"/>
            <w:tcBorders>
              <w:top w:val="nil"/>
              <w:left w:val="nil"/>
              <w:bottom w:val="nil"/>
              <w:right w:val="nil"/>
            </w:tcBorders>
            <w:shd w:val="clear" w:color="auto" w:fill="auto"/>
            <w:hideMark/>
          </w:tcPr>
          <w:p w14:paraId="1D356B71"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350 C </w:t>
            </w:r>
          </w:p>
        </w:tc>
        <w:tc>
          <w:tcPr>
            <w:tcW w:w="909" w:type="pct"/>
            <w:tcBorders>
              <w:top w:val="nil"/>
              <w:left w:val="nil"/>
              <w:bottom w:val="nil"/>
              <w:right w:val="nil"/>
            </w:tcBorders>
            <w:shd w:val="clear" w:color="auto" w:fill="auto"/>
            <w:hideMark/>
          </w:tcPr>
          <w:p w14:paraId="2567850D"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350 C </w:t>
            </w:r>
          </w:p>
        </w:tc>
      </w:tr>
      <w:tr w:rsidR="00265101" w:rsidRPr="00265101" w14:paraId="641EA5B0" w14:textId="77777777" w:rsidTr="008E5A16">
        <w:trPr>
          <w:trHeight w:val="360"/>
        </w:trPr>
        <w:tc>
          <w:tcPr>
            <w:tcW w:w="2211" w:type="pct"/>
            <w:gridSpan w:val="2"/>
            <w:tcBorders>
              <w:top w:val="nil"/>
              <w:left w:val="nil"/>
              <w:bottom w:val="nil"/>
              <w:right w:val="nil"/>
            </w:tcBorders>
            <w:shd w:val="clear" w:color="auto" w:fill="auto"/>
            <w:hideMark/>
          </w:tcPr>
          <w:p w14:paraId="24605BBC" w14:textId="77777777" w:rsidR="00265101" w:rsidRPr="00265101" w:rsidRDefault="00265101" w:rsidP="008E5A16">
            <w:pPr>
              <w:spacing w:before="100" w:beforeAutospacing="1" w:after="100" w:afterAutospacing="1" w:line="360" w:lineRule="auto"/>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Gas flow </w:t>
            </w:r>
          </w:p>
        </w:tc>
        <w:tc>
          <w:tcPr>
            <w:tcW w:w="723" w:type="pct"/>
            <w:tcBorders>
              <w:top w:val="nil"/>
              <w:left w:val="nil"/>
              <w:bottom w:val="nil"/>
              <w:right w:val="nil"/>
            </w:tcBorders>
            <w:shd w:val="clear" w:color="auto" w:fill="auto"/>
            <w:hideMark/>
          </w:tcPr>
          <w:p w14:paraId="1FABF4C5"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8 L/min </w:t>
            </w:r>
          </w:p>
        </w:tc>
        <w:tc>
          <w:tcPr>
            <w:tcW w:w="1157" w:type="pct"/>
            <w:tcBorders>
              <w:top w:val="nil"/>
              <w:left w:val="nil"/>
              <w:bottom w:val="nil"/>
              <w:right w:val="nil"/>
            </w:tcBorders>
            <w:shd w:val="clear" w:color="auto" w:fill="auto"/>
            <w:hideMark/>
          </w:tcPr>
          <w:p w14:paraId="22D9E942"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13 L/min </w:t>
            </w:r>
          </w:p>
        </w:tc>
        <w:tc>
          <w:tcPr>
            <w:tcW w:w="909" w:type="pct"/>
            <w:tcBorders>
              <w:top w:val="nil"/>
              <w:left w:val="nil"/>
              <w:bottom w:val="nil"/>
              <w:right w:val="nil"/>
            </w:tcBorders>
            <w:shd w:val="clear" w:color="auto" w:fill="auto"/>
            <w:hideMark/>
          </w:tcPr>
          <w:p w14:paraId="1CD64B97"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11 L/min </w:t>
            </w:r>
          </w:p>
        </w:tc>
      </w:tr>
      <w:tr w:rsidR="00265101" w:rsidRPr="00265101" w14:paraId="0480CEC7" w14:textId="77777777" w:rsidTr="008E5A16">
        <w:trPr>
          <w:trHeight w:val="360"/>
        </w:trPr>
        <w:tc>
          <w:tcPr>
            <w:tcW w:w="2211" w:type="pct"/>
            <w:gridSpan w:val="2"/>
            <w:tcBorders>
              <w:top w:val="nil"/>
              <w:left w:val="nil"/>
              <w:bottom w:val="nil"/>
              <w:right w:val="nil"/>
            </w:tcBorders>
            <w:shd w:val="clear" w:color="auto" w:fill="auto"/>
            <w:hideMark/>
          </w:tcPr>
          <w:p w14:paraId="06C735DF" w14:textId="77777777" w:rsidR="00265101" w:rsidRPr="00265101" w:rsidRDefault="00265101" w:rsidP="008E5A16">
            <w:pPr>
              <w:spacing w:before="100" w:beforeAutospacing="1" w:after="100" w:afterAutospacing="1" w:line="360" w:lineRule="auto"/>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Nebulizer pressure </w:t>
            </w:r>
          </w:p>
        </w:tc>
        <w:tc>
          <w:tcPr>
            <w:tcW w:w="723" w:type="pct"/>
            <w:tcBorders>
              <w:top w:val="nil"/>
              <w:left w:val="nil"/>
              <w:bottom w:val="nil"/>
              <w:right w:val="nil"/>
            </w:tcBorders>
            <w:shd w:val="clear" w:color="auto" w:fill="auto"/>
            <w:hideMark/>
          </w:tcPr>
          <w:p w14:paraId="236A52D4"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276 kPa </w:t>
            </w:r>
          </w:p>
        </w:tc>
        <w:tc>
          <w:tcPr>
            <w:tcW w:w="1157" w:type="pct"/>
            <w:tcBorders>
              <w:top w:val="nil"/>
              <w:left w:val="nil"/>
              <w:bottom w:val="nil"/>
              <w:right w:val="nil"/>
            </w:tcBorders>
            <w:shd w:val="clear" w:color="auto" w:fill="auto"/>
            <w:hideMark/>
          </w:tcPr>
          <w:p w14:paraId="40F845F0"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207 kPa </w:t>
            </w:r>
          </w:p>
        </w:tc>
        <w:tc>
          <w:tcPr>
            <w:tcW w:w="909" w:type="pct"/>
            <w:tcBorders>
              <w:top w:val="nil"/>
              <w:left w:val="nil"/>
              <w:bottom w:val="nil"/>
              <w:right w:val="nil"/>
            </w:tcBorders>
            <w:shd w:val="clear" w:color="auto" w:fill="auto"/>
            <w:hideMark/>
          </w:tcPr>
          <w:p w14:paraId="0F9FE780"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241 kPa </w:t>
            </w:r>
          </w:p>
        </w:tc>
      </w:tr>
      <w:tr w:rsidR="00265101" w:rsidRPr="00265101" w14:paraId="34A39635" w14:textId="77777777" w:rsidTr="008E5A16">
        <w:trPr>
          <w:trHeight w:val="360"/>
        </w:trPr>
        <w:tc>
          <w:tcPr>
            <w:tcW w:w="2211" w:type="pct"/>
            <w:gridSpan w:val="2"/>
            <w:tcBorders>
              <w:top w:val="nil"/>
              <w:left w:val="nil"/>
              <w:bottom w:val="nil"/>
              <w:right w:val="nil"/>
            </w:tcBorders>
            <w:shd w:val="clear" w:color="auto" w:fill="auto"/>
            <w:hideMark/>
          </w:tcPr>
          <w:p w14:paraId="5C896163" w14:textId="77777777" w:rsidR="00265101" w:rsidRPr="00265101" w:rsidRDefault="00265101" w:rsidP="008E5A16">
            <w:pPr>
              <w:spacing w:before="100" w:beforeAutospacing="1" w:after="100" w:afterAutospacing="1" w:line="360" w:lineRule="auto"/>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Sheath gas heater </w:t>
            </w:r>
          </w:p>
        </w:tc>
        <w:tc>
          <w:tcPr>
            <w:tcW w:w="723" w:type="pct"/>
            <w:tcBorders>
              <w:top w:val="nil"/>
              <w:left w:val="nil"/>
              <w:bottom w:val="nil"/>
              <w:right w:val="nil"/>
            </w:tcBorders>
            <w:shd w:val="clear" w:color="auto" w:fill="auto"/>
            <w:hideMark/>
          </w:tcPr>
          <w:p w14:paraId="1D69FC8B"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370 C </w:t>
            </w:r>
          </w:p>
        </w:tc>
        <w:tc>
          <w:tcPr>
            <w:tcW w:w="1157" w:type="pct"/>
            <w:tcBorders>
              <w:top w:val="nil"/>
              <w:left w:val="nil"/>
              <w:bottom w:val="nil"/>
              <w:right w:val="nil"/>
            </w:tcBorders>
            <w:shd w:val="clear" w:color="auto" w:fill="auto"/>
            <w:hideMark/>
          </w:tcPr>
          <w:p w14:paraId="060A115A"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300 C </w:t>
            </w:r>
          </w:p>
        </w:tc>
        <w:tc>
          <w:tcPr>
            <w:tcW w:w="909" w:type="pct"/>
            <w:tcBorders>
              <w:top w:val="nil"/>
              <w:left w:val="nil"/>
              <w:bottom w:val="nil"/>
              <w:right w:val="nil"/>
            </w:tcBorders>
            <w:shd w:val="clear" w:color="auto" w:fill="auto"/>
            <w:hideMark/>
          </w:tcPr>
          <w:p w14:paraId="4B486DA8"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200 C </w:t>
            </w:r>
          </w:p>
        </w:tc>
      </w:tr>
      <w:tr w:rsidR="00265101" w:rsidRPr="00265101" w14:paraId="12BB1FD0" w14:textId="77777777" w:rsidTr="008E5A16">
        <w:trPr>
          <w:trHeight w:val="360"/>
        </w:trPr>
        <w:tc>
          <w:tcPr>
            <w:tcW w:w="2211" w:type="pct"/>
            <w:gridSpan w:val="2"/>
            <w:tcBorders>
              <w:top w:val="nil"/>
              <w:left w:val="nil"/>
              <w:bottom w:val="nil"/>
              <w:right w:val="nil"/>
            </w:tcBorders>
            <w:shd w:val="clear" w:color="auto" w:fill="auto"/>
            <w:hideMark/>
          </w:tcPr>
          <w:p w14:paraId="02C6305F" w14:textId="77777777" w:rsidR="00265101" w:rsidRPr="00265101" w:rsidRDefault="00265101" w:rsidP="008E5A16">
            <w:pPr>
              <w:spacing w:before="100" w:beforeAutospacing="1" w:after="100" w:afterAutospacing="1" w:line="360" w:lineRule="auto"/>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Capillary voltage </w:t>
            </w:r>
          </w:p>
        </w:tc>
        <w:tc>
          <w:tcPr>
            <w:tcW w:w="723" w:type="pct"/>
            <w:tcBorders>
              <w:top w:val="nil"/>
              <w:left w:val="nil"/>
              <w:bottom w:val="nil"/>
              <w:right w:val="nil"/>
            </w:tcBorders>
            <w:shd w:val="clear" w:color="auto" w:fill="auto"/>
            <w:hideMark/>
          </w:tcPr>
          <w:p w14:paraId="083A5A12"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2750 </w:t>
            </w:r>
          </w:p>
        </w:tc>
        <w:tc>
          <w:tcPr>
            <w:tcW w:w="1157" w:type="pct"/>
            <w:tcBorders>
              <w:top w:val="nil"/>
              <w:left w:val="nil"/>
              <w:bottom w:val="nil"/>
              <w:right w:val="nil"/>
            </w:tcBorders>
            <w:shd w:val="clear" w:color="auto" w:fill="auto"/>
            <w:hideMark/>
          </w:tcPr>
          <w:p w14:paraId="419E28CD"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6000 </w:t>
            </w:r>
          </w:p>
        </w:tc>
        <w:tc>
          <w:tcPr>
            <w:tcW w:w="909" w:type="pct"/>
            <w:tcBorders>
              <w:top w:val="nil"/>
              <w:left w:val="nil"/>
              <w:bottom w:val="nil"/>
              <w:right w:val="nil"/>
            </w:tcBorders>
            <w:shd w:val="clear" w:color="auto" w:fill="auto"/>
            <w:hideMark/>
          </w:tcPr>
          <w:p w14:paraId="6B901D26"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6000 </w:t>
            </w:r>
          </w:p>
        </w:tc>
      </w:tr>
      <w:tr w:rsidR="00265101" w:rsidRPr="00265101" w14:paraId="28650EB1" w14:textId="77777777" w:rsidTr="008E5A16">
        <w:trPr>
          <w:trHeight w:val="360"/>
        </w:trPr>
        <w:tc>
          <w:tcPr>
            <w:tcW w:w="2211" w:type="pct"/>
            <w:gridSpan w:val="2"/>
            <w:tcBorders>
              <w:top w:val="nil"/>
              <w:left w:val="nil"/>
              <w:bottom w:val="nil"/>
              <w:right w:val="nil"/>
            </w:tcBorders>
            <w:shd w:val="clear" w:color="auto" w:fill="auto"/>
            <w:hideMark/>
          </w:tcPr>
          <w:p w14:paraId="2FC01C58" w14:textId="77777777" w:rsidR="00265101" w:rsidRPr="00265101" w:rsidRDefault="00265101" w:rsidP="008E5A16">
            <w:pPr>
              <w:spacing w:before="100" w:beforeAutospacing="1" w:after="100" w:afterAutospacing="1" w:line="360" w:lineRule="auto"/>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Charging voltage </w:t>
            </w:r>
          </w:p>
        </w:tc>
        <w:tc>
          <w:tcPr>
            <w:tcW w:w="723" w:type="pct"/>
            <w:tcBorders>
              <w:top w:val="nil"/>
              <w:left w:val="nil"/>
              <w:bottom w:val="nil"/>
              <w:right w:val="nil"/>
            </w:tcBorders>
            <w:shd w:val="clear" w:color="auto" w:fill="auto"/>
            <w:hideMark/>
          </w:tcPr>
          <w:p w14:paraId="780C3521"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150 </w:t>
            </w:r>
          </w:p>
        </w:tc>
        <w:tc>
          <w:tcPr>
            <w:tcW w:w="1157" w:type="pct"/>
            <w:tcBorders>
              <w:top w:val="nil"/>
              <w:left w:val="nil"/>
              <w:bottom w:val="nil"/>
              <w:right w:val="nil"/>
            </w:tcBorders>
            <w:shd w:val="clear" w:color="auto" w:fill="auto"/>
            <w:hideMark/>
          </w:tcPr>
          <w:p w14:paraId="075F390A"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2000 </w:t>
            </w:r>
          </w:p>
        </w:tc>
        <w:tc>
          <w:tcPr>
            <w:tcW w:w="909" w:type="pct"/>
            <w:tcBorders>
              <w:top w:val="nil"/>
              <w:left w:val="nil"/>
              <w:bottom w:val="nil"/>
              <w:right w:val="nil"/>
            </w:tcBorders>
            <w:shd w:val="clear" w:color="auto" w:fill="auto"/>
            <w:hideMark/>
          </w:tcPr>
          <w:p w14:paraId="6B1BE675"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2000 </w:t>
            </w:r>
          </w:p>
        </w:tc>
      </w:tr>
      <w:tr w:rsidR="00265101" w:rsidRPr="00265101" w14:paraId="20E6EF96" w14:textId="77777777" w:rsidTr="008E5A16">
        <w:trPr>
          <w:trHeight w:val="360"/>
        </w:trPr>
        <w:tc>
          <w:tcPr>
            <w:tcW w:w="2211" w:type="pct"/>
            <w:gridSpan w:val="2"/>
            <w:tcBorders>
              <w:top w:val="nil"/>
              <w:left w:val="nil"/>
              <w:bottom w:val="nil"/>
              <w:right w:val="nil"/>
            </w:tcBorders>
            <w:shd w:val="clear" w:color="auto" w:fill="auto"/>
            <w:hideMark/>
          </w:tcPr>
          <w:p w14:paraId="47F15D43" w14:textId="77777777" w:rsidR="00265101" w:rsidRPr="00265101" w:rsidRDefault="00265101" w:rsidP="008E5A16">
            <w:pPr>
              <w:spacing w:before="100" w:beforeAutospacing="1" w:after="100" w:afterAutospacing="1" w:line="360" w:lineRule="auto"/>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Limit of detection </w:t>
            </w:r>
          </w:p>
        </w:tc>
        <w:tc>
          <w:tcPr>
            <w:tcW w:w="723" w:type="pct"/>
            <w:tcBorders>
              <w:top w:val="nil"/>
              <w:left w:val="nil"/>
              <w:bottom w:val="nil"/>
              <w:right w:val="nil"/>
            </w:tcBorders>
            <w:shd w:val="clear" w:color="auto" w:fill="auto"/>
            <w:hideMark/>
          </w:tcPr>
          <w:p w14:paraId="1193BFB0"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17FFA2C6">
              <w:rPr>
                <w:rFonts w:ascii="Times New Roman" w:eastAsia="Times New Roman" w:hAnsi="Times New Roman" w:cs="Times New Roman"/>
                <w:sz w:val="24"/>
                <w:szCs w:val="24"/>
              </w:rPr>
              <w:t xml:space="preserve">0.5 µg </w:t>
            </w:r>
            <w:bookmarkStart w:id="20" w:name="_Int_EqbzIo1p"/>
            <w:r w:rsidRPr="17FFA2C6">
              <w:rPr>
                <w:rFonts w:ascii="Times New Roman" w:eastAsia="Times New Roman" w:hAnsi="Times New Roman" w:cs="Times New Roman"/>
                <w:sz w:val="24"/>
                <w:szCs w:val="24"/>
              </w:rPr>
              <w:t>kg</w:t>
            </w:r>
            <w:r w:rsidRPr="17FFA2C6">
              <w:rPr>
                <w:rFonts w:ascii="Times New Roman" w:eastAsia="Times New Roman" w:hAnsi="Times New Roman" w:cs="Times New Roman"/>
                <w:sz w:val="19"/>
                <w:szCs w:val="19"/>
                <w:vertAlign w:val="superscript"/>
              </w:rPr>
              <w:t>-1</w:t>
            </w:r>
            <w:bookmarkEnd w:id="20"/>
            <w:r w:rsidRPr="17FFA2C6">
              <w:rPr>
                <w:rFonts w:ascii="Times New Roman" w:eastAsia="Times New Roman" w:hAnsi="Times New Roman" w:cs="Times New Roman"/>
                <w:sz w:val="19"/>
                <w:szCs w:val="19"/>
              </w:rPr>
              <w:t> </w:t>
            </w:r>
          </w:p>
        </w:tc>
        <w:tc>
          <w:tcPr>
            <w:tcW w:w="1157" w:type="pct"/>
            <w:tcBorders>
              <w:top w:val="nil"/>
              <w:left w:val="nil"/>
              <w:bottom w:val="nil"/>
              <w:right w:val="nil"/>
            </w:tcBorders>
            <w:shd w:val="clear" w:color="auto" w:fill="auto"/>
            <w:hideMark/>
          </w:tcPr>
          <w:p w14:paraId="6C2D8F70"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17FFA2C6">
              <w:rPr>
                <w:rFonts w:ascii="Times New Roman" w:eastAsia="Times New Roman" w:hAnsi="Times New Roman" w:cs="Times New Roman"/>
                <w:sz w:val="24"/>
                <w:szCs w:val="24"/>
              </w:rPr>
              <w:t xml:space="preserve">1.0 µg </w:t>
            </w:r>
            <w:bookmarkStart w:id="21" w:name="_Int_KD4exTUT"/>
            <w:r w:rsidRPr="17FFA2C6">
              <w:rPr>
                <w:rFonts w:ascii="Times New Roman" w:eastAsia="Times New Roman" w:hAnsi="Times New Roman" w:cs="Times New Roman"/>
                <w:sz w:val="24"/>
                <w:szCs w:val="24"/>
              </w:rPr>
              <w:t>kg</w:t>
            </w:r>
            <w:r w:rsidRPr="17FFA2C6">
              <w:rPr>
                <w:rFonts w:ascii="Times New Roman" w:eastAsia="Times New Roman" w:hAnsi="Times New Roman" w:cs="Times New Roman"/>
                <w:sz w:val="19"/>
                <w:szCs w:val="19"/>
                <w:vertAlign w:val="superscript"/>
              </w:rPr>
              <w:t>-1</w:t>
            </w:r>
            <w:bookmarkEnd w:id="21"/>
            <w:r w:rsidRPr="17FFA2C6">
              <w:rPr>
                <w:rFonts w:ascii="Times New Roman" w:eastAsia="Times New Roman" w:hAnsi="Times New Roman" w:cs="Times New Roman"/>
                <w:sz w:val="19"/>
                <w:szCs w:val="19"/>
              </w:rPr>
              <w:t> </w:t>
            </w:r>
          </w:p>
        </w:tc>
        <w:tc>
          <w:tcPr>
            <w:tcW w:w="909" w:type="pct"/>
            <w:tcBorders>
              <w:top w:val="nil"/>
              <w:left w:val="nil"/>
              <w:bottom w:val="nil"/>
              <w:right w:val="nil"/>
            </w:tcBorders>
            <w:shd w:val="clear" w:color="auto" w:fill="auto"/>
            <w:hideMark/>
          </w:tcPr>
          <w:p w14:paraId="2AE4A6FD"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17FFA2C6">
              <w:rPr>
                <w:rFonts w:ascii="Times New Roman" w:eastAsia="Times New Roman" w:hAnsi="Times New Roman" w:cs="Times New Roman"/>
                <w:sz w:val="24"/>
                <w:szCs w:val="24"/>
              </w:rPr>
              <w:t xml:space="preserve">1.0 µg </w:t>
            </w:r>
            <w:bookmarkStart w:id="22" w:name="_Int_yOEohJjU"/>
            <w:r w:rsidRPr="17FFA2C6">
              <w:rPr>
                <w:rFonts w:ascii="Times New Roman" w:eastAsia="Times New Roman" w:hAnsi="Times New Roman" w:cs="Times New Roman"/>
                <w:sz w:val="24"/>
                <w:szCs w:val="24"/>
              </w:rPr>
              <w:t>kg</w:t>
            </w:r>
            <w:r w:rsidRPr="17FFA2C6">
              <w:rPr>
                <w:rFonts w:ascii="Times New Roman" w:eastAsia="Times New Roman" w:hAnsi="Times New Roman" w:cs="Times New Roman"/>
                <w:sz w:val="19"/>
                <w:szCs w:val="19"/>
                <w:vertAlign w:val="superscript"/>
              </w:rPr>
              <w:t>-1</w:t>
            </w:r>
            <w:bookmarkEnd w:id="22"/>
            <w:r w:rsidRPr="17FFA2C6">
              <w:rPr>
                <w:rFonts w:ascii="Times New Roman" w:eastAsia="Times New Roman" w:hAnsi="Times New Roman" w:cs="Times New Roman"/>
                <w:sz w:val="19"/>
                <w:szCs w:val="19"/>
              </w:rPr>
              <w:t> </w:t>
            </w:r>
          </w:p>
        </w:tc>
      </w:tr>
      <w:tr w:rsidR="00265101" w:rsidRPr="00265101" w14:paraId="5EA9366B" w14:textId="77777777" w:rsidTr="008E5A16">
        <w:trPr>
          <w:trHeight w:val="360"/>
        </w:trPr>
        <w:tc>
          <w:tcPr>
            <w:tcW w:w="2211" w:type="pct"/>
            <w:gridSpan w:val="2"/>
            <w:tcBorders>
              <w:top w:val="nil"/>
              <w:left w:val="nil"/>
              <w:bottom w:val="nil"/>
              <w:right w:val="nil"/>
            </w:tcBorders>
            <w:shd w:val="clear" w:color="auto" w:fill="auto"/>
            <w:hideMark/>
          </w:tcPr>
          <w:p w14:paraId="5681FF65" w14:textId="77777777" w:rsidR="00265101" w:rsidRPr="00265101" w:rsidRDefault="00265101" w:rsidP="008E5A16">
            <w:pPr>
              <w:spacing w:before="100" w:beforeAutospacing="1" w:after="100" w:afterAutospacing="1" w:line="360" w:lineRule="auto"/>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Retention time (min) </w:t>
            </w:r>
          </w:p>
        </w:tc>
        <w:tc>
          <w:tcPr>
            <w:tcW w:w="723" w:type="pct"/>
            <w:tcBorders>
              <w:top w:val="nil"/>
              <w:left w:val="nil"/>
              <w:bottom w:val="nil"/>
              <w:right w:val="nil"/>
            </w:tcBorders>
            <w:shd w:val="clear" w:color="auto" w:fill="auto"/>
            <w:hideMark/>
          </w:tcPr>
          <w:p w14:paraId="542F9E7B"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8.3 </w:t>
            </w:r>
          </w:p>
        </w:tc>
        <w:tc>
          <w:tcPr>
            <w:tcW w:w="1157" w:type="pct"/>
            <w:tcBorders>
              <w:top w:val="nil"/>
              <w:left w:val="nil"/>
              <w:bottom w:val="nil"/>
              <w:right w:val="nil"/>
            </w:tcBorders>
            <w:shd w:val="clear" w:color="auto" w:fill="auto"/>
            <w:hideMark/>
          </w:tcPr>
          <w:p w14:paraId="41DFB7E4"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2.5 </w:t>
            </w:r>
          </w:p>
        </w:tc>
        <w:tc>
          <w:tcPr>
            <w:tcW w:w="909" w:type="pct"/>
            <w:tcBorders>
              <w:top w:val="nil"/>
              <w:left w:val="nil"/>
              <w:bottom w:val="nil"/>
              <w:right w:val="nil"/>
            </w:tcBorders>
            <w:shd w:val="clear" w:color="auto" w:fill="auto"/>
            <w:hideMark/>
          </w:tcPr>
          <w:p w14:paraId="3E9E6C30"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2.4 </w:t>
            </w:r>
          </w:p>
        </w:tc>
      </w:tr>
      <w:tr w:rsidR="00265101" w:rsidRPr="00265101" w14:paraId="27CC47CA" w14:textId="77777777" w:rsidTr="008E5A16">
        <w:trPr>
          <w:trHeight w:val="360"/>
        </w:trPr>
        <w:tc>
          <w:tcPr>
            <w:tcW w:w="2211" w:type="pct"/>
            <w:gridSpan w:val="2"/>
            <w:tcBorders>
              <w:top w:val="nil"/>
              <w:left w:val="nil"/>
              <w:bottom w:val="nil"/>
              <w:right w:val="nil"/>
            </w:tcBorders>
            <w:shd w:val="clear" w:color="auto" w:fill="auto"/>
            <w:hideMark/>
          </w:tcPr>
          <w:p w14:paraId="1C997D91" w14:textId="77777777" w:rsidR="00265101" w:rsidRPr="00265101" w:rsidRDefault="00265101" w:rsidP="008E5A16">
            <w:pPr>
              <w:spacing w:before="100" w:beforeAutospacing="1" w:after="100" w:afterAutospacing="1" w:line="360" w:lineRule="auto"/>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Parent ions (m/z) </w:t>
            </w:r>
          </w:p>
        </w:tc>
        <w:tc>
          <w:tcPr>
            <w:tcW w:w="723" w:type="pct"/>
            <w:tcBorders>
              <w:top w:val="nil"/>
              <w:left w:val="nil"/>
              <w:bottom w:val="nil"/>
              <w:right w:val="nil"/>
            </w:tcBorders>
            <w:shd w:val="clear" w:color="auto" w:fill="auto"/>
            <w:hideMark/>
          </w:tcPr>
          <w:p w14:paraId="4772DD38"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216 </w:t>
            </w:r>
          </w:p>
        </w:tc>
        <w:tc>
          <w:tcPr>
            <w:tcW w:w="1157" w:type="pct"/>
            <w:tcBorders>
              <w:top w:val="nil"/>
              <w:left w:val="nil"/>
              <w:bottom w:val="nil"/>
              <w:right w:val="nil"/>
            </w:tcBorders>
            <w:shd w:val="clear" w:color="auto" w:fill="auto"/>
            <w:hideMark/>
          </w:tcPr>
          <w:p w14:paraId="1C9D9A5E"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392.1 </w:t>
            </w:r>
          </w:p>
        </w:tc>
        <w:tc>
          <w:tcPr>
            <w:tcW w:w="909" w:type="pct"/>
            <w:tcBorders>
              <w:top w:val="nil"/>
              <w:left w:val="nil"/>
              <w:bottom w:val="nil"/>
              <w:right w:val="nil"/>
            </w:tcBorders>
            <w:shd w:val="clear" w:color="auto" w:fill="auto"/>
            <w:hideMark/>
          </w:tcPr>
          <w:p w14:paraId="6537C6A3"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501.1 </w:t>
            </w:r>
          </w:p>
        </w:tc>
      </w:tr>
      <w:tr w:rsidR="00265101" w:rsidRPr="00265101" w14:paraId="7DC0B193" w14:textId="77777777" w:rsidTr="008E5A16">
        <w:trPr>
          <w:trHeight w:val="360"/>
        </w:trPr>
        <w:tc>
          <w:tcPr>
            <w:tcW w:w="2211" w:type="pct"/>
            <w:gridSpan w:val="2"/>
            <w:tcBorders>
              <w:top w:val="nil"/>
              <w:left w:val="nil"/>
              <w:bottom w:val="single" w:sz="6" w:space="0" w:color="auto"/>
              <w:right w:val="nil"/>
            </w:tcBorders>
            <w:shd w:val="clear" w:color="auto" w:fill="auto"/>
            <w:hideMark/>
          </w:tcPr>
          <w:p w14:paraId="62EACB6D" w14:textId="77777777" w:rsidR="00265101" w:rsidRPr="00265101" w:rsidRDefault="00265101" w:rsidP="008E5A16">
            <w:pPr>
              <w:spacing w:before="100" w:beforeAutospacing="1" w:after="100" w:afterAutospacing="1" w:line="360" w:lineRule="auto"/>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Confirmation ions (m/z) </w:t>
            </w:r>
          </w:p>
        </w:tc>
        <w:tc>
          <w:tcPr>
            <w:tcW w:w="723" w:type="pct"/>
            <w:tcBorders>
              <w:top w:val="nil"/>
              <w:left w:val="nil"/>
              <w:bottom w:val="single" w:sz="6" w:space="0" w:color="auto"/>
              <w:right w:val="nil"/>
            </w:tcBorders>
            <w:shd w:val="clear" w:color="auto" w:fill="auto"/>
            <w:hideMark/>
          </w:tcPr>
          <w:p w14:paraId="648AF388"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174, 146 </w:t>
            </w:r>
          </w:p>
        </w:tc>
        <w:tc>
          <w:tcPr>
            <w:tcW w:w="1157" w:type="pct"/>
            <w:tcBorders>
              <w:top w:val="nil"/>
              <w:left w:val="nil"/>
              <w:bottom w:val="single" w:sz="6" w:space="0" w:color="auto"/>
              <w:right w:val="nil"/>
            </w:tcBorders>
            <w:shd w:val="clear" w:color="auto" w:fill="auto"/>
            <w:hideMark/>
          </w:tcPr>
          <w:p w14:paraId="41AD8791"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229, 179.1 </w:t>
            </w:r>
          </w:p>
        </w:tc>
        <w:tc>
          <w:tcPr>
            <w:tcW w:w="909" w:type="pct"/>
            <w:tcBorders>
              <w:top w:val="nil"/>
              <w:left w:val="nil"/>
              <w:bottom w:val="single" w:sz="6" w:space="0" w:color="auto"/>
              <w:right w:val="nil"/>
            </w:tcBorders>
            <w:shd w:val="clear" w:color="auto" w:fill="auto"/>
            <w:hideMark/>
          </w:tcPr>
          <w:p w14:paraId="39369361" w14:textId="77777777" w:rsidR="00265101" w:rsidRPr="00265101" w:rsidRDefault="00265101" w:rsidP="008E5A16">
            <w:pPr>
              <w:spacing w:before="100" w:beforeAutospacing="1" w:after="100" w:afterAutospacing="1" w:line="360" w:lineRule="auto"/>
              <w:jc w:val="center"/>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459, 349, 198, 197.9 </w:t>
            </w:r>
          </w:p>
        </w:tc>
      </w:tr>
      <w:tr w:rsidR="00265101" w:rsidRPr="00265101" w14:paraId="345EB868" w14:textId="77777777" w:rsidTr="008E5A16">
        <w:trPr>
          <w:trHeight w:val="360"/>
        </w:trPr>
        <w:tc>
          <w:tcPr>
            <w:tcW w:w="5000" w:type="pct"/>
            <w:gridSpan w:val="5"/>
            <w:tcBorders>
              <w:top w:val="single" w:sz="6" w:space="0" w:color="auto"/>
              <w:left w:val="nil"/>
              <w:bottom w:val="nil"/>
              <w:right w:val="nil"/>
            </w:tcBorders>
            <w:shd w:val="clear" w:color="auto" w:fill="auto"/>
            <w:hideMark/>
          </w:tcPr>
          <w:p w14:paraId="64693D3A" w14:textId="77777777" w:rsidR="00265101" w:rsidRPr="00265101" w:rsidRDefault="00265101" w:rsidP="008E5A16">
            <w:pPr>
              <w:spacing w:before="100" w:beforeAutospacing="1" w:after="100" w:afterAutospacing="1" w:line="360" w:lineRule="auto"/>
              <w:textAlignment w:val="baseline"/>
              <w:rPr>
                <w:rFonts w:ascii="Times New Roman" w:eastAsia="Times New Roman" w:hAnsi="Times New Roman" w:cs="Times New Roman"/>
                <w:sz w:val="24"/>
                <w:szCs w:val="24"/>
              </w:rPr>
            </w:pPr>
            <w:r w:rsidRPr="00265101">
              <w:rPr>
                <w:rFonts w:ascii="Times New Roman" w:eastAsia="Times New Roman" w:hAnsi="Times New Roman" w:cs="Times New Roman"/>
                <w:sz w:val="24"/>
                <w:szCs w:val="24"/>
              </w:rPr>
              <w:t>1.8-µm particle size ZORBAX Eclipse Plus RRHD Phenyl-Hexyl column (2.1 x 100 mm) </w:t>
            </w:r>
          </w:p>
        </w:tc>
      </w:tr>
      <w:tr w:rsidR="00265101" w:rsidRPr="00265101" w14:paraId="7F5AA540" w14:textId="77777777" w:rsidTr="008E5A16">
        <w:trPr>
          <w:trHeight w:val="360"/>
        </w:trPr>
        <w:tc>
          <w:tcPr>
            <w:tcW w:w="5000" w:type="pct"/>
            <w:gridSpan w:val="5"/>
            <w:tcBorders>
              <w:top w:val="nil"/>
              <w:left w:val="nil"/>
              <w:bottom w:val="nil"/>
              <w:right w:val="nil"/>
            </w:tcBorders>
            <w:shd w:val="clear" w:color="auto" w:fill="auto"/>
            <w:hideMark/>
          </w:tcPr>
          <w:p w14:paraId="30D53B8F" w14:textId="6C338679" w:rsidR="00265101" w:rsidRPr="00265101" w:rsidRDefault="00265101" w:rsidP="008E5A16">
            <w:pPr>
              <w:spacing w:before="100" w:beforeAutospacing="1" w:after="100" w:afterAutospacing="1" w:line="360" w:lineRule="auto"/>
              <w:textAlignment w:val="baseline"/>
              <w:rPr>
                <w:rFonts w:ascii="Times New Roman" w:eastAsia="Times New Roman" w:hAnsi="Times New Roman" w:cs="Times New Roman"/>
                <w:sz w:val="24"/>
                <w:szCs w:val="24"/>
              </w:rPr>
            </w:pPr>
            <w:r w:rsidRPr="17FFA2C6">
              <w:rPr>
                <w:rFonts w:ascii="Times New Roman" w:eastAsia="Times New Roman" w:hAnsi="Times New Roman" w:cs="Times New Roman"/>
                <w:sz w:val="24"/>
                <w:szCs w:val="24"/>
              </w:rPr>
              <w:t xml:space="preserve">Atrazine - 80:20 </w:t>
            </w:r>
            <w:r w:rsidR="00ED1F76" w:rsidRPr="17FFA2C6">
              <w:rPr>
                <w:rFonts w:ascii="Times New Roman" w:eastAsia="Times New Roman" w:hAnsi="Times New Roman" w:cs="Times New Roman"/>
                <w:sz w:val="24"/>
                <w:szCs w:val="24"/>
              </w:rPr>
              <w:t>Water:</w:t>
            </w:r>
            <w:r w:rsidRPr="17FFA2C6">
              <w:rPr>
                <w:rFonts w:ascii="Times New Roman" w:eastAsia="Times New Roman" w:hAnsi="Times New Roman" w:cs="Times New Roman"/>
                <w:sz w:val="24"/>
                <w:szCs w:val="24"/>
              </w:rPr>
              <w:t xml:space="preserve"> Acetonitrile with 0.1% formic acid </w:t>
            </w:r>
          </w:p>
        </w:tc>
      </w:tr>
      <w:tr w:rsidR="00265101" w:rsidRPr="00265101" w14:paraId="535A690F" w14:textId="77777777" w:rsidTr="008E5A16">
        <w:trPr>
          <w:trHeight w:val="360"/>
        </w:trPr>
        <w:tc>
          <w:tcPr>
            <w:tcW w:w="5000" w:type="pct"/>
            <w:gridSpan w:val="5"/>
            <w:tcBorders>
              <w:top w:val="nil"/>
              <w:left w:val="nil"/>
              <w:bottom w:val="single" w:sz="6" w:space="0" w:color="auto"/>
              <w:right w:val="nil"/>
            </w:tcBorders>
            <w:shd w:val="clear" w:color="auto" w:fill="auto"/>
            <w:hideMark/>
          </w:tcPr>
          <w:p w14:paraId="53829351" w14:textId="46805C8E" w:rsidR="00265101" w:rsidRPr="00265101" w:rsidRDefault="00265101" w:rsidP="008E5A16">
            <w:pPr>
              <w:spacing w:before="100" w:beforeAutospacing="1" w:after="100" w:afterAutospacing="1" w:line="360" w:lineRule="auto"/>
              <w:textAlignment w:val="baseline"/>
              <w:rPr>
                <w:rFonts w:ascii="Times New Roman" w:eastAsia="Times New Roman" w:hAnsi="Times New Roman" w:cs="Times New Roman"/>
                <w:sz w:val="24"/>
                <w:szCs w:val="24"/>
              </w:rPr>
            </w:pPr>
            <w:r w:rsidRPr="17FFA2C6">
              <w:rPr>
                <w:rFonts w:ascii="Times New Roman" w:eastAsia="Times New Roman" w:hAnsi="Times New Roman" w:cs="Times New Roman"/>
                <w:sz w:val="24"/>
                <w:szCs w:val="24"/>
              </w:rPr>
              <w:t xml:space="preserve">Pyroxasulfone and Saflufenacil – 45:55 </w:t>
            </w:r>
            <w:r w:rsidR="00492B50" w:rsidRPr="17FFA2C6">
              <w:rPr>
                <w:rFonts w:ascii="Times New Roman" w:eastAsia="Times New Roman" w:hAnsi="Times New Roman" w:cs="Times New Roman"/>
                <w:sz w:val="24"/>
                <w:szCs w:val="24"/>
              </w:rPr>
              <w:t>Water:</w:t>
            </w:r>
            <w:r w:rsidRPr="17FFA2C6">
              <w:rPr>
                <w:rFonts w:ascii="Times New Roman" w:eastAsia="Times New Roman" w:hAnsi="Times New Roman" w:cs="Times New Roman"/>
                <w:sz w:val="24"/>
                <w:szCs w:val="24"/>
              </w:rPr>
              <w:t xml:space="preserve"> Acetonitrile with 0.1% formic acid </w:t>
            </w:r>
          </w:p>
        </w:tc>
      </w:tr>
    </w:tbl>
    <w:p w14:paraId="2550D6B0" w14:textId="6F592BBE" w:rsidR="00265101" w:rsidRDefault="00265101" w:rsidP="00E03E3F">
      <w:pPr>
        <w:spacing w:line="480" w:lineRule="auto"/>
        <w:ind w:left="720" w:hanging="720"/>
        <w:rPr>
          <w:rFonts w:ascii="Times New Roman" w:hAnsi="Times New Roman" w:cs="Times New Roman"/>
          <w:sz w:val="24"/>
        </w:rPr>
        <w:sectPr w:rsidR="00265101" w:rsidSect="00CA7909">
          <w:pgSz w:w="15840" w:h="12240" w:orient="landscape"/>
          <w:pgMar w:top="1440" w:right="1440" w:bottom="1440" w:left="1440" w:header="720" w:footer="720" w:gutter="0"/>
          <w:cols w:space="720"/>
          <w:docGrid w:linePitch="360"/>
        </w:sectPr>
      </w:pPr>
    </w:p>
    <w:p w14:paraId="0EB21D3B" w14:textId="1FBD353F" w:rsidR="008E5A16" w:rsidRPr="008E5A16" w:rsidRDefault="008E5A16" w:rsidP="008E5A16">
      <w:pPr>
        <w:pStyle w:val="Caption"/>
        <w:keepNext/>
        <w:rPr>
          <w:rFonts w:ascii="Times New Roman" w:hAnsi="Times New Roman" w:cs="Times New Roman"/>
          <w:i w:val="0"/>
          <w:color w:val="000000" w:themeColor="text1"/>
          <w:sz w:val="24"/>
        </w:rPr>
      </w:pPr>
      <w:bookmarkStart w:id="23" w:name="_Toc99089428"/>
      <w:r w:rsidRPr="008E5A16">
        <w:rPr>
          <w:rFonts w:ascii="Times New Roman" w:hAnsi="Times New Roman" w:cs="Times New Roman"/>
          <w:i w:val="0"/>
          <w:color w:val="000000" w:themeColor="text1"/>
          <w:sz w:val="24"/>
        </w:rPr>
        <w:lastRenderedPageBreak/>
        <w:t xml:space="preserve">Table </w:t>
      </w:r>
      <w:r w:rsidRPr="008E5A16">
        <w:rPr>
          <w:rFonts w:ascii="Times New Roman" w:hAnsi="Times New Roman" w:cs="Times New Roman"/>
          <w:i w:val="0"/>
          <w:color w:val="000000" w:themeColor="text1"/>
          <w:sz w:val="24"/>
        </w:rPr>
        <w:fldChar w:fldCharType="begin"/>
      </w:r>
      <w:r w:rsidRPr="008E5A16">
        <w:rPr>
          <w:rFonts w:ascii="Times New Roman" w:hAnsi="Times New Roman" w:cs="Times New Roman"/>
          <w:i w:val="0"/>
          <w:color w:val="000000" w:themeColor="text1"/>
          <w:sz w:val="24"/>
        </w:rPr>
        <w:instrText xml:space="preserve"> SEQ Table \* ARABIC </w:instrText>
      </w:r>
      <w:r w:rsidRPr="008E5A16">
        <w:rPr>
          <w:rFonts w:ascii="Times New Roman" w:hAnsi="Times New Roman" w:cs="Times New Roman"/>
          <w:i w:val="0"/>
          <w:color w:val="000000" w:themeColor="text1"/>
          <w:sz w:val="24"/>
        </w:rPr>
        <w:fldChar w:fldCharType="separate"/>
      </w:r>
      <w:r w:rsidR="001A53A1">
        <w:rPr>
          <w:rFonts w:ascii="Times New Roman" w:hAnsi="Times New Roman" w:cs="Times New Roman"/>
          <w:i w:val="0"/>
          <w:noProof/>
          <w:color w:val="000000" w:themeColor="text1"/>
          <w:sz w:val="24"/>
        </w:rPr>
        <w:t>3</w:t>
      </w:r>
      <w:r w:rsidRPr="008E5A16">
        <w:rPr>
          <w:rFonts w:ascii="Times New Roman" w:hAnsi="Times New Roman" w:cs="Times New Roman"/>
          <w:i w:val="0"/>
          <w:color w:val="000000" w:themeColor="text1"/>
          <w:sz w:val="24"/>
        </w:rPr>
        <w:fldChar w:fldCharType="end"/>
      </w:r>
      <w:r w:rsidRPr="008E5A16">
        <w:rPr>
          <w:rFonts w:ascii="Times New Roman" w:hAnsi="Times New Roman" w:cs="Times New Roman"/>
          <w:i w:val="0"/>
          <w:color w:val="000000" w:themeColor="text1"/>
          <w:sz w:val="24"/>
        </w:rPr>
        <w:t>. 2019-2020 Field study regression coefficients</w:t>
      </w:r>
      <w:r w:rsidR="00D562C1">
        <w:rPr>
          <w:rFonts w:ascii="Times New Roman" w:hAnsi="Times New Roman" w:cs="Times New Roman"/>
          <w:i w:val="0"/>
          <w:color w:val="000000" w:themeColor="text1"/>
          <w:sz w:val="24"/>
        </w:rPr>
        <w:t>,</w:t>
      </w:r>
      <w:r w:rsidRPr="008E5A16">
        <w:rPr>
          <w:rFonts w:ascii="Times New Roman" w:hAnsi="Times New Roman" w:cs="Times New Roman"/>
          <w:i w:val="0"/>
          <w:color w:val="000000" w:themeColor="text1"/>
          <w:sz w:val="24"/>
        </w:rPr>
        <w:t xml:space="preserve"> </w:t>
      </w:r>
      <w:r w:rsidR="00080CEB">
        <w:rPr>
          <w:rFonts w:ascii="Times New Roman" w:hAnsi="Times New Roman" w:cs="Times New Roman"/>
          <w:i w:val="0"/>
          <w:color w:val="000000" w:themeColor="text1"/>
          <w:sz w:val="24"/>
        </w:rPr>
        <w:t>r</w:t>
      </w:r>
      <w:r w:rsidR="00AF3534">
        <w:rPr>
          <w:rFonts w:ascii="Times New Roman" w:hAnsi="Times New Roman" w:cs="Times New Roman"/>
          <w:i w:val="0"/>
          <w:color w:val="000000" w:themeColor="text1"/>
          <w:sz w:val="24"/>
          <w:vertAlign w:val="superscript"/>
        </w:rPr>
        <w:t>2</w:t>
      </w:r>
      <w:r w:rsidRPr="008E5A16">
        <w:rPr>
          <w:rFonts w:ascii="Times New Roman" w:hAnsi="Times New Roman" w:cs="Times New Roman"/>
          <w:i w:val="0"/>
          <w:color w:val="000000" w:themeColor="text1"/>
          <w:sz w:val="24"/>
        </w:rPr>
        <w:t xml:space="preserve"> values</w:t>
      </w:r>
      <w:r w:rsidR="00D562C1">
        <w:rPr>
          <w:rFonts w:ascii="Times New Roman" w:hAnsi="Times New Roman" w:cs="Times New Roman"/>
          <w:i w:val="0"/>
          <w:color w:val="000000" w:themeColor="text1"/>
          <w:sz w:val="24"/>
        </w:rPr>
        <w:t>, and DT50</w:t>
      </w:r>
      <w:r w:rsidRPr="008E5A16">
        <w:rPr>
          <w:rFonts w:ascii="Times New Roman" w:hAnsi="Times New Roman" w:cs="Times New Roman"/>
          <w:i w:val="0"/>
          <w:color w:val="000000" w:themeColor="text1"/>
          <w:sz w:val="24"/>
        </w:rPr>
        <w:t xml:space="preserve"> for atrazine, pyroxasulfone, and saflufenacil</w:t>
      </w:r>
      <w:bookmarkEnd w:id="23"/>
    </w:p>
    <w:tbl>
      <w:tblPr>
        <w:tblStyle w:val="TableGrid"/>
        <w:tblW w:w="12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6"/>
        <w:gridCol w:w="1617"/>
        <w:gridCol w:w="1982"/>
        <w:gridCol w:w="2886"/>
        <w:gridCol w:w="810"/>
        <w:gridCol w:w="2339"/>
        <w:gridCol w:w="990"/>
        <w:gridCol w:w="720"/>
        <w:gridCol w:w="900"/>
      </w:tblGrid>
      <w:tr w:rsidR="00080CEB" w:rsidRPr="00BF695B" w14:paraId="417911AB" w14:textId="6EF32FF0" w:rsidTr="00426C56">
        <w:trPr>
          <w:trHeight w:val="375"/>
        </w:trPr>
        <w:tc>
          <w:tcPr>
            <w:tcW w:w="716" w:type="dxa"/>
            <w:tcBorders>
              <w:top w:val="single" w:sz="4" w:space="0" w:color="auto"/>
              <w:bottom w:val="single" w:sz="4" w:space="0" w:color="auto"/>
            </w:tcBorders>
            <w:noWrap/>
            <w:vAlign w:val="bottom"/>
            <w:hideMark/>
          </w:tcPr>
          <w:p w14:paraId="243F2296" w14:textId="77777777" w:rsidR="00080CEB" w:rsidRPr="00BF695B" w:rsidRDefault="00080CEB" w:rsidP="007C16DB">
            <w:pPr>
              <w:jc w:val="center"/>
              <w:rPr>
                <w:rFonts w:ascii="Times New Roman" w:hAnsi="Times New Roman" w:cs="Times New Roman"/>
                <w:sz w:val="24"/>
              </w:rPr>
            </w:pPr>
            <w:r w:rsidRPr="00BF695B">
              <w:rPr>
                <w:rFonts w:ascii="Times New Roman" w:hAnsi="Times New Roman" w:cs="Times New Roman"/>
                <w:sz w:val="24"/>
              </w:rPr>
              <w:t>Year</w:t>
            </w:r>
          </w:p>
        </w:tc>
        <w:tc>
          <w:tcPr>
            <w:tcW w:w="1617" w:type="dxa"/>
            <w:tcBorders>
              <w:top w:val="single" w:sz="4" w:space="0" w:color="auto"/>
              <w:bottom w:val="single" w:sz="4" w:space="0" w:color="auto"/>
            </w:tcBorders>
            <w:noWrap/>
            <w:vAlign w:val="bottom"/>
            <w:hideMark/>
          </w:tcPr>
          <w:p w14:paraId="251EA1BF" w14:textId="62FE68C2" w:rsidR="00080CEB" w:rsidRPr="00BF695B" w:rsidRDefault="0086329D" w:rsidP="007C16DB">
            <w:pPr>
              <w:jc w:val="center"/>
              <w:rPr>
                <w:rFonts w:ascii="Times New Roman" w:hAnsi="Times New Roman" w:cs="Times New Roman"/>
                <w:sz w:val="24"/>
              </w:rPr>
            </w:pPr>
            <w:r>
              <w:rPr>
                <w:rFonts w:ascii="Times New Roman" w:hAnsi="Times New Roman" w:cs="Times New Roman"/>
                <w:sz w:val="24"/>
              </w:rPr>
              <w:t>Herbicide</w:t>
            </w:r>
          </w:p>
        </w:tc>
        <w:tc>
          <w:tcPr>
            <w:tcW w:w="1982" w:type="dxa"/>
            <w:tcBorders>
              <w:top w:val="single" w:sz="4" w:space="0" w:color="auto"/>
              <w:bottom w:val="single" w:sz="4" w:space="0" w:color="auto"/>
            </w:tcBorders>
            <w:noWrap/>
            <w:vAlign w:val="bottom"/>
            <w:hideMark/>
          </w:tcPr>
          <w:p w14:paraId="232FDA48" w14:textId="2B21B2C1" w:rsidR="00080CEB" w:rsidRPr="00BF695B" w:rsidRDefault="00080CEB" w:rsidP="007C16DB">
            <w:pPr>
              <w:jc w:val="center"/>
              <w:rPr>
                <w:rFonts w:ascii="Times New Roman" w:hAnsi="Times New Roman" w:cs="Times New Roman"/>
                <w:sz w:val="24"/>
              </w:rPr>
            </w:pPr>
            <w:r w:rsidRPr="00BF695B">
              <w:rPr>
                <w:rFonts w:ascii="Times New Roman" w:hAnsi="Times New Roman" w:cs="Times New Roman"/>
                <w:sz w:val="24"/>
              </w:rPr>
              <w:t>Herbicide Concentration</w:t>
            </w:r>
          </w:p>
        </w:tc>
        <w:tc>
          <w:tcPr>
            <w:tcW w:w="2886" w:type="dxa"/>
            <w:tcBorders>
              <w:top w:val="single" w:sz="4" w:space="0" w:color="auto"/>
              <w:bottom w:val="single" w:sz="4" w:space="0" w:color="auto"/>
            </w:tcBorders>
            <w:noWrap/>
            <w:vAlign w:val="bottom"/>
            <w:hideMark/>
          </w:tcPr>
          <w:p w14:paraId="7DD5B0FA" w14:textId="2CB44A3F" w:rsidR="00080CEB" w:rsidRPr="00BF695B" w:rsidRDefault="00080CEB" w:rsidP="007C16DB">
            <w:pPr>
              <w:jc w:val="center"/>
              <w:rPr>
                <w:rFonts w:ascii="Times New Roman" w:hAnsi="Times New Roman" w:cs="Times New Roman"/>
                <w:sz w:val="24"/>
              </w:rPr>
            </w:pPr>
            <w:r>
              <w:rPr>
                <w:rFonts w:ascii="Times New Roman" w:hAnsi="Times New Roman" w:cs="Times New Roman"/>
                <w:sz w:val="24"/>
              </w:rPr>
              <w:t>Calculated initial herbicide concentration (ng g</w:t>
            </w:r>
            <w:r>
              <w:rPr>
                <w:rFonts w:ascii="Times New Roman" w:hAnsi="Times New Roman" w:cs="Times New Roman"/>
                <w:sz w:val="24"/>
                <w:vertAlign w:val="superscript"/>
              </w:rPr>
              <w:t>-1</w:t>
            </w:r>
            <w:r>
              <w:rPr>
                <w:rFonts w:ascii="Times New Roman" w:hAnsi="Times New Roman" w:cs="Times New Roman"/>
                <w:sz w:val="24"/>
              </w:rPr>
              <w:t xml:space="preserve"> soil)</w:t>
            </w:r>
          </w:p>
        </w:tc>
        <w:tc>
          <w:tcPr>
            <w:tcW w:w="810" w:type="dxa"/>
            <w:tcBorders>
              <w:top w:val="single" w:sz="4" w:space="0" w:color="auto"/>
              <w:bottom w:val="single" w:sz="4" w:space="0" w:color="auto"/>
            </w:tcBorders>
            <w:noWrap/>
            <w:vAlign w:val="bottom"/>
            <w:hideMark/>
          </w:tcPr>
          <w:p w14:paraId="09F36933" w14:textId="3724A4B4" w:rsidR="00080CEB" w:rsidRPr="00BF695B" w:rsidRDefault="00080CEB" w:rsidP="007C16DB">
            <w:pPr>
              <w:jc w:val="center"/>
              <w:rPr>
                <w:rFonts w:ascii="Times New Roman" w:hAnsi="Times New Roman" w:cs="Times New Roman"/>
                <w:sz w:val="24"/>
              </w:rPr>
            </w:pPr>
            <w:r w:rsidRPr="00BF695B">
              <w:rPr>
                <w:rFonts w:ascii="Times New Roman" w:hAnsi="Times New Roman" w:cs="Times New Roman"/>
                <w:sz w:val="24"/>
              </w:rPr>
              <w:t>SE</w:t>
            </w:r>
          </w:p>
        </w:tc>
        <w:tc>
          <w:tcPr>
            <w:tcW w:w="2339" w:type="dxa"/>
            <w:tcBorders>
              <w:top w:val="single" w:sz="4" w:space="0" w:color="auto"/>
              <w:bottom w:val="single" w:sz="4" w:space="0" w:color="auto"/>
            </w:tcBorders>
            <w:noWrap/>
            <w:vAlign w:val="bottom"/>
            <w:hideMark/>
          </w:tcPr>
          <w:p w14:paraId="7FF35E00" w14:textId="03EFD034" w:rsidR="00D562C1" w:rsidRDefault="00080CEB" w:rsidP="007C16DB">
            <w:pPr>
              <w:jc w:val="center"/>
              <w:rPr>
                <w:rFonts w:ascii="Times New Roman" w:hAnsi="Times New Roman" w:cs="Times New Roman"/>
                <w:sz w:val="24"/>
              </w:rPr>
            </w:pPr>
            <w:r>
              <w:rPr>
                <w:rFonts w:ascii="Times New Roman" w:hAnsi="Times New Roman" w:cs="Times New Roman"/>
                <w:sz w:val="24"/>
              </w:rPr>
              <w:t>1</w:t>
            </w:r>
            <w:r w:rsidRPr="00080CEB">
              <w:rPr>
                <w:rFonts w:ascii="Times New Roman" w:hAnsi="Times New Roman" w:cs="Times New Roman"/>
                <w:sz w:val="24"/>
                <w:vertAlign w:val="superscript"/>
              </w:rPr>
              <w:t>st</w:t>
            </w:r>
            <w:r>
              <w:rPr>
                <w:rFonts w:ascii="Times New Roman" w:hAnsi="Times New Roman" w:cs="Times New Roman"/>
                <w:sz w:val="24"/>
              </w:rPr>
              <w:t xml:space="preserve"> order rate constant</w:t>
            </w:r>
          </w:p>
          <w:p w14:paraId="5A177F1A" w14:textId="5E65BC3D" w:rsidR="00080CEB" w:rsidRPr="00BF695B" w:rsidRDefault="00080CEB" w:rsidP="007C16DB">
            <w:pPr>
              <w:jc w:val="center"/>
              <w:rPr>
                <w:rFonts w:ascii="Times New Roman" w:hAnsi="Times New Roman" w:cs="Times New Roman"/>
                <w:sz w:val="24"/>
              </w:rPr>
            </w:pPr>
            <w:r>
              <w:rPr>
                <w:rFonts w:ascii="Times New Roman" w:hAnsi="Times New Roman" w:cs="Times New Roman"/>
                <w:sz w:val="24"/>
              </w:rPr>
              <w:t>(per day)</w:t>
            </w:r>
          </w:p>
        </w:tc>
        <w:tc>
          <w:tcPr>
            <w:tcW w:w="990" w:type="dxa"/>
            <w:tcBorders>
              <w:top w:val="single" w:sz="4" w:space="0" w:color="auto"/>
              <w:bottom w:val="single" w:sz="4" w:space="0" w:color="auto"/>
            </w:tcBorders>
            <w:noWrap/>
            <w:vAlign w:val="bottom"/>
            <w:hideMark/>
          </w:tcPr>
          <w:p w14:paraId="5273DD6A" w14:textId="1567C33D" w:rsidR="00080CEB" w:rsidRPr="00BF695B" w:rsidRDefault="00080CEB" w:rsidP="007C16DB">
            <w:pPr>
              <w:jc w:val="center"/>
              <w:rPr>
                <w:rFonts w:ascii="Times New Roman" w:hAnsi="Times New Roman" w:cs="Times New Roman"/>
                <w:sz w:val="24"/>
              </w:rPr>
            </w:pPr>
            <w:r w:rsidRPr="00BF695B">
              <w:rPr>
                <w:rFonts w:ascii="Times New Roman" w:hAnsi="Times New Roman" w:cs="Times New Roman"/>
                <w:sz w:val="24"/>
              </w:rPr>
              <w:t>SE</w:t>
            </w:r>
          </w:p>
        </w:tc>
        <w:tc>
          <w:tcPr>
            <w:tcW w:w="720" w:type="dxa"/>
            <w:tcBorders>
              <w:top w:val="single" w:sz="4" w:space="0" w:color="auto"/>
              <w:bottom w:val="single" w:sz="4" w:space="0" w:color="auto"/>
            </w:tcBorders>
            <w:noWrap/>
            <w:vAlign w:val="bottom"/>
            <w:hideMark/>
          </w:tcPr>
          <w:p w14:paraId="42020499" w14:textId="2A941323" w:rsidR="00080CEB" w:rsidRPr="00BF695B" w:rsidRDefault="00080CEB" w:rsidP="007C16DB">
            <w:pPr>
              <w:jc w:val="center"/>
              <w:rPr>
                <w:rFonts w:ascii="Times New Roman" w:hAnsi="Times New Roman" w:cs="Times New Roman"/>
                <w:sz w:val="24"/>
              </w:rPr>
            </w:pPr>
            <w:r>
              <w:rPr>
                <w:rFonts w:ascii="Times New Roman" w:hAnsi="Times New Roman" w:cs="Times New Roman"/>
                <w:sz w:val="24"/>
              </w:rPr>
              <w:t>r</w:t>
            </w:r>
            <w:r w:rsidRPr="00BF695B">
              <w:rPr>
                <w:rFonts w:ascii="Times New Roman" w:hAnsi="Times New Roman" w:cs="Times New Roman"/>
                <w:sz w:val="24"/>
                <w:vertAlign w:val="superscript"/>
              </w:rPr>
              <w:t>2</w:t>
            </w:r>
          </w:p>
        </w:tc>
        <w:tc>
          <w:tcPr>
            <w:tcW w:w="900" w:type="dxa"/>
            <w:tcBorders>
              <w:top w:val="single" w:sz="4" w:space="0" w:color="auto"/>
              <w:bottom w:val="single" w:sz="4" w:space="0" w:color="auto"/>
            </w:tcBorders>
            <w:vAlign w:val="bottom"/>
          </w:tcPr>
          <w:p w14:paraId="0282F2A4" w14:textId="74AC3E9D" w:rsidR="00080CEB" w:rsidRDefault="00080CEB" w:rsidP="007C16DB">
            <w:pPr>
              <w:jc w:val="center"/>
              <w:rPr>
                <w:rFonts w:ascii="Times New Roman" w:hAnsi="Times New Roman" w:cs="Times New Roman"/>
                <w:sz w:val="24"/>
              </w:rPr>
            </w:pPr>
            <w:r>
              <w:rPr>
                <w:rFonts w:ascii="Times New Roman" w:hAnsi="Times New Roman" w:cs="Times New Roman"/>
                <w:sz w:val="24"/>
              </w:rPr>
              <w:t>DT50</w:t>
            </w:r>
            <w:r w:rsidR="00D562C1">
              <w:rPr>
                <w:rFonts w:ascii="Times New Roman" w:hAnsi="Times New Roman" w:cs="Times New Roman"/>
                <w:sz w:val="24"/>
              </w:rPr>
              <w:t xml:space="preserve"> (days)</w:t>
            </w:r>
          </w:p>
        </w:tc>
      </w:tr>
      <w:tr w:rsidR="00080CEB" w:rsidRPr="00BF695B" w14:paraId="460D8D5D" w14:textId="4A542A23" w:rsidTr="00426C56">
        <w:trPr>
          <w:trHeight w:val="315"/>
        </w:trPr>
        <w:tc>
          <w:tcPr>
            <w:tcW w:w="716" w:type="dxa"/>
            <w:tcBorders>
              <w:top w:val="single" w:sz="4" w:space="0" w:color="auto"/>
            </w:tcBorders>
            <w:noWrap/>
            <w:vAlign w:val="center"/>
            <w:hideMark/>
          </w:tcPr>
          <w:p w14:paraId="5CA7A755" w14:textId="77777777" w:rsidR="00080CEB" w:rsidRPr="00BF695B" w:rsidRDefault="00080CEB" w:rsidP="008D611D">
            <w:pPr>
              <w:jc w:val="center"/>
              <w:rPr>
                <w:rFonts w:ascii="Times New Roman" w:hAnsi="Times New Roman" w:cs="Times New Roman"/>
                <w:sz w:val="24"/>
              </w:rPr>
            </w:pPr>
            <w:r w:rsidRPr="00BF695B">
              <w:rPr>
                <w:rFonts w:ascii="Times New Roman" w:hAnsi="Times New Roman" w:cs="Times New Roman"/>
                <w:sz w:val="24"/>
              </w:rPr>
              <w:t>2019</w:t>
            </w:r>
          </w:p>
        </w:tc>
        <w:tc>
          <w:tcPr>
            <w:tcW w:w="1617" w:type="dxa"/>
            <w:tcBorders>
              <w:top w:val="single" w:sz="4" w:space="0" w:color="auto"/>
            </w:tcBorders>
            <w:noWrap/>
            <w:vAlign w:val="center"/>
            <w:hideMark/>
          </w:tcPr>
          <w:p w14:paraId="26CB5C65" w14:textId="2D781AE2" w:rsidR="00080CEB" w:rsidRPr="00BF695B" w:rsidRDefault="00080CEB" w:rsidP="008D611D">
            <w:pPr>
              <w:jc w:val="center"/>
              <w:rPr>
                <w:rFonts w:ascii="Times New Roman" w:hAnsi="Times New Roman" w:cs="Times New Roman"/>
                <w:sz w:val="24"/>
              </w:rPr>
            </w:pPr>
            <w:r w:rsidRPr="00BF695B">
              <w:rPr>
                <w:rFonts w:ascii="Times New Roman" w:hAnsi="Times New Roman" w:cs="Times New Roman"/>
                <w:sz w:val="24"/>
              </w:rPr>
              <w:t>A</w:t>
            </w:r>
            <w:r w:rsidR="0086329D">
              <w:rPr>
                <w:rFonts w:ascii="Times New Roman" w:hAnsi="Times New Roman" w:cs="Times New Roman"/>
                <w:sz w:val="24"/>
              </w:rPr>
              <w:t>trazine</w:t>
            </w:r>
          </w:p>
        </w:tc>
        <w:tc>
          <w:tcPr>
            <w:tcW w:w="1982" w:type="dxa"/>
            <w:tcBorders>
              <w:top w:val="single" w:sz="4" w:space="0" w:color="auto"/>
            </w:tcBorders>
            <w:noWrap/>
            <w:vAlign w:val="center"/>
            <w:hideMark/>
          </w:tcPr>
          <w:p w14:paraId="62A45379" w14:textId="29A301B2" w:rsidR="00080CEB" w:rsidRPr="00BF695B" w:rsidRDefault="00080CEB" w:rsidP="008D611D">
            <w:pPr>
              <w:jc w:val="center"/>
              <w:rPr>
                <w:rFonts w:ascii="Times New Roman" w:hAnsi="Times New Roman" w:cs="Times New Roman"/>
                <w:sz w:val="24"/>
              </w:rPr>
            </w:pPr>
            <w:r w:rsidRPr="00BF695B">
              <w:rPr>
                <w:rFonts w:ascii="Times New Roman" w:hAnsi="Times New Roman" w:cs="Times New Roman"/>
                <w:sz w:val="24"/>
              </w:rPr>
              <w:t>Low</w:t>
            </w:r>
          </w:p>
        </w:tc>
        <w:tc>
          <w:tcPr>
            <w:tcW w:w="2886" w:type="dxa"/>
            <w:tcBorders>
              <w:top w:val="single" w:sz="4" w:space="0" w:color="auto"/>
            </w:tcBorders>
            <w:noWrap/>
            <w:vAlign w:val="center"/>
            <w:hideMark/>
          </w:tcPr>
          <w:p w14:paraId="55233F6B" w14:textId="6D84C993" w:rsidR="00080CEB" w:rsidRPr="00BF695B" w:rsidRDefault="00080CEB" w:rsidP="008D611D">
            <w:pPr>
              <w:jc w:val="center"/>
              <w:rPr>
                <w:rFonts w:ascii="Times New Roman" w:hAnsi="Times New Roman" w:cs="Times New Roman"/>
                <w:sz w:val="24"/>
              </w:rPr>
            </w:pPr>
            <w:r w:rsidRPr="00BF695B">
              <w:rPr>
                <w:rFonts w:ascii="Times New Roman" w:hAnsi="Times New Roman" w:cs="Times New Roman"/>
                <w:sz w:val="24"/>
              </w:rPr>
              <w:t>56.7</w:t>
            </w:r>
          </w:p>
        </w:tc>
        <w:tc>
          <w:tcPr>
            <w:tcW w:w="810" w:type="dxa"/>
            <w:tcBorders>
              <w:top w:val="single" w:sz="4" w:space="0" w:color="auto"/>
            </w:tcBorders>
            <w:noWrap/>
            <w:vAlign w:val="center"/>
            <w:hideMark/>
          </w:tcPr>
          <w:p w14:paraId="4444CC61" w14:textId="1A360A49" w:rsidR="00080CEB" w:rsidRPr="00BF695B" w:rsidRDefault="00080CEB" w:rsidP="008D611D">
            <w:pPr>
              <w:jc w:val="center"/>
              <w:rPr>
                <w:rFonts w:ascii="Times New Roman" w:hAnsi="Times New Roman" w:cs="Times New Roman"/>
                <w:sz w:val="24"/>
              </w:rPr>
            </w:pPr>
            <w:r w:rsidRPr="00BF695B">
              <w:rPr>
                <w:rFonts w:ascii="Times New Roman" w:hAnsi="Times New Roman" w:cs="Times New Roman"/>
                <w:sz w:val="24"/>
              </w:rPr>
              <w:t>2.8</w:t>
            </w:r>
          </w:p>
        </w:tc>
        <w:tc>
          <w:tcPr>
            <w:tcW w:w="2339" w:type="dxa"/>
            <w:tcBorders>
              <w:top w:val="single" w:sz="4" w:space="0" w:color="auto"/>
            </w:tcBorders>
            <w:noWrap/>
            <w:vAlign w:val="center"/>
            <w:hideMark/>
          </w:tcPr>
          <w:p w14:paraId="1E617D48" w14:textId="26354BFE" w:rsidR="00080CEB" w:rsidRPr="00BF695B" w:rsidRDefault="00080CEB" w:rsidP="008D611D">
            <w:pPr>
              <w:jc w:val="center"/>
              <w:rPr>
                <w:rFonts w:ascii="Times New Roman" w:hAnsi="Times New Roman" w:cs="Times New Roman"/>
                <w:sz w:val="24"/>
              </w:rPr>
            </w:pPr>
            <w:r w:rsidRPr="00BF695B">
              <w:rPr>
                <w:rFonts w:ascii="Times New Roman" w:hAnsi="Times New Roman" w:cs="Times New Roman"/>
                <w:sz w:val="24"/>
              </w:rPr>
              <w:t>0.046</w:t>
            </w:r>
          </w:p>
        </w:tc>
        <w:tc>
          <w:tcPr>
            <w:tcW w:w="990" w:type="dxa"/>
            <w:tcBorders>
              <w:top w:val="single" w:sz="4" w:space="0" w:color="auto"/>
            </w:tcBorders>
            <w:noWrap/>
            <w:vAlign w:val="center"/>
            <w:hideMark/>
          </w:tcPr>
          <w:p w14:paraId="1D0FF70B" w14:textId="65B10EF6" w:rsidR="00080CEB" w:rsidRPr="00BF695B" w:rsidRDefault="00080CEB" w:rsidP="008D611D">
            <w:pPr>
              <w:jc w:val="center"/>
              <w:rPr>
                <w:rFonts w:ascii="Times New Roman" w:hAnsi="Times New Roman" w:cs="Times New Roman"/>
                <w:sz w:val="24"/>
              </w:rPr>
            </w:pPr>
            <w:r w:rsidRPr="00BF695B">
              <w:rPr>
                <w:rFonts w:ascii="Times New Roman" w:hAnsi="Times New Roman" w:cs="Times New Roman"/>
                <w:sz w:val="24"/>
              </w:rPr>
              <w:t>0.004</w:t>
            </w:r>
          </w:p>
        </w:tc>
        <w:tc>
          <w:tcPr>
            <w:tcW w:w="720" w:type="dxa"/>
            <w:tcBorders>
              <w:top w:val="single" w:sz="4" w:space="0" w:color="auto"/>
            </w:tcBorders>
            <w:noWrap/>
            <w:vAlign w:val="center"/>
            <w:hideMark/>
          </w:tcPr>
          <w:p w14:paraId="08852A34" w14:textId="5497DC57" w:rsidR="00080CEB" w:rsidRPr="00BF695B" w:rsidRDefault="00080CEB" w:rsidP="008D611D">
            <w:pPr>
              <w:jc w:val="center"/>
              <w:rPr>
                <w:rFonts w:ascii="Times New Roman" w:hAnsi="Times New Roman" w:cs="Times New Roman"/>
                <w:sz w:val="24"/>
              </w:rPr>
            </w:pPr>
            <w:r w:rsidRPr="00BF695B">
              <w:rPr>
                <w:rFonts w:ascii="Times New Roman" w:hAnsi="Times New Roman" w:cs="Times New Roman"/>
                <w:sz w:val="24"/>
              </w:rPr>
              <w:t>0.96</w:t>
            </w:r>
          </w:p>
        </w:tc>
        <w:tc>
          <w:tcPr>
            <w:tcW w:w="900" w:type="dxa"/>
            <w:tcBorders>
              <w:top w:val="single" w:sz="4" w:space="0" w:color="auto"/>
            </w:tcBorders>
          </w:tcPr>
          <w:p w14:paraId="19E14EF1" w14:textId="7646E843" w:rsidR="00080CEB" w:rsidRPr="00BF695B" w:rsidRDefault="00D562C1" w:rsidP="008D611D">
            <w:pPr>
              <w:jc w:val="center"/>
              <w:rPr>
                <w:rFonts w:ascii="Times New Roman" w:hAnsi="Times New Roman" w:cs="Times New Roman"/>
                <w:sz w:val="24"/>
              </w:rPr>
            </w:pPr>
            <w:r>
              <w:rPr>
                <w:rFonts w:ascii="Times New Roman" w:hAnsi="Times New Roman" w:cs="Times New Roman"/>
                <w:sz w:val="24"/>
              </w:rPr>
              <w:t>15.0</w:t>
            </w:r>
          </w:p>
        </w:tc>
      </w:tr>
      <w:tr w:rsidR="00080CEB" w:rsidRPr="00BF695B" w14:paraId="170B190A" w14:textId="32286119" w:rsidTr="00426C56">
        <w:trPr>
          <w:trHeight w:val="315"/>
        </w:trPr>
        <w:tc>
          <w:tcPr>
            <w:tcW w:w="716" w:type="dxa"/>
            <w:noWrap/>
            <w:hideMark/>
          </w:tcPr>
          <w:p w14:paraId="10F4F9C9" w14:textId="77777777" w:rsidR="00080CEB" w:rsidRPr="00BF695B" w:rsidRDefault="00080CEB" w:rsidP="006823B0">
            <w:pPr>
              <w:jc w:val="center"/>
              <w:rPr>
                <w:rFonts w:ascii="Times New Roman" w:hAnsi="Times New Roman" w:cs="Times New Roman"/>
                <w:sz w:val="24"/>
              </w:rPr>
            </w:pPr>
          </w:p>
        </w:tc>
        <w:tc>
          <w:tcPr>
            <w:tcW w:w="1617" w:type="dxa"/>
            <w:noWrap/>
            <w:hideMark/>
          </w:tcPr>
          <w:p w14:paraId="211F550F" w14:textId="77777777" w:rsidR="00080CEB" w:rsidRPr="00BF695B" w:rsidRDefault="00080CEB" w:rsidP="006823B0">
            <w:pPr>
              <w:jc w:val="center"/>
              <w:rPr>
                <w:rFonts w:ascii="Times New Roman" w:hAnsi="Times New Roman" w:cs="Times New Roman"/>
                <w:sz w:val="24"/>
              </w:rPr>
            </w:pPr>
          </w:p>
        </w:tc>
        <w:tc>
          <w:tcPr>
            <w:tcW w:w="1982" w:type="dxa"/>
            <w:noWrap/>
            <w:hideMark/>
          </w:tcPr>
          <w:p w14:paraId="4A0EED66" w14:textId="60ECE1CD"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Medium</w:t>
            </w:r>
          </w:p>
        </w:tc>
        <w:tc>
          <w:tcPr>
            <w:tcW w:w="2886" w:type="dxa"/>
            <w:noWrap/>
            <w:hideMark/>
          </w:tcPr>
          <w:p w14:paraId="39B650CD" w14:textId="7A9F5A66"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410</w:t>
            </w:r>
          </w:p>
        </w:tc>
        <w:tc>
          <w:tcPr>
            <w:tcW w:w="810" w:type="dxa"/>
            <w:noWrap/>
            <w:hideMark/>
          </w:tcPr>
          <w:p w14:paraId="22468DC9" w14:textId="4E5BEE98"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9.1</w:t>
            </w:r>
          </w:p>
        </w:tc>
        <w:tc>
          <w:tcPr>
            <w:tcW w:w="2339" w:type="dxa"/>
            <w:noWrap/>
            <w:hideMark/>
          </w:tcPr>
          <w:p w14:paraId="07BA0C2C" w14:textId="37DD1AA8"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0.047</w:t>
            </w:r>
          </w:p>
        </w:tc>
        <w:tc>
          <w:tcPr>
            <w:tcW w:w="990" w:type="dxa"/>
            <w:noWrap/>
            <w:hideMark/>
          </w:tcPr>
          <w:p w14:paraId="0771B7A6" w14:textId="385465EA"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0.002</w:t>
            </w:r>
          </w:p>
        </w:tc>
        <w:tc>
          <w:tcPr>
            <w:tcW w:w="720" w:type="dxa"/>
            <w:noWrap/>
            <w:hideMark/>
          </w:tcPr>
          <w:p w14:paraId="309F0F9B" w14:textId="18D69568"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0.99</w:t>
            </w:r>
          </w:p>
        </w:tc>
        <w:tc>
          <w:tcPr>
            <w:tcW w:w="900" w:type="dxa"/>
          </w:tcPr>
          <w:p w14:paraId="5221B82C" w14:textId="41977CB3" w:rsidR="00080CEB" w:rsidRPr="00BF695B" w:rsidRDefault="00D562C1" w:rsidP="006823B0">
            <w:pPr>
              <w:jc w:val="center"/>
              <w:rPr>
                <w:rFonts w:ascii="Times New Roman" w:hAnsi="Times New Roman" w:cs="Times New Roman"/>
                <w:sz w:val="24"/>
              </w:rPr>
            </w:pPr>
            <w:r>
              <w:rPr>
                <w:rFonts w:ascii="Times New Roman" w:hAnsi="Times New Roman" w:cs="Times New Roman"/>
                <w:sz w:val="24"/>
              </w:rPr>
              <w:t>14.7</w:t>
            </w:r>
          </w:p>
        </w:tc>
      </w:tr>
      <w:tr w:rsidR="00080CEB" w:rsidRPr="00BF695B" w14:paraId="0C60C5DB" w14:textId="242268B7" w:rsidTr="00426C56">
        <w:trPr>
          <w:trHeight w:val="315"/>
        </w:trPr>
        <w:tc>
          <w:tcPr>
            <w:tcW w:w="716" w:type="dxa"/>
            <w:noWrap/>
            <w:hideMark/>
          </w:tcPr>
          <w:p w14:paraId="1FCC6422" w14:textId="77777777" w:rsidR="00080CEB" w:rsidRPr="00BF695B" w:rsidRDefault="00080CEB" w:rsidP="006823B0">
            <w:pPr>
              <w:jc w:val="center"/>
              <w:rPr>
                <w:rFonts w:ascii="Times New Roman" w:hAnsi="Times New Roman" w:cs="Times New Roman"/>
                <w:sz w:val="24"/>
              </w:rPr>
            </w:pPr>
          </w:p>
        </w:tc>
        <w:tc>
          <w:tcPr>
            <w:tcW w:w="1617" w:type="dxa"/>
            <w:noWrap/>
            <w:hideMark/>
          </w:tcPr>
          <w:p w14:paraId="7F2A3B79" w14:textId="77777777" w:rsidR="00080CEB" w:rsidRPr="00BF695B" w:rsidRDefault="00080CEB" w:rsidP="006823B0">
            <w:pPr>
              <w:jc w:val="center"/>
              <w:rPr>
                <w:rFonts w:ascii="Times New Roman" w:hAnsi="Times New Roman" w:cs="Times New Roman"/>
                <w:sz w:val="24"/>
              </w:rPr>
            </w:pPr>
          </w:p>
        </w:tc>
        <w:tc>
          <w:tcPr>
            <w:tcW w:w="1982" w:type="dxa"/>
            <w:noWrap/>
            <w:hideMark/>
          </w:tcPr>
          <w:p w14:paraId="123889F8" w14:textId="7B2E709F"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High</w:t>
            </w:r>
          </w:p>
        </w:tc>
        <w:tc>
          <w:tcPr>
            <w:tcW w:w="2886" w:type="dxa"/>
            <w:noWrap/>
            <w:hideMark/>
          </w:tcPr>
          <w:p w14:paraId="1E11B00F" w14:textId="3FA38CA8"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6164</w:t>
            </w:r>
          </w:p>
        </w:tc>
        <w:tc>
          <w:tcPr>
            <w:tcW w:w="810" w:type="dxa"/>
            <w:noWrap/>
            <w:hideMark/>
          </w:tcPr>
          <w:p w14:paraId="279BF56F" w14:textId="0057DD7B"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574</w:t>
            </w:r>
          </w:p>
        </w:tc>
        <w:tc>
          <w:tcPr>
            <w:tcW w:w="2339" w:type="dxa"/>
            <w:noWrap/>
            <w:hideMark/>
          </w:tcPr>
          <w:p w14:paraId="25236FD4" w14:textId="45D85FFF"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0.069</w:t>
            </w:r>
          </w:p>
        </w:tc>
        <w:tc>
          <w:tcPr>
            <w:tcW w:w="990" w:type="dxa"/>
            <w:noWrap/>
            <w:hideMark/>
          </w:tcPr>
          <w:p w14:paraId="5B85DCF3" w14:textId="18E788D7"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0.012</w:t>
            </w:r>
          </w:p>
        </w:tc>
        <w:tc>
          <w:tcPr>
            <w:tcW w:w="720" w:type="dxa"/>
            <w:noWrap/>
            <w:hideMark/>
          </w:tcPr>
          <w:p w14:paraId="397A3450" w14:textId="057961BF"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0.88</w:t>
            </w:r>
          </w:p>
        </w:tc>
        <w:tc>
          <w:tcPr>
            <w:tcW w:w="900" w:type="dxa"/>
          </w:tcPr>
          <w:p w14:paraId="5717EAE1" w14:textId="7A4B938C" w:rsidR="00080CEB" w:rsidRPr="00BF695B" w:rsidRDefault="00D562C1" w:rsidP="006823B0">
            <w:pPr>
              <w:jc w:val="center"/>
              <w:rPr>
                <w:rFonts w:ascii="Times New Roman" w:hAnsi="Times New Roman" w:cs="Times New Roman"/>
                <w:sz w:val="24"/>
              </w:rPr>
            </w:pPr>
            <w:r>
              <w:rPr>
                <w:rFonts w:ascii="Times New Roman" w:hAnsi="Times New Roman" w:cs="Times New Roman"/>
                <w:sz w:val="24"/>
              </w:rPr>
              <w:t>10.1</w:t>
            </w:r>
          </w:p>
        </w:tc>
      </w:tr>
      <w:tr w:rsidR="00080CEB" w:rsidRPr="00BF695B" w14:paraId="17C93E14" w14:textId="01A55173" w:rsidTr="00426C56">
        <w:trPr>
          <w:trHeight w:val="315"/>
        </w:trPr>
        <w:tc>
          <w:tcPr>
            <w:tcW w:w="716" w:type="dxa"/>
            <w:noWrap/>
            <w:hideMark/>
          </w:tcPr>
          <w:p w14:paraId="77932B89" w14:textId="77777777" w:rsidR="00080CEB" w:rsidRPr="00BF695B" w:rsidRDefault="00080CEB" w:rsidP="006823B0">
            <w:pPr>
              <w:jc w:val="center"/>
              <w:rPr>
                <w:rFonts w:ascii="Times New Roman" w:hAnsi="Times New Roman" w:cs="Times New Roman"/>
                <w:sz w:val="24"/>
              </w:rPr>
            </w:pPr>
          </w:p>
        </w:tc>
        <w:tc>
          <w:tcPr>
            <w:tcW w:w="1617" w:type="dxa"/>
            <w:noWrap/>
            <w:hideMark/>
          </w:tcPr>
          <w:p w14:paraId="63FA23D3" w14:textId="77777777" w:rsidR="00080CEB" w:rsidRPr="00BF695B" w:rsidRDefault="00080CEB" w:rsidP="006823B0">
            <w:pPr>
              <w:jc w:val="center"/>
              <w:rPr>
                <w:rFonts w:ascii="Times New Roman" w:hAnsi="Times New Roman" w:cs="Times New Roman"/>
                <w:sz w:val="24"/>
              </w:rPr>
            </w:pPr>
          </w:p>
        </w:tc>
        <w:tc>
          <w:tcPr>
            <w:tcW w:w="1982" w:type="dxa"/>
            <w:noWrap/>
            <w:hideMark/>
          </w:tcPr>
          <w:p w14:paraId="0E3D35A4" w14:textId="77777777" w:rsidR="00080CEB" w:rsidRPr="00BF695B" w:rsidRDefault="00080CEB" w:rsidP="006823B0">
            <w:pPr>
              <w:jc w:val="center"/>
              <w:rPr>
                <w:rFonts w:ascii="Times New Roman" w:hAnsi="Times New Roman" w:cs="Times New Roman"/>
                <w:sz w:val="24"/>
              </w:rPr>
            </w:pPr>
          </w:p>
        </w:tc>
        <w:tc>
          <w:tcPr>
            <w:tcW w:w="2886" w:type="dxa"/>
            <w:noWrap/>
            <w:hideMark/>
          </w:tcPr>
          <w:p w14:paraId="5D3F7BD7" w14:textId="77777777" w:rsidR="00080CEB" w:rsidRPr="00BF695B" w:rsidRDefault="00080CEB" w:rsidP="006823B0">
            <w:pPr>
              <w:jc w:val="center"/>
              <w:rPr>
                <w:rFonts w:ascii="Times New Roman" w:hAnsi="Times New Roman" w:cs="Times New Roman"/>
                <w:sz w:val="24"/>
              </w:rPr>
            </w:pPr>
          </w:p>
        </w:tc>
        <w:tc>
          <w:tcPr>
            <w:tcW w:w="810" w:type="dxa"/>
            <w:noWrap/>
            <w:hideMark/>
          </w:tcPr>
          <w:p w14:paraId="677EC7D6" w14:textId="77777777" w:rsidR="00080CEB" w:rsidRPr="00BF695B" w:rsidRDefault="00080CEB" w:rsidP="006823B0">
            <w:pPr>
              <w:jc w:val="center"/>
              <w:rPr>
                <w:rFonts w:ascii="Times New Roman" w:hAnsi="Times New Roman" w:cs="Times New Roman"/>
                <w:sz w:val="24"/>
              </w:rPr>
            </w:pPr>
          </w:p>
        </w:tc>
        <w:tc>
          <w:tcPr>
            <w:tcW w:w="2339" w:type="dxa"/>
            <w:noWrap/>
            <w:hideMark/>
          </w:tcPr>
          <w:p w14:paraId="05C549B1" w14:textId="77777777" w:rsidR="00080CEB" w:rsidRPr="00BF695B" w:rsidRDefault="00080CEB" w:rsidP="006823B0">
            <w:pPr>
              <w:jc w:val="center"/>
              <w:rPr>
                <w:rFonts w:ascii="Times New Roman" w:hAnsi="Times New Roman" w:cs="Times New Roman"/>
                <w:sz w:val="24"/>
              </w:rPr>
            </w:pPr>
          </w:p>
        </w:tc>
        <w:tc>
          <w:tcPr>
            <w:tcW w:w="990" w:type="dxa"/>
            <w:noWrap/>
            <w:hideMark/>
          </w:tcPr>
          <w:p w14:paraId="7CA8C2D2" w14:textId="77777777" w:rsidR="00080CEB" w:rsidRPr="00BF695B" w:rsidRDefault="00080CEB" w:rsidP="006823B0">
            <w:pPr>
              <w:jc w:val="center"/>
              <w:rPr>
                <w:rFonts w:ascii="Times New Roman" w:hAnsi="Times New Roman" w:cs="Times New Roman"/>
                <w:sz w:val="24"/>
              </w:rPr>
            </w:pPr>
          </w:p>
        </w:tc>
        <w:tc>
          <w:tcPr>
            <w:tcW w:w="720" w:type="dxa"/>
            <w:noWrap/>
            <w:hideMark/>
          </w:tcPr>
          <w:p w14:paraId="7146E2FB" w14:textId="77777777" w:rsidR="00080CEB" w:rsidRPr="00BF695B" w:rsidRDefault="00080CEB" w:rsidP="006823B0">
            <w:pPr>
              <w:jc w:val="center"/>
              <w:rPr>
                <w:rFonts w:ascii="Times New Roman" w:hAnsi="Times New Roman" w:cs="Times New Roman"/>
                <w:sz w:val="24"/>
              </w:rPr>
            </w:pPr>
          </w:p>
        </w:tc>
        <w:tc>
          <w:tcPr>
            <w:tcW w:w="900" w:type="dxa"/>
          </w:tcPr>
          <w:p w14:paraId="3E325C2E" w14:textId="77777777" w:rsidR="00080CEB" w:rsidRPr="00BF695B" w:rsidRDefault="00080CEB" w:rsidP="006823B0">
            <w:pPr>
              <w:jc w:val="center"/>
              <w:rPr>
                <w:rFonts w:ascii="Times New Roman" w:hAnsi="Times New Roman" w:cs="Times New Roman"/>
                <w:sz w:val="24"/>
              </w:rPr>
            </w:pPr>
          </w:p>
        </w:tc>
      </w:tr>
      <w:tr w:rsidR="00080CEB" w:rsidRPr="00BF695B" w14:paraId="19B7DE36" w14:textId="793A4CE0" w:rsidTr="00426C56">
        <w:trPr>
          <w:trHeight w:val="315"/>
        </w:trPr>
        <w:tc>
          <w:tcPr>
            <w:tcW w:w="716" w:type="dxa"/>
            <w:noWrap/>
            <w:hideMark/>
          </w:tcPr>
          <w:p w14:paraId="1E5F323A" w14:textId="77777777" w:rsidR="00080CEB" w:rsidRPr="00BF695B" w:rsidRDefault="00080CEB" w:rsidP="006823B0">
            <w:pPr>
              <w:jc w:val="center"/>
              <w:rPr>
                <w:rFonts w:ascii="Times New Roman" w:hAnsi="Times New Roman" w:cs="Times New Roman"/>
                <w:sz w:val="24"/>
              </w:rPr>
            </w:pPr>
          </w:p>
        </w:tc>
        <w:tc>
          <w:tcPr>
            <w:tcW w:w="1617" w:type="dxa"/>
            <w:noWrap/>
            <w:hideMark/>
          </w:tcPr>
          <w:p w14:paraId="45168DF2" w14:textId="5A52BB3A"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P</w:t>
            </w:r>
            <w:r w:rsidR="0086329D">
              <w:rPr>
                <w:rFonts w:ascii="Times New Roman" w:hAnsi="Times New Roman" w:cs="Times New Roman"/>
                <w:sz w:val="24"/>
              </w:rPr>
              <w:t>yroxasulfone</w:t>
            </w:r>
          </w:p>
        </w:tc>
        <w:tc>
          <w:tcPr>
            <w:tcW w:w="1982" w:type="dxa"/>
            <w:noWrap/>
            <w:hideMark/>
          </w:tcPr>
          <w:p w14:paraId="0D506392" w14:textId="63F35B32"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Low</w:t>
            </w:r>
          </w:p>
        </w:tc>
        <w:tc>
          <w:tcPr>
            <w:tcW w:w="2886" w:type="dxa"/>
            <w:noWrap/>
            <w:hideMark/>
          </w:tcPr>
          <w:p w14:paraId="600885AB" w14:textId="09FE7BD6"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85.6</w:t>
            </w:r>
          </w:p>
        </w:tc>
        <w:tc>
          <w:tcPr>
            <w:tcW w:w="810" w:type="dxa"/>
            <w:noWrap/>
            <w:hideMark/>
          </w:tcPr>
          <w:p w14:paraId="41FCE2B6" w14:textId="02E17F16"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4.4</w:t>
            </w:r>
          </w:p>
        </w:tc>
        <w:tc>
          <w:tcPr>
            <w:tcW w:w="2339" w:type="dxa"/>
            <w:noWrap/>
            <w:hideMark/>
          </w:tcPr>
          <w:p w14:paraId="1D92480C" w14:textId="1FD52744"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0.030</w:t>
            </w:r>
          </w:p>
        </w:tc>
        <w:tc>
          <w:tcPr>
            <w:tcW w:w="990" w:type="dxa"/>
            <w:noWrap/>
            <w:hideMark/>
          </w:tcPr>
          <w:p w14:paraId="0FE2A55E" w14:textId="4F501EFE"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0.003</w:t>
            </w:r>
          </w:p>
        </w:tc>
        <w:tc>
          <w:tcPr>
            <w:tcW w:w="720" w:type="dxa"/>
            <w:noWrap/>
            <w:hideMark/>
          </w:tcPr>
          <w:p w14:paraId="04EEB2B0" w14:textId="4FC1C519"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0.95</w:t>
            </w:r>
          </w:p>
        </w:tc>
        <w:tc>
          <w:tcPr>
            <w:tcW w:w="900" w:type="dxa"/>
          </w:tcPr>
          <w:p w14:paraId="4CA438AB" w14:textId="0AD2572F" w:rsidR="00080CEB" w:rsidRPr="00BF695B" w:rsidRDefault="00D562C1" w:rsidP="006823B0">
            <w:pPr>
              <w:jc w:val="center"/>
              <w:rPr>
                <w:rFonts w:ascii="Times New Roman" w:hAnsi="Times New Roman" w:cs="Times New Roman"/>
                <w:sz w:val="24"/>
              </w:rPr>
            </w:pPr>
            <w:r>
              <w:rPr>
                <w:rFonts w:ascii="Times New Roman" w:hAnsi="Times New Roman" w:cs="Times New Roman"/>
                <w:sz w:val="24"/>
              </w:rPr>
              <w:t>22.8</w:t>
            </w:r>
          </w:p>
        </w:tc>
      </w:tr>
      <w:tr w:rsidR="00080CEB" w:rsidRPr="00BF695B" w14:paraId="760B7484" w14:textId="705E8763" w:rsidTr="00426C56">
        <w:trPr>
          <w:trHeight w:val="315"/>
        </w:trPr>
        <w:tc>
          <w:tcPr>
            <w:tcW w:w="716" w:type="dxa"/>
            <w:noWrap/>
            <w:hideMark/>
          </w:tcPr>
          <w:p w14:paraId="3DD4870C" w14:textId="77777777" w:rsidR="00080CEB" w:rsidRPr="00BF695B" w:rsidRDefault="00080CEB" w:rsidP="006823B0">
            <w:pPr>
              <w:jc w:val="center"/>
              <w:rPr>
                <w:rFonts w:ascii="Times New Roman" w:hAnsi="Times New Roman" w:cs="Times New Roman"/>
                <w:sz w:val="24"/>
              </w:rPr>
            </w:pPr>
          </w:p>
        </w:tc>
        <w:tc>
          <w:tcPr>
            <w:tcW w:w="1617" w:type="dxa"/>
            <w:noWrap/>
            <w:hideMark/>
          </w:tcPr>
          <w:p w14:paraId="1D4DB180" w14:textId="77777777" w:rsidR="00080CEB" w:rsidRPr="00BF695B" w:rsidRDefault="00080CEB" w:rsidP="006823B0">
            <w:pPr>
              <w:jc w:val="center"/>
              <w:rPr>
                <w:rFonts w:ascii="Times New Roman" w:hAnsi="Times New Roman" w:cs="Times New Roman"/>
                <w:sz w:val="24"/>
              </w:rPr>
            </w:pPr>
          </w:p>
        </w:tc>
        <w:tc>
          <w:tcPr>
            <w:tcW w:w="1982" w:type="dxa"/>
            <w:noWrap/>
            <w:hideMark/>
          </w:tcPr>
          <w:p w14:paraId="489F42AF" w14:textId="57B32D37"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Medium</w:t>
            </w:r>
          </w:p>
        </w:tc>
        <w:tc>
          <w:tcPr>
            <w:tcW w:w="2886" w:type="dxa"/>
            <w:noWrap/>
            <w:hideMark/>
          </w:tcPr>
          <w:p w14:paraId="20CDFC7B" w14:textId="0FDA8EB8"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835</w:t>
            </w:r>
          </w:p>
        </w:tc>
        <w:tc>
          <w:tcPr>
            <w:tcW w:w="810" w:type="dxa"/>
            <w:noWrap/>
            <w:hideMark/>
          </w:tcPr>
          <w:p w14:paraId="195BCA69" w14:textId="4EA1E65C"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44</w:t>
            </w:r>
          </w:p>
        </w:tc>
        <w:tc>
          <w:tcPr>
            <w:tcW w:w="2339" w:type="dxa"/>
            <w:noWrap/>
            <w:hideMark/>
          </w:tcPr>
          <w:p w14:paraId="7170DBCF" w14:textId="340F3622"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0.020</w:t>
            </w:r>
          </w:p>
        </w:tc>
        <w:tc>
          <w:tcPr>
            <w:tcW w:w="990" w:type="dxa"/>
            <w:noWrap/>
            <w:hideMark/>
          </w:tcPr>
          <w:p w14:paraId="11AD80D9" w14:textId="469C809B"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0.002</w:t>
            </w:r>
          </w:p>
        </w:tc>
        <w:tc>
          <w:tcPr>
            <w:tcW w:w="720" w:type="dxa"/>
            <w:noWrap/>
            <w:hideMark/>
          </w:tcPr>
          <w:p w14:paraId="4834C6FE" w14:textId="7CFE945E"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0.94</w:t>
            </w:r>
          </w:p>
        </w:tc>
        <w:tc>
          <w:tcPr>
            <w:tcW w:w="900" w:type="dxa"/>
          </w:tcPr>
          <w:p w14:paraId="757CE356" w14:textId="5FF47524" w:rsidR="00080CEB" w:rsidRPr="00BF695B" w:rsidRDefault="00D562C1" w:rsidP="006823B0">
            <w:pPr>
              <w:jc w:val="center"/>
              <w:rPr>
                <w:rFonts w:ascii="Times New Roman" w:hAnsi="Times New Roman" w:cs="Times New Roman"/>
                <w:sz w:val="24"/>
              </w:rPr>
            </w:pPr>
            <w:r>
              <w:rPr>
                <w:rFonts w:ascii="Times New Roman" w:hAnsi="Times New Roman" w:cs="Times New Roman"/>
                <w:sz w:val="24"/>
              </w:rPr>
              <w:t>34.0</w:t>
            </w:r>
          </w:p>
        </w:tc>
      </w:tr>
      <w:tr w:rsidR="00080CEB" w:rsidRPr="00BF695B" w14:paraId="72839BBB" w14:textId="2BA02F31" w:rsidTr="00426C56">
        <w:trPr>
          <w:trHeight w:val="315"/>
        </w:trPr>
        <w:tc>
          <w:tcPr>
            <w:tcW w:w="716" w:type="dxa"/>
            <w:noWrap/>
            <w:hideMark/>
          </w:tcPr>
          <w:p w14:paraId="3081D3CE" w14:textId="77777777" w:rsidR="00080CEB" w:rsidRPr="00BF695B" w:rsidRDefault="00080CEB" w:rsidP="006823B0">
            <w:pPr>
              <w:jc w:val="center"/>
              <w:rPr>
                <w:rFonts w:ascii="Times New Roman" w:hAnsi="Times New Roman" w:cs="Times New Roman"/>
                <w:sz w:val="24"/>
              </w:rPr>
            </w:pPr>
          </w:p>
        </w:tc>
        <w:tc>
          <w:tcPr>
            <w:tcW w:w="1617" w:type="dxa"/>
            <w:noWrap/>
            <w:hideMark/>
          </w:tcPr>
          <w:p w14:paraId="7FA75661" w14:textId="77777777" w:rsidR="00080CEB" w:rsidRPr="00BF695B" w:rsidRDefault="00080CEB" w:rsidP="006823B0">
            <w:pPr>
              <w:jc w:val="center"/>
              <w:rPr>
                <w:rFonts w:ascii="Times New Roman" w:hAnsi="Times New Roman" w:cs="Times New Roman"/>
                <w:sz w:val="24"/>
              </w:rPr>
            </w:pPr>
          </w:p>
        </w:tc>
        <w:tc>
          <w:tcPr>
            <w:tcW w:w="1982" w:type="dxa"/>
            <w:noWrap/>
            <w:hideMark/>
          </w:tcPr>
          <w:p w14:paraId="51A9D18E" w14:textId="4D8EE717"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High</w:t>
            </w:r>
          </w:p>
        </w:tc>
        <w:tc>
          <w:tcPr>
            <w:tcW w:w="2886" w:type="dxa"/>
            <w:noWrap/>
            <w:hideMark/>
          </w:tcPr>
          <w:p w14:paraId="7AD91A69" w14:textId="7E442A74"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11280</w:t>
            </w:r>
          </w:p>
        </w:tc>
        <w:tc>
          <w:tcPr>
            <w:tcW w:w="810" w:type="dxa"/>
            <w:noWrap/>
            <w:hideMark/>
          </w:tcPr>
          <w:p w14:paraId="75D72893" w14:textId="181DA0D3"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772</w:t>
            </w:r>
          </w:p>
        </w:tc>
        <w:tc>
          <w:tcPr>
            <w:tcW w:w="2339" w:type="dxa"/>
            <w:noWrap/>
            <w:hideMark/>
          </w:tcPr>
          <w:p w14:paraId="5A3C881C" w14:textId="43AF7BB8"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0.011</w:t>
            </w:r>
          </w:p>
        </w:tc>
        <w:tc>
          <w:tcPr>
            <w:tcW w:w="990" w:type="dxa"/>
            <w:noWrap/>
            <w:hideMark/>
          </w:tcPr>
          <w:p w14:paraId="5F3E8BFD" w14:textId="3E2A1D1B"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0.002</w:t>
            </w:r>
          </w:p>
        </w:tc>
        <w:tc>
          <w:tcPr>
            <w:tcW w:w="720" w:type="dxa"/>
            <w:noWrap/>
            <w:hideMark/>
          </w:tcPr>
          <w:p w14:paraId="7D8D3F60" w14:textId="70AB77C9"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0.84</w:t>
            </w:r>
          </w:p>
        </w:tc>
        <w:tc>
          <w:tcPr>
            <w:tcW w:w="900" w:type="dxa"/>
          </w:tcPr>
          <w:p w14:paraId="3B3F3F65" w14:textId="5C6D636E" w:rsidR="00080CEB" w:rsidRPr="00BF695B" w:rsidRDefault="00D562C1" w:rsidP="006823B0">
            <w:pPr>
              <w:jc w:val="center"/>
              <w:rPr>
                <w:rFonts w:ascii="Times New Roman" w:hAnsi="Times New Roman" w:cs="Times New Roman"/>
                <w:sz w:val="24"/>
              </w:rPr>
            </w:pPr>
            <w:r>
              <w:rPr>
                <w:rFonts w:ascii="Times New Roman" w:hAnsi="Times New Roman" w:cs="Times New Roman"/>
                <w:sz w:val="24"/>
              </w:rPr>
              <w:t>61.3</w:t>
            </w:r>
          </w:p>
        </w:tc>
      </w:tr>
      <w:tr w:rsidR="00080CEB" w:rsidRPr="00BF695B" w14:paraId="64F71ED6" w14:textId="4857C49C" w:rsidTr="00426C56">
        <w:trPr>
          <w:trHeight w:val="315"/>
        </w:trPr>
        <w:tc>
          <w:tcPr>
            <w:tcW w:w="716" w:type="dxa"/>
            <w:noWrap/>
            <w:hideMark/>
          </w:tcPr>
          <w:p w14:paraId="3DFA4E2B" w14:textId="77777777" w:rsidR="00080CEB" w:rsidRPr="00BF695B" w:rsidRDefault="00080CEB" w:rsidP="006823B0">
            <w:pPr>
              <w:jc w:val="center"/>
              <w:rPr>
                <w:rFonts w:ascii="Times New Roman" w:hAnsi="Times New Roman" w:cs="Times New Roman"/>
                <w:sz w:val="24"/>
              </w:rPr>
            </w:pPr>
          </w:p>
        </w:tc>
        <w:tc>
          <w:tcPr>
            <w:tcW w:w="1617" w:type="dxa"/>
            <w:noWrap/>
            <w:hideMark/>
          </w:tcPr>
          <w:p w14:paraId="46959D90" w14:textId="77777777" w:rsidR="00080CEB" w:rsidRPr="00BF695B" w:rsidRDefault="00080CEB" w:rsidP="006823B0">
            <w:pPr>
              <w:jc w:val="center"/>
              <w:rPr>
                <w:rFonts w:ascii="Times New Roman" w:hAnsi="Times New Roman" w:cs="Times New Roman"/>
                <w:sz w:val="24"/>
              </w:rPr>
            </w:pPr>
          </w:p>
        </w:tc>
        <w:tc>
          <w:tcPr>
            <w:tcW w:w="1982" w:type="dxa"/>
            <w:noWrap/>
            <w:hideMark/>
          </w:tcPr>
          <w:p w14:paraId="74CA8443" w14:textId="77777777" w:rsidR="00080CEB" w:rsidRPr="00BF695B" w:rsidRDefault="00080CEB" w:rsidP="006823B0">
            <w:pPr>
              <w:jc w:val="center"/>
              <w:rPr>
                <w:rFonts w:ascii="Times New Roman" w:hAnsi="Times New Roman" w:cs="Times New Roman"/>
                <w:sz w:val="24"/>
              </w:rPr>
            </w:pPr>
          </w:p>
        </w:tc>
        <w:tc>
          <w:tcPr>
            <w:tcW w:w="2886" w:type="dxa"/>
            <w:noWrap/>
            <w:hideMark/>
          </w:tcPr>
          <w:p w14:paraId="1840EE36" w14:textId="77777777" w:rsidR="00080CEB" w:rsidRPr="00BF695B" w:rsidRDefault="00080CEB" w:rsidP="006823B0">
            <w:pPr>
              <w:jc w:val="center"/>
              <w:rPr>
                <w:rFonts w:ascii="Times New Roman" w:hAnsi="Times New Roman" w:cs="Times New Roman"/>
                <w:sz w:val="24"/>
              </w:rPr>
            </w:pPr>
          </w:p>
        </w:tc>
        <w:tc>
          <w:tcPr>
            <w:tcW w:w="810" w:type="dxa"/>
            <w:noWrap/>
            <w:hideMark/>
          </w:tcPr>
          <w:p w14:paraId="0DFF4870" w14:textId="77777777" w:rsidR="00080CEB" w:rsidRPr="00BF695B" w:rsidRDefault="00080CEB" w:rsidP="006823B0">
            <w:pPr>
              <w:jc w:val="center"/>
              <w:rPr>
                <w:rFonts w:ascii="Times New Roman" w:hAnsi="Times New Roman" w:cs="Times New Roman"/>
                <w:sz w:val="24"/>
              </w:rPr>
            </w:pPr>
          </w:p>
        </w:tc>
        <w:tc>
          <w:tcPr>
            <w:tcW w:w="2339" w:type="dxa"/>
            <w:noWrap/>
            <w:hideMark/>
          </w:tcPr>
          <w:p w14:paraId="158ABAB8" w14:textId="77777777" w:rsidR="00080CEB" w:rsidRPr="00BF695B" w:rsidRDefault="00080CEB" w:rsidP="006823B0">
            <w:pPr>
              <w:jc w:val="center"/>
              <w:rPr>
                <w:rFonts w:ascii="Times New Roman" w:hAnsi="Times New Roman" w:cs="Times New Roman"/>
                <w:sz w:val="24"/>
              </w:rPr>
            </w:pPr>
          </w:p>
        </w:tc>
        <w:tc>
          <w:tcPr>
            <w:tcW w:w="990" w:type="dxa"/>
            <w:noWrap/>
            <w:hideMark/>
          </w:tcPr>
          <w:p w14:paraId="0629EA02" w14:textId="77777777" w:rsidR="00080CEB" w:rsidRPr="00BF695B" w:rsidRDefault="00080CEB" w:rsidP="006823B0">
            <w:pPr>
              <w:jc w:val="center"/>
              <w:rPr>
                <w:rFonts w:ascii="Times New Roman" w:hAnsi="Times New Roman" w:cs="Times New Roman"/>
                <w:sz w:val="24"/>
              </w:rPr>
            </w:pPr>
          </w:p>
        </w:tc>
        <w:tc>
          <w:tcPr>
            <w:tcW w:w="720" w:type="dxa"/>
            <w:noWrap/>
            <w:hideMark/>
          </w:tcPr>
          <w:p w14:paraId="1102F4F1" w14:textId="77777777" w:rsidR="00080CEB" w:rsidRPr="00BF695B" w:rsidRDefault="00080CEB" w:rsidP="006823B0">
            <w:pPr>
              <w:jc w:val="center"/>
              <w:rPr>
                <w:rFonts w:ascii="Times New Roman" w:hAnsi="Times New Roman" w:cs="Times New Roman"/>
                <w:sz w:val="24"/>
              </w:rPr>
            </w:pPr>
          </w:p>
        </w:tc>
        <w:tc>
          <w:tcPr>
            <w:tcW w:w="900" w:type="dxa"/>
          </w:tcPr>
          <w:p w14:paraId="6A1E70C2" w14:textId="77777777" w:rsidR="00080CEB" w:rsidRPr="00BF695B" w:rsidRDefault="00080CEB" w:rsidP="006823B0">
            <w:pPr>
              <w:jc w:val="center"/>
              <w:rPr>
                <w:rFonts w:ascii="Times New Roman" w:hAnsi="Times New Roman" w:cs="Times New Roman"/>
                <w:sz w:val="24"/>
              </w:rPr>
            </w:pPr>
          </w:p>
        </w:tc>
      </w:tr>
      <w:tr w:rsidR="00080CEB" w:rsidRPr="00BF695B" w14:paraId="60281565" w14:textId="4C06223E" w:rsidTr="00426C56">
        <w:trPr>
          <w:trHeight w:val="315"/>
        </w:trPr>
        <w:tc>
          <w:tcPr>
            <w:tcW w:w="716" w:type="dxa"/>
            <w:noWrap/>
            <w:hideMark/>
          </w:tcPr>
          <w:p w14:paraId="7766ECDA" w14:textId="77777777" w:rsidR="00080CEB" w:rsidRPr="00BF695B" w:rsidRDefault="00080CEB" w:rsidP="006823B0">
            <w:pPr>
              <w:jc w:val="center"/>
              <w:rPr>
                <w:rFonts w:ascii="Times New Roman" w:hAnsi="Times New Roman" w:cs="Times New Roman"/>
                <w:sz w:val="24"/>
              </w:rPr>
            </w:pPr>
          </w:p>
        </w:tc>
        <w:tc>
          <w:tcPr>
            <w:tcW w:w="1617" w:type="dxa"/>
            <w:noWrap/>
            <w:hideMark/>
          </w:tcPr>
          <w:p w14:paraId="429963BA" w14:textId="5F2A54C8"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S</w:t>
            </w:r>
            <w:r w:rsidR="0086329D">
              <w:rPr>
                <w:rFonts w:ascii="Times New Roman" w:hAnsi="Times New Roman" w:cs="Times New Roman"/>
                <w:sz w:val="24"/>
              </w:rPr>
              <w:t>aflufenacil</w:t>
            </w:r>
          </w:p>
        </w:tc>
        <w:tc>
          <w:tcPr>
            <w:tcW w:w="1982" w:type="dxa"/>
            <w:noWrap/>
            <w:hideMark/>
          </w:tcPr>
          <w:p w14:paraId="1193AC37" w14:textId="368771DF"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Low</w:t>
            </w:r>
          </w:p>
        </w:tc>
        <w:tc>
          <w:tcPr>
            <w:tcW w:w="2886" w:type="dxa"/>
            <w:noWrap/>
            <w:hideMark/>
          </w:tcPr>
          <w:p w14:paraId="6942850E" w14:textId="05284DA9"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70</w:t>
            </w:r>
          </w:p>
        </w:tc>
        <w:tc>
          <w:tcPr>
            <w:tcW w:w="810" w:type="dxa"/>
            <w:noWrap/>
            <w:hideMark/>
          </w:tcPr>
          <w:p w14:paraId="37F76A70" w14:textId="7637F11B"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1.9</w:t>
            </w:r>
          </w:p>
        </w:tc>
        <w:tc>
          <w:tcPr>
            <w:tcW w:w="2339" w:type="dxa"/>
            <w:noWrap/>
            <w:hideMark/>
          </w:tcPr>
          <w:p w14:paraId="29BB2A4C" w14:textId="5B299929"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0.123</w:t>
            </w:r>
          </w:p>
        </w:tc>
        <w:tc>
          <w:tcPr>
            <w:tcW w:w="990" w:type="dxa"/>
            <w:noWrap/>
            <w:hideMark/>
          </w:tcPr>
          <w:p w14:paraId="0C5276C3" w14:textId="65E59993"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0.007</w:t>
            </w:r>
          </w:p>
        </w:tc>
        <w:tc>
          <w:tcPr>
            <w:tcW w:w="720" w:type="dxa"/>
            <w:noWrap/>
            <w:hideMark/>
          </w:tcPr>
          <w:p w14:paraId="52A2BF73" w14:textId="34419AE2"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0.98</w:t>
            </w:r>
          </w:p>
        </w:tc>
        <w:tc>
          <w:tcPr>
            <w:tcW w:w="900" w:type="dxa"/>
          </w:tcPr>
          <w:p w14:paraId="225C79B8" w14:textId="58DD0ED4" w:rsidR="00080CEB" w:rsidRPr="00BF695B" w:rsidRDefault="00D562C1" w:rsidP="006823B0">
            <w:pPr>
              <w:jc w:val="center"/>
              <w:rPr>
                <w:rFonts w:ascii="Times New Roman" w:hAnsi="Times New Roman" w:cs="Times New Roman"/>
                <w:sz w:val="24"/>
              </w:rPr>
            </w:pPr>
            <w:r>
              <w:rPr>
                <w:rFonts w:ascii="Times New Roman" w:hAnsi="Times New Roman" w:cs="Times New Roman"/>
                <w:sz w:val="24"/>
              </w:rPr>
              <w:t>5.6</w:t>
            </w:r>
          </w:p>
        </w:tc>
      </w:tr>
      <w:tr w:rsidR="00080CEB" w:rsidRPr="00BF695B" w14:paraId="7C99C561" w14:textId="7ADFEED7" w:rsidTr="00426C56">
        <w:trPr>
          <w:trHeight w:val="315"/>
        </w:trPr>
        <w:tc>
          <w:tcPr>
            <w:tcW w:w="716" w:type="dxa"/>
            <w:noWrap/>
            <w:hideMark/>
          </w:tcPr>
          <w:p w14:paraId="7CC9B86D" w14:textId="77777777" w:rsidR="00080CEB" w:rsidRPr="00BF695B" w:rsidRDefault="00080CEB" w:rsidP="006823B0">
            <w:pPr>
              <w:jc w:val="center"/>
              <w:rPr>
                <w:rFonts w:ascii="Times New Roman" w:hAnsi="Times New Roman" w:cs="Times New Roman"/>
                <w:sz w:val="24"/>
              </w:rPr>
            </w:pPr>
          </w:p>
        </w:tc>
        <w:tc>
          <w:tcPr>
            <w:tcW w:w="1617" w:type="dxa"/>
            <w:noWrap/>
            <w:hideMark/>
          </w:tcPr>
          <w:p w14:paraId="61B52DA6" w14:textId="77777777" w:rsidR="00080CEB" w:rsidRPr="00BF695B" w:rsidRDefault="00080CEB" w:rsidP="006823B0">
            <w:pPr>
              <w:jc w:val="center"/>
              <w:rPr>
                <w:rFonts w:ascii="Times New Roman" w:hAnsi="Times New Roman" w:cs="Times New Roman"/>
                <w:sz w:val="24"/>
              </w:rPr>
            </w:pPr>
          </w:p>
        </w:tc>
        <w:tc>
          <w:tcPr>
            <w:tcW w:w="1982" w:type="dxa"/>
            <w:noWrap/>
            <w:hideMark/>
          </w:tcPr>
          <w:p w14:paraId="7EA52379" w14:textId="53DF9AF4"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Medium</w:t>
            </w:r>
          </w:p>
        </w:tc>
        <w:tc>
          <w:tcPr>
            <w:tcW w:w="2886" w:type="dxa"/>
            <w:noWrap/>
            <w:hideMark/>
          </w:tcPr>
          <w:p w14:paraId="204EE7EC" w14:textId="44486E16"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869</w:t>
            </w:r>
          </w:p>
        </w:tc>
        <w:tc>
          <w:tcPr>
            <w:tcW w:w="810" w:type="dxa"/>
            <w:noWrap/>
            <w:hideMark/>
          </w:tcPr>
          <w:p w14:paraId="0E241218" w14:textId="29B42DF7"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33</w:t>
            </w:r>
          </w:p>
        </w:tc>
        <w:tc>
          <w:tcPr>
            <w:tcW w:w="2339" w:type="dxa"/>
            <w:noWrap/>
            <w:hideMark/>
          </w:tcPr>
          <w:p w14:paraId="18D6CF87" w14:textId="00542CC2"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0.189</w:t>
            </w:r>
          </w:p>
        </w:tc>
        <w:tc>
          <w:tcPr>
            <w:tcW w:w="990" w:type="dxa"/>
            <w:noWrap/>
            <w:hideMark/>
          </w:tcPr>
          <w:p w14:paraId="03E4395A" w14:textId="3845C1A7"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0.182</w:t>
            </w:r>
          </w:p>
        </w:tc>
        <w:tc>
          <w:tcPr>
            <w:tcW w:w="720" w:type="dxa"/>
            <w:noWrap/>
            <w:hideMark/>
          </w:tcPr>
          <w:p w14:paraId="6578D3DC" w14:textId="6722FFD4"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0.97</w:t>
            </w:r>
          </w:p>
        </w:tc>
        <w:tc>
          <w:tcPr>
            <w:tcW w:w="900" w:type="dxa"/>
          </w:tcPr>
          <w:p w14:paraId="7BDABAE4" w14:textId="1B96AE6E" w:rsidR="00080CEB" w:rsidRPr="00BF695B" w:rsidRDefault="00D562C1" w:rsidP="006823B0">
            <w:pPr>
              <w:jc w:val="center"/>
              <w:rPr>
                <w:rFonts w:ascii="Times New Roman" w:hAnsi="Times New Roman" w:cs="Times New Roman"/>
                <w:sz w:val="24"/>
              </w:rPr>
            </w:pPr>
            <w:r>
              <w:rPr>
                <w:rFonts w:ascii="Times New Roman" w:hAnsi="Times New Roman" w:cs="Times New Roman"/>
                <w:sz w:val="24"/>
              </w:rPr>
              <w:t>3.7</w:t>
            </w:r>
          </w:p>
        </w:tc>
      </w:tr>
      <w:tr w:rsidR="00080CEB" w:rsidRPr="00BF695B" w14:paraId="46959EF0" w14:textId="111B46F9" w:rsidTr="00426C56">
        <w:trPr>
          <w:trHeight w:val="315"/>
        </w:trPr>
        <w:tc>
          <w:tcPr>
            <w:tcW w:w="716" w:type="dxa"/>
            <w:noWrap/>
            <w:hideMark/>
          </w:tcPr>
          <w:p w14:paraId="32360F5A" w14:textId="77777777" w:rsidR="00080CEB" w:rsidRPr="00BF695B" w:rsidRDefault="00080CEB" w:rsidP="006823B0">
            <w:pPr>
              <w:jc w:val="center"/>
              <w:rPr>
                <w:rFonts w:ascii="Times New Roman" w:hAnsi="Times New Roman" w:cs="Times New Roman"/>
                <w:sz w:val="24"/>
              </w:rPr>
            </w:pPr>
          </w:p>
        </w:tc>
        <w:tc>
          <w:tcPr>
            <w:tcW w:w="1617" w:type="dxa"/>
            <w:noWrap/>
            <w:hideMark/>
          </w:tcPr>
          <w:p w14:paraId="5EF7C5F0" w14:textId="77777777" w:rsidR="00080CEB" w:rsidRPr="00BF695B" w:rsidRDefault="00080CEB" w:rsidP="006823B0">
            <w:pPr>
              <w:jc w:val="center"/>
              <w:rPr>
                <w:rFonts w:ascii="Times New Roman" w:hAnsi="Times New Roman" w:cs="Times New Roman"/>
                <w:sz w:val="24"/>
              </w:rPr>
            </w:pPr>
          </w:p>
        </w:tc>
        <w:tc>
          <w:tcPr>
            <w:tcW w:w="1982" w:type="dxa"/>
            <w:noWrap/>
            <w:hideMark/>
          </w:tcPr>
          <w:p w14:paraId="627164A6" w14:textId="44BD6047"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High</w:t>
            </w:r>
          </w:p>
        </w:tc>
        <w:tc>
          <w:tcPr>
            <w:tcW w:w="2886" w:type="dxa"/>
            <w:noWrap/>
            <w:hideMark/>
          </w:tcPr>
          <w:p w14:paraId="332F13B1" w14:textId="30234BBA"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9965</w:t>
            </w:r>
          </w:p>
        </w:tc>
        <w:tc>
          <w:tcPr>
            <w:tcW w:w="810" w:type="dxa"/>
            <w:noWrap/>
            <w:hideMark/>
          </w:tcPr>
          <w:p w14:paraId="3013298B" w14:textId="551CE06E"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406</w:t>
            </w:r>
          </w:p>
        </w:tc>
        <w:tc>
          <w:tcPr>
            <w:tcW w:w="2339" w:type="dxa"/>
            <w:noWrap/>
            <w:hideMark/>
          </w:tcPr>
          <w:p w14:paraId="6A2D94D5" w14:textId="4FDACF33"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0.180</w:t>
            </w:r>
          </w:p>
        </w:tc>
        <w:tc>
          <w:tcPr>
            <w:tcW w:w="990" w:type="dxa"/>
            <w:noWrap/>
            <w:hideMark/>
          </w:tcPr>
          <w:p w14:paraId="71B39953" w14:textId="184BBF4E"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0.018</w:t>
            </w:r>
          </w:p>
        </w:tc>
        <w:tc>
          <w:tcPr>
            <w:tcW w:w="720" w:type="dxa"/>
            <w:noWrap/>
            <w:hideMark/>
          </w:tcPr>
          <w:p w14:paraId="120DFF37" w14:textId="2CF6DCC4"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0.97</w:t>
            </w:r>
          </w:p>
        </w:tc>
        <w:tc>
          <w:tcPr>
            <w:tcW w:w="900" w:type="dxa"/>
          </w:tcPr>
          <w:p w14:paraId="5E7E766D" w14:textId="38738F32" w:rsidR="00080CEB" w:rsidRPr="00BF695B" w:rsidRDefault="00D562C1" w:rsidP="006823B0">
            <w:pPr>
              <w:jc w:val="center"/>
              <w:rPr>
                <w:rFonts w:ascii="Times New Roman" w:hAnsi="Times New Roman" w:cs="Times New Roman"/>
                <w:sz w:val="24"/>
              </w:rPr>
            </w:pPr>
            <w:r>
              <w:rPr>
                <w:rFonts w:ascii="Times New Roman" w:hAnsi="Times New Roman" w:cs="Times New Roman"/>
                <w:sz w:val="24"/>
              </w:rPr>
              <w:t>3.8</w:t>
            </w:r>
          </w:p>
        </w:tc>
      </w:tr>
      <w:tr w:rsidR="00080CEB" w:rsidRPr="00BF695B" w14:paraId="4AF62969" w14:textId="5987F96F" w:rsidTr="00426C56">
        <w:trPr>
          <w:trHeight w:val="315"/>
        </w:trPr>
        <w:tc>
          <w:tcPr>
            <w:tcW w:w="716" w:type="dxa"/>
            <w:noWrap/>
          </w:tcPr>
          <w:p w14:paraId="27A8AE3E" w14:textId="77777777" w:rsidR="00080CEB" w:rsidRPr="00BF695B" w:rsidRDefault="00080CEB" w:rsidP="006823B0">
            <w:pPr>
              <w:jc w:val="center"/>
              <w:rPr>
                <w:rFonts w:ascii="Times New Roman" w:hAnsi="Times New Roman" w:cs="Times New Roman"/>
                <w:sz w:val="24"/>
              </w:rPr>
            </w:pPr>
          </w:p>
        </w:tc>
        <w:tc>
          <w:tcPr>
            <w:tcW w:w="1617" w:type="dxa"/>
            <w:noWrap/>
          </w:tcPr>
          <w:p w14:paraId="0D31429D" w14:textId="77777777" w:rsidR="00080CEB" w:rsidRPr="00BF695B" w:rsidRDefault="00080CEB" w:rsidP="006823B0">
            <w:pPr>
              <w:jc w:val="center"/>
              <w:rPr>
                <w:rFonts w:ascii="Times New Roman" w:hAnsi="Times New Roman" w:cs="Times New Roman"/>
                <w:sz w:val="24"/>
              </w:rPr>
            </w:pPr>
          </w:p>
        </w:tc>
        <w:tc>
          <w:tcPr>
            <w:tcW w:w="1982" w:type="dxa"/>
            <w:noWrap/>
          </w:tcPr>
          <w:p w14:paraId="35D53C74" w14:textId="77777777" w:rsidR="00080CEB" w:rsidRPr="00BF695B" w:rsidRDefault="00080CEB" w:rsidP="006823B0">
            <w:pPr>
              <w:jc w:val="center"/>
              <w:rPr>
                <w:rFonts w:ascii="Times New Roman" w:hAnsi="Times New Roman" w:cs="Times New Roman"/>
                <w:sz w:val="24"/>
              </w:rPr>
            </w:pPr>
          </w:p>
        </w:tc>
        <w:tc>
          <w:tcPr>
            <w:tcW w:w="2886" w:type="dxa"/>
            <w:noWrap/>
          </w:tcPr>
          <w:p w14:paraId="507D098D" w14:textId="77777777" w:rsidR="00080CEB" w:rsidRPr="00BF695B" w:rsidRDefault="00080CEB" w:rsidP="006823B0">
            <w:pPr>
              <w:jc w:val="center"/>
              <w:rPr>
                <w:rFonts w:ascii="Times New Roman" w:hAnsi="Times New Roman" w:cs="Times New Roman"/>
                <w:sz w:val="24"/>
              </w:rPr>
            </w:pPr>
          </w:p>
        </w:tc>
        <w:tc>
          <w:tcPr>
            <w:tcW w:w="810" w:type="dxa"/>
            <w:noWrap/>
          </w:tcPr>
          <w:p w14:paraId="67E45723" w14:textId="77777777" w:rsidR="00080CEB" w:rsidRPr="00BF695B" w:rsidRDefault="00080CEB" w:rsidP="006823B0">
            <w:pPr>
              <w:jc w:val="center"/>
              <w:rPr>
                <w:rFonts w:ascii="Times New Roman" w:hAnsi="Times New Roman" w:cs="Times New Roman"/>
                <w:sz w:val="24"/>
              </w:rPr>
            </w:pPr>
          </w:p>
        </w:tc>
        <w:tc>
          <w:tcPr>
            <w:tcW w:w="2339" w:type="dxa"/>
            <w:noWrap/>
          </w:tcPr>
          <w:p w14:paraId="3DEFCFA7" w14:textId="77777777" w:rsidR="00080CEB" w:rsidRPr="00BF695B" w:rsidRDefault="00080CEB" w:rsidP="006823B0">
            <w:pPr>
              <w:jc w:val="center"/>
              <w:rPr>
                <w:rFonts w:ascii="Times New Roman" w:hAnsi="Times New Roman" w:cs="Times New Roman"/>
                <w:sz w:val="24"/>
              </w:rPr>
            </w:pPr>
          </w:p>
        </w:tc>
        <w:tc>
          <w:tcPr>
            <w:tcW w:w="990" w:type="dxa"/>
            <w:noWrap/>
          </w:tcPr>
          <w:p w14:paraId="33FE0FC3" w14:textId="77777777" w:rsidR="00080CEB" w:rsidRPr="00BF695B" w:rsidRDefault="00080CEB" w:rsidP="006823B0">
            <w:pPr>
              <w:jc w:val="center"/>
              <w:rPr>
                <w:rFonts w:ascii="Times New Roman" w:hAnsi="Times New Roman" w:cs="Times New Roman"/>
                <w:sz w:val="24"/>
              </w:rPr>
            </w:pPr>
          </w:p>
        </w:tc>
        <w:tc>
          <w:tcPr>
            <w:tcW w:w="720" w:type="dxa"/>
            <w:noWrap/>
          </w:tcPr>
          <w:p w14:paraId="34AF7A5E" w14:textId="77777777" w:rsidR="00080CEB" w:rsidRPr="00BF695B" w:rsidRDefault="00080CEB" w:rsidP="006823B0">
            <w:pPr>
              <w:jc w:val="center"/>
              <w:rPr>
                <w:rFonts w:ascii="Times New Roman" w:hAnsi="Times New Roman" w:cs="Times New Roman"/>
                <w:sz w:val="24"/>
              </w:rPr>
            </w:pPr>
          </w:p>
        </w:tc>
        <w:tc>
          <w:tcPr>
            <w:tcW w:w="900" w:type="dxa"/>
          </w:tcPr>
          <w:p w14:paraId="5078F5F5" w14:textId="77777777" w:rsidR="00080CEB" w:rsidRPr="00BF695B" w:rsidRDefault="00080CEB" w:rsidP="006823B0">
            <w:pPr>
              <w:jc w:val="center"/>
              <w:rPr>
                <w:rFonts w:ascii="Times New Roman" w:hAnsi="Times New Roman" w:cs="Times New Roman"/>
                <w:sz w:val="24"/>
              </w:rPr>
            </w:pPr>
          </w:p>
        </w:tc>
      </w:tr>
      <w:tr w:rsidR="00080CEB" w:rsidRPr="00BF695B" w14:paraId="1C0C50C0" w14:textId="75A4CE65" w:rsidTr="00426C56">
        <w:trPr>
          <w:trHeight w:val="375"/>
        </w:trPr>
        <w:tc>
          <w:tcPr>
            <w:tcW w:w="716" w:type="dxa"/>
            <w:noWrap/>
            <w:hideMark/>
          </w:tcPr>
          <w:p w14:paraId="74FF274A" w14:textId="77777777"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2020</w:t>
            </w:r>
          </w:p>
        </w:tc>
        <w:tc>
          <w:tcPr>
            <w:tcW w:w="1617" w:type="dxa"/>
            <w:noWrap/>
            <w:hideMark/>
          </w:tcPr>
          <w:p w14:paraId="7B93345F" w14:textId="6B041A43"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A</w:t>
            </w:r>
            <w:r w:rsidR="0086329D">
              <w:rPr>
                <w:rFonts w:ascii="Times New Roman" w:hAnsi="Times New Roman" w:cs="Times New Roman"/>
                <w:sz w:val="24"/>
              </w:rPr>
              <w:t>trazine</w:t>
            </w:r>
          </w:p>
        </w:tc>
        <w:tc>
          <w:tcPr>
            <w:tcW w:w="1982" w:type="dxa"/>
            <w:noWrap/>
            <w:hideMark/>
          </w:tcPr>
          <w:p w14:paraId="594D0F54" w14:textId="70256826"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Low</w:t>
            </w:r>
          </w:p>
        </w:tc>
        <w:tc>
          <w:tcPr>
            <w:tcW w:w="2886" w:type="dxa"/>
            <w:noWrap/>
            <w:hideMark/>
          </w:tcPr>
          <w:p w14:paraId="7C51FC3A" w14:textId="66196912"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114</w:t>
            </w:r>
          </w:p>
        </w:tc>
        <w:tc>
          <w:tcPr>
            <w:tcW w:w="810" w:type="dxa"/>
            <w:noWrap/>
            <w:hideMark/>
          </w:tcPr>
          <w:p w14:paraId="704640CB" w14:textId="77E0CDB3"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4.16</w:t>
            </w:r>
          </w:p>
        </w:tc>
        <w:tc>
          <w:tcPr>
            <w:tcW w:w="2339" w:type="dxa"/>
            <w:noWrap/>
            <w:hideMark/>
          </w:tcPr>
          <w:p w14:paraId="5230922C" w14:textId="06403707"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0.0748</w:t>
            </w:r>
          </w:p>
        </w:tc>
        <w:tc>
          <w:tcPr>
            <w:tcW w:w="990" w:type="dxa"/>
            <w:noWrap/>
            <w:hideMark/>
          </w:tcPr>
          <w:p w14:paraId="2C648784" w14:textId="688BC9B4"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0.0057</w:t>
            </w:r>
          </w:p>
        </w:tc>
        <w:tc>
          <w:tcPr>
            <w:tcW w:w="720" w:type="dxa"/>
            <w:noWrap/>
            <w:hideMark/>
          </w:tcPr>
          <w:p w14:paraId="27AF8B27" w14:textId="55C5E724"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0.97</w:t>
            </w:r>
          </w:p>
        </w:tc>
        <w:tc>
          <w:tcPr>
            <w:tcW w:w="900" w:type="dxa"/>
          </w:tcPr>
          <w:p w14:paraId="4E8EEF9A" w14:textId="34BB10D7" w:rsidR="00080CEB" w:rsidRPr="00BF695B" w:rsidRDefault="00D562C1" w:rsidP="006823B0">
            <w:pPr>
              <w:jc w:val="center"/>
              <w:rPr>
                <w:rFonts w:ascii="Times New Roman" w:hAnsi="Times New Roman" w:cs="Times New Roman"/>
                <w:sz w:val="24"/>
              </w:rPr>
            </w:pPr>
            <w:r>
              <w:rPr>
                <w:rFonts w:ascii="Times New Roman" w:hAnsi="Times New Roman" w:cs="Times New Roman"/>
                <w:sz w:val="24"/>
              </w:rPr>
              <w:t>9.3</w:t>
            </w:r>
          </w:p>
        </w:tc>
      </w:tr>
      <w:tr w:rsidR="00080CEB" w:rsidRPr="00BF695B" w14:paraId="65FD6F13" w14:textId="477990D2" w:rsidTr="00426C56">
        <w:trPr>
          <w:trHeight w:val="315"/>
        </w:trPr>
        <w:tc>
          <w:tcPr>
            <w:tcW w:w="716" w:type="dxa"/>
            <w:noWrap/>
            <w:hideMark/>
          </w:tcPr>
          <w:p w14:paraId="1F82A7F3" w14:textId="77777777" w:rsidR="00080CEB" w:rsidRPr="00BF695B" w:rsidRDefault="00080CEB" w:rsidP="006823B0">
            <w:pPr>
              <w:jc w:val="center"/>
              <w:rPr>
                <w:rFonts w:ascii="Times New Roman" w:hAnsi="Times New Roman" w:cs="Times New Roman"/>
                <w:sz w:val="24"/>
              </w:rPr>
            </w:pPr>
          </w:p>
        </w:tc>
        <w:tc>
          <w:tcPr>
            <w:tcW w:w="1617" w:type="dxa"/>
            <w:noWrap/>
            <w:hideMark/>
          </w:tcPr>
          <w:p w14:paraId="7271E9B8" w14:textId="77777777" w:rsidR="00080CEB" w:rsidRPr="00BF695B" w:rsidRDefault="00080CEB" w:rsidP="006823B0">
            <w:pPr>
              <w:jc w:val="center"/>
              <w:rPr>
                <w:rFonts w:ascii="Times New Roman" w:hAnsi="Times New Roman" w:cs="Times New Roman"/>
                <w:sz w:val="24"/>
              </w:rPr>
            </w:pPr>
          </w:p>
        </w:tc>
        <w:tc>
          <w:tcPr>
            <w:tcW w:w="1982" w:type="dxa"/>
            <w:noWrap/>
            <w:hideMark/>
          </w:tcPr>
          <w:p w14:paraId="17202CE2" w14:textId="2441275F"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Medium</w:t>
            </w:r>
          </w:p>
        </w:tc>
        <w:tc>
          <w:tcPr>
            <w:tcW w:w="2886" w:type="dxa"/>
            <w:noWrap/>
            <w:hideMark/>
          </w:tcPr>
          <w:p w14:paraId="4866A973" w14:textId="30E635E0" w:rsidR="00080CEB" w:rsidRPr="00BF695B" w:rsidRDefault="00447C69" w:rsidP="006823B0">
            <w:pPr>
              <w:jc w:val="center"/>
              <w:rPr>
                <w:rFonts w:ascii="Times New Roman" w:hAnsi="Times New Roman" w:cs="Times New Roman"/>
                <w:sz w:val="24"/>
              </w:rPr>
            </w:pPr>
            <w:r>
              <w:rPr>
                <w:rFonts w:ascii="Times New Roman" w:hAnsi="Times New Roman" w:cs="Times New Roman"/>
                <w:sz w:val="24"/>
              </w:rPr>
              <w:t>1</w:t>
            </w:r>
            <w:r w:rsidR="00080CEB" w:rsidRPr="00BF695B">
              <w:rPr>
                <w:rFonts w:ascii="Times New Roman" w:hAnsi="Times New Roman" w:cs="Times New Roman"/>
                <w:sz w:val="24"/>
              </w:rPr>
              <w:t>352</w:t>
            </w:r>
          </w:p>
        </w:tc>
        <w:tc>
          <w:tcPr>
            <w:tcW w:w="810" w:type="dxa"/>
            <w:noWrap/>
            <w:hideMark/>
          </w:tcPr>
          <w:p w14:paraId="257F8855" w14:textId="20EBE51B"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21.8</w:t>
            </w:r>
          </w:p>
        </w:tc>
        <w:tc>
          <w:tcPr>
            <w:tcW w:w="2339" w:type="dxa"/>
            <w:noWrap/>
            <w:hideMark/>
          </w:tcPr>
          <w:p w14:paraId="289DD968" w14:textId="14C0FE60"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0.0572</w:t>
            </w:r>
          </w:p>
        </w:tc>
        <w:tc>
          <w:tcPr>
            <w:tcW w:w="990" w:type="dxa"/>
            <w:noWrap/>
            <w:hideMark/>
          </w:tcPr>
          <w:p w14:paraId="4AAA2AEB" w14:textId="4AEB59E1"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0.0075</w:t>
            </w:r>
          </w:p>
        </w:tc>
        <w:tc>
          <w:tcPr>
            <w:tcW w:w="720" w:type="dxa"/>
            <w:noWrap/>
            <w:hideMark/>
          </w:tcPr>
          <w:p w14:paraId="7D3D65CA" w14:textId="41E3DEA3"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0.94</w:t>
            </w:r>
          </w:p>
        </w:tc>
        <w:tc>
          <w:tcPr>
            <w:tcW w:w="900" w:type="dxa"/>
          </w:tcPr>
          <w:p w14:paraId="1DB5A31B" w14:textId="2E4577C3" w:rsidR="00080CEB" w:rsidRPr="00BF695B" w:rsidRDefault="00D562C1" w:rsidP="006823B0">
            <w:pPr>
              <w:jc w:val="center"/>
              <w:rPr>
                <w:rFonts w:ascii="Times New Roman" w:hAnsi="Times New Roman" w:cs="Times New Roman"/>
                <w:sz w:val="24"/>
              </w:rPr>
            </w:pPr>
            <w:r>
              <w:rPr>
                <w:rFonts w:ascii="Times New Roman" w:hAnsi="Times New Roman" w:cs="Times New Roman"/>
                <w:sz w:val="24"/>
              </w:rPr>
              <w:t>12.1</w:t>
            </w:r>
          </w:p>
        </w:tc>
      </w:tr>
      <w:tr w:rsidR="00080CEB" w:rsidRPr="00BF695B" w14:paraId="2A6956AD" w14:textId="297640E2" w:rsidTr="00426C56">
        <w:trPr>
          <w:trHeight w:val="315"/>
        </w:trPr>
        <w:tc>
          <w:tcPr>
            <w:tcW w:w="716" w:type="dxa"/>
            <w:noWrap/>
            <w:hideMark/>
          </w:tcPr>
          <w:p w14:paraId="469B1733" w14:textId="77777777" w:rsidR="00080CEB" w:rsidRPr="00BF695B" w:rsidRDefault="00080CEB" w:rsidP="006823B0">
            <w:pPr>
              <w:jc w:val="center"/>
              <w:rPr>
                <w:rFonts w:ascii="Times New Roman" w:hAnsi="Times New Roman" w:cs="Times New Roman"/>
                <w:sz w:val="24"/>
              </w:rPr>
            </w:pPr>
          </w:p>
        </w:tc>
        <w:tc>
          <w:tcPr>
            <w:tcW w:w="1617" w:type="dxa"/>
            <w:noWrap/>
            <w:hideMark/>
          </w:tcPr>
          <w:p w14:paraId="46D5E907" w14:textId="77777777" w:rsidR="00080CEB" w:rsidRPr="00BF695B" w:rsidRDefault="00080CEB" w:rsidP="006823B0">
            <w:pPr>
              <w:jc w:val="center"/>
              <w:rPr>
                <w:rFonts w:ascii="Times New Roman" w:hAnsi="Times New Roman" w:cs="Times New Roman"/>
                <w:sz w:val="24"/>
              </w:rPr>
            </w:pPr>
          </w:p>
        </w:tc>
        <w:tc>
          <w:tcPr>
            <w:tcW w:w="1982" w:type="dxa"/>
            <w:noWrap/>
            <w:hideMark/>
          </w:tcPr>
          <w:p w14:paraId="175981CB" w14:textId="5DE0DB25"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High</w:t>
            </w:r>
          </w:p>
        </w:tc>
        <w:tc>
          <w:tcPr>
            <w:tcW w:w="2886" w:type="dxa"/>
            <w:noWrap/>
            <w:hideMark/>
          </w:tcPr>
          <w:p w14:paraId="5FD510D3" w14:textId="164402AB"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15358</w:t>
            </w:r>
          </w:p>
        </w:tc>
        <w:tc>
          <w:tcPr>
            <w:tcW w:w="810" w:type="dxa"/>
            <w:noWrap/>
            <w:hideMark/>
          </w:tcPr>
          <w:p w14:paraId="0BF364D1" w14:textId="4A2726FF"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1351</w:t>
            </w:r>
          </w:p>
        </w:tc>
        <w:tc>
          <w:tcPr>
            <w:tcW w:w="2339" w:type="dxa"/>
            <w:noWrap/>
            <w:hideMark/>
          </w:tcPr>
          <w:p w14:paraId="136F6A90" w14:textId="5B0FEC69"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0.0536</w:t>
            </w:r>
          </w:p>
        </w:tc>
        <w:tc>
          <w:tcPr>
            <w:tcW w:w="990" w:type="dxa"/>
            <w:noWrap/>
            <w:hideMark/>
          </w:tcPr>
          <w:p w14:paraId="3457D87A" w14:textId="0CED67F1"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0.01</w:t>
            </w:r>
          </w:p>
        </w:tc>
        <w:tc>
          <w:tcPr>
            <w:tcW w:w="720" w:type="dxa"/>
            <w:noWrap/>
            <w:hideMark/>
          </w:tcPr>
          <w:p w14:paraId="291882B5" w14:textId="0AB93C54"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0.89</w:t>
            </w:r>
          </w:p>
        </w:tc>
        <w:tc>
          <w:tcPr>
            <w:tcW w:w="900" w:type="dxa"/>
          </w:tcPr>
          <w:p w14:paraId="38A3E283" w14:textId="4C0D7F56" w:rsidR="00080CEB" w:rsidRPr="00BF695B" w:rsidRDefault="00D562C1" w:rsidP="006823B0">
            <w:pPr>
              <w:jc w:val="center"/>
              <w:rPr>
                <w:rFonts w:ascii="Times New Roman" w:hAnsi="Times New Roman" w:cs="Times New Roman"/>
                <w:sz w:val="24"/>
              </w:rPr>
            </w:pPr>
            <w:r>
              <w:rPr>
                <w:rFonts w:ascii="Times New Roman" w:hAnsi="Times New Roman" w:cs="Times New Roman"/>
                <w:sz w:val="24"/>
              </w:rPr>
              <w:t>12.9</w:t>
            </w:r>
          </w:p>
        </w:tc>
      </w:tr>
      <w:tr w:rsidR="00080CEB" w:rsidRPr="00BF695B" w14:paraId="5703F09C" w14:textId="0376C153" w:rsidTr="00426C56">
        <w:trPr>
          <w:trHeight w:val="315"/>
        </w:trPr>
        <w:tc>
          <w:tcPr>
            <w:tcW w:w="716" w:type="dxa"/>
            <w:noWrap/>
            <w:hideMark/>
          </w:tcPr>
          <w:p w14:paraId="262EFB3F" w14:textId="77777777" w:rsidR="00080CEB" w:rsidRPr="00BF695B" w:rsidRDefault="00080CEB" w:rsidP="006823B0">
            <w:pPr>
              <w:jc w:val="center"/>
              <w:rPr>
                <w:rFonts w:ascii="Times New Roman" w:hAnsi="Times New Roman" w:cs="Times New Roman"/>
                <w:sz w:val="24"/>
              </w:rPr>
            </w:pPr>
          </w:p>
        </w:tc>
        <w:tc>
          <w:tcPr>
            <w:tcW w:w="1617" w:type="dxa"/>
            <w:noWrap/>
            <w:hideMark/>
          </w:tcPr>
          <w:p w14:paraId="736975E7" w14:textId="77777777" w:rsidR="00080CEB" w:rsidRPr="00BF695B" w:rsidRDefault="00080CEB" w:rsidP="006823B0">
            <w:pPr>
              <w:jc w:val="center"/>
              <w:rPr>
                <w:rFonts w:ascii="Times New Roman" w:hAnsi="Times New Roman" w:cs="Times New Roman"/>
                <w:sz w:val="24"/>
              </w:rPr>
            </w:pPr>
          </w:p>
        </w:tc>
        <w:tc>
          <w:tcPr>
            <w:tcW w:w="1982" w:type="dxa"/>
            <w:noWrap/>
            <w:hideMark/>
          </w:tcPr>
          <w:p w14:paraId="2FDD0CD7" w14:textId="77777777" w:rsidR="00080CEB" w:rsidRPr="00BF695B" w:rsidRDefault="00080CEB" w:rsidP="006823B0">
            <w:pPr>
              <w:jc w:val="center"/>
              <w:rPr>
                <w:rFonts w:ascii="Times New Roman" w:hAnsi="Times New Roman" w:cs="Times New Roman"/>
                <w:sz w:val="24"/>
              </w:rPr>
            </w:pPr>
          </w:p>
        </w:tc>
        <w:tc>
          <w:tcPr>
            <w:tcW w:w="2886" w:type="dxa"/>
            <w:noWrap/>
            <w:hideMark/>
          </w:tcPr>
          <w:p w14:paraId="4E425990" w14:textId="77777777" w:rsidR="00080CEB" w:rsidRPr="00BF695B" w:rsidRDefault="00080CEB" w:rsidP="006823B0">
            <w:pPr>
              <w:jc w:val="center"/>
              <w:rPr>
                <w:rFonts w:ascii="Times New Roman" w:hAnsi="Times New Roman" w:cs="Times New Roman"/>
                <w:sz w:val="24"/>
              </w:rPr>
            </w:pPr>
          </w:p>
        </w:tc>
        <w:tc>
          <w:tcPr>
            <w:tcW w:w="810" w:type="dxa"/>
            <w:noWrap/>
            <w:hideMark/>
          </w:tcPr>
          <w:p w14:paraId="6272D1C3" w14:textId="77777777" w:rsidR="00080CEB" w:rsidRPr="00BF695B" w:rsidRDefault="00080CEB" w:rsidP="006823B0">
            <w:pPr>
              <w:jc w:val="center"/>
              <w:rPr>
                <w:rFonts w:ascii="Times New Roman" w:hAnsi="Times New Roman" w:cs="Times New Roman"/>
                <w:sz w:val="24"/>
              </w:rPr>
            </w:pPr>
          </w:p>
        </w:tc>
        <w:tc>
          <w:tcPr>
            <w:tcW w:w="2339" w:type="dxa"/>
            <w:noWrap/>
            <w:hideMark/>
          </w:tcPr>
          <w:p w14:paraId="69E6079E" w14:textId="77777777" w:rsidR="00080CEB" w:rsidRPr="00BF695B" w:rsidRDefault="00080CEB" w:rsidP="006823B0">
            <w:pPr>
              <w:jc w:val="center"/>
              <w:rPr>
                <w:rFonts w:ascii="Times New Roman" w:hAnsi="Times New Roman" w:cs="Times New Roman"/>
                <w:sz w:val="24"/>
              </w:rPr>
            </w:pPr>
          </w:p>
        </w:tc>
        <w:tc>
          <w:tcPr>
            <w:tcW w:w="990" w:type="dxa"/>
            <w:noWrap/>
            <w:hideMark/>
          </w:tcPr>
          <w:p w14:paraId="38BF3A2D" w14:textId="77777777" w:rsidR="00080CEB" w:rsidRPr="00BF695B" w:rsidRDefault="00080CEB" w:rsidP="006823B0">
            <w:pPr>
              <w:jc w:val="center"/>
              <w:rPr>
                <w:rFonts w:ascii="Times New Roman" w:hAnsi="Times New Roman" w:cs="Times New Roman"/>
                <w:sz w:val="24"/>
              </w:rPr>
            </w:pPr>
          </w:p>
        </w:tc>
        <w:tc>
          <w:tcPr>
            <w:tcW w:w="720" w:type="dxa"/>
            <w:noWrap/>
            <w:hideMark/>
          </w:tcPr>
          <w:p w14:paraId="1B279AE7" w14:textId="77777777" w:rsidR="00080CEB" w:rsidRPr="00BF695B" w:rsidRDefault="00080CEB" w:rsidP="006823B0">
            <w:pPr>
              <w:jc w:val="center"/>
              <w:rPr>
                <w:rFonts w:ascii="Times New Roman" w:hAnsi="Times New Roman" w:cs="Times New Roman"/>
                <w:sz w:val="24"/>
              </w:rPr>
            </w:pPr>
          </w:p>
        </w:tc>
        <w:tc>
          <w:tcPr>
            <w:tcW w:w="900" w:type="dxa"/>
          </w:tcPr>
          <w:p w14:paraId="7DE32CEB" w14:textId="77777777" w:rsidR="00080CEB" w:rsidRPr="00BF695B" w:rsidRDefault="00080CEB" w:rsidP="006823B0">
            <w:pPr>
              <w:jc w:val="center"/>
              <w:rPr>
                <w:rFonts w:ascii="Times New Roman" w:hAnsi="Times New Roman" w:cs="Times New Roman"/>
                <w:sz w:val="24"/>
              </w:rPr>
            </w:pPr>
          </w:p>
        </w:tc>
      </w:tr>
      <w:tr w:rsidR="00080CEB" w:rsidRPr="00BF695B" w14:paraId="50B57E3B" w14:textId="436AC14A" w:rsidTr="00426C56">
        <w:trPr>
          <w:trHeight w:val="315"/>
        </w:trPr>
        <w:tc>
          <w:tcPr>
            <w:tcW w:w="716" w:type="dxa"/>
            <w:noWrap/>
            <w:hideMark/>
          </w:tcPr>
          <w:p w14:paraId="4D327287" w14:textId="77777777" w:rsidR="00080CEB" w:rsidRPr="00BF695B" w:rsidRDefault="00080CEB" w:rsidP="006823B0">
            <w:pPr>
              <w:jc w:val="center"/>
              <w:rPr>
                <w:rFonts w:ascii="Times New Roman" w:hAnsi="Times New Roman" w:cs="Times New Roman"/>
                <w:sz w:val="24"/>
              </w:rPr>
            </w:pPr>
          </w:p>
        </w:tc>
        <w:tc>
          <w:tcPr>
            <w:tcW w:w="1617" w:type="dxa"/>
            <w:noWrap/>
            <w:hideMark/>
          </w:tcPr>
          <w:p w14:paraId="2360876D" w14:textId="0B9FDCB8"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P</w:t>
            </w:r>
            <w:r w:rsidR="0086329D">
              <w:rPr>
                <w:rFonts w:ascii="Times New Roman" w:hAnsi="Times New Roman" w:cs="Times New Roman"/>
                <w:sz w:val="24"/>
              </w:rPr>
              <w:t>yroxasulfone</w:t>
            </w:r>
          </w:p>
        </w:tc>
        <w:tc>
          <w:tcPr>
            <w:tcW w:w="1982" w:type="dxa"/>
            <w:noWrap/>
            <w:hideMark/>
          </w:tcPr>
          <w:p w14:paraId="49382708" w14:textId="27E880EF"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Low</w:t>
            </w:r>
          </w:p>
        </w:tc>
        <w:tc>
          <w:tcPr>
            <w:tcW w:w="2886" w:type="dxa"/>
            <w:noWrap/>
            <w:hideMark/>
          </w:tcPr>
          <w:p w14:paraId="0A3E2DDC" w14:textId="1DA720A0"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64.7</w:t>
            </w:r>
          </w:p>
        </w:tc>
        <w:tc>
          <w:tcPr>
            <w:tcW w:w="810" w:type="dxa"/>
            <w:noWrap/>
            <w:hideMark/>
          </w:tcPr>
          <w:p w14:paraId="0E71FD22" w14:textId="2F9B5EC3"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3.1</w:t>
            </w:r>
          </w:p>
        </w:tc>
        <w:tc>
          <w:tcPr>
            <w:tcW w:w="2339" w:type="dxa"/>
            <w:noWrap/>
            <w:hideMark/>
          </w:tcPr>
          <w:p w14:paraId="4608BB45" w14:textId="768F2100"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0.0291</w:t>
            </w:r>
          </w:p>
        </w:tc>
        <w:tc>
          <w:tcPr>
            <w:tcW w:w="990" w:type="dxa"/>
            <w:noWrap/>
            <w:hideMark/>
          </w:tcPr>
          <w:p w14:paraId="58052F90" w14:textId="6BF1E5BF"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0.003</w:t>
            </w:r>
          </w:p>
        </w:tc>
        <w:tc>
          <w:tcPr>
            <w:tcW w:w="720" w:type="dxa"/>
            <w:noWrap/>
            <w:hideMark/>
          </w:tcPr>
          <w:p w14:paraId="59FE9DEC" w14:textId="3A07CE31"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0.95</w:t>
            </w:r>
          </w:p>
        </w:tc>
        <w:tc>
          <w:tcPr>
            <w:tcW w:w="900" w:type="dxa"/>
          </w:tcPr>
          <w:p w14:paraId="718600FB" w14:textId="7B8D2122" w:rsidR="00080CEB" w:rsidRPr="00BF695B" w:rsidRDefault="00D562C1" w:rsidP="006823B0">
            <w:pPr>
              <w:jc w:val="center"/>
              <w:rPr>
                <w:rFonts w:ascii="Times New Roman" w:hAnsi="Times New Roman" w:cs="Times New Roman"/>
                <w:sz w:val="24"/>
              </w:rPr>
            </w:pPr>
            <w:r>
              <w:rPr>
                <w:rFonts w:ascii="Times New Roman" w:hAnsi="Times New Roman" w:cs="Times New Roman"/>
                <w:sz w:val="24"/>
              </w:rPr>
              <w:t>23.8</w:t>
            </w:r>
          </w:p>
        </w:tc>
      </w:tr>
      <w:tr w:rsidR="00080CEB" w:rsidRPr="00BF695B" w14:paraId="2D9E38C9" w14:textId="1351C5BF" w:rsidTr="00426C56">
        <w:trPr>
          <w:trHeight w:val="315"/>
        </w:trPr>
        <w:tc>
          <w:tcPr>
            <w:tcW w:w="716" w:type="dxa"/>
            <w:noWrap/>
            <w:hideMark/>
          </w:tcPr>
          <w:p w14:paraId="5DB8862F" w14:textId="77777777" w:rsidR="00080CEB" w:rsidRPr="00BF695B" w:rsidRDefault="00080CEB" w:rsidP="006823B0">
            <w:pPr>
              <w:jc w:val="center"/>
              <w:rPr>
                <w:rFonts w:ascii="Times New Roman" w:hAnsi="Times New Roman" w:cs="Times New Roman"/>
                <w:sz w:val="24"/>
              </w:rPr>
            </w:pPr>
          </w:p>
        </w:tc>
        <w:tc>
          <w:tcPr>
            <w:tcW w:w="1617" w:type="dxa"/>
            <w:noWrap/>
            <w:hideMark/>
          </w:tcPr>
          <w:p w14:paraId="0B00905F" w14:textId="77777777" w:rsidR="00080CEB" w:rsidRPr="00BF695B" w:rsidRDefault="00080CEB" w:rsidP="006823B0">
            <w:pPr>
              <w:jc w:val="center"/>
              <w:rPr>
                <w:rFonts w:ascii="Times New Roman" w:hAnsi="Times New Roman" w:cs="Times New Roman"/>
                <w:sz w:val="24"/>
              </w:rPr>
            </w:pPr>
          </w:p>
        </w:tc>
        <w:tc>
          <w:tcPr>
            <w:tcW w:w="1982" w:type="dxa"/>
            <w:noWrap/>
            <w:hideMark/>
          </w:tcPr>
          <w:p w14:paraId="2FAF3114" w14:textId="587E06BD"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Medium</w:t>
            </w:r>
          </w:p>
        </w:tc>
        <w:tc>
          <w:tcPr>
            <w:tcW w:w="2886" w:type="dxa"/>
            <w:noWrap/>
            <w:hideMark/>
          </w:tcPr>
          <w:p w14:paraId="6EFA9851" w14:textId="75D571CD"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686</w:t>
            </w:r>
          </w:p>
        </w:tc>
        <w:tc>
          <w:tcPr>
            <w:tcW w:w="810" w:type="dxa"/>
            <w:noWrap/>
            <w:hideMark/>
          </w:tcPr>
          <w:p w14:paraId="1EB24347" w14:textId="187BA9F4"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42</w:t>
            </w:r>
          </w:p>
        </w:tc>
        <w:tc>
          <w:tcPr>
            <w:tcW w:w="2339" w:type="dxa"/>
            <w:noWrap/>
            <w:hideMark/>
          </w:tcPr>
          <w:p w14:paraId="37CBCB57" w14:textId="5B33BF72"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0.0269</w:t>
            </w:r>
          </w:p>
        </w:tc>
        <w:tc>
          <w:tcPr>
            <w:tcW w:w="990" w:type="dxa"/>
            <w:noWrap/>
            <w:hideMark/>
          </w:tcPr>
          <w:p w14:paraId="2044AC90" w14:textId="6B444F07"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0.0036</w:t>
            </w:r>
          </w:p>
        </w:tc>
        <w:tc>
          <w:tcPr>
            <w:tcW w:w="720" w:type="dxa"/>
            <w:noWrap/>
            <w:hideMark/>
          </w:tcPr>
          <w:p w14:paraId="059CCFA1" w14:textId="3698BED9"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0.92</w:t>
            </w:r>
          </w:p>
        </w:tc>
        <w:tc>
          <w:tcPr>
            <w:tcW w:w="900" w:type="dxa"/>
          </w:tcPr>
          <w:p w14:paraId="431BED01" w14:textId="4A4C2531" w:rsidR="00080CEB" w:rsidRPr="00BF695B" w:rsidRDefault="00D562C1" w:rsidP="006823B0">
            <w:pPr>
              <w:jc w:val="center"/>
              <w:rPr>
                <w:rFonts w:ascii="Times New Roman" w:hAnsi="Times New Roman" w:cs="Times New Roman"/>
                <w:sz w:val="24"/>
              </w:rPr>
            </w:pPr>
            <w:r>
              <w:rPr>
                <w:rFonts w:ascii="Times New Roman" w:hAnsi="Times New Roman" w:cs="Times New Roman"/>
                <w:sz w:val="24"/>
              </w:rPr>
              <w:t>25.8</w:t>
            </w:r>
          </w:p>
        </w:tc>
      </w:tr>
      <w:tr w:rsidR="00080CEB" w:rsidRPr="00BF695B" w14:paraId="25B79737" w14:textId="2D428FA8" w:rsidTr="00426C56">
        <w:trPr>
          <w:trHeight w:val="315"/>
        </w:trPr>
        <w:tc>
          <w:tcPr>
            <w:tcW w:w="716" w:type="dxa"/>
            <w:noWrap/>
            <w:hideMark/>
          </w:tcPr>
          <w:p w14:paraId="29F5441F" w14:textId="77777777" w:rsidR="00080CEB" w:rsidRPr="00BF695B" w:rsidRDefault="00080CEB" w:rsidP="006823B0">
            <w:pPr>
              <w:jc w:val="center"/>
              <w:rPr>
                <w:rFonts w:ascii="Times New Roman" w:hAnsi="Times New Roman" w:cs="Times New Roman"/>
                <w:sz w:val="24"/>
              </w:rPr>
            </w:pPr>
          </w:p>
        </w:tc>
        <w:tc>
          <w:tcPr>
            <w:tcW w:w="1617" w:type="dxa"/>
            <w:noWrap/>
            <w:hideMark/>
          </w:tcPr>
          <w:p w14:paraId="41432F94" w14:textId="77777777" w:rsidR="00080CEB" w:rsidRPr="00BF695B" w:rsidRDefault="00080CEB" w:rsidP="006823B0">
            <w:pPr>
              <w:jc w:val="center"/>
              <w:rPr>
                <w:rFonts w:ascii="Times New Roman" w:hAnsi="Times New Roman" w:cs="Times New Roman"/>
                <w:sz w:val="24"/>
              </w:rPr>
            </w:pPr>
          </w:p>
        </w:tc>
        <w:tc>
          <w:tcPr>
            <w:tcW w:w="1982" w:type="dxa"/>
            <w:noWrap/>
            <w:hideMark/>
          </w:tcPr>
          <w:p w14:paraId="49852432" w14:textId="1CDE55B0"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High</w:t>
            </w:r>
          </w:p>
        </w:tc>
        <w:tc>
          <w:tcPr>
            <w:tcW w:w="2886" w:type="dxa"/>
            <w:noWrap/>
            <w:hideMark/>
          </w:tcPr>
          <w:p w14:paraId="13CA6D6E" w14:textId="188A0606"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10782</w:t>
            </w:r>
          </w:p>
        </w:tc>
        <w:tc>
          <w:tcPr>
            <w:tcW w:w="810" w:type="dxa"/>
            <w:noWrap/>
            <w:hideMark/>
          </w:tcPr>
          <w:p w14:paraId="57D4D194" w14:textId="0215D9CB"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699</w:t>
            </w:r>
          </w:p>
        </w:tc>
        <w:tc>
          <w:tcPr>
            <w:tcW w:w="2339" w:type="dxa"/>
            <w:noWrap/>
            <w:hideMark/>
          </w:tcPr>
          <w:p w14:paraId="1A78F296" w14:textId="1B50EA69"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0.0128</w:t>
            </w:r>
          </w:p>
        </w:tc>
        <w:tc>
          <w:tcPr>
            <w:tcW w:w="990" w:type="dxa"/>
            <w:noWrap/>
            <w:hideMark/>
          </w:tcPr>
          <w:p w14:paraId="2CFF1379" w14:textId="0A3D7154"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0.0018</w:t>
            </w:r>
          </w:p>
        </w:tc>
        <w:tc>
          <w:tcPr>
            <w:tcW w:w="720" w:type="dxa"/>
            <w:noWrap/>
            <w:hideMark/>
          </w:tcPr>
          <w:p w14:paraId="509ADE86" w14:textId="723149F3"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0.87</w:t>
            </w:r>
          </w:p>
        </w:tc>
        <w:tc>
          <w:tcPr>
            <w:tcW w:w="900" w:type="dxa"/>
          </w:tcPr>
          <w:p w14:paraId="6D8DE44A" w14:textId="6D95AD3E" w:rsidR="00080CEB" w:rsidRPr="00BF695B" w:rsidRDefault="00D562C1" w:rsidP="006823B0">
            <w:pPr>
              <w:jc w:val="center"/>
              <w:rPr>
                <w:rFonts w:ascii="Times New Roman" w:hAnsi="Times New Roman" w:cs="Times New Roman"/>
                <w:sz w:val="24"/>
              </w:rPr>
            </w:pPr>
            <w:r>
              <w:rPr>
                <w:rFonts w:ascii="Times New Roman" w:hAnsi="Times New Roman" w:cs="Times New Roman"/>
                <w:sz w:val="24"/>
              </w:rPr>
              <w:t>54.1</w:t>
            </w:r>
          </w:p>
        </w:tc>
      </w:tr>
      <w:tr w:rsidR="00080CEB" w:rsidRPr="00BF695B" w14:paraId="2EE04AA9" w14:textId="1621DA61" w:rsidTr="00426C56">
        <w:trPr>
          <w:trHeight w:val="315"/>
        </w:trPr>
        <w:tc>
          <w:tcPr>
            <w:tcW w:w="716" w:type="dxa"/>
            <w:noWrap/>
            <w:hideMark/>
          </w:tcPr>
          <w:p w14:paraId="0F30D633" w14:textId="77777777" w:rsidR="00080CEB" w:rsidRPr="00BF695B" w:rsidRDefault="00080CEB" w:rsidP="006823B0">
            <w:pPr>
              <w:jc w:val="center"/>
              <w:rPr>
                <w:rFonts w:ascii="Times New Roman" w:hAnsi="Times New Roman" w:cs="Times New Roman"/>
                <w:sz w:val="24"/>
              </w:rPr>
            </w:pPr>
          </w:p>
        </w:tc>
        <w:tc>
          <w:tcPr>
            <w:tcW w:w="1617" w:type="dxa"/>
            <w:noWrap/>
            <w:hideMark/>
          </w:tcPr>
          <w:p w14:paraId="5F96255D" w14:textId="77777777" w:rsidR="00080CEB" w:rsidRPr="00BF695B" w:rsidRDefault="00080CEB" w:rsidP="006823B0">
            <w:pPr>
              <w:jc w:val="center"/>
              <w:rPr>
                <w:rFonts w:ascii="Times New Roman" w:hAnsi="Times New Roman" w:cs="Times New Roman"/>
                <w:sz w:val="24"/>
              </w:rPr>
            </w:pPr>
          </w:p>
        </w:tc>
        <w:tc>
          <w:tcPr>
            <w:tcW w:w="1982" w:type="dxa"/>
            <w:noWrap/>
            <w:hideMark/>
          </w:tcPr>
          <w:p w14:paraId="1E243B87" w14:textId="77777777" w:rsidR="00080CEB" w:rsidRPr="00BF695B" w:rsidRDefault="00080CEB" w:rsidP="006823B0">
            <w:pPr>
              <w:jc w:val="center"/>
              <w:rPr>
                <w:rFonts w:ascii="Times New Roman" w:hAnsi="Times New Roman" w:cs="Times New Roman"/>
                <w:sz w:val="24"/>
              </w:rPr>
            </w:pPr>
          </w:p>
        </w:tc>
        <w:tc>
          <w:tcPr>
            <w:tcW w:w="2886" w:type="dxa"/>
            <w:noWrap/>
            <w:hideMark/>
          </w:tcPr>
          <w:p w14:paraId="6F0C5C3E" w14:textId="77777777" w:rsidR="00080CEB" w:rsidRPr="00BF695B" w:rsidRDefault="00080CEB" w:rsidP="006823B0">
            <w:pPr>
              <w:jc w:val="center"/>
              <w:rPr>
                <w:rFonts w:ascii="Times New Roman" w:hAnsi="Times New Roman" w:cs="Times New Roman"/>
                <w:sz w:val="24"/>
              </w:rPr>
            </w:pPr>
          </w:p>
        </w:tc>
        <w:tc>
          <w:tcPr>
            <w:tcW w:w="810" w:type="dxa"/>
            <w:noWrap/>
            <w:hideMark/>
          </w:tcPr>
          <w:p w14:paraId="483BAB30" w14:textId="77777777" w:rsidR="00080CEB" w:rsidRPr="00BF695B" w:rsidRDefault="00080CEB" w:rsidP="006823B0">
            <w:pPr>
              <w:jc w:val="center"/>
              <w:rPr>
                <w:rFonts w:ascii="Times New Roman" w:hAnsi="Times New Roman" w:cs="Times New Roman"/>
                <w:sz w:val="24"/>
              </w:rPr>
            </w:pPr>
          </w:p>
        </w:tc>
        <w:tc>
          <w:tcPr>
            <w:tcW w:w="2339" w:type="dxa"/>
            <w:noWrap/>
            <w:hideMark/>
          </w:tcPr>
          <w:p w14:paraId="3423233C" w14:textId="77777777" w:rsidR="00080CEB" w:rsidRPr="00BF695B" w:rsidRDefault="00080CEB" w:rsidP="006823B0">
            <w:pPr>
              <w:jc w:val="center"/>
              <w:rPr>
                <w:rFonts w:ascii="Times New Roman" w:hAnsi="Times New Roman" w:cs="Times New Roman"/>
                <w:sz w:val="24"/>
              </w:rPr>
            </w:pPr>
          </w:p>
        </w:tc>
        <w:tc>
          <w:tcPr>
            <w:tcW w:w="990" w:type="dxa"/>
            <w:noWrap/>
            <w:hideMark/>
          </w:tcPr>
          <w:p w14:paraId="430B839F" w14:textId="77777777" w:rsidR="00080CEB" w:rsidRPr="00BF695B" w:rsidRDefault="00080CEB" w:rsidP="006823B0">
            <w:pPr>
              <w:jc w:val="center"/>
              <w:rPr>
                <w:rFonts w:ascii="Times New Roman" w:hAnsi="Times New Roman" w:cs="Times New Roman"/>
                <w:sz w:val="24"/>
              </w:rPr>
            </w:pPr>
          </w:p>
        </w:tc>
        <w:tc>
          <w:tcPr>
            <w:tcW w:w="720" w:type="dxa"/>
            <w:noWrap/>
            <w:hideMark/>
          </w:tcPr>
          <w:p w14:paraId="2BC547E6" w14:textId="77777777" w:rsidR="00080CEB" w:rsidRPr="00BF695B" w:rsidRDefault="00080CEB" w:rsidP="006823B0">
            <w:pPr>
              <w:jc w:val="center"/>
              <w:rPr>
                <w:rFonts w:ascii="Times New Roman" w:hAnsi="Times New Roman" w:cs="Times New Roman"/>
                <w:sz w:val="24"/>
              </w:rPr>
            </w:pPr>
          </w:p>
        </w:tc>
        <w:tc>
          <w:tcPr>
            <w:tcW w:w="900" w:type="dxa"/>
          </w:tcPr>
          <w:p w14:paraId="2BC37024" w14:textId="77777777" w:rsidR="00080CEB" w:rsidRPr="00BF695B" w:rsidRDefault="00080CEB" w:rsidP="006823B0">
            <w:pPr>
              <w:jc w:val="center"/>
              <w:rPr>
                <w:rFonts w:ascii="Times New Roman" w:hAnsi="Times New Roman" w:cs="Times New Roman"/>
                <w:sz w:val="24"/>
              </w:rPr>
            </w:pPr>
          </w:p>
        </w:tc>
      </w:tr>
      <w:tr w:rsidR="00080CEB" w:rsidRPr="00BF695B" w14:paraId="7954C142" w14:textId="72FC5106" w:rsidTr="00426C56">
        <w:trPr>
          <w:trHeight w:val="315"/>
        </w:trPr>
        <w:tc>
          <w:tcPr>
            <w:tcW w:w="716" w:type="dxa"/>
            <w:noWrap/>
            <w:hideMark/>
          </w:tcPr>
          <w:p w14:paraId="6D9D0F75" w14:textId="77777777" w:rsidR="00080CEB" w:rsidRPr="00BF695B" w:rsidRDefault="00080CEB" w:rsidP="006823B0">
            <w:pPr>
              <w:jc w:val="center"/>
              <w:rPr>
                <w:rFonts w:ascii="Times New Roman" w:hAnsi="Times New Roman" w:cs="Times New Roman"/>
                <w:sz w:val="24"/>
              </w:rPr>
            </w:pPr>
          </w:p>
        </w:tc>
        <w:tc>
          <w:tcPr>
            <w:tcW w:w="1617" w:type="dxa"/>
            <w:noWrap/>
            <w:hideMark/>
          </w:tcPr>
          <w:p w14:paraId="3D66E215" w14:textId="3BA6631F"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S</w:t>
            </w:r>
            <w:r w:rsidR="0086329D">
              <w:rPr>
                <w:rFonts w:ascii="Times New Roman" w:hAnsi="Times New Roman" w:cs="Times New Roman"/>
                <w:sz w:val="24"/>
              </w:rPr>
              <w:t>aflufenacil</w:t>
            </w:r>
          </w:p>
        </w:tc>
        <w:tc>
          <w:tcPr>
            <w:tcW w:w="1982" w:type="dxa"/>
            <w:noWrap/>
            <w:hideMark/>
          </w:tcPr>
          <w:p w14:paraId="2EFC0CBB" w14:textId="55716754"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Low</w:t>
            </w:r>
          </w:p>
        </w:tc>
        <w:tc>
          <w:tcPr>
            <w:tcW w:w="2886" w:type="dxa"/>
            <w:noWrap/>
            <w:hideMark/>
          </w:tcPr>
          <w:p w14:paraId="16813841" w14:textId="7A95DB47"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63.8</w:t>
            </w:r>
          </w:p>
        </w:tc>
        <w:tc>
          <w:tcPr>
            <w:tcW w:w="810" w:type="dxa"/>
            <w:noWrap/>
            <w:hideMark/>
          </w:tcPr>
          <w:p w14:paraId="7657D2AD" w14:textId="620A23DC"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1.78</w:t>
            </w:r>
          </w:p>
        </w:tc>
        <w:tc>
          <w:tcPr>
            <w:tcW w:w="2339" w:type="dxa"/>
            <w:noWrap/>
            <w:hideMark/>
          </w:tcPr>
          <w:p w14:paraId="223A387A" w14:textId="3A0E8C82"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0.0967</w:t>
            </w:r>
          </w:p>
        </w:tc>
        <w:tc>
          <w:tcPr>
            <w:tcW w:w="990" w:type="dxa"/>
            <w:noWrap/>
            <w:hideMark/>
          </w:tcPr>
          <w:p w14:paraId="2E955D17" w14:textId="5B312C0B"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0.0056</w:t>
            </w:r>
          </w:p>
        </w:tc>
        <w:tc>
          <w:tcPr>
            <w:tcW w:w="720" w:type="dxa"/>
            <w:noWrap/>
            <w:hideMark/>
          </w:tcPr>
          <w:p w14:paraId="3320FABF" w14:textId="08739384"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0.98</w:t>
            </w:r>
          </w:p>
        </w:tc>
        <w:tc>
          <w:tcPr>
            <w:tcW w:w="900" w:type="dxa"/>
          </w:tcPr>
          <w:p w14:paraId="54BD4F1C" w14:textId="63662132" w:rsidR="00080CEB" w:rsidRPr="00BF695B" w:rsidRDefault="00D562C1" w:rsidP="006823B0">
            <w:pPr>
              <w:jc w:val="center"/>
              <w:rPr>
                <w:rFonts w:ascii="Times New Roman" w:hAnsi="Times New Roman" w:cs="Times New Roman"/>
                <w:sz w:val="24"/>
              </w:rPr>
            </w:pPr>
            <w:r>
              <w:rPr>
                <w:rFonts w:ascii="Times New Roman" w:hAnsi="Times New Roman" w:cs="Times New Roman"/>
                <w:sz w:val="24"/>
              </w:rPr>
              <w:t>7.2</w:t>
            </w:r>
          </w:p>
        </w:tc>
      </w:tr>
      <w:tr w:rsidR="00080CEB" w:rsidRPr="00BF695B" w14:paraId="1F834580" w14:textId="595964E3" w:rsidTr="00426C56">
        <w:trPr>
          <w:trHeight w:val="315"/>
        </w:trPr>
        <w:tc>
          <w:tcPr>
            <w:tcW w:w="716" w:type="dxa"/>
            <w:noWrap/>
            <w:hideMark/>
          </w:tcPr>
          <w:p w14:paraId="43870A78" w14:textId="77777777" w:rsidR="00080CEB" w:rsidRPr="00BF695B" w:rsidRDefault="00080CEB" w:rsidP="006823B0">
            <w:pPr>
              <w:jc w:val="center"/>
              <w:rPr>
                <w:rFonts w:ascii="Times New Roman" w:hAnsi="Times New Roman" w:cs="Times New Roman"/>
                <w:sz w:val="24"/>
              </w:rPr>
            </w:pPr>
          </w:p>
        </w:tc>
        <w:tc>
          <w:tcPr>
            <w:tcW w:w="1617" w:type="dxa"/>
            <w:noWrap/>
            <w:hideMark/>
          </w:tcPr>
          <w:p w14:paraId="2EA9836C" w14:textId="77777777" w:rsidR="00080CEB" w:rsidRPr="00BF695B" w:rsidRDefault="00080CEB" w:rsidP="006823B0">
            <w:pPr>
              <w:jc w:val="center"/>
              <w:rPr>
                <w:rFonts w:ascii="Times New Roman" w:hAnsi="Times New Roman" w:cs="Times New Roman"/>
                <w:sz w:val="24"/>
              </w:rPr>
            </w:pPr>
          </w:p>
        </w:tc>
        <w:tc>
          <w:tcPr>
            <w:tcW w:w="1982" w:type="dxa"/>
            <w:noWrap/>
            <w:hideMark/>
          </w:tcPr>
          <w:p w14:paraId="38239A4E" w14:textId="54EEE98C"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Medium</w:t>
            </w:r>
          </w:p>
        </w:tc>
        <w:tc>
          <w:tcPr>
            <w:tcW w:w="2886" w:type="dxa"/>
            <w:noWrap/>
            <w:hideMark/>
          </w:tcPr>
          <w:p w14:paraId="48E37488" w14:textId="6C827B58"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682</w:t>
            </w:r>
          </w:p>
        </w:tc>
        <w:tc>
          <w:tcPr>
            <w:tcW w:w="810" w:type="dxa"/>
            <w:noWrap/>
            <w:hideMark/>
          </w:tcPr>
          <w:p w14:paraId="58FA6936" w14:textId="64C2D6DA"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23</w:t>
            </w:r>
          </w:p>
        </w:tc>
        <w:tc>
          <w:tcPr>
            <w:tcW w:w="2339" w:type="dxa"/>
            <w:noWrap/>
            <w:hideMark/>
          </w:tcPr>
          <w:p w14:paraId="19A3145C" w14:textId="21B95B03"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0.0797</w:t>
            </w:r>
          </w:p>
        </w:tc>
        <w:tc>
          <w:tcPr>
            <w:tcW w:w="990" w:type="dxa"/>
            <w:noWrap/>
            <w:hideMark/>
          </w:tcPr>
          <w:p w14:paraId="2050DBCD" w14:textId="5EE5588E"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0.0056</w:t>
            </w:r>
          </w:p>
        </w:tc>
        <w:tc>
          <w:tcPr>
            <w:tcW w:w="720" w:type="dxa"/>
            <w:noWrap/>
            <w:hideMark/>
          </w:tcPr>
          <w:p w14:paraId="590CFACC" w14:textId="1F8330F4"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0.98</w:t>
            </w:r>
          </w:p>
        </w:tc>
        <w:tc>
          <w:tcPr>
            <w:tcW w:w="900" w:type="dxa"/>
          </w:tcPr>
          <w:p w14:paraId="55803BD2" w14:textId="0F2B4666" w:rsidR="00080CEB" w:rsidRPr="00BF695B" w:rsidRDefault="00D562C1" w:rsidP="006823B0">
            <w:pPr>
              <w:jc w:val="center"/>
              <w:rPr>
                <w:rFonts w:ascii="Times New Roman" w:hAnsi="Times New Roman" w:cs="Times New Roman"/>
                <w:sz w:val="24"/>
              </w:rPr>
            </w:pPr>
            <w:r>
              <w:rPr>
                <w:rFonts w:ascii="Times New Roman" w:hAnsi="Times New Roman" w:cs="Times New Roman"/>
                <w:sz w:val="24"/>
              </w:rPr>
              <w:t>8.7</w:t>
            </w:r>
          </w:p>
        </w:tc>
      </w:tr>
      <w:tr w:rsidR="00080CEB" w:rsidRPr="00BF695B" w14:paraId="28DF5455" w14:textId="6A20F0DF" w:rsidTr="00426C56">
        <w:trPr>
          <w:trHeight w:val="315"/>
        </w:trPr>
        <w:tc>
          <w:tcPr>
            <w:tcW w:w="716" w:type="dxa"/>
            <w:tcBorders>
              <w:bottom w:val="single" w:sz="4" w:space="0" w:color="auto"/>
            </w:tcBorders>
            <w:noWrap/>
            <w:hideMark/>
          </w:tcPr>
          <w:p w14:paraId="0A0DF5FA" w14:textId="77777777" w:rsidR="00080CEB" w:rsidRPr="00BF695B" w:rsidRDefault="00080CEB" w:rsidP="006823B0">
            <w:pPr>
              <w:jc w:val="center"/>
              <w:rPr>
                <w:rFonts w:ascii="Times New Roman" w:hAnsi="Times New Roman" w:cs="Times New Roman"/>
                <w:sz w:val="24"/>
              </w:rPr>
            </w:pPr>
          </w:p>
        </w:tc>
        <w:tc>
          <w:tcPr>
            <w:tcW w:w="1617" w:type="dxa"/>
            <w:tcBorders>
              <w:bottom w:val="single" w:sz="4" w:space="0" w:color="auto"/>
            </w:tcBorders>
            <w:noWrap/>
            <w:hideMark/>
          </w:tcPr>
          <w:p w14:paraId="54A22D51" w14:textId="77777777" w:rsidR="00080CEB" w:rsidRPr="00BF695B" w:rsidRDefault="00080CEB" w:rsidP="006823B0">
            <w:pPr>
              <w:jc w:val="center"/>
              <w:rPr>
                <w:rFonts w:ascii="Times New Roman" w:hAnsi="Times New Roman" w:cs="Times New Roman"/>
                <w:sz w:val="24"/>
              </w:rPr>
            </w:pPr>
          </w:p>
        </w:tc>
        <w:tc>
          <w:tcPr>
            <w:tcW w:w="1982" w:type="dxa"/>
            <w:tcBorders>
              <w:bottom w:val="single" w:sz="4" w:space="0" w:color="auto"/>
            </w:tcBorders>
            <w:noWrap/>
            <w:hideMark/>
          </w:tcPr>
          <w:p w14:paraId="6CB170C9" w14:textId="06F9D3AA"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High</w:t>
            </w:r>
          </w:p>
        </w:tc>
        <w:tc>
          <w:tcPr>
            <w:tcW w:w="2886" w:type="dxa"/>
            <w:tcBorders>
              <w:bottom w:val="single" w:sz="4" w:space="0" w:color="auto"/>
            </w:tcBorders>
            <w:noWrap/>
            <w:hideMark/>
          </w:tcPr>
          <w:p w14:paraId="6E40D297" w14:textId="3939DE20"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10851</w:t>
            </w:r>
          </w:p>
        </w:tc>
        <w:tc>
          <w:tcPr>
            <w:tcW w:w="810" w:type="dxa"/>
            <w:tcBorders>
              <w:bottom w:val="single" w:sz="4" w:space="0" w:color="auto"/>
            </w:tcBorders>
            <w:noWrap/>
            <w:hideMark/>
          </w:tcPr>
          <w:p w14:paraId="47DBE98F" w14:textId="7C0B4265"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497</w:t>
            </w:r>
          </w:p>
        </w:tc>
        <w:tc>
          <w:tcPr>
            <w:tcW w:w="2339" w:type="dxa"/>
            <w:tcBorders>
              <w:bottom w:val="single" w:sz="4" w:space="0" w:color="auto"/>
            </w:tcBorders>
            <w:noWrap/>
            <w:hideMark/>
          </w:tcPr>
          <w:p w14:paraId="5A9BF2C8" w14:textId="56FF158D"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0.075</w:t>
            </w:r>
          </w:p>
        </w:tc>
        <w:tc>
          <w:tcPr>
            <w:tcW w:w="990" w:type="dxa"/>
            <w:tcBorders>
              <w:bottom w:val="single" w:sz="4" w:space="0" w:color="auto"/>
            </w:tcBorders>
            <w:noWrap/>
            <w:hideMark/>
          </w:tcPr>
          <w:p w14:paraId="2BBDC8B6" w14:textId="12EA9B9D"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0.0072</w:t>
            </w:r>
          </w:p>
        </w:tc>
        <w:tc>
          <w:tcPr>
            <w:tcW w:w="720" w:type="dxa"/>
            <w:tcBorders>
              <w:bottom w:val="single" w:sz="4" w:space="0" w:color="auto"/>
            </w:tcBorders>
            <w:noWrap/>
            <w:hideMark/>
          </w:tcPr>
          <w:p w14:paraId="2AC9B0BB" w14:textId="4D60A443" w:rsidR="00080CEB" w:rsidRPr="00BF695B" w:rsidRDefault="00080CEB" w:rsidP="006823B0">
            <w:pPr>
              <w:jc w:val="center"/>
              <w:rPr>
                <w:rFonts w:ascii="Times New Roman" w:hAnsi="Times New Roman" w:cs="Times New Roman"/>
                <w:sz w:val="24"/>
              </w:rPr>
            </w:pPr>
            <w:r w:rsidRPr="00BF695B">
              <w:rPr>
                <w:rFonts w:ascii="Times New Roman" w:hAnsi="Times New Roman" w:cs="Times New Roman"/>
                <w:sz w:val="24"/>
              </w:rPr>
              <w:t>0.96</w:t>
            </w:r>
          </w:p>
        </w:tc>
        <w:tc>
          <w:tcPr>
            <w:tcW w:w="900" w:type="dxa"/>
            <w:tcBorders>
              <w:bottom w:val="single" w:sz="4" w:space="0" w:color="auto"/>
            </w:tcBorders>
          </w:tcPr>
          <w:p w14:paraId="0CC59A3E" w14:textId="5BA99632" w:rsidR="00080CEB" w:rsidRPr="00BF695B" w:rsidRDefault="00D562C1" w:rsidP="006823B0">
            <w:pPr>
              <w:jc w:val="center"/>
              <w:rPr>
                <w:rFonts w:ascii="Times New Roman" w:hAnsi="Times New Roman" w:cs="Times New Roman"/>
                <w:sz w:val="24"/>
              </w:rPr>
            </w:pPr>
            <w:r>
              <w:rPr>
                <w:rFonts w:ascii="Times New Roman" w:hAnsi="Times New Roman" w:cs="Times New Roman"/>
                <w:sz w:val="24"/>
              </w:rPr>
              <w:t>9.2</w:t>
            </w:r>
          </w:p>
        </w:tc>
      </w:tr>
      <w:tr w:rsidR="00080CEB" w:rsidRPr="00BF695B" w14:paraId="5F26EF4A" w14:textId="4EC1290A" w:rsidTr="00426C56">
        <w:trPr>
          <w:trHeight w:val="375"/>
        </w:trPr>
        <w:tc>
          <w:tcPr>
            <w:tcW w:w="12060" w:type="dxa"/>
            <w:gridSpan w:val="8"/>
            <w:noWrap/>
            <w:hideMark/>
          </w:tcPr>
          <w:p w14:paraId="1AB2F9D4" w14:textId="0C136564" w:rsidR="00080CEB" w:rsidRPr="00BF695B" w:rsidRDefault="00080CEB" w:rsidP="00BF695B">
            <w:pPr>
              <w:rPr>
                <w:rFonts w:ascii="Times New Roman" w:hAnsi="Times New Roman" w:cs="Times New Roman"/>
                <w:sz w:val="24"/>
              </w:rPr>
            </w:pPr>
            <w:r w:rsidRPr="00BF695B">
              <w:rPr>
                <w:rFonts w:ascii="Times New Roman" w:hAnsi="Times New Roman" w:cs="Times New Roman"/>
                <w:sz w:val="24"/>
              </w:rPr>
              <w:t>Abbreviations:</w:t>
            </w:r>
            <w:r w:rsidR="0086329D">
              <w:rPr>
                <w:rFonts w:ascii="Times New Roman" w:hAnsi="Times New Roman" w:cs="Times New Roman"/>
                <w:sz w:val="24"/>
              </w:rPr>
              <w:t xml:space="preserve"> </w:t>
            </w:r>
            <w:r w:rsidRPr="00BF695B">
              <w:rPr>
                <w:rFonts w:ascii="Times New Roman" w:hAnsi="Times New Roman" w:cs="Times New Roman"/>
                <w:sz w:val="24"/>
              </w:rPr>
              <w:t xml:space="preserve">SE, standard error; </w:t>
            </w:r>
            <w:r>
              <w:rPr>
                <w:rFonts w:ascii="Times New Roman" w:hAnsi="Times New Roman" w:cs="Times New Roman"/>
                <w:sz w:val="24"/>
              </w:rPr>
              <w:t>r</w:t>
            </w:r>
            <w:r w:rsidRPr="00BF695B">
              <w:rPr>
                <w:rFonts w:ascii="Times New Roman" w:hAnsi="Times New Roman" w:cs="Times New Roman"/>
                <w:sz w:val="24"/>
                <w:vertAlign w:val="superscript"/>
              </w:rPr>
              <w:t>2</w:t>
            </w:r>
            <w:r w:rsidRPr="00BF695B">
              <w:rPr>
                <w:rFonts w:ascii="Times New Roman" w:hAnsi="Times New Roman" w:cs="Times New Roman"/>
                <w:sz w:val="24"/>
              </w:rPr>
              <w:t>, coefficient of determination</w:t>
            </w:r>
          </w:p>
        </w:tc>
        <w:tc>
          <w:tcPr>
            <w:tcW w:w="900" w:type="dxa"/>
          </w:tcPr>
          <w:p w14:paraId="635037CD" w14:textId="77777777" w:rsidR="00080CEB" w:rsidRPr="00BF695B" w:rsidRDefault="00080CEB" w:rsidP="00BF695B">
            <w:pPr>
              <w:rPr>
                <w:rFonts w:ascii="Times New Roman" w:hAnsi="Times New Roman" w:cs="Times New Roman"/>
                <w:sz w:val="24"/>
              </w:rPr>
            </w:pPr>
          </w:p>
        </w:tc>
      </w:tr>
    </w:tbl>
    <w:p w14:paraId="5B9D470E" w14:textId="3BBBBFB9" w:rsidR="00BF695B" w:rsidRDefault="00BF695B" w:rsidP="00BF695B">
      <w:pPr>
        <w:rPr>
          <w:rFonts w:ascii="Times New Roman" w:hAnsi="Times New Roman" w:cs="Times New Roman"/>
          <w:sz w:val="24"/>
        </w:rPr>
      </w:pPr>
    </w:p>
    <w:p w14:paraId="2A655433" w14:textId="77777777" w:rsidR="006823B0" w:rsidRDefault="006823B0" w:rsidP="00BF695B">
      <w:pPr>
        <w:rPr>
          <w:rFonts w:ascii="Times New Roman" w:hAnsi="Times New Roman" w:cs="Times New Roman"/>
          <w:sz w:val="24"/>
        </w:rPr>
        <w:sectPr w:rsidR="006823B0" w:rsidSect="00CA7909">
          <w:pgSz w:w="15840" w:h="12240" w:orient="landscape"/>
          <w:pgMar w:top="1440" w:right="1440" w:bottom="1440" w:left="1440" w:header="720" w:footer="720" w:gutter="0"/>
          <w:cols w:space="720"/>
          <w:docGrid w:linePitch="360"/>
        </w:sectPr>
      </w:pPr>
    </w:p>
    <w:p w14:paraId="03F6DE6D" w14:textId="34A17B2F" w:rsidR="00AF3534" w:rsidRPr="00AF3534" w:rsidRDefault="00AF3534" w:rsidP="00AF3534">
      <w:pPr>
        <w:pStyle w:val="Caption"/>
        <w:keepNext/>
        <w:rPr>
          <w:rFonts w:ascii="Times New Roman" w:hAnsi="Times New Roman" w:cs="Times New Roman"/>
          <w:i w:val="0"/>
          <w:color w:val="000000" w:themeColor="text1"/>
          <w:sz w:val="24"/>
        </w:rPr>
      </w:pPr>
      <w:bookmarkStart w:id="24" w:name="_Toc99089429"/>
      <w:r w:rsidRPr="00AF3534">
        <w:rPr>
          <w:rFonts w:ascii="Times New Roman" w:hAnsi="Times New Roman" w:cs="Times New Roman"/>
          <w:i w:val="0"/>
          <w:color w:val="000000" w:themeColor="text1"/>
          <w:sz w:val="24"/>
        </w:rPr>
        <w:lastRenderedPageBreak/>
        <w:t xml:space="preserve">Table </w:t>
      </w:r>
      <w:r w:rsidRPr="00AF3534">
        <w:rPr>
          <w:rFonts w:ascii="Times New Roman" w:hAnsi="Times New Roman" w:cs="Times New Roman"/>
          <w:i w:val="0"/>
          <w:color w:val="000000" w:themeColor="text1"/>
          <w:sz w:val="24"/>
        </w:rPr>
        <w:fldChar w:fldCharType="begin"/>
      </w:r>
      <w:r w:rsidRPr="00AF3534">
        <w:rPr>
          <w:rFonts w:ascii="Times New Roman" w:hAnsi="Times New Roman" w:cs="Times New Roman"/>
          <w:i w:val="0"/>
          <w:color w:val="000000" w:themeColor="text1"/>
          <w:sz w:val="24"/>
        </w:rPr>
        <w:instrText xml:space="preserve"> SEQ Table \* ARABIC </w:instrText>
      </w:r>
      <w:r w:rsidRPr="00AF3534">
        <w:rPr>
          <w:rFonts w:ascii="Times New Roman" w:hAnsi="Times New Roman" w:cs="Times New Roman"/>
          <w:i w:val="0"/>
          <w:color w:val="000000" w:themeColor="text1"/>
          <w:sz w:val="24"/>
        </w:rPr>
        <w:fldChar w:fldCharType="separate"/>
      </w:r>
      <w:r w:rsidR="001A53A1">
        <w:rPr>
          <w:rFonts w:ascii="Times New Roman" w:hAnsi="Times New Roman" w:cs="Times New Roman"/>
          <w:i w:val="0"/>
          <w:noProof/>
          <w:color w:val="000000" w:themeColor="text1"/>
          <w:sz w:val="24"/>
        </w:rPr>
        <w:t>4</w:t>
      </w:r>
      <w:r w:rsidRPr="00AF3534">
        <w:rPr>
          <w:rFonts w:ascii="Times New Roman" w:hAnsi="Times New Roman" w:cs="Times New Roman"/>
          <w:i w:val="0"/>
          <w:color w:val="000000" w:themeColor="text1"/>
          <w:sz w:val="24"/>
        </w:rPr>
        <w:fldChar w:fldCharType="end"/>
      </w:r>
      <w:r w:rsidRPr="00AF3534">
        <w:rPr>
          <w:rFonts w:ascii="Times New Roman" w:hAnsi="Times New Roman" w:cs="Times New Roman"/>
          <w:i w:val="0"/>
          <w:color w:val="000000" w:themeColor="text1"/>
          <w:sz w:val="24"/>
        </w:rPr>
        <w:t>. TN lab studies regression coefficients,</w:t>
      </w:r>
      <w:r w:rsidR="00ED540C">
        <w:rPr>
          <w:rFonts w:ascii="Times New Roman" w:hAnsi="Times New Roman" w:cs="Times New Roman"/>
          <w:i w:val="0"/>
          <w:color w:val="000000" w:themeColor="text1"/>
          <w:sz w:val="24"/>
        </w:rPr>
        <w:t xml:space="preserve"> r</w:t>
      </w:r>
      <w:r>
        <w:rPr>
          <w:rFonts w:ascii="Times New Roman" w:hAnsi="Times New Roman" w:cs="Times New Roman"/>
          <w:i w:val="0"/>
          <w:color w:val="000000" w:themeColor="text1"/>
          <w:sz w:val="24"/>
          <w:vertAlign w:val="superscript"/>
        </w:rPr>
        <w:t>2</w:t>
      </w:r>
      <w:r w:rsidRPr="00AF3534">
        <w:rPr>
          <w:rFonts w:ascii="Times New Roman" w:hAnsi="Times New Roman" w:cs="Times New Roman"/>
          <w:i w:val="0"/>
          <w:color w:val="000000" w:themeColor="text1"/>
          <w:sz w:val="24"/>
        </w:rPr>
        <w:t xml:space="preserve"> values</w:t>
      </w:r>
      <w:r w:rsidR="00ED540C">
        <w:rPr>
          <w:rFonts w:ascii="Times New Roman" w:hAnsi="Times New Roman" w:cs="Times New Roman"/>
          <w:i w:val="0"/>
          <w:color w:val="000000" w:themeColor="text1"/>
          <w:sz w:val="24"/>
        </w:rPr>
        <w:t>, and DT50</w:t>
      </w:r>
      <w:r w:rsidRPr="00AF3534">
        <w:rPr>
          <w:rFonts w:ascii="Times New Roman" w:hAnsi="Times New Roman" w:cs="Times New Roman"/>
          <w:i w:val="0"/>
          <w:color w:val="000000" w:themeColor="text1"/>
          <w:sz w:val="24"/>
        </w:rPr>
        <w:t xml:space="preserve"> for atrazine, pyroxasulfone, and saflufenacil</w:t>
      </w:r>
      <w:bookmarkEnd w:id="24"/>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8"/>
        <w:gridCol w:w="16"/>
        <w:gridCol w:w="1620"/>
        <w:gridCol w:w="982"/>
        <w:gridCol w:w="902"/>
        <w:gridCol w:w="2792"/>
        <w:gridCol w:w="811"/>
        <w:gridCol w:w="2431"/>
        <w:gridCol w:w="990"/>
        <w:gridCol w:w="721"/>
        <w:gridCol w:w="897"/>
      </w:tblGrid>
      <w:tr w:rsidR="00ED540C" w:rsidRPr="008D611D" w14:paraId="61AD19EF" w14:textId="77777777" w:rsidTr="00ED540C">
        <w:trPr>
          <w:trHeight w:val="375"/>
        </w:trPr>
        <w:tc>
          <w:tcPr>
            <w:tcW w:w="308" w:type="pct"/>
            <w:tcBorders>
              <w:top w:val="single" w:sz="4" w:space="0" w:color="auto"/>
              <w:bottom w:val="single" w:sz="4" w:space="0" w:color="auto"/>
            </w:tcBorders>
            <w:noWrap/>
            <w:vAlign w:val="bottom"/>
            <w:hideMark/>
          </w:tcPr>
          <w:p w14:paraId="503FBDA3" w14:textId="77777777" w:rsidR="008D611D" w:rsidRPr="008D611D" w:rsidRDefault="008D611D" w:rsidP="00ED540C">
            <w:pPr>
              <w:jc w:val="center"/>
              <w:rPr>
                <w:rFonts w:ascii="Times New Roman" w:hAnsi="Times New Roman" w:cs="Times New Roman"/>
                <w:sz w:val="24"/>
              </w:rPr>
            </w:pPr>
            <w:bookmarkStart w:id="25" w:name="_Hlk98156983"/>
            <w:r w:rsidRPr="008D611D">
              <w:rPr>
                <w:rFonts w:ascii="Times New Roman" w:hAnsi="Times New Roman" w:cs="Times New Roman"/>
                <w:sz w:val="24"/>
              </w:rPr>
              <w:t>Study</w:t>
            </w:r>
          </w:p>
        </w:tc>
        <w:tc>
          <w:tcPr>
            <w:tcW w:w="631" w:type="pct"/>
            <w:gridSpan w:val="2"/>
            <w:tcBorders>
              <w:top w:val="single" w:sz="4" w:space="0" w:color="auto"/>
              <w:bottom w:val="single" w:sz="4" w:space="0" w:color="auto"/>
            </w:tcBorders>
            <w:noWrap/>
            <w:vAlign w:val="bottom"/>
            <w:hideMark/>
          </w:tcPr>
          <w:p w14:paraId="385AF42D" w14:textId="08AAF789" w:rsidR="008D611D" w:rsidRPr="008D611D" w:rsidRDefault="00CC6354" w:rsidP="00ED540C">
            <w:pPr>
              <w:jc w:val="center"/>
              <w:rPr>
                <w:rFonts w:ascii="Times New Roman" w:hAnsi="Times New Roman" w:cs="Times New Roman"/>
                <w:sz w:val="24"/>
              </w:rPr>
            </w:pPr>
            <w:r>
              <w:rPr>
                <w:rFonts w:ascii="Times New Roman" w:hAnsi="Times New Roman" w:cs="Times New Roman"/>
                <w:sz w:val="24"/>
              </w:rPr>
              <w:t>Herbicide</w:t>
            </w:r>
          </w:p>
        </w:tc>
        <w:tc>
          <w:tcPr>
            <w:tcW w:w="379" w:type="pct"/>
            <w:tcBorders>
              <w:top w:val="single" w:sz="4" w:space="0" w:color="auto"/>
              <w:bottom w:val="single" w:sz="4" w:space="0" w:color="auto"/>
            </w:tcBorders>
            <w:noWrap/>
            <w:vAlign w:val="bottom"/>
            <w:hideMark/>
          </w:tcPr>
          <w:p w14:paraId="145633A6" w14:textId="77777777" w:rsidR="008D611D" w:rsidRPr="008D611D" w:rsidRDefault="008D611D" w:rsidP="00ED540C">
            <w:pPr>
              <w:jc w:val="center"/>
              <w:rPr>
                <w:rFonts w:ascii="Times New Roman" w:hAnsi="Times New Roman" w:cs="Times New Roman"/>
                <w:sz w:val="24"/>
              </w:rPr>
            </w:pPr>
            <w:r w:rsidRPr="008D611D">
              <w:rPr>
                <w:rFonts w:ascii="Times New Roman" w:hAnsi="Times New Roman" w:cs="Times New Roman"/>
                <w:sz w:val="24"/>
              </w:rPr>
              <w:t>Dose</w:t>
            </w:r>
          </w:p>
        </w:tc>
        <w:tc>
          <w:tcPr>
            <w:tcW w:w="348" w:type="pct"/>
            <w:tcBorders>
              <w:top w:val="single" w:sz="4" w:space="0" w:color="auto"/>
              <w:bottom w:val="single" w:sz="4" w:space="0" w:color="auto"/>
            </w:tcBorders>
            <w:noWrap/>
            <w:vAlign w:val="bottom"/>
            <w:hideMark/>
          </w:tcPr>
          <w:p w14:paraId="4A081DDA" w14:textId="77777777" w:rsidR="008D611D" w:rsidRPr="008D611D" w:rsidRDefault="008D611D" w:rsidP="00ED540C">
            <w:pPr>
              <w:jc w:val="center"/>
              <w:rPr>
                <w:rFonts w:ascii="Times New Roman" w:hAnsi="Times New Roman" w:cs="Times New Roman"/>
                <w:sz w:val="24"/>
              </w:rPr>
            </w:pPr>
            <w:r w:rsidRPr="008D611D">
              <w:rPr>
                <w:rFonts w:ascii="Times New Roman" w:hAnsi="Times New Roman" w:cs="Times New Roman"/>
                <w:sz w:val="24"/>
              </w:rPr>
              <w:t>Mixed</w:t>
            </w:r>
          </w:p>
        </w:tc>
        <w:tc>
          <w:tcPr>
            <w:tcW w:w="1077" w:type="pct"/>
            <w:tcBorders>
              <w:top w:val="single" w:sz="4" w:space="0" w:color="auto"/>
              <w:bottom w:val="single" w:sz="4" w:space="0" w:color="auto"/>
            </w:tcBorders>
            <w:noWrap/>
            <w:vAlign w:val="bottom"/>
            <w:hideMark/>
          </w:tcPr>
          <w:p w14:paraId="346E1707" w14:textId="23571A9B" w:rsidR="008D611D" w:rsidRPr="008D611D" w:rsidRDefault="00CC6354" w:rsidP="00ED540C">
            <w:pPr>
              <w:jc w:val="center"/>
              <w:rPr>
                <w:rFonts w:ascii="Times New Roman" w:hAnsi="Times New Roman" w:cs="Times New Roman"/>
                <w:sz w:val="24"/>
              </w:rPr>
            </w:pPr>
            <w:r>
              <w:rPr>
                <w:rFonts w:ascii="Times New Roman" w:hAnsi="Times New Roman" w:cs="Times New Roman"/>
                <w:sz w:val="24"/>
              </w:rPr>
              <w:t>Initial herbicide concentration (ng g</w:t>
            </w:r>
            <w:r>
              <w:rPr>
                <w:rFonts w:ascii="Times New Roman" w:hAnsi="Times New Roman" w:cs="Times New Roman"/>
                <w:sz w:val="24"/>
                <w:vertAlign w:val="superscript"/>
              </w:rPr>
              <w:t>-1</w:t>
            </w:r>
            <w:r>
              <w:rPr>
                <w:rFonts w:ascii="Times New Roman" w:hAnsi="Times New Roman" w:cs="Times New Roman"/>
                <w:sz w:val="24"/>
              </w:rPr>
              <w:t xml:space="preserve"> soil)</w:t>
            </w:r>
          </w:p>
        </w:tc>
        <w:tc>
          <w:tcPr>
            <w:tcW w:w="313" w:type="pct"/>
            <w:tcBorders>
              <w:top w:val="single" w:sz="4" w:space="0" w:color="auto"/>
              <w:bottom w:val="single" w:sz="4" w:space="0" w:color="auto"/>
            </w:tcBorders>
            <w:noWrap/>
            <w:vAlign w:val="bottom"/>
            <w:hideMark/>
          </w:tcPr>
          <w:p w14:paraId="7E76316B" w14:textId="7BCF3921" w:rsidR="008D611D" w:rsidRPr="008D611D" w:rsidRDefault="008D611D" w:rsidP="00ED540C">
            <w:pPr>
              <w:jc w:val="center"/>
              <w:rPr>
                <w:rFonts w:ascii="Times New Roman" w:hAnsi="Times New Roman" w:cs="Times New Roman"/>
                <w:sz w:val="24"/>
              </w:rPr>
            </w:pPr>
            <w:r w:rsidRPr="008D611D">
              <w:rPr>
                <w:rFonts w:ascii="Times New Roman" w:hAnsi="Times New Roman" w:cs="Times New Roman"/>
                <w:sz w:val="24"/>
              </w:rPr>
              <w:t>SE</w:t>
            </w:r>
          </w:p>
        </w:tc>
        <w:tc>
          <w:tcPr>
            <w:tcW w:w="938" w:type="pct"/>
            <w:tcBorders>
              <w:top w:val="single" w:sz="4" w:space="0" w:color="auto"/>
              <w:bottom w:val="single" w:sz="4" w:space="0" w:color="auto"/>
            </w:tcBorders>
            <w:noWrap/>
            <w:vAlign w:val="bottom"/>
            <w:hideMark/>
          </w:tcPr>
          <w:p w14:paraId="1752D9D3" w14:textId="57010033" w:rsidR="008D611D" w:rsidRPr="008D611D" w:rsidRDefault="00CC6354" w:rsidP="00ED540C">
            <w:pPr>
              <w:jc w:val="center"/>
              <w:rPr>
                <w:rFonts w:ascii="Times New Roman" w:hAnsi="Times New Roman" w:cs="Times New Roman"/>
                <w:sz w:val="24"/>
              </w:rPr>
            </w:pPr>
            <w:r>
              <w:rPr>
                <w:rFonts w:ascii="Times New Roman" w:hAnsi="Times New Roman" w:cs="Times New Roman"/>
                <w:sz w:val="24"/>
              </w:rPr>
              <w:t>1</w:t>
            </w:r>
            <w:r w:rsidRPr="00CC6354">
              <w:rPr>
                <w:rFonts w:ascii="Times New Roman" w:hAnsi="Times New Roman" w:cs="Times New Roman"/>
                <w:sz w:val="24"/>
                <w:vertAlign w:val="superscript"/>
              </w:rPr>
              <w:t>st</w:t>
            </w:r>
            <w:r>
              <w:rPr>
                <w:rFonts w:ascii="Times New Roman" w:hAnsi="Times New Roman" w:cs="Times New Roman"/>
                <w:sz w:val="24"/>
              </w:rPr>
              <w:t xml:space="preserve"> order rate constant (per day)</w:t>
            </w:r>
          </w:p>
        </w:tc>
        <w:tc>
          <w:tcPr>
            <w:tcW w:w="382" w:type="pct"/>
            <w:tcBorders>
              <w:top w:val="single" w:sz="4" w:space="0" w:color="auto"/>
              <w:bottom w:val="single" w:sz="4" w:space="0" w:color="auto"/>
            </w:tcBorders>
            <w:noWrap/>
            <w:vAlign w:val="bottom"/>
            <w:hideMark/>
          </w:tcPr>
          <w:p w14:paraId="607B222E" w14:textId="539E7C83" w:rsidR="008D611D" w:rsidRPr="008D611D" w:rsidRDefault="008D611D" w:rsidP="00ED540C">
            <w:pPr>
              <w:jc w:val="center"/>
              <w:rPr>
                <w:rFonts w:ascii="Times New Roman" w:hAnsi="Times New Roman" w:cs="Times New Roman"/>
                <w:sz w:val="24"/>
              </w:rPr>
            </w:pPr>
            <w:r w:rsidRPr="008D611D">
              <w:rPr>
                <w:rFonts w:ascii="Times New Roman" w:hAnsi="Times New Roman" w:cs="Times New Roman"/>
                <w:sz w:val="24"/>
              </w:rPr>
              <w:t>SE</w:t>
            </w:r>
          </w:p>
        </w:tc>
        <w:tc>
          <w:tcPr>
            <w:tcW w:w="278" w:type="pct"/>
            <w:tcBorders>
              <w:top w:val="single" w:sz="4" w:space="0" w:color="auto"/>
              <w:bottom w:val="single" w:sz="4" w:space="0" w:color="auto"/>
            </w:tcBorders>
            <w:noWrap/>
            <w:vAlign w:val="bottom"/>
            <w:hideMark/>
          </w:tcPr>
          <w:p w14:paraId="6EDB3731" w14:textId="08938DE5" w:rsidR="008D611D" w:rsidRPr="008D611D" w:rsidRDefault="00CC6354" w:rsidP="00ED540C">
            <w:pPr>
              <w:jc w:val="center"/>
              <w:rPr>
                <w:rFonts w:ascii="Times New Roman" w:hAnsi="Times New Roman" w:cs="Times New Roman"/>
                <w:sz w:val="24"/>
              </w:rPr>
            </w:pPr>
            <w:r>
              <w:rPr>
                <w:rFonts w:ascii="Times New Roman" w:hAnsi="Times New Roman" w:cs="Times New Roman"/>
                <w:sz w:val="24"/>
              </w:rPr>
              <w:t>r</w:t>
            </w:r>
            <w:r w:rsidR="008D611D" w:rsidRPr="008D611D">
              <w:rPr>
                <w:rFonts w:ascii="Times New Roman" w:hAnsi="Times New Roman" w:cs="Times New Roman"/>
                <w:sz w:val="24"/>
                <w:vertAlign w:val="superscript"/>
              </w:rPr>
              <w:t>2</w:t>
            </w:r>
          </w:p>
        </w:tc>
        <w:tc>
          <w:tcPr>
            <w:tcW w:w="346" w:type="pct"/>
            <w:tcBorders>
              <w:top w:val="single" w:sz="4" w:space="0" w:color="auto"/>
              <w:bottom w:val="single" w:sz="4" w:space="0" w:color="auto"/>
            </w:tcBorders>
            <w:noWrap/>
            <w:vAlign w:val="bottom"/>
            <w:hideMark/>
          </w:tcPr>
          <w:p w14:paraId="6AE155FF" w14:textId="70F9A979" w:rsidR="008D611D" w:rsidRPr="008D611D" w:rsidRDefault="008D611D" w:rsidP="00ED540C">
            <w:pPr>
              <w:jc w:val="center"/>
              <w:rPr>
                <w:rFonts w:ascii="Times New Roman" w:hAnsi="Times New Roman" w:cs="Times New Roman"/>
                <w:sz w:val="24"/>
              </w:rPr>
            </w:pPr>
            <w:r w:rsidRPr="008D611D">
              <w:rPr>
                <w:rFonts w:ascii="Times New Roman" w:hAnsi="Times New Roman" w:cs="Times New Roman"/>
                <w:sz w:val="24"/>
              </w:rPr>
              <w:t>DT50</w:t>
            </w:r>
            <w:r w:rsidR="00CC6354">
              <w:rPr>
                <w:rFonts w:ascii="Times New Roman" w:hAnsi="Times New Roman" w:cs="Times New Roman"/>
                <w:sz w:val="24"/>
              </w:rPr>
              <w:t xml:space="preserve"> (days)</w:t>
            </w:r>
          </w:p>
        </w:tc>
      </w:tr>
      <w:bookmarkEnd w:id="25"/>
      <w:tr w:rsidR="00ED540C" w:rsidRPr="008D611D" w14:paraId="31B40877" w14:textId="77777777" w:rsidTr="00ED540C">
        <w:trPr>
          <w:trHeight w:val="405"/>
        </w:trPr>
        <w:tc>
          <w:tcPr>
            <w:tcW w:w="314" w:type="pct"/>
            <w:gridSpan w:val="2"/>
            <w:tcBorders>
              <w:top w:val="single" w:sz="4" w:space="0" w:color="auto"/>
            </w:tcBorders>
            <w:noWrap/>
            <w:vAlign w:val="center"/>
            <w:hideMark/>
          </w:tcPr>
          <w:p w14:paraId="48C8E13B"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LS1</w:t>
            </w:r>
          </w:p>
        </w:tc>
        <w:tc>
          <w:tcPr>
            <w:tcW w:w="625" w:type="pct"/>
            <w:tcBorders>
              <w:top w:val="single" w:sz="4" w:space="0" w:color="auto"/>
            </w:tcBorders>
            <w:noWrap/>
            <w:vAlign w:val="center"/>
            <w:hideMark/>
          </w:tcPr>
          <w:p w14:paraId="5D75747D" w14:textId="5EC1BD48"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A</w:t>
            </w:r>
            <w:r w:rsidR="00CC6354">
              <w:rPr>
                <w:rFonts w:ascii="Times New Roman" w:hAnsi="Times New Roman" w:cs="Times New Roman"/>
                <w:sz w:val="24"/>
              </w:rPr>
              <w:t>trazine</w:t>
            </w:r>
          </w:p>
        </w:tc>
        <w:tc>
          <w:tcPr>
            <w:tcW w:w="379" w:type="pct"/>
            <w:tcBorders>
              <w:top w:val="single" w:sz="4" w:space="0" w:color="auto"/>
            </w:tcBorders>
            <w:noWrap/>
            <w:vAlign w:val="center"/>
            <w:hideMark/>
          </w:tcPr>
          <w:p w14:paraId="7E02DA5D"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81</w:t>
            </w:r>
          </w:p>
        </w:tc>
        <w:tc>
          <w:tcPr>
            <w:tcW w:w="348" w:type="pct"/>
            <w:tcBorders>
              <w:top w:val="single" w:sz="4" w:space="0" w:color="auto"/>
            </w:tcBorders>
            <w:noWrap/>
            <w:vAlign w:val="center"/>
            <w:hideMark/>
          </w:tcPr>
          <w:p w14:paraId="4E8024C2"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no</w:t>
            </w:r>
          </w:p>
        </w:tc>
        <w:tc>
          <w:tcPr>
            <w:tcW w:w="1077" w:type="pct"/>
            <w:tcBorders>
              <w:top w:val="single" w:sz="4" w:space="0" w:color="auto"/>
            </w:tcBorders>
            <w:noWrap/>
            <w:vAlign w:val="center"/>
            <w:hideMark/>
          </w:tcPr>
          <w:p w14:paraId="250F13CD"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79.2</w:t>
            </w:r>
          </w:p>
        </w:tc>
        <w:tc>
          <w:tcPr>
            <w:tcW w:w="313" w:type="pct"/>
            <w:tcBorders>
              <w:top w:val="single" w:sz="4" w:space="0" w:color="auto"/>
            </w:tcBorders>
            <w:noWrap/>
            <w:vAlign w:val="center"/>
            <w:hideMark/>
          </w:tcPr>
          <w:p w14:paraId="4E775379"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2.24</w:t>
            </w:r>
          </w:p>
        </w:tc>
        <w:tc>
          <w:tcPr>
            <w:tcW w:w="938" w:type="pct"/>
            <w:tcBorders>
              <w:top w:val="single" w:sz="4" w:space="0" w:color="auto"/>
            </w:tcBorders>
            <w:noWrap/>
            <w:vAlign w:val="center"/>
            <w:hideMark/>
          </w:tcPr>
          <w:p w14:paraId="52CA250B"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0.018</w:t>
            </w:r>
          </w:p>
        </w:tc>
        <w:tc>
          <w:tcPr>
            <w:tcW w:w="382" w:type="pct"/>
            <w:tcBorders>
              <w:top w:val="single" w:sz="4" w:space="0" w:color="auto"/>
            </w:tcBorders>
            <w:noWrap/>
            <w:vAlign w:val="center"/>
            <w:hideMark/>
          </w:tcPr>
          <w:p w14:paraId="2FFBF9E7"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0.0012</w:t>
            </w:r>
          </w:p>
        </w:tc>
        <w:tc>
          <w:tcPr>
            <w:tcW w:w="278" w:type="pct"/>
            <w:tcBorders>
              <w:top w:val="single" w:sz="4" w:space="0" w:color="auto"/>
            </w:tcBorders>
            <w:noWrap/>
            <w:vAlign w:val="center"/>
            <w:hideMark/>
          </w:tcPr>
          <w:p w14:paraId="70AEE3C3"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0.97</w:t>
            </w:r>
          </w:p>
        </w:tc>
        <w:tc>
          <w:tcPr>
            <w:tcW w:w="346" w:type="pct"/>
            <w:tcBorders>
              <w:top w:val="single" w:sz="4" w:space="0" w:color="auto"/>
            </w:tcBorders>
            <w:noWrap/>
            <w:vAlign w:val="center"/>
            <w:hideMark/>
          </w:tcPr>
          <w:p w14:paraId="0064AFAC"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38.5</w:t>
            </w:r>
          </w:p>
        </w:tc>
      </w:tr>
      <w:tr w:rsidR="00ED540C" w:rsidRPr="008D611D" w14:paraId="398F3C61" w14:textId="77777777" w:rsidTr="00ED540C">
        <w:trPr>
          <w:trHeight w:val="405"/>
        </w:trPr>
        <w:tc>
          <w:tcPr>
            <w:tcW w:w="314" w:type="pct"/>
            <w:gridSpan w:val="2"/>
            <w:noWrap/>
            <w:vAlign w:val="center"/>
            <w:hideMark/>
          </w:tcPr>
          <w:p w14:paraId="62B592CC"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LS1</w:t>
            </w:r>
          </w:p>
        </w:tc>
        <w:tc>
          <w:tcPr>
            <w:tcW w:w="625" w:type="pct"/>
            <w:noWrap/>
            <w:vAlign w:val="center"/>
            <w:hideMark/>
          </w:tcPr>
          <w:p w14:paraId="6ACD94F7" w14:textId="2CC8CF5D" w:rsidR="008D611D" w:rsidRPr="008D611D" w:rsidRDefault="00CC6354" w:rsidP="004865EA">
            <w:pPr>
              <w:jc w:val="center"/>
              <w:rPr>
                <w:rFonts w:ascii="Times New Roman" w:hAnsi="Times New Roman" w:cs="Times New Roman"/>
                <w:sz w:val="24"/>
              </w:rPr>
            </w:pPr>
            <w:r w:rsidRPr="008D611D">
              <w:rPr>
                <w:rFonts w:ascii="Times New Roman" w:hAnsi="Times New Roman" w:cs="Times New Roman"/>
                <w:sz w:val="24"/>
              </w:rPr>
              <w:t>A</w:t>
            </w:r>
            <w:r>
              <w:rPr>
                <w:rFonts w:ascii="Times New Roman" w:hAnsi="Times New Roman" w:cs="Times New Roman"/>
                <w:sz w:val="24"/>
              </w:rPr>
              <w:t>trazine</w:t>
            </w:r>
          </w:p>
        </w:tc>
        <w:tc>
          <w:tcPr>
            <w:tcW w:w="379" w:type="pct"/>
            <w:noWrap/>
            <w:vAlign w:val="center"/>
            <w:hideMark/>
          </w:tcPr>
          <w:p w14:paraId="6BD8C768"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3200</w:t>
            </w:r>
          </w:p>
        </w:tc>
        <w:tc>
          <w:tcPr>
            <w:tcW w:w="348" w:type="pct"/>
            <w:noWrap/>
            <w:vAlign w:val="center"/>
            <w:hideMark/>
          </w:tcPr>
          <w:p w14:paraId="7666CE66"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no</w:t>
            </w:r>
          </w:p>
        </w:tc>
        <w:tc>
          <w:tcPr>
            <w:tcW w:w="1077" w:type="pct"/>
            <w:noWrap/>
            <w:vAlign w:val="center"/>
            <w:hideMark/>
          </w:tcPr>
          <w:p w14:paraId="6109155D"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3608</w:t>
            </w:r>
          </w:p>
        </w:tc>
        <w:tc>
          <w:tcPr>
            <w:tcW w:w="313" w:type="pct"/>
            <w:noWrap/>
            <w:vAlign w:val="center"/>
            <w:hideMark/>
          </w:tcPr>
          <w:p w14:paraId="348589CC"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246</w:t>
            </w:r>
          </w:p>
        </w:tc>
        <w:tc>
          <w:tcPr>
            <w:tcW w:w="938" w:type="pct"/>
            <w:noWrap/>
            <w:vAlign w:val="center"/>
            <w:hideMark/>
          </w:tcPr>
          <w:p w14:paraId="02041800"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0.0726</w:t>
            </w:r>
          </w:p>
        </w:tc>
        <w:tc>
          <w:tcPr>
            <w:tcW w:w="382" w:type="pct"/>
            <w:noWrap/>
            <w:vAlign w:val="center"/>
            <w:hideMark/>
          </w:tcPr>
          <w:p w14:paraId="72197703"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0.0107</w:t>
            </w:r>
          </w:p>
        </w:tc>
        <w:tc>
          <w:tcPr>
            <w:tcW w:w="278" w:type="pct"/>
            <w:noWrap/>
            <w:vAlign w:val="center"/>
            <w:hideMark/>
          </w:tcPr>
          <w:p w14:paraId="55F7A514"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0.94</w:t>
            </w:r>
          </w:p>
        </w:tc>
        <w:tc>
          <w:tcPr>
            <w:tcW w:w="346" w:type="pct"/>
            <w:noWrap/>
            <w:vAlign w:val="center"/>
            <w:hideMark/>
          </w:tcPr>
          <w:p w14:paraId="1884CBE8"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9.5</w:t>
            </w:r>
          </w:p>
        </w:tc>
      </w:tr>
      <w:tr w:rsidR="00ED540C" w:rsidRPr="008D611D" w14:paraId="0723C483" w14:textId="77777777" w:rsidTr="00ED540C">
        <w:trPr>
          <w:trHeight w:val="405"/>
        </w:trPr>
        <w:tc>
          <w:tcPr>
            <w:tcW w:w="314" w:type="pct"/>
            <w:gridSpan w:val="2"/>
            <w:noWrap/>
            <w:vAlign w:val="center"/>
            <w:hideMark/>
          </w:tcPr>
          <w:p w14:paraId="470C1873"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LS1</w:t>
            </w:r>
          </w:p>
        </w:tc>
        <w:tc>
          <w:tcPr>
            <w:tcW w:w="625" w:type="pct"/>
            <w:noWrap/>
            <w:vAlign w:val="center"/>
            <w:hideMark/>
          </w:tcPr>
          <w:p w14:paraId="3612CAFF" w14:textId="25FC2A50"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P</w:t>
            </w:r>
            <w:r w:rsidR="00CC6354">
              <w:rPr>
                <w:rFonts w:ascii="Times New Roman" w:hAnsi="Times New Roman" w:cs="Times New Roman"/>
                <w:sz w:val="24"/>
              </w:rPr>
              <w:t>yroxasulfone</w:t>
            </w:r>
          </w:p>
        </w:tc>
        <w:tc>
          <w:tcPr>
            <w:tcW w:w="379" w:type="pct"/>
            <w:noWrap/>
            <w:vAlign w:val="center"/>
            <w:hideMark/>
          </w:tcPr>
          <w:p w14:paraId="0A025C9A"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20</w:t>
            </w:r>
          </w:p>
        </w:tc>
        <w:tc>
          <w:tcPr>
            <w:tcW w:w="348" w:type="pct"/>
            <w:noWrap/>
            <w:vAlign w:val="center"/>
            <w:hideMark/>
          </w:tcPr>
          <w:p w14:paraId="17A729C2"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no</w:t>
            </w:r>
          </w:p>
        </w:tc>
        <w:tc>
          <w:tcPr>
            <w:tcW w:w="1077" w:type="pct"/>
            <w:noWrap/>
            <w:vAlign w:val="center"/>
            <w:hideMark/>
          </w:tcPr>
          <w:p w14:paraId="02F9B898"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20.4</w:t>
            </w:r>
          </w:p>
        </w:tc>
        <w:tc>
          <w:tcPr>
            <w:tcW w:w="313" w:type="pct"/>
            <w:noWrap/>
            <w:vAlign w:val="center"/>
            <w:hideMark/>
          </w:tcPr>
          <w:p w14:paraId="412B4CC7"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1.08</w:t>
            </w:r>
          </w:p>
        </w:tc>
        <w:tc>
          <w:tcPr>
            <w:tcW w:w="938" w:type="pct"/>
            <w:noWrap/>
            <w:vAlign w:val="center"/>
            <w:hideMark/>
          </w:tcPr>
          <w:p w14:paraId="352D328E"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0.0287</w:t>
            </w:r>
          </w:p>
        </w:tc>
        <w:tc>
          <w:tcPr>
            <w:tcW w:w="382" w:type="pct"/>
            <w:noWrap/>
            <w:vAlign w:val="center"/>
            <w:hideMark/>
          </w:tcPr>
          <w:p w14:paraId="21F94E46"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0.0034</w:t>
            </w:r>
          </w:p>
        </w:tc>
        <w:tc>
          <w:tcPr>
            <w:tcW w:w="278" w:type="pct"/>
            <w:noWrap/>
            <w:vAlign w:val="center"/>
            <w:hideMark/>
          </w:tcPr>
          <w:p w14:paraId="743CA15A"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0.94</w:t>
            </w:r>
          </w:p>
        </w:tc>
        <w:tc>
          <w:tcPr>
            <w:tcW w:w="346" w:type="pct"/>
            <w:noWrap/>
            <w:vAlign w:val="center"/>
            <w:hideMark/>
          </w:tcPr>
          <w:p w14:paraId="5506F64D"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24.1</w:t>
            </w:r>
          </w:p>
        </w:tc>
      </w:tr>
      <w:tr w:rsidR="00ED540C" w:rsidRPr="008D611D" w14:paraId="01FCE522" w14:textId="77777777" w:rsidTr="00ED540C">
        <w:trPr>
          <w:trHeight w:val="405"/>
        </w:trPr>
        <w:tc>
          <w:tcPr>
            <w:tcW w:w="314" w:type="pct"/>
            <w:gridSpan w:val="2"/>
            <w:noWrap/>
            <w:vAlign w:val="center"/>
            <w:hideMark/>
          </w:tcPr>
          <w:p w14:paraId="02369595"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LS1</w:t>
            </w:r>
          </w:p>
        </w:tc>
        <w:tc>
          <w:tcPr>
            <w:tcW w:w="625" w:type="pct"/>
            <w:noWrap/>
            <w:vAlign w:val="center"/>
            <w:hideMark/>
          </w:tcPr>
          <w:p w14:paraId="03152D41" w14:textId="6692B46E" w:rsidR="008D611D" w:rsidRPr="008D611D" w:rsidRDefault="00CC6354" w:rsidP="004865EA">
            <w:pPr>
              <w:jc w:val="center"/>
              <w:rPr>
                <w:rFonts w:ascii="Times New Roman" w:hAnsi="Times New Roman" w:cs="Times New Roman"/>
                <w:sz w:val="24"/>
              </w:rPr>
            </w:pPr>
            <w:r w:rsidRPr="008D611D">
              <w:rPr>
                <w:rFonts w:ascii="Times New Roman" w:hAnsi="Times New Roman" w:cs="Times New Roman"/>
                <w:sz w:val="24"/>
              </w:rPr>
              <w:t>P</w:t>
            </w:r>
            <w:r>
              <w:rPr>
                <w:rFonts w:ascii="Times New Roman" w:hAnsi="Times New Roman" w:cs="Times New Roman"/>
                <w:sz w:val="24"/>
              </w:rPr>
              <w:t>yroxasulfone</w:t>
            </w:r>
          </w:p>
        </w:tc>
        <w:tc>
          <w:tcPr>
            <w:tcW w:w="379" w:type="pct"/>
            <w:noWrap/>
            <w:vAlign w:val="center"/>
            <w:hideMark/>
          </w:tcPr>
          <w:p w14:paraId="5E75CBF7"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1900</w:t>
            </w:r>
          </w:p>
        </w:tc>
        <w:tc>
          <w:tcPr>
            <w:tcW w:w="348" w:type="pct"/>
            <w:noWrap/>
            <w:vAlign w:val="center"/>
            <w:hideMark/>
          </w:tcPr>
          <w:p w14:paraId="681E99CA"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no</w:t>
            </w:r>
          </w:p>
        </w:tc>
        <w:tc>
          <w:tcPr>
            <w:tcW w:w="1077" w:type="pct"/>
            <w:noWrap/>
            <w:vAlign w:val="center"/>
            <w:hideMark/>
          </w:tcPr>
          <w:p w14:paraId="78FED57D"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1798</w:t>
            </w:r>
          </w:p>
        </w:tc>
        <w:tc>
          <w:tcPr>
            <w:tcW w:w="313" w:type="pct"/>
            <w:noWrap/>
            <w:vAlign w:val="center"/>
            <w:hideMark/>
          </w:tcPr>
          <w:p w14:paraId="635106F5"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48.5</w:t>
            </w:r>
          </w:p>
        </w:tc>
        <w:tc>
          <w:tcPr>
            <w:tcW w:w="938" w:type="pct"/>
            <w:noWrap/>
            <w:vAlign w:val="center"/>
            <w:hideMark/>
          </w:tcPr>
          <w:p w14:paraId="3684CA3C"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0.0134</w:t>
            </w:r>
          </w:p>
        </w:tc>
        <w:tc>
          <w:tcPr>
            <w:tcW w:w="382" w:type="pct"/>
            <w:noWrap/>
            <w:vAlign w:val="center"/>
            <w:hideMark/>
          </w:tcPr>
          <w:p w14:paraId="1F4F227C"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0.0009</w:t>
            </w:r>
          </w:p>
        </w:tc>
        <w:tc>
          <w:tcPr>
            <w:tcW w:w="278" w:type="pct"/>
            <w:noWrap/>
            <w:vAlign w:val="center"/>
            <w:hideMark/>
          </w:tcPr>
          <w:p w14:paraId="39EABBD9"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0.97</w:t>
            </w:r>
          </w:p>
        </w:tc>
        <w:tc>
          <w:tcPr>
            <w:tcW w:w="346" w:type="pct"/>
            <w:noWrap/>
            <w:vAlign w:val="center"/>
            <w:hideMark/>
          </w:tcPr>
          <w:p w14:paraId="7D3554A3"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51.7</w:t>
            </w:r>
          </w:p>
        </w:tc>
      </w:tr>
      <w:tr w:rsidR="00ED540C" w:rsidRPr="008D611D" w14:paraId="1EF38D77" w14:textId="77777777" w:rsidTr="00ED540C">
        <w:trPr>
          <w:trHeight w:val="405"/>
        </w:trPr>
        <w:tc>
          <w:tcPr>
            <w:tcW w:w="314" w:type="pct"/>
            <w:gridSpan w:val="2"/>
            <w:noWrap/>
            <w:vAlign w:val="center"/>
            <w:hideMark/>
          </w:tcPr>
          <w:p w14:paraId="5DEEFCD3"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LS1</w:t>
            </w:r>
          </w:p>
        </w:tc>
        <w:tc>
          <w:tcPr>
            <w:tcW w:w="625" w:type="pct"/>
            <w:noWrap/>
            <w:vAlign w:val="center"/>
            <w:hideMark/>
          </w:tcPr>
          <w:p w14:paraId="346622B1" w14:textId="05EB7B20"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S</w:t>
            </w:r>
            <w:r w:rsidR="00CC6354">
              <w:rPr>
                <w:rFonts w:ascii="Times New Roman" w:hAnsi="Times New Roman" w:cs="Times New Roman"/>
                <w:sz w:val="24"/>
              </w:rPr>
              <w:t>aflufenacil</w:t>
            </w:r>
          </w:p>
        </w:tc>
        <w:tc>
          <w:tcPr>
            <w:tcW w:w="379" w:type="pct"/>
            <w:noWrap/>
            <w:vAlign w:val="center"/>
            <w:hideMark/>
          </w:tcPr>
          <w:p w14:paraId="4D4DAA54"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82</w:t>
            </w:r>
          </w:p>
        </w:tc>
        <w:tc>
          <w:tcPr>
            <w:tcW w:w="348" w:type="pct"/>
            <w:noWrap/>
            <w:vAlign w:val="center"/>
            <w:hideMark/>
          </w:tcPr>
          <w:p w14:paraId="378C440A"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no</w:t>
            </w:r>
          </w:p>
        </w:tc>
        <w:tc>
          <w:tcPr>
            <w:tcW w:w="1077" w:type="pct"/>
            <w:noWrap/>
            <w:vAlign w:val="center"/>
            <w:hideMark/>
          </w:tcPr>
          <w:p w14:paraId="1B1B0036"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77.4</w:t>
            </w:r>
          </w:p>
        </w:tc>
        <w:tc>
          <w:tcPr>
            <w:tcW w:w="313" w:type="pct"/>
            <w:noWrap/>
            <w:vAlign w:val="center"/>
            <w:hideMark/>
          </w:tcPr>
          <w:p w14:paraId="75E3E384"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6.5</w:t>
            </w:r>
          </w:p>
        </w:tc>
        <w:tc>
          <w:tcPr>
            <w:tcW w:w="938" w:type="pct"/>
            <w:noWrap/>
            <w:vAlign w:val="center"/>
            <w:hideMark/>
          </w:tcPr>
          <w:p w14:paraId="429C3F3B"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0.0439</w:t>
            </w:r>
          </w:p>
        </w:tc>
        <w:tc>
          <w:tcPr>
            <w:tcW w:w="382" w:type="pct"/>
            <w:noWrap/>
            <w:vAlign w:val="center"/>
            <w:hideMark/>
          </w:tcPr>
          <w:p w14:paraId="7F329312"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0.008</w:t>
            </w:r>
          </w:p>
        </w:tc>
        <w:tc>
          <w:tcPr>
            <w:tcW w:w="278" w:type="pct"/>
            <w:noWrap/>
            <w:vAlign w:val="center"/>
            <w:hideMark/>
          </w:tcPr>
          <w:p w14:paraId="5241152C"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0.86</w:t>
            </w:r>
          </w:p>
        </w:tc>
        <w:tc>
          <w:tcPr>
            <w:tcW w:w="346" w:type="pct"/>
            <w:noWrap/>
            <w:vAlign w:val="center"/>
            <w:hideMark/>
          </w:tcPr>
          <w:p w14:paraId="25D607BC"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15.8</w:t>
            </w:r>
          </w:p>
        </w:tc>
      </w:tr>
      <w:tr w:rsidR="00ED540C" w:rsidRPr="008D611D" w14:paraId="45ADBF19" w14:textId="77777777" w:rsidTr="00ED540C">
        <w:trPr>
          <w:trHeight w:val="405"/>
        </w:trPr>
        <w:tc>
          <w:tcPr>
            <w:tcW w:w="314" w:type="pct"/>
            <w:gridSpan w:val="2"/>
            <w:noWrap/>
            <w:vAlign w:val="center"/>
            <w:hideMark/>
          </w:tcPr>
          <w:p w14:paraId="0086E3BA"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LS1</w:t>
            </w:r>
          </w:p>
        </w:tc>
        <w:tc>
          <w:tcPr>
            <w:tcW w:w="625" w:type="pct"/>
            <w:noWrap/>
            <w:vAlign w:val="center"/>
            <w:hideMark/>
          </w:tcPr>
          <w:p w14:paraId="51DB13B6" w14:textId="17F69423" w:rsidR="008D611D" w:rsidRPr="008D611D" w:rsidRDefault="00CC6354" w:rsidP="004865EA">
            <w:pPr>
              <w:jc w:val="center"/>
              <w:rPr>
                <w:rFonts w:ascii="Times New Roman" w:hAnsi="Times New Roman" w:cs="Times New Roman"/>
                <w:sz w:val="24"/>
              </w:rPr>
            </w:pPr>
            <w:r w:rsidRPr="008D611D">
              <w:rPr>
                <w:rFonts w:ascii="Times New Roman" w:hAnsi="Times New Roman" w:cs="Times New Roman"/>
                <w:sz w:val="24"/>
              </w:rPr>
              <w:t>S</w:t>
            </w:r>
            <w:r>
              <w:rPr>
                <w:rFonts w:ascii="Times New Roman" w:hAnsi="Times New Roman" w:cs="Times New Roman"/>
                <w:sz w:val="24"/>
              </w:rPr>
              <w:t>aflufenacil</w:t>
            </w:r>
          </w:p>
        </w:tc>
        <w:tc>
          <w:tcPr>
            <w:tcW w:w="379" w:type="pct"/>
            <w:noWrap/>
            <w:vAlign w:val="center"/>
            <w:hideMark/>
          </w:tcPr>
          <w:p w14:paraId="5C900F59"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8400</w:t>
            </w:r>
          </w:p>
        </w:tc>
        <w:tc>
          <w:tcPr>
            <w:tcW w:w="348" w:type="pct"/>
            <w:noWrap/>
            <w:vAlign w:val="center"/>
            <w:hideMark/>
          </w:tcPr>
          <w:p w14:paraId="1DA9B3A8"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no</w:t>
            </w:r>
          </w:p>
        </w:tc>
        <w:tc>
          <w:tcPr>
            <w:tcW w:w="1077" w:type="pct"/>
            <w:noWrap/>
            <w:vAlign w:val="center"/>
            <w:hideMark/>
          </w:tcPr>
          <w:p w14:paraId="125E0435"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7980</w:t>
            </w:r>
          </w:p>
        </w:tc>
        <w:tc>
          <w:tcPr>
            <w:tcW w:w="313" w:type="pct"/>
            <w:noWrap/>
            <w:vAlign w:val="center"/>
            <w:hideMark/>
          </w:tcPr>
          <w:p w14:paraId="3BD4265E"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383</w:t>
            </w:r>
          </w:p>
        </w:tc>
        <w:tc>
          <w:tcPr>
            <w:tcW w:w="938" w:type="pct"/>
            <w:noWrap/>
            <w:vAlign w:val="center"/>
            <w:hideMark/>
          </w:tcPr>
          <w:p w14:paraId="54D0B811"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0.0302</w:t>
            </w:r>
          </w:p>
        </w:tc>
        <w:tc>
          <w:tcPr>
            <w:tcW w:w="382" w:type="pct"/>
            <w:noWrap/>
            <w:vAlign w:val="center"/>
            <w:hideMark/>
          </w:tcPr>
          <w:p w14:paraId="66324ECC"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0.0032</w:t>
            </w:r>
          </w:p>
        </w:tc>
        <w:tc>
          <w:tcPr>
            <w:tcW w:w="278" w:type="pct"/>
            <w:noWrap/>
            <w:vAlign w:val="center"/>
            <w:hideMark/>
          </w:tcPr>
          <w:p w14:paraId="3305D428"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0.95</w:t>
            </w:r>
          </w:p>
        </w:tc>
        <w:tc>
          <w:tcPr>
            <w:tcW w:w="346" w:type="pct"/>
            <w:noWrap/>
            <w:vAlign w:val="center"/>
            <w:hideMark/>
          </w:tcPr>
          <w:p w14:paraId="01A8D987"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22.9</w:t>
            </w:r>
          </w:p>
        </w:tc>
      </w:tr>
      <w:tr w:rsidR="00ED540C" w:rsidRPr="008D611D" w14:paraId="194A32F7" w14:textId="77777777" w:rsidTr="00ED540C">
        <w:trPr>
          <w:trHeight w:val="405"/>
        </w:trPr>
        <w:tc>
          <w:tcPr>
            <w:tcW w:w="314" w:type="pct"/>
            <w:gridSpan w:val="2"/>
            <w:noWrap/>
            <w:vAlign w:val="center"/>
            <w:hideMark/>
          </w:tcPr>
          <w:p w14:paraId="3588FE9F"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LS1</w:t>
            </w:r>
          </w:p>
        </w:tc>
        <w:tc>
          <w:tcPr>
            <w:tcW w:w="625" w:type="pct"/>
            <w:noWrap/>
            <w:vAlign w:val="center"/>
            <w:hideMark/>
          </w:tcPr>
          <w:p w14:paraId="639CE536" w14:textId="44CF6A5D" w:rsidR="008D611D" w:rsidRPr="008D611D" w:rsidRDefault="00CC6354" w:rsidP="004865EA">
            <w:pPr>
              <w:jc w:val="center"/>
              <w:rPr>
                <w:rFonts w:ascii="Times New Roman" w:hAnsi="Times New Roman" w:cs="Times New Roman"/>
                <w:sz w:val="24"/>
              </w:rPr>
            </w:pPr>
            <w:r w:rsidRPr="008D611D">
              <w:rPr>
                <w:rFonts w:ascii="Times New Roman" w:hAnsi="Times New Roman" w:cs="Times New Roman"/>
                <w:sz w:val="24"/>
              </w:rPr>
              <w:t>A</w:t>
            </w:r>
            <w:r>
              <w:rPr>
                <w:rFonts w:ascii="Times New Roman" w:hAnsi="Times New Roman" w:cs="Times New Roman"/>
                <w:sz w:val="24"/>
              </w:rPr>
              <w:t>trazine</w:t>
            </w:r>
          </w:p>
        </w:tc>
        <w:tc>
          <w:tcPr>
            <w:tcW w:w="379" w:type="pct"/>
            <w:noWrap/>
            <w:vAlign w:val="center"/>
            <w:hideMark/>
          </w:tcPr>
          <w:p w14:paraId="15124573"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49</w:t>
            </w:r>
          </w:p>
        </w:tc>
        <w:tc>
          <w:tcPr>
            <w:tcW w:w="348" w:type="pct"/>
            <w:noWrap/>
            <w:vAlign w:val="center"/>
            <w:hideMark/>
          </w:tcPr>
          <w:p w14:paraId="78FF17C7"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yes</w:t>
            </w:r>
          </w:p>
        </w:tc>
        <w:tc>
          <w:tcPr>
            <w:tcW w:w="1077" w:type="pct"/>
            <w:noWrap/>
            <w:vAlign w:val="center"/>
            <w:hideMark/>
          </w:tcPr>
          <w:p w14:paraId="6D4026AD"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43.7</w:t>
            </w:r>
          </w:p>
        </w:tc>
        <w:tc>
          <w:tcPr>
            <w:tcW w:w="313" w:type="pct"/>
            <w:noWrap/>
            <w:vAlign w:val="center"/>
            <w:hideMark/>
          </w:tcPr>
          <w:p w14:paraId="51189E94"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1.3</w:t>
            </w:r>
          </w:p>
        </w:tc>
        <w:tc>
          <w:tcPr>
            <w:tcW w:w="938" w:type="pct"/>
            <w:noWrap/>
            <w:vAlign w:val="center"/>
            <w:hideMark/>
          </w:tcPr>
          <w:p w14:paraId="3888649D"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0.0176</w:t>
            </w:r>
          </w:p>
        </w:tc>
        <w:tc>
          <w:tcPr>
            <w:tcW w:w="382" w:type="pct"/>
            <w:noWrap/>
            <w:vAlign w:val="center"/>
            <w:hideMark/>
          </w:tcPr>
          <w:p w14:paraId="6388B47F"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0.0012</w:t>
            </w:r>
          </w:p>
        </w:tc>
        <w:tc>
          <w:tcPr>
            <w:tcW w:w="278" w:type="pct"/>
            <w:noWrap/>
            <w:vAlign w:val="center"/>
            <w:hideMark/>
          </w:tcPr>
          <w:p w14:paraId="0E8167B2"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0.97</w:t>
            </w:r>
          </w:p>
        </w:tc>
        <w:tc>
          <w:tcPr>
            <w:tcW w:w="346" w:type="pct"/>
            <w:noWrap/>
            <w:vAlign w:val="center"/>
            <w:hideMark/>
          </w:tcPr>
          <w:p w14:paraId="1573DF4C"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39.4</w:t>
            </w:r>
          </w:p>
        </w:tc>
      </w:tr>
      <w:tr w:rsidR="00ED540C" w:rsidRPr="008D611D" w14:paraId="5C234FDD" w14:textId="77777777" w:rsidTr="00ED540C">
        <w:trPr>
          <w:trHeight w:val="405"/>
        </w:trPr>
        <w:tc>
          <w:tcPr>
            <w:tcW w:w="314" w:type="pct"/>
            <w:gridSpan w:val="2"/>
            <w:noWrap/>
            <w:vAlign w:val="center"/>
            <w:hideMark/>
          </w:tcPr>
          <w:p w14:paraId="4E91E4BA"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LS1</w:t>
            </w:r>
          </w:p>
        </w:tc>
        <w:tc>
          <w:tcPr>
            <w:tcW w:w="625" w:type="pct"/>
            <w:noWrap/>
            <w:vAlign w:val="center"/>
            <w:hideMark/>
          </w:tcPr>
          <w:p w14:paraId="4E0099D9" w14:textId="2BC3AB72" w:rsidR="008D611D" w:rsidRPr="008D611D" w:rsidRDefault="00CC6354" w:rsidP="004865EA">
            <w:pPr>
              <w:jc w:val="center"/>
              <w:rPr>
                <w:rFonts w:ascii="Times New Roman" w:hAnsi="Times New Roman" w:cs="Times New Roman"/>
                <w:sz w:val="24"/>
              </w:rPr>
            </w:pPr>
            <w:r w:rsidRPr="008D611D">
              <w:rPr>
                <w:rFonts w:ascii="Times New Roman" w:hAnsi="Times New Roman" w:cs="Times New Roman"/>
                <w:sz w:val="24"/>
              </w:rPr>
              <w:t>A</w:t>
            </w:r>
            <w:r>
              <w:rPr>
                <w:rFonts w:ascii="Times New Roman" w:hAnsi="Times New Roman" w:cs="Times New Roman"/>
                <w:sz w:val="24"/>
              </w:rPr>
              <w:t>trazine</w:t>
            </w:r>
          </w:p>
        </w:tc>
        <w:tc>
          <w:tcPr>
            <w:tcW w:w="379" w:type="pct"/>
            <w:noWrap/>
            <w:vAlign w:val="center"/>
            <w:hideMark/>
          </w:tcPr>
          <w:p w14:paraId="081AF15A"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2041</w:t>
            </w:r>
          </w:p>
        </w:tc>
        <w:tc>
          <w:tcPr>
            <w:tcW w:w="348" w:type="pct"/>
            <w:noWrap/>
            <w:vAlign w:val="center"/>
            <w:hideMark/>
          </w:tcPr>
          <w:p w14:paraId="0CA9C32B"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yes</w:t>
            </w:r>
          </w:p>
        </w:tc>
        <w:tc>
          <w:tcPr>
            <w:tcW w:w="1077" w:type="pct"/>
            <w:noWrap/>
            <w:vAlign w:val="center"/>
            <w:hideMark/>
          </w:tcPr>
          <w:p w14:paraId="67B1084F"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2235</w:t>
            </w:r>
          </w:p>
        </w:tc>
        <w:tc>
          <w:tcPr>
            <w:tcW w:w="313" w:type="pct"/>
            <w:noWrap/>
            <w:vAlign w:val="center"/>
            <w:hideMark/>
          </w:tcPr>
          <w:p w14:paraId="0D98A7AD"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112</w:t>
            </w:r>
          </w:p>
        </w:tc>
        <w:tc>
          <w:tcPr>
            <w:tcW w:w="938" w:type="pct"/>
            <w:noWrap/>
            <w:vAlign w:val="center"/>
            <w:hideMark/>
          </w:tcPr>
          <w:p w14:paraId="34655DAF"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0.0694</w:t>
            </w:r>
          </w:p>
        </w:tc>
        <w:tc>
          <w:tcPr>
            <w:tcW w:w="382" w:type="pct"/>
            <w:noWrap/>
            <w:vAlign w:val="center"/>
            <w:hideMark/>
          </w:tcPr>
          <w:p w14:paraId="2FC7C124"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0.0075</w:t>
            </w:r>
          </w:p>
        </w:tc>
        <w:tc>
          <w:tcPr>
            <w:tcW w:w="278" w:type="pct"/>
            <w:noWrap/>
            <w:vAlign w:val="center"/>
            <w:hideMark/>
          </w:tcPr>
          <w:p w14:paraId="1D494F42"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0.96</w:t>
            </w:r>
          </w:p>
        </w:tc>
        <w:tc>
          <w:tcPr>
            <w:tcW w:w="346" w:type="pct"/>
            <w:noWrap/>
            <w:vAlign w:val="center"/>
            <w:hideMark/>
          </w:tcPr>
          <w:p w14:paraId="20724DE7"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10.0</w:t>
            </w:r>
          </w:p>
        </w:tc>
      </w:tr>
      <w:tr w:rsidR="00ED540C" w:rsidRPr="008D611D" w14:paraId="3B1DE1D9" w14:textId="77777777" w:rsidTr="00ED540C">
        <w:trPr>
          <w:trHeight w:val="405"/>
        </w:trPr>
        <w:tc>
          <w:tcPr>
            <w:tcW w:w="314" w:type="pct"/>
            <w:gridSpan w:val="2"/>
            <w:noWrap/>
            <w:vAlign w:val="center"/>
            <w:hideMark/>
          </w:tcPr>
          <w:p w14:paraId="51BBACEC"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LS1</w:t>
            </w:r>
          </w:p>
        </w:tc>
        <w:tc>
          <w:tcPr>
            <w:tcW w:w="625" w:type="pct"/>
            <w:noWrap/>
            <w:vAlign w:val="center"/>
            <w:hideMark/>
          </w:tcPr>
          <w:p w14:paraId="27E5B932" w14:textId="74CF5045" w:rsidR="008D611D" w:rsidRPr="008D611D" w:rsidRDefault="00CC6354" w:rsidP="004865EA">
            <w:pPr>
              <w:jc w:val="center"/>
              <w:rPr>
                <w:rFonts w:ascii="Times New Roman" w:hAnsi="Times New Roman" w:cs="Times New Roman"/>
                <w:sz w:val="24"/>
              </w:rPr>
            </w:pPr>
            <w:r w:rsidRPr="008D611D">
              <w:rPr>
                <w:rFonts w:ascii="Times New Roman" w:hAnsi="Times New Roman" w:cs="Times New Roman"/>
                <w:sz w:val="24"/>
              </w:rPr>
              <w:t>P</w:t>
            </w:r>
            <w:r>
              <w:rPr>
                <w:rFonts w:ascii="Times New Roman" w:hAnsi="Times New Roman" w:cs="Times New Roman"/>
                <w:sz w:val="24"/>
              </w:rPr>
              <w:t>yroxasulfone</w:t>
            </w:r>
          </w:p>
        </w:tc>
        <w:tc>
          <w:tcPr>
            <w:tcW w:w="379" w:type="pct"/>
            <w:noWrap/>
            <w:vAlign w:val="center"/>
            <w:hideMark/>
          </w:tcPr>
          <w:p w14:paraId="32FE7660"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13</w:t>
            </w:r>
          </w:p>
        </w:tc>
        <w:tc>
          <w:tcPr>
            <w:tcW w:w="348" w:type="pct"/>
            <w:noWrap/>
            <w:vAlign w:val="center"/>
            <w:hideMark/>
          </w:tcPr>
          <w:p w14:paraId="67101817"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yes</w:t>
            </w:r>
          </w:p>
        </w:tc>
        <w:tc>
          <w:tcPr>
            <w:tcW w:w="1077" w:type="pct"/>
            <w:noWrap/>
            <w:vAlign w:val="center"/>
            <w:hideMark/>
          </w:tcPr>
          <w:p w14:paraId="6F7914AD"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11.3</w:t>
            </w:r>
          </w:p>
        </w:tc>
        <w:tc>
          <w:tcPr>
            <w:tcW w:w="313" w:type="pct"/>
            <w:noWrap/>
            <w:vAlign w:val="center"/>
            <w:hideMark/>
          </w:tcPr>
          <w:p w14:paraId="131B2763"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0.86</w:t>
            </w:r>
          </w:p>
        </w:tc>
        <w:tc>
          <w:tcPr>
            <w:tcW w:w="938" w:type="pct"/>
            <w:noWrap/>
            <w:vAlign w:val="center"/>
            <w:hideMark/>
          </w:tcPr>
          <w:p w14:paraId="13C2C23B"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0.0226</w:t>
            </w:r>
          </w:p>
        </w:tc>
        <w:tc>
          <w:tcPr>
            <w:tcW w:w="382" w:type="pct"/>
            <w:noWrap/>
            <w:vAlign w:val="center"/>
            <w:hideMark/>
          </w:tcPr>
          <w:p w14:paraId="31A20CEE"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0.0039</w:t>
            </w:r>
          </w:p>
        </w:tc>
        <w:tc>
          <w:tcPr>
            <w:tcW w:w="278" w:type="pct"/>
            <w:noWrap/>
            <w:vAlign w:val="center"/>
            <w:hideMark/>
          </w:tcPr>
          <w:p w14:paraId="30D6C27B"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0.85</w:t>
            </w:r>
          </w:p>
        </w:tc>
        <w:tc>
          <w:tcPr>
            <w:tcW w:w="346" w:type="pct"/>
            <w:noWrap/>
            <w:vAlign w:val="center"/>
            <w:hideMark/>
          </w:tcPr>
          <w:p w14:paraId="39EFAF1E"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30.7</w:t>
            </w:r>
          </w:p>
        </w:tc>
      </w:tr>
      <w:tr w:rsidR="00ED540C" w:rsidRPr="008D611D" w14:paraId="405D0628" w14:textId="77777777" w:rsidTr="00ED540C">
        <w:trPr>
          <w:trHeight w:val="405"/>
        </w:trPr>
        <w:tc>
          <w:tcPr>
            <w:tcW w:w="314" w:type="pct"/>
            <w:gridSpan w:val="2"/>
            <w:noWrap/>
            <w:vAlign w:val="center"/>
            <w:hideMark/>
          </w:tcPr>
          <w:p w14:paraId="046E1468"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LS1</w:t>
            </w:r>
          </w:p>
        </w:tc>
        <w:tc>
          <w:tcPr>
            <w:tcW w:w="625" w:type="pct"/>
            <w:noWrap/>
            <w:vAlign w:val="center"/>
            <w:hideMark/>
          </w:tcPr>
          <w:p w14:paraId="0E1193B4" w14:textId="5C380BEC" w:rsidR="008D611D" w:rsidRPr="008D611D" w:rsidRDefault="00CC6354" w:rsidP="004865EA">
            <w:pPr>
              <w:jc w:val="center"/>
              <w:rPr>
                <w:rFonts w:ascii="Times New Roman" w:hAnsi="Times New Roman" w:cs="Times New Roman"/>
                <w:sz w:val="24"/>
              </w:rPr>
            </w:pPr>
            <w:r w:rsidRPr="008D611D">
              <w:rPr>
                <w:rFonts w:ascii="Times New Roman" w:hAnsi="Times New Roman" w:cs="Times New Roman"/>
                <w:sz w:val="24"/>
              </w:rPr>
              <w:t>P</w:t>
            </w:r>
            <w:r>
              <w:rPr>
                <w:rFonts w:ascii="Times New Roman" w:hAnsi="Times New Roman" w:cs="Times New Roman"/>
                <w:sz w:val="24"/>
              </w:rPr>
              <w:t>yroxasulfone</w:t>
            </w:r>
          </w:p>
        </w:tc>
        <w:tc>
          <w:tcPr>
            <w:tcW w:w="379" w:type="pct"/>
            <w:noWrap/>
            <w:vAlign w:val="center"/>
            <w:hideMark/>
          </w:tcPr>
          <w:p w14:paraId="535C2387"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889</w:t>
            </w:r>
          </w:p>
        </w:tc>
        <w:tc>
          <w:tcPr>
            <w:tcW w:w="348" w:type="pct"/>
            <w:noWrap/>
            <w:vAlign w:val="center"/>
            <w:hideMark/>
          </w:tcPr>
          <w:p w14:paraId="10CBC24B"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yes</w:t>
            </w:r>
          </w:p>
        </w:tc>
        <w:tc>
          <w:tcPr>
            <w:tcW w:w="1077" w:type="pct"/>
            <w:noWrap/>
            <w:vAlign w:val="center"/>
            <w:hideMark/>
          </w:tcPr>
          <w:p w14:paraId="73E97F53"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847</w:t>
            </w:r>
          </w:p>
        </w:tc>
        <w:tc>
          <w:tcPr>
            <w:tcW w:w="313" w:type="pct"/>
            <w:noWrap/>
            <w:vAlign w:val="center"/>
            <w:hideMark/>
          </w:tcPr>
          <w:p w14:paraId="5FC68950"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22.1</w:t>
            </w:r>
          </w:p>
        </w:tc>
        <w:tc>
          <w:tcPr>
            <w:tcW w:w="938" w:type="pct"/>
            <w:noWrap/>
            <w:vAlign w:val="center"/>
            <w:hideMark/>
          </w:tcPr>
          <w:p w14:paraId="5E8EAD22"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0.017</w:t>
            </w:r>
          </w:p>
        </w:tc>
        <w:tc>
          <w:tcPr>
            <w:tcW w:w="382" w:type="pct"/>
            <w:noWrap/>
            <w:vAlign w:val="center"/>
            <w:hideMark/>
          </w:tcPr>
          <w:p w14:paraId="2294E0D9"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0.001</w:t>
            </w:r>
          </w:p>
        </w:tc>
        <w:tc>
          <w:tcPr>
            <w:tcW w:w="278" w:type="pct"/>
            <w:noWrap/>
            <w:vAlign w:val="center"/>
            <w:hideMark/>
          </w:tcPr>
          <w:p w14:paraId="4482A319"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0.98</w:t>
            </w:r>
          </w:p>
        </w:tc>
        <w:tc>
          <w:tcPr>
            <w:tcW w:w="346" w:type="pct"/>
            <w:noWrap/>
            <w:vAlign w:val="center"/>
            <w:hideMark/>
          </w:tcPr>
          <w:p w14:paraId="62B7CDBF"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40.8</w:t>
            </w:r>
          </w:p>
        </w:tc>
      </w:tr>
      <w:tr w:rsidR="00ED540C" w:rsidRPr="008D611D" w14:paraId="4D1F0A02" w14:textId="77777777" w:rsidTr="00ED540C">
        <w:trPr>
          <w:trHeight w:val="405"/>
        </w:trPr>
        <w:tc>
          <w:tcPr>
            <w:tcW w:w="314" w:type="pct"/>
            <w:gridSpan w:val="2"/>
            <w:noWrap/>
            <w:vAlign w:val="center"/>
            <w:hideMark/>
          </w:tcPr>
          <w:p w14:paraId="4BC20A57"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LS1</w:t>
            </w:r>
          </w:p>
        </w:tc>
        <w:tc>
          <w:tcPr>
            <w:tcW w:w="625" w:type="pct"/>
            <w:noWrap/>
            <w:vAlign w:val="center"/>
            <w:hideMark/>
          </w:tcPr>
          <w:p w14:paraId="6E139554" w14:textId="667F5823" w:rsidR="008D611D" w:rsidRPr="008D611D" w:rsidRDefault="00CC6354" w:rsidP="004865EA">
            <w:pPr>
              <w:jc w:val="center"/>
              <w:rPr>
                <w:rFonts w:ascii="Times New Roman" w:hAnsi="Times New Roman" w:cs="Times New Roman"/>
                <w:sz w:val="24"/>
              </w:rPr>
            </w:pPr>
            <w:r w:rsidRPr="008D611D">
              <w:rPr>
                <w:rFonts w:ascii="Times New Roman" w:hAnsi="Times New Roman" w:cs="Times New Roman"/>
                <w:sz w:val="24"/>
              </w:rPr>
              <w:t>S</w:t>
            </w:r>
            <w:r>
              <w:rPr>
                <w:rFonts w:ascii="Times New Roman" w:hAnsi="Times New Roman" w:cs="Times New Roman"/>
                <w:sz w:val="24"/>
              </w:rPr>
              <w:t>aflufenacil</w:t>
            </w:r>
          </w:p>
        </w:tc>
        <w:tc>
          <w:tcPr>
            <w:tcW w:w="379" w:type="pct"/>
            <w:noWrap/>
            <w:vAlign w:val="center"/>
            <w:hideMark/>
          </w:tcPr>
          <w:p w14:paraId="00549CAC"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41</w:t>
            </w:r>
          </w:p>
        </w:tc>
        <w:tc>
          <w:tcPr>
            <w:tcW w:w="348" w:type="pct"/>
            <w:noWrap/>
            <w:vAlign w:val="center"/>
            <w:hideMark/>
          </w:tcPr>
          <w:p w14:paraId="490B2E5A"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yes</w:t>
            </w:r>
          </w:p>
        </w:tc>
        <w:tc>
          <w:tcPr>
            <w:tcW w:w="1077" w:type="pct"/>
            <w:noWrap/>
            <w:vAlign w:val="center"/>
            <w:hideMark/>
          </w:tcPr>
          <w:p w14:paraId="4CFE118E"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37.5</w:t>
            </w:r>
          </w:p>
        </w:tc>
        <w:tc>
          <w:tcPr>
            <w:tcW w:w="313" w:type="pct"/>
            <w:noWrap/>
            <w:vAlign w:val="center"/>
            <w:hideMark/>
          </w:tcPr>
          <w:p w14:paraId="49F45B2A"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2.3</w:t>
            </w:r>
          </w:p>
        </w:tc>
        <w:tc>
          <w:tcPr>
            <w:tcW w:w="938" w:type="pct"/>
            <w:noWrap/>
            <w:vAlign w:val="center"/>
            <w:hideMark/>
          </w:tcPr>
          <w:p w14:paraId="3E5A2749"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0.0462</w:t>
            </w:r>
          </w:p>
        </w:tc>
        <w:tc>
          <w:tcPr>
            <w:tcW w:w="382" w:type="pct"/>
            <w:noWrap/>
            <w:vAlign w:val="center"/>
            <w:hideMark/>
          </w:tcPr>
          <w:p w14:paraId="23A1EADF"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0.0061</w:t>
            </w:r>
          </w:p>
        </w:tc>
        <w:tc>
          <w:tcPr>
            <w:tcW w:w="278" w:type="pct"/>
            <w:noWrap/>
            <w:vAlign w:val="center"/>
            <w:hideMark/>
          </w:tcPr>
          <w:p w14:paraId="15BC2E34"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0.93</w:t>
            </w:r>
          </w:p>
        </w:tc>
        <w:tc>
          <w:tcPr>
            <w:tcW w:w="346" w:type="pct"/>
            <w:noWrap/>
            <w:vAlign w:val="center"/>
            <w:hideMark/>
          </w:tcPr>
          <w:p w14:paraId="6F45356A"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15.0</w:t>
            </w:r>
          </w:p>
        </w:tc>
      </w:tr>
      <w:tr w:rsidR="00ED540C" w:rsidRPr="008D611D" w14:paraId="6E146AD4" w14:textId="77777777" w:rsidTr="00ED540C">
        <w:trPr>
          <w:trHeight w:val="405"/>
        </w:trPr>
        <w:tc>
          <w:tcPr>
            <w:tcW w:w="314" w:type="pct"/>
            <w:gridSpan w:val="2"/>
            <w:noWrap/>
            <w:vAlign w:val="center"/>
            <w:hideMark/>
          </w:tcPr>
          <w:p w14:paraId="3ACFDB26"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LS1</w:t>
            </w:r>
          </w:p>
        </w:tc>
        <w:tc>
          <w:tcPr>
            <w:tcW w:w="625" w:type="pct"/>
            <w:noWrap/>
            <w:vAlign w:val="center"/>
            <w:hideMark/>
          </w:tcPr>
          <w:p w14:paraId="53171446" w14:textId="4A15BCC5" w:rsidR="008D611D" w:rsidRPr="008D611D" w:rsidRDefault="00CC6354" w:rsidP="004865EA">
            <w:pPr>
              <w:jc w:val="center"/>
              <w:rPr>
                <w:rFonts w:ascii="Times New Roman" w:hAnsi="Times New Roman" w:cs="Times New Roman"/>
                <w:sz w:val="24"/>
              </w:rPr>
            </w:pPr>
            <w:r w:rsidRPr="008D611D">
              <w:rPr>
                <w:rFonts w:ascii="Times New Roman" w:hAnsi="Times New Roman" w:cs="Times New Roman"/>
                <w:sz w:val="24"/>
              </w:rPr>
              <w:t>S</w:t>
            </w:r>
            <w:r>
              <w:rPr>
                <w:rFonts w:ascii="Times New Roman" w:hAnsi="Times New Roman" w:cs="Times New Roman"/>
                <w:sz w:val="24"/>
              </w:rPr>
              <w:t>aflufenacil</w:t>
            </w:r>
          </w:p>
        </w:tc>
        <w:tc>
          <w:tcPr>
            <w:tcW w:w="379" w:type="pct"/>
            <w:noWrap/>
            <w:vAlign w:val="center"/>
            <w:hideMark/>
          </w:tcPr>
          <w:p w14:paraId="3771A89B"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4169</w:t>
            </w:r>
          </w:p>
        </w:tc>
        <w:tc>
          <w:tcPr>
            <w:tcW w:w="348" w:type="pct"/>
            <w:noWrap/>
            <w:vAlign w:val="center"/>
            <w:hideMark/>
          </w:tcPr>
          <w:p w14:paraId="1E5E20B8"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yes</w:t>
            </w:r>
          </w:p>
        </w:tc>
        <w:tc>
          <w:tcPr>
            <w:tcW w:w="1077" w:type="pct"/>
            <w:noWrap/>
            <w:vAlign w:val="center"/>
            <w:hideMark/>
          </w:tcPr>
          <w:p w14:paraId="1C1A0797"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3999</w:t>
            </w:r>
          </w:p>
        </w:tc>
        <w:tc>
          <w:tcPr>
            <w:tcW w:w="313" w:type="pct"/>
            <w:noWrap/>
            <w:vAlign w:val="center"/>
            <w:hideMark/>
          </w:tcPr>
          <w:p w14:paraId="2DA1F00B"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174</w:t>
            </w:r>
          </w:p>
        </w:tc>
        <w:tc>
          <w:tcPr>
            <w:tcW w:w="938" w:type="pct"/>
            <w:noWrap/>
            <w:vAlign w:val="center"/>
            <w:hideMark/>
          </w:tcPr>
          <w:p w14:paraId="388294B6"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0.0363</w:t>
            </w:r>
          </w:p>
        </w:tc>
        <w:tc>
          <w:tcPr>
            <w:tcW w:w="382" w:type="pct"/>
            <w:noWrap/>
            <w:vAlign w:val="center"/>
            <w:hideMark/>
          </w:tcPr>
          <w:p w14:paraId="048FE53C"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0.0035</w:t>
            </w:r>
          </w:p>
        </w:tc>
        <w:tc>
          <w:tcPr>
            <w:tcW w:w="278" w:type="pct"/>
            <w:noWrap/>
            <w:vAlign w:val="center"/>
            <w:hideMark/>
          </w:tcPr>
          <w:p w14:paraId="1F59DD7B"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0.96</w:t>
            </w:r>
          </w:p>
        </w:tc>
        <w:tc>
          <w:tcPr>
            <w:tcW w:w="346" w:type="pct"/>
            <w:noWrap/>
            <w:vAlign w:val="center"/>
            <w:hideMark/>
          </w:tcPr>
          <w:p w14:paraId="55927161"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19.1</w:t>
            </w:r>
          </w:p>
        </w:tc>
      </w:tr>
      <w:tr w:rsidR="00ED540C" w:rsidRPr="008D611D" w14:paraId="27118609" w14:textId="77777777" w:rsidTr="00ED540C">
        <w:trPr>
          <w:trHeight w:val="405"/>
        </w:trPr>
        <w:tc>
          <w:tcPr>
            <w:tcW w:w="314" w:type="pct"/>
            <w:gridSpan w:val="2"/>
            <w:noWrap/>
            <w:vAlign w:val="center"/>
            <w:hideMark/>
          </w:tcPr>
          <w:p w14:paraId="205349FE"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LS2</w:t>
            </w:r>
          </w:p>
        </w:tc>
        <w:tc>
          <w:tcPr>
            <w:tcW w:w="625" w:type="pct"/>
            <w:noWrap/>
            <w:vAlign w:val="center"/>
            <w:hideMark/>
          </w:tcPr>
          <w:p w14:paraId="364A5C3B" w14:textId="4A9624B6" w:rsidR="008D611D" w:rsidRPr="008D611D" w:rsidRDefault="00CC6354" w:rsidP="004865EA">
            <w:pPr>
              <w:jc w:val="center"/>
              <w:rPr>
                <w:rFonts w:ascii="Times New Roman" w:hAnsi="Times New Roman" w:cs="Times New Roman"/>
                <w:sz w:val="24"/>
              </w:rPr>
            </w:pPr>
            <w:r w:rsidRPr="008D611D">
              <w:rPr>
                <w:rFonts w:ascii="Times New Roman" w:hAnsi="Times New Roman" w:cs="Times New Roman"/>
                <w:sz w:val="24"/>
              </w:rPr>
              <w:t>A</w:t>
            </w:r>
            <w:r>
              <w:rPr>
                <w:rFonts w:ascii="Times New Roman" w:hAnsi="Times New Roman" w:cs="Times New Roman"/>
                <w:sz w:val="24"/>
              </w:rPr>
              <w:t>trazine</w:t>
            </w:r>
          </w:p>
        </w:tc>
        <w:tc>
          <w:tcPr>
            <w:tcW w:w="379" w:type="pct"/>
            <w:noWrap/>
            <w:vAlign w:val="center"/>
            <w:hideMark/>
          </w:tcPr>
          <w:p w14:paraId="5DC11DCC"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1016</w:t>
            </w:r>
          </w:p>
        </w:tc>
        <w:tc>
          <w:tcPr>
            <w:tcW w:w="348" w:type="pct"/>
            <w:noWrap/>
            <w:vAlign w:val="center"/>
            <w:hideMark/>
          </w:tcPr>
          <w:p w14:paraId="54A0F732"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no</w:t>
            </w:r>
          </w:p>
        </w:tc>
        <w:tc>
          <w:tcPr>
            <w:tcW w:w="1077" w:type="pct"/>
            <w:noWrap/>
            <w:vAlign w:val="center"/>
            <w:hideMark/>
          </w:tcPr>
          <w:p w14:paraId="3E381C12"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1040</w:t>
            </w:r>
          </w:p>
        </w:tc>
        <w:tc>
          <w:tcPr>
            <w:tcW w:w="313" w:type="pct"/>
            <w:noWrap/>
            <w:vAlign w:val="center"/>
            <w:hideMark/>
          </w:tcPr>
          <w:p w14:paraId="0999AF64"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20</w:t>
            </w:r>
          </w:p>
        </w:tc>
        <w:tc>
          <w:tcPr>
            <w:tcW w:w="938" w:type="pct"/>
            <w:noWrap/>
            <w:vAlign w:val="center"/>
            <w:hideMark/>
          </w:tcPr>
          <w:p w14:paraId="67EA426D"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0.0357</w:t>
            </w:r>
          </w:p>
        </w:tc>
        <w:tc>
          <w:tcPr>
            <w:tcW w:w="382" w:type="pct"/>
            <w:noWrap/>
            <w:vAlign w:val="center"/>
            <w:hideMark/>
          </w:tcPr>
          <w:p w14:paraId="21034B28"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0.0015</w:t>
            </w:r>
          </w:p>
        </w:tc>
        <w:tc>
          <w:tcPr>
            <w:tcW w:w="278" w:type="pct"/>
            <w:noWrap/>
            <w:vAlign w:val="center"/>
            <w:hideMark/>
          </w:tcPr>
          <w:p w14:paraId="1667052A"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0.99</w:t>
            </w:r>
          </w:p>
        </w:tc>
        <w:tc>
          <w:tcPr>
            <w:tcW w:w="346" w:type="pct"/>
            <w:noWrap/>
            <w:vAlign w:val="center"/>
            <w:hideMark/>
          </w:tcPr>
          <w:p w14:paraId="093DE89D"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19.4</w:t>
            </w:r>
          </w:p>
        </w:tc>
      </w:tr>
      <w:tr w:rsidR="00ED540C" w:rsidRPr="008D611D" w14:paraId="2DAC7A3B" w14:textId="77777777" w:rsidTr="00ED540C">
        <w:trPr>
          <w:trHeight w:val="405"/>
        </w:trPr>
        <w:tc>
          <w:tcPr>
            <w:tcW w:w="314" w:type="pct"/>
            <w:gridSpan w:val="2"/>
            <w:noWrap/>
            <w:vAlign w:val="center"/>
            <w:hideMark/>
          </w:tcPr>
          <w:p w14:paraId="664FC72E"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LS2</w:t>
            </w:r>
          </w:p>
        </w:tc>
        <w:tc>
          <w:tcPr>
            <w:tcW w:w="625" w:type="pct"/>
            <w:noWrap/>
            <w:vAlign w:val="center"/>
            <w:hideMark/>
          </w:tcPr>
          <w:p w14:paraId="1D992D98" w14:textId="325C2999" w:rsidR="008D611D" w:rsidRPr="008D611D" w:rsidRDefault="00CC6354" w:rsidP="004865EA">
            <w:pPr>
              <w:jc w:val="center"/>
              <w:rPr>
                <w:rFonts w:ascii="Times New Roman" w:hAnsi="Times New Roman" w:cs="Times New Roman"/>
                <w:sz w:val="24"/>
              </w:rPr>
            </w:pPr>
            <w:r w:rsidRPr="008D611D">
              <w:rPr>
                <w:rFonts w:ascii="Times New Roman" w:hAnsi="Times New Roman" w:cs="Times New Roman"/>
                <w:sz w:val="24"/>
              </w:rPr>
              <w:t>A</w:t>
            </w:r>
            <w:r>
              <w:rPr>
                <w:rFonts w:ascii="Times New Roman" w:hAnsi="Times New Roman" w:cs="Times New Roman"/>
                <w:sz w:val="24"/>
              </w:rPr>
              <w:t>trazine</w:t>
            </w:r>
          </w:p>
        </w:tc>
        <w:tc>
          <w:tcPr>
            <w:tcW w:w="379" w:type="pct"/>
            <w:noWrap/>
            <w:vAlign w:val="center"/>
            <w:hideMark/>
          </w:tcPr>
          <w:p w14:paraId="1876D9B1"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8157</w:t>
            </w:r>
          </w:p>
        </w:tc>
        <w:tc>
          <w:tcPr>
            <w:tcW w:w="348" w:type="pct"/>
            <w:noWrap/>
            <w:vAlign w:val="center"/>
            <w:hideMark/>
          </w:tcPr>
          <w:p w14:paraId="228A1AFE"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no</w:t>
            </w:r>
          </w:p>
        </w:tc>
        <w:tc>
          <w:tcPr>
            <w:tcW w:w="1077" w:type="pct"/>
            <w:noWrap/>
            <w:vAlign w:val="center"/>
            <w:hideMark/>
          </w:tcPr>
          <w:p w14:paraId="273A44E3"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9137</w:t>
            </w:r>
          </w:p>
        </w:tc>
        <w:tc>
          <w:tcPr>
            <w:tcW w:w="313" w:type="pct"/>
            <w:noWrap/>
            <w:vAlign w:val="center"/>
            <w:hideMark/>
          </w:tcPr>
          <w:p w14:paraId="01717E4D"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577</w:t>
            </w:r>
          </w:p>
        </w:tc>
        <w:tc>
          <w:tcPr>
            <w:tcW w:w="938" w:type="pct"/>
            <w:noWrap/>
            <w:vAlign w:val="center"/>
            <w:hideMark/>
          </w:tcPr>
          <w:p w14:paraId="7A070E89"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0.0804</w:t>
            </w:r>
          </w:p>
        </w:tc>
        <w:tc>
          <w:tcPr>
            <w:tcW w:w="382" w:type="pct"/>
            <w:noWrap/>
            <w:vAlign w:val="center"/>
            <w:hideMark/>
          </w:tcPr>
          <w:p w14:paraId="7BC5914F"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0.0111</w:t>
            </w:r>
          </w:p>
        </w:tc>
        <w:tc>
          <w:tcPr>
            <w:tcW w:w="278" w:type="pct"/>
            <w:noWrap/>
            <w:vAlign w:val="center"/>
            <w:hideMark/>
          </w:tcPr>
          <w:p w14:paraId="65646C86"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0.95</w:t>
            </w:r>
          </w:p>
        </w:tc>
        <w:tc>
          <w:tcPr>
            <w:tcW w:w="346" w:type="pct"/>
            <w:noWrap/>
            <w:vAlign w:val="center"/>
            <w:hideMark/>
          </w:tcPr>
          <w:p w14:paraId="58A42F03"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8.6</w:t>
            </w:r>
          </w:p>
        </w:tc>
      </w:tr>
      <w:tr w:rsidR="00ED540C" w:rsidRPr="008D611D" w14:paraId="7D17094F" w14:textId="77777777" w:rsidTr="00ED540C">
        <w:trPr>
          <w:trHeight w:val="405"/>
        </w:trPr>
        <w:tc>
          <w:tcPr>
            <w:tcW w:w="314" w:type="pct"/>
            <w:gridSpan w:val="2"/>
            <w:noWrap/>
            <w:vAlign w:val="center"/>
            <w:hideMark/>
          </w:tcPr>
          <w:p w14:paraId="4CD9F1BD"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LS2</w:t>
            </w:r>
          </w:p>
        </w:tc>
        <w:tc>
          <w:tcPr>
            <w:tcW w:w="625" w:type="pct"/>
            <w:noWrap/>
            <w:vAlign w:val="center"/>
            <w:hideMark/>
          </w:tcPr>
          <w:p w14:paraId="601BC45D" w14:textId="21609208" w:rsidR="008D611D" w:rsidRPr="008D611D" w:rsidRDefault="00CC6354" w:rsidP="004865EA">
            <w:pPr>
              <w:jc w:val="center"/>
              <w:rPr>
                <w:rFonts w:ascii="Times New Roman" w:hAnsi="Times New Roman" w:cs="Times New Roman"/>
                <w:sz w:val="24"/>
              </w:rPr>
            </w:pPr>
            <w:r w:rsidRPr="008D611D">
              <w:rPr>
                <w:rFonts w:ascii="Times New Roman" w:hAnsi="Times New Roman" w:cs="Times New Roman"/>
                <w:sz w:val="24"/>
              </w:rPr>
              <w:t>P</w:t>
            </w:r>
            <w:r>
              <w:rPr>
                <w:rFonts w:ascii="Times New Roman" w:hAnsi="Times New Roman" w:cs="Times New Roman"/>
                <w:sz w:val="24"/>
              </w:rPr>
              <w:t>yroxasulfone</w:t>
            </w:r>
          </w:p>
        </w:tc>
        <w:tc>
          <w:tcPr>
            <w:tcW w:w="379" w:type="pct"/>
            <w:noWrap/>
            <w:vAlign w:val="center"/>
            <w:hideMark/>
          </w:tcPr>
          <w:p w14:paraId="2449026C"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135</w:t>
            </w:r>
          </w:p>
        </w:tc>
        <w:tc>
          <w:tcPr>
            <w:tcW w:w="348" w:type="pct"/>
            <w:noWrap/>
            <w:vAlign w:val="center"/>
            <w:hideMark/>
          </w:tcPr>
          <w:p w14:paraId="1FEEAC86"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no</w:t>
            </w:r>
          </w:p>
        </w:tc>
        <w:tc>
          <w:tcPr>
            <w:tcW w:w="1077" w:type="pct"/>
            <w:noWrap/>
            <w:vAlign w:val="center"/>
            <w:hideMark/>
          </w:tcPr>
          <w:p w14:paraId="225D4881"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133</w:t>
            </w:r>
          </w:p>
        </w:tc>
        <w:tc>
          <w:tcPr>
            <w:tcW w:w="313" w:type="pct"/>
            <w:noWrap/>
            <w:vAlign w:val="center"/>
            <w:hideMark/>
          </w:tcPr>
          <w:p w14:paraId="6FB33CB3"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7.6</w:t>
            </w:r>
          </w:p>
        </w:tc>
        <w:tc>
          <w:tcPr>
            <w:tcW w:w="938" w:type="pct"/>
            <w:noWrap/>
            <w:vAlign w:val="center"/>
            <w:hideMark/>
          </w:tcPr>
          <w:p w14:paraId="4A2C95F0"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0.0379</w:t>
            </w:r>
          </w:p>
        </w:tc>
        <w:tc>
          <w:tcPr>
            <w:tcW w:w="382" w:type="pct"/>
            <w:noWrap/>
            <w:vAlign w:val="center"/>
            <w:hideMark/>
          </w:tcPr>
          <w:p w14:paraId="2B80FC38"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0.0048</w:t>
            </w:r>
          </w:p>
        </w:tc>
        <w:tc>
          <w:tcPr>
            <w:tcW w:w="278" w:type="pct"/>
            <w:noWrap/>
            <w:vAlign w:val="center"/>
            <w:hideMark/>
          </w:tcPr>
          <w:p w14:paraId="0E58B6A1"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0.93</w:t>
            </w:r>
          </w:p>
        </w:tc>
        <w:tc>
          <w:tcPr>
            <w:tcW w:w="346" w:type="pct"/>
            <w:noWrap/>
            <w:vAlign w:val="center"/>
            <w:hideMark/>
          </w:tcPr>
          <w:p w14:paraId="7C63007F"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18.3</w:t>
            </w:r>
          </w:p>
        </w:tc>
      </w:tr>
      <w:tr w:rsidR="00ED540C" w:rsidRPr="008D611D" w14:paraId="1F6ED3FA" w14:textId="77777777" w:rsidTr="00ED540C">
        <w:trPr>
          <w:trHeight w:val="405"/>
        </w:trPr>
        <w:tc>
          <w:tcPr>
            <w:tcW w:w="314" w:type="pct"/>
            <w:gridSpan w:val="2"/>
            <w:noWrap/>
            <w:vAlign w:val="center"/>
            <w:hideMark/>
          </w:tcPr>
          <w:p w14:paraId="77CD2198"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LS2</w:t>
            </w:r>
          </w:p>
        </w:tc>
        <w:tc>
          <w:tcPr>
            <w:tcW w:w="625" w:type="pct"/>
            <w:noWrap/>
            <w:vAlign w:val="center"/>
            <w:hideMark/>
          </w:tcPr>
          <w:p w14:paraId="138EB4D7" w14:textId="72833C3F" w:rsidR="008D611D" w:rsidRPr="008D611D" w:rsidRDefault="00CC6354" w:rsidP="004865EA">
            <w:pPr>
              <w:jc w:val="center"/>
              <w:rPr>
                <w:rFonts w:ascii="Times New Roman" w:hAnsi="Times New Roman" w:cs="Times New Roman"/>
                <w:sz w:val="24"/>
              </w:rPr>
            </w:pPr>
            <w:r w:rsidRPr="008D611D">
              <w:rPr>
                <w:rFonts w:ascii="Times New Roman" w:hAnsi="Times New Roman" w:cs="Times New Roman"/>
                <w:sz w:val="24"/>
              </w:rPr>
              <w:t>P</w:t>
            </w:r>
            <w:r>
              <w:rPr>
                <w:rFonts w:ascii="Times New Roman" w:hAnsi="Times New Roman" w:cs="Times New Roman"/>
                <w:sz w:val="24"/>
              </w:rPr>
              <w:t>yroxasulfone</w:t>
            </w:r>
          </w:p>
        </w:tc>
        <w:tc>
          <w:tcPr>
            <w:tcW w:w="379" w:type="pct"/>
            <w:noWrap/>
            <w:vAlign w:val="center"/>
            <w:hideMark/>
          </w:tcPr>
          <w:p w14:paraId="64BC4FE1"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1319</w:t>
            </w:r>
          </w:p>
        </w:tc>
        <w:tc>
          <w:tcPr>
            <w:tcW w:w="348" w:type="pct"/>
            <w:noWrap/>
            <w:vAlign w:val="center"/>
            <w:hideMark/>
          </w:tcPr>
          <w:p w14:paraId="27515849"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no</w:t>
            </w:r>
          </w:p>
        </w:tc>
        <w:tc>
          <w:tcPr>
            <w:tcW w:w="1077" w:type="pct"/>
            <w:noWrap/>
            <w:vAlign w:val="center"/>
            <w:hideMark/>
          </w:tcPr>
          <w:p w14:paraId="76B4B16C"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1328</w:t>
            </w:r>
          </w:p>
        </w:tc>
        <w:tc>
          <w:tcPr>
            <w:tcW w:w="313" w:type="pct"/>
            <w:noWrap/>
            <w:vAlign w:val="center"/>
            <w:hideMark/>
          </w:tcPr>
          <w:p w14:paraId="0D077253"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29</w:t>
            </w:r>
          </w:p>
        </w:tc>
        <w:tc>
          <w:tcPr>
            <w:tcW w:w="938" w:type="pct"/>
            <w:noWrap/>
            <w:vAlign w:val="center"/>
            <w:hideMark/>
          </w:tcPr>
          <w:p w14:paraId="71B997D1"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0.018</w:t>
            </w:r>
          </w:p>
        </w:tc>
        <w:tc>
          <w:tcPr>
            <w:tcW w:w="382" w:type="pct"/>
            <w:noWrap/>
            <w:vAlign w:val="center"/>
            <w:hideMark/>
          </w:tcPr>
          <w:p w14:paraId="78021992"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0.0009</w:t>
            </w:r>
          </w:p>
        </w:tc>
        <w:tc>
          <w:tcPr>
            <w:tcW w:w="278" w:type="pct"/>
            <w:noWrap/>
            <w:vAlign w:val="center"/>
            <w:hideMark/>
          </w:tcPr>
          <w:p w14:paraId="039BDE91"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0.98</w:t>
            </w:r>
          </w:p>
        </w:tc>
        <w:tc>
          <w:tcPr>
            <w:tcW w:w="346" w:type="pct"/>
            <w:noWrap/>
            <w:vAlign w:val="center"/>
            <w:hideMark/>
          </w:tcPr>
          <w:p w14:paraId="0DB62324"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38.5</w:t>
            </w:r>
          </w:p>
        </w:tc>
      </w:tr>
      <w:tr w:rsidR="00ED540C" w:rsidRPr="008D611D" w14:paraId="63A2A0C2" w14:textId="77777777" w:rsidTr="00ED540C">
        <w:trPr>
          <w:trHeight w:val="405"/>
        </w:trPr>
        <w:tc>
          <w:tcPr>
            <w:tcW w:w="314" w:type="pct"/>
            <w:gridSpan w:val="2"/>
            <w:noWrap/>
            <w:vAlign w:val="center"/>
            <w:hideMark/>
          </w:tcPr>
          <w:p w14:paraId="79C6E4A0"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LS2</w:t>
            </w:r>
          </w:p>
        </w:tc>
        <w:tc>
          <w:tcPr>
            <w:tcW w:w="625" w:type="pct"/>
            <w:noWrap/>
            <w:vAlign w:val="center"/>
            <w:hideMark/>
          </w:tcPr>
          <w:p w14:paraId="5E3DC0EA" w14:textId="71027847" w:rsidR="008D611D" w:rsidRPr="008D611D" w:rsidRDefault="00CC6354" w:rsidP="004865EA">
            <w:pPr>
              <w:jc w:val="center"/>
              <w:rPr>
                <w:rFonts w:ascii="Times New Roman" w:hAnsi="Times New Roman" w:cs="Times New Roman"/>
                <w:sz w:val="24"/>
              </w:rPr>
            </w:pPr>
            <w:r w:rsidRPr="008D611D">
              <w:rPr>
                <w:rFonts w:ascii="Times New Roman" w:hAnsi="Times New Roman" w:cs="Times New Roman"/>
                <w:sz w:val="24"/>
              </w:rPr>
              <w:t>S</w:t>
            </w:r>
            <w:r>
              <w:rPr>
                <w:rFonts w:ascii="Times New Roman" w:hAnsi="Times New Roman" w:cs="Times New Roman"/>
                <w:sz w:val="24"/>
              </w:rPr>
              <w:t>aflufenacil</w:t>
            </w:r>
          </w:p>
        </w:tc>
        <w:tc>
          <w:tcPr>
            <w:tcW w:w="379" w:type="pct"/>
            <w:noWrap/>
            <w:vAlign w:val="center"/>
            <w:hideMark/>
          </w:tcPr>
          <w:p w14:paraId="021EB557"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691</w:t>
            </w:r>
          </w:p>
        </w:tc>
        <w:tc>
          <w:tcPr>
            <w:tcW w:w="348" w:type="pct"/>
            <w:noWrap/>
            <w:vAlign w:val="center"/>
            <w:hideMark/>
          </w:tcPr>
          <w:p w14:paraId="6F1F8665"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no</w:t>
            </w:r>
          </w:p>
        </w:tc>
        <w:tc>
          <w:tcPr>
            <w:tcW w:w="1077" w:type="pct"/>
            <w:noWrap/>
            <w:vAlign w:val="center"/>
            <w:hideMark/>
          </w:tcPr>
          <w:p w14:paraId="2773CEF3"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665</w:t>
            </w:r>
          </w:p>
        </w:tc>
        <w:tc>
          <w:tcPr>
            <w:tcW w:w="313" w:type="pct"/>
            <w:noWrap/>
            <w:vAlign w:val="center"/>
            <w:hideMark/>
          </w:tcPr>
          <w:p w14:paraId="20D70D3B"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24</w:t>
            </w:r>
          </w:p>
        </w:tc>
        <w:tc>
          <w:tcPr>
            <w:tcW w:w="938" w:type="pct"/>
            <w:noWrap/>
            <w:vAlign w:val="center"/>
            <w:hideMark/>
          </w:tcPr>
          <w:p w14:paraId="752358D0"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0.027</w:t>
            </w:r>
          </w:p>
        </w:tc>
        <w:tc>
          <w:tcPr>
            <w:tcW w:w="382" w:type="pct"/>
            <w:noWrap/>
            <w:vAlign w:val="center"/>
            <w:hideMark/>
          </w:tcPr>
          <w:p w14:paraId="68130F3B"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0.0022</w:t>
            </w:r>
          </w:p>
        </w:tc>
        <w:tc>
          <w:tcPr>
            <w:tcW w:w="278" w:type="pct"/>
            <w:noWrap/>
            <w:vAlign w:val="center"/>
            <w:hideMark/>
          </w:tcPr>
          <w:p w14:paraId="3E3C4B63"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0.97</w:t>
            </w:r>
          </w:p>
        </w:tc>
        <w:tc>
          <w:tcPr>
            <w:tcW w:w="346" w:type="pct"/>
            <w:noWrap/>
            <w:vAlign w:val="center"/>
            <w:hideMark/>
          </w:tcPr>
          <w:p w14:paraId="2A24DF98"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25.7</w:t>
            </w:r>
          </w:p>
        </w:tc>
      </w:tr>
      <w:tr w:rsidR="00ED540C" w:rsidRPr="008D611D" w14:paraId="7C9EA25A" w14:textId="77777777" w:rsidTr="00ED540C">
        <w:trPr>
          <w:trHeight w:val="405"/>
        </w:trPr>
        <w:tc>
          <w:tcPr>
            <w:tcW w:w="314" w:type="pct"/>
            <w:gridSpan w:val="2"/>
            <w:noWrap/>
            <w:vAlign w:val="center"/>
            <w:hideMark/>
          </w:tcPr>
          <w:p w14:paraId="70FE2ACF"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LS2</w:t>
            </w:r>
          </w:p>
        </w:tc>
        <w:tc>
          <w:tcPr>
            <w:tcW w:w="625" w:type="pct"/>
            <w:noWrap/>
            <w:vAlign w:val="center"/>
            <w:hideMark/>
          </w:tcPr>
          <w:p w14:paraId="61BD3C76" w14:textId="0A66B8AE" w:rsidR="008D611D" w:rsidRPr="008D611D" w:rsidRDefault="00CC6354" w:rsidP="004865EA">
            <w:pPr>
              <w:jc w:val="center"/>
              <w:rPr>
                <w:rFonts w:ascii="Times New Roman" w:hAnsi="Times New Roman" w:cs="Times New Roman"/>
                <w:sz w:val="24"/>
              </w:rPr>
            </w:pPr>
            <w:r w:rsidRPr="008D611D">
              <w:rPr>
                <w:rFonts w:ascii="Times New Roman" w:hAnsi="Times New Roman" w:cs="Times New Roman"/>
                <w:sz w:val="24"/>
              </w:rPr>
              <w:t>S</w:t>
            </w:r>
            <w:r>
              <w:rPr>
                <w:rFonts w:ascii="Times New Roman" w:hAnsi="Times New Roman" w:cs="Times New Roman"/>
                <w:sz w:val="24"/>
              </w:rPr>
              <w:t>aflufenacil</w:t>
            </w:r>
          </w:p>
        </w:tc>
        <w:tc>
          <w:tcPr>
            <w:tcW w:w="379" w:type="pct"/>
            <w:noWrap/>
            <w:vAlign w:val="center"/>
            <w:hideMark/>
          </w:tcPr>
          <w:p w14:paraId="33C55F0C"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7560</w:t>
            </w:r>
          </w:p>
        </w:tc>
        <w:tc>
          <w:tcPr>
            <w:tcW w:w="348" w:type="pct"/>
            <w:noWrap/>
            <w:vAlign w:val="center"/>
            <w:hideMark/>
          </w:tcPr>
          <w:p w14:paraId="35DC2394"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no</w:t>
            </w:r>
          </w:p>
        </w:tc>
        <w:tc>
          <w:tcPr>
            <w:tcW w:w="1077" w:type="pct"/>
            <w:noWrap/>
            <w:vAlign w:val="center"/>
            <w:hideMark/>
          </w:tcPr>
          <w:p w14:paraId="594DC4E6"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7483</w:t>
            </w:r>
          </w:p>
        </w:tc>
        <w:tc>
          <w:tcPr>
            <w:tcW w:w="313" w:type="pct"/>
            <w:noWrap/>
            <w:vAlign w:val="center"/>
            <w:hideMark/>
          </w:tcPr>
          <w:p w14:paraId="1787871F"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214</w:t>
            </w:r>
          </w:p>
        </w:tc>
        <w:tc>
          <w:tcPr>
            <w:tcW w:w="938" w:type="pct"/>
            <w:noWrap/>
            <w:vAlign w:val="center"/>
            <w:hideMark/>
          </w:tcPr>
          <w:p w14:paraId="45576264"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0.0209</w:t>
            </w:r>
          </w:p>
        </w:tc>
        <w:tc>
          <w:tcPr>
            <w:tcW w:w="382" w:type="pct"/>
            <w:noWrap/>
            <w:vAlign w:val="center"/>
            <w:hideMark/>
          </w:tcPr>
          <w:p w14:paraId="44665DA9"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0.0013</w:t>
            </w:r>
          </w:p>
        </w:tc>
        <w:tc>
          <w:tcPr>
            <w:tcW w:w="278" w:type="pct"/>
            <w:noWrap/>
            <w:vAlign w:val="center"/>
            <w:hideMark/>
          </w:tcPr>
          <w:p w14:paraId="2623F33D"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0.98</w:t>
            </w:r>
          </w:p>
        </w:tc>
        <w:tc>
          <w:tcPr>
            <w:tcW w:w="346" w:type="pct"/>
            <w:noWrap/>
            <w:vAlign w:val="center"/>
            <w:hideMark/>
          </w:tcPr>
          <w:p w14:paraId="4C3732A4"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33.2</w:t>
            </w:r>
          </w:p>
        </w:tc>
      </w:tr>
      <w:tr w:rsidR="00ED540C" w:rsidRPr="008D611D" w14:paraId="4BD0EB2F" w14:textId="77777777" w:rsidTr="00ED540C">
        <w:trPr>
          <w:trHeight w:val="405"/>
        </w:trPr>
        <w:tc>
          <w:tcPr>
            <w:tcW w:w="314" w:type="pct"/>
            <w:gridSpan w:val="2"/>
            <w:noWrap/>
            <w:vAlign w:val="center"/>
            <w:hideMark/>
          </w:tcPr>
          <w:p w14:paraId="6CC762A9"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LS2</w:t>
            </w:r>
          </w:p>
        </w:tc>
        <w:tc>
          <w:tcPr>
            <w:tcW w:w="625" w:type="pct"/>
            <w:noWrap/>
            <w:vAlign w:val="center"/>
            <w:hideMark/>
          </w:tcPr>
          <w:p w14:paraId="3820D2EC" w14:textId="55DE29AB" w:rsidR="008D611D" w:rsidRPr="008D611D" w:rsidRDefault="00CC6354" w:rsidP="004865EA">
            <w:pPr>
              <w:jc w:val="center"/>
              <w:rPr>
                <w:rFonts w:ascii="Times New Roman" w:hAnsi="Times New Roman" w:cs="Times New Roman"/>
                <w:sz w:val="24"/>
              </w:rPr>
            </w:pPr>
            <w:r w:rsidRPr="008D611D">
              <w:rPr>
                <w:rFonts w:ascii="Times New Roman" w:hAnsi="Times New Roman" w:cs="Times New Roman"/>
                <w:sz w:val="24"/>
              </w:rPr>
              <w:t>A</w:t>
            </w:r>
            <w:r>
              <w:rPr>
                <w:rFonts w:ascii="Times New Roman" w:hAnsi="Times New Roman" w:cs="Times New Roman"/>
                <w:sz w:val="24"/>
              </w:rPr>
              <w:t>trazine</w:t>
            </w:r>
          </w:p>
        </w:tc>
        <w:tc>
          <w:tcPr>
            <w:tcW w:w="379" w:type="pct"/>
            <w:noWrap/>
            <w:vAlign w:val="center"/>
            <w:hideMark/>
          </w:tcPr>
          <w:p w14:paraId="5E48865E"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536</w:t>
            </w:r>
          </w:p>
        </w:tc>
        <w:tc>
          <w:tcPr>
            <w:tcW w:w="348" w:type="pct"/>
            <w:noWrap/>
            <w:vAlign w:val="center"/>
            <w:hideMark/>
          </w:tcPr>
          <w:p w14:paraId="1F57ADCD"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yes</w:t>
            </w:r>
          </w:p>
        </w:tc>
        <w:tc>
          <w:tcPr>
            <w:tcW w:w="1077" w:type="pct"/>
            <w:noWrap/>
            <w:vAlign w:val="center"/>
            <w:hideMark/>
          </w:tcPr>
          <w:p w14:paraId="01B3494C"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541</w:t>
            </w:r>
          </w:p>
        </w:tc>
        <w:tc>
          <w:tcPr>
            <w:tcW w:w="313" w:type="pct"/>
            <w:noWrap/>
            <w:vAlign w:val="center"/>
            <w:hideMark/>
          </w:tcPr>
          <w:p w14:paraId="560FA872"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6.9</w:t>
            </w:r>
          </w:p>
        </w:tc>
        <w:tc>
          <w:tcPr>
            <w:tcW w:w="938" w:type="pct"/>
            <w:noWrap/>
            <w:vAlign w:val="center"/>
            <w:hideMark/>
          </w:tcPr>
          <w:p w14:paraId="31BE1454"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0.026</w:t>
            </w:r>
          </w:p>
        </w:tc>
        <w:tc>
          <w:tcPr>
            <w:tcW w:w="382" w:type="pct"/>
            <w:noWrap/>
            <w:vAlign w:val="center"/>
            <w:hideMark/>
          </w:tcPr>
          <w:p w14:paraId="641EAF1C"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0.0007</w:t>
            </w:r>
          </w:p>
        </w:tc>
        <w:tc>
          <w:tcPr>
            <w:tcW w:w="278" w:type="pct"/>
            <w:noWrap/>
            <w:vAlign w:val="center"/>
            <w:hideMark/>
          </w:tcPr>
          <w:p w14:paraId="0830A1C9"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0.99</w:t>
            </w:r>
          </w:p>
        </w:tc>
        <w:tc>
          <w:tcPr>
            <w:tcW w:w="346" w:type="pct"/>
            <w:noWrap/>
            <w:vAlign w:val="center"/>
            <w:hideMark/>
          </w:tcPr>
          <w:p w14:paraId="4CBB62FA"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26.7</w:t>
            </w:r>
          </w:p>
        </w:tc>
      </w:tr>
      <w:tr w:rsidR="00ED540C" w:rsidRPr="008D611D" w14:paraId="37221F13" w14:textId="77777777" w:rsidTr="00ED540C">
        <w:trPr>
          <w:trHeight w:val="405"/>
        </w:trPr>
        <w:tc>
          <w:tcPr>
            <w:tcW w:w="314" w:type="pct"/>
            <w:gridSpan w:val="2"/>
            <w:noWrap/>
            <w:vAlign w:val="center"/>
            <w:hideMark/>
          </w:tcPr>
          <w:p w14:paraId="28DB462A"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LS2</w:t>
            </w:r>
          </w:p>
        </w:tc>
        <w:tc>
          <w:tcPr>
            <w:tcW w:w="625" w:type="pct"/>
            <w:noWrap/>
            <w:vAlign w:val="center"/>
            <w:hideMark/>
          </w:tcPr>
          <w:p w14:paraId="7F1F75CC" w14:textId="38896A5D" w:rsidR="008D611D" w:rsidRPr="008D611D" w:rsidRDefault="00CC6354" w:rsidP="004865EA">
            <w:pPr>
              <w:jc w:val="center"/>
              <w:rPr>
                <w:rFonts w:ascii="Times New Roman" w:hAnsi="Times New Roman" w:cs="Times New Roman"/>
                <w:sz w:val="24"/>
              </w:rPr>
            </w:pPr>
            <w:r w:rsidRPr="008D611D">
              <w:rPr>
                <w:rFonts w:ascii="Times New Roman" w:hAnsi="Times New Roman" w:cs="Times New Roman"/>
                <w:sz w:val="24"/>
              </w:rPr>
              <w:t>A</w:t>
            </w:r>
            <w:r>
              <w:rPr>
                <w:rFonts w:ascii="Times New Roman" w:hAnsi="Times New Roman" w:cs="Times New Roman"/>
                <w:sz w:val="24"/>
              </w:rPr>
              <w:t>trazine</w:t>
            </w:r>
          </w:p>
        </w:tc>
        <w:tc>
          <w:tcPr>
            <w:tcW w:w="379" w:type="pct"/>
            <w:noWrap/>
            <w:vAlign w:val="center"/>
            <w:hideMark/>
          </w:tcPr>
          <w:p w14:paraId="74F70A51"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4697</w:t>
            </w:r>
          </w:p>
        </w:tc>
        <w:tc>
          <w:tcPr>
            <w:tcW w:w="348" w:type="pct"/>
            <w:noWrap/>
            <w:vAlign w:val="center"/>
            <w:hideMark/>
          </w:tcPr>
          <w:p w14:paraId="4453C554"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yes</w:t>
            </w:r>
          </w:p>
        </w:tc>
        <w:tc>
          <w:tcPr>
            <w:tcW w:w="1077" w:type="pct"/>
            <w:noWrap/>
            <w:vAlign w:val="center"/>
            <w:hideMark/>
          </w:tcPr>
          <w:p w14:paraId="5CC603C0"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5253</w:t>
            </w:r>
          </w:p>
        </w:tc>
        <w:tc>
          <w:tcPr>
            <w:tcW w:w="313" w:type="pct"/>
            <w:noWrap/>
            <w:vAlign w:val="center"/>
            <w:hideMark/>
          </w:tcPr>
          <w:p w14:paraId="338ACD98"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294</w:t>
            </w:r>
          </w:p>
        </w:tc>
        <w:tc>
          <w:tcPr>
            <w:tcW w:w="938" w:type="pct"/>
            <w:noWrap/>
            <w:vAlign w:val="center"/>
            <w:hideMark/>
          </w:tcPr>
          <w:p w14:paraId="6EFE08D2"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0.0721</w:t>
            </w:r>
          </w:p>
        </w:tc>
        <w:tc>
          <w:tcPr>
            <w:tcW w:w="382" w:type="pct"/>
            <w:noWrap/>
            <w:vAlign w:val="center"/>
            <w:hideMark/>
          </w:tcPr>
          <w:p w14:paraId="22A560DE"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0.0088</w:t>
            </w:r>
          </w:p>
        </w:tc>
        <w:tc>
          <w:tcPr>
            <w:tcW w:w="278" w:type="pct"/>
            <w:noWrap/>
            <w:vAlign w:val="center"/>
            <w:hideMark/>
          </w:tcPr>
          <w:p w14:paraId="3D81F2CD"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0.96</w:t>
            </w:r>
          </w:p>
        </w:tc>
        <w:tc>
          <w:tcPr>
            <w:tcW w:w="346" w:type="pct"/>
            <w:noWrap/>
            <w:vAlign w:val="center"/>
            <w:hideMark/>
          </w:tcPr>
          <w:p w14:paraId="3D4C6742"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9.6</w:t>
            </w:r>
          </w:p>
        </w:tc>
      </w:tr>
    </w:tbl>
    <w:p w14:paraId="2E181330" w14:textId="77777777" w:rsidR="004865EA" w:rsidRDefault="004865EA" w:rsidP="004865EA">
      <w:pPr>
        <w:jc w:val="center"/>
        <w:rPr>
          <w:rFonts w:ascii="Times New Roman" w:hAnsi="Times New Roman" w:cs="Times New Roman"/>
          <w:sz w:val="24"/>
        </w:rPr>
        <w:sectPr w:rsidR="004865EA" w:rsidSect="00CA7909">
          <w:pgSz w:w="15840" w:h="12240" w:orient="landscape"/>
          <w:pgMar w:top="1440" w:right="1440" w:bottom="1440" w:left="1440" w:header="720" w:footer="720" w:gutter="0"/>
          <w:cols w:space="720"/>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1672"/>
        <w:gridCol w:w="718"/>
        <w:gridCol w:w="845"/>
        <w:gridCol w:w="2703"/>
        <w:gridCol w:w="695"/>
        <w:gridCol w:w="2291"/>
        <w:gridCol w:w="1068"/>
        <w:gridCol w:w="899"/>
        <w:gridCol w:w="1257"/>
      </w:tblGrid>
      <w:tr w:rsidR="00ED540C" w:rsidRPr="008D611D" w14:paraId="02E283EF" w14:textId="77777777" w:rsidTr="00ED540C">
        <w:trPr>
          <w:trHeight w:val="405"/>
        </w:trPr>
        <w:tc>
          <w:tcPr>
            <w:tcW w:w="958" w:type="pct"/>
            <w:gridSpan w:val="2"/>
            <w:tcBorders>
              <w:bottom w:val="single" w:sz="4" w:space="0" w:color="auto"/>
            </w:tcBorders>
            <w:noWrap/>
            <w:vAlign w:val="center"/>
          </w:tcPr>
          <w:p w14:paraId="52A8B255" w14:textId="0AC3E704" w:rsidR="004865EA" w:rsidRDefault="004865EA" w:rsidP="004865EA">
            <w:pPr>
              <w:jc w:val="center"/>
              <w:rPr>
                <w:rFonts w:ascii="Times New Roman" w:hAnsi="Times New Roman" w:cs="Times New Roman"/>
                <w:sz w:val="24"/>
              </w:rPr>
            </w:pPr>
            <w:r>
              <w:rPr>
                <w:rFonts w:ascii="Times New Roman" w:hAnsi="Times New Roman" w:cs="Times New Roman"/>
                <w:sz w:val="24"/>
              </w:rPr>
              <w:lastRenderedPageBreak/>
              <w:t>Table 4. Cont</w:t>
            </w:r>
            <w:r w:rsidR="00D340AC">
              <w:rPr>
                <w:rFonts w:ascii="Times New Roman" w:hAnsi="Times New Roman" w:cs="Times New Roman"/>
                <w:sz w:val="24"/>
              </w:rPr>
              <w:t>inued</w:t>
            </w:r>
          </w:p>
        </w:tc>
        <w:tc>
          <w:tcPr>
            <w:tcW w:w="277" w:type="pct"/>
            <w:tcBorders>
              <w:bottom w:val="single" w:sz="4" w:space="0" w:color="auto"/>
            </w:tcBorders>
            <w:noWrap/>
            <w:vAlign w:val="center"/>
          </w:tcPr>
          <w:p w14:paraId="2CCE57A6" w14:textId="77777777" w:rsidR="004865EA" w:rsidRDefault="004865EA" w:rsidP="004865EA">
            <w:pPr>
              <w:jc w:val="center"/>
              <w:rPr>
                <w:rFonts w:ascii="Times New Roman" w:hAnsi="Times New Roman" w:cs="Times New Roman"/>
                <w:sz w:val="24"/>
              </w:rPr>
            </w:pPr>
          </w:p>
        </w:tc>
        <w:tc>
          <w:tcPr>
            <w:tcW w:w="326" w:type="pct"/>
            <w:tcBorders>
              <w:bottom w:val="single" w:sz="4" w:space="0" w:color="auto"/>
            </w:tcBorders>
            <w:noWrap/>
            <w:vAlign w:val="center"/>
          </w:tcPr>
          <w:p w14:paraId="03053CF2" w14:textId="77777777" w:rsidR="004865EA" w:rsidRDefault="004865EA" w:rsidP="004865EA">
            <w:pPr>
              <w:jc w:val="center"/>
              <w:rPr>
                <w:rFonts w:ascii="Times New Roman" w:hAnsi="Times New Roman" w:cs="Times New Roman"/>
                <w:sz w:val="24"/>
              </w:rPr>
            </w:pPr>
          </w:p>
        </w:tc>
        <w:tc>
          <w:tcPr>
            <w:tcW w:w="1043" w:type="pct"/>
            <w:tcBorders>
              <w:bottom w:val="single" w:sz="4" w:space="0" w:color="auto"/>
            </w:tcBorders>
            <w:noWrap/>
            <w:vAlign w:val="center"/>
          </w:tcPr>
          <w:p w14:paraId="7AFFC7E2" w14:textId="77777777" w:rsidR="004865EA" w:rsidRDefault="004865EA" w:rsidP="004865EA">
            <w:pPr>
              <w:jc w:val="center"/>
              <w:rPr>
                <w:rFonts w:ascii="Times New Roman" w:hAnsi="Times New Roman" w:cs="Times New Roman"/>
                <w:sz w:val="24"/>
              </w:rPr>
            </w:pPr>
          </w:p>
        </w:tc>
        <w:tc>
          <w:tcPr>
            <w:tcW w:w="268" w:type="pct"/>
            <w:tcBorders>
              <w:bottom w:val="single" w:sz="4" w:space="0" w:color="auto"/>
            </w:tcBorders>
            <w:noWrap/>
            <w:vAlign w:val="center"/>
          </w:tcPr>
          <w:p w14:paraId="41A41D3E" w14:textId="77777777" w:rsidR="004865EA" w:rsidRDefault="004865EA" w:rsidP="004865EA">
            <w:pPr>
              <w:jc w:val="center"/>
              <w:rPr>
                <w:rFonts w:ascii="Times New Roman" w:hAnsi="Times New Roman" w:cs="Times New Roman"/>
                <w:sz w:val="24"/>
              </w:rPr>
            </w:pPr>
          </w:p>
        </w:tc>
        <w:tc>
          <w:tcPr>
            <w:tcW w:w="884" w:type="pct"/>
            <w:tcBorders>
              <w:bottom w:val="single" w:sz="4" w:space="0" w:color="auto"/>
            </w:tcBorders>
            <w:noWrap/>
            <w:vAlign w:val="center"/>
          </w:tcPr>
          <w:p w14:paraId="5002B2E8" w14:textId="77777777" w:rsidR="004865EA" w:rsidRDefault="004865EA" w:rsidP="004865EA">
            <w:pPr>
              <w:jc w:val="center"/>
              <w:rPr>
                <w:rFonts w:ascii="Times New Roman" w:hAnsi="Times New Roman" w:cs="Times New Roman"/>
                <w:sz w:val="24"/>
              </w:rPr>
            </w:pPr>
          </w:p>
        </w:tc>
        <w:tc>
          <w:tcPr>
            <w:tcW w:w="412" w:type="pct"/>
            <w:tcBorders>
              <w:bottom w:val="single" w:sz="4" w:space="0" w:color="auto"/>
            </w:tcBorders>
            <w:noWrap/>
            <w:vAlign w:val="center"/>
          </w:tcPr>
          <w:p w14:paraId="129650E4" w14:textId="77777777" w:rsidR="004865EA" w:rsidRDefault="004865EA" w:rsidP="004865EA">
            <w:pPr>
              <w:jc w:val="center"/>
              <w:rPr>
                <w:rFonts w:ascii="Times New Roman" w:hAnsi="Times New Roman" w:cs="Times New Roman"/>
                <w:sz w:val="24"/>
              </w:rPr>
            </w:pPr>
          </w:p>
        </w:tc>
        <w:tc>
          <w:tcPr>
            <w:tcW w:w="347" w:type="pct"/>
            <w:tcBorders>
              <w:bottom w:val="single" w:sz="4" w:space="0" w:color="auto"/>
            </w:tcBorders>
            <w:noWrap/>
            <w:vAlign w:val="center"/>
          </w:tcPr>
          <w:p w14:paraId="2BA9EFCE" w14:textId="77777777" w:rsidR="004865EA" w:rsidRDefault="004865EA" w:rsidP="004865EA">
            <w:pPr>
              <w:jc w:val="center"/>
              <w:rPr>
                <w:rFonts w:ascii="Times New Roman" w:hAnsi="Times New Roman" w:cs="Times New Roman"/>
                <w:sz w:val="24"/>
              </w:rPr>
            </w:pPr>
          </w:p>
        </w:tc>
        <w:tc>
          <w:tcPr>
            <w:tcW w:w="485" w:type="pct"/>
            <w:tcBorders>
              <w:bottom w:val="single" w:sz="4" w:space="0" w:color="auto"/>
            </w:tcBorders>
            <w:noWrap/>
            <w:vAlign w:val="center"/>
          </w:tcPr>
          <w:p w14:paraId="3161756C" w14:textId="77777777" w:rsidR="004865EA" w:rsidRDefault="004865EA" w:rsidP="004865EA">
            <w:pPr>
              <w:jc w:val="center"/>
              <w:rPr>
                <w:rFonts w:ascii="Times New Roman" w:hAnsi="Times New Roman" w:cs="Times New Roman"/>
                <w:sz w:val="24"/>
              </w:rPr>
            </w:pPr>
          </w:p>
        </w:tc>
      </w:tr>
      <w:tr w:rsidR="00ED540C" w:rsidRPr="008D611D" w14:paraId="64C6090B" w14:textId="77777777" w:rsidTr="00ED540C">
        <w:trPr>
          <w:trHeight w:val="405"/>
        </w:trPr>
        <w:tc>
          <w:tcPr>
            <w:tcW w:w="313" w:type="pct"/>
            <w:tcBorders>
              <w:top w:val="single" w:sz="4" w:space="0" w:color="auto"/>
              <w:bottom w:val="single" w:sz="4" w:space="0" w:color="auto"/>
            </w:tcBorders>
            <w:noWrap/>
            <w:vAlign w:val="bottom"/>
          </w:tcPr>
          <w:p w14:paraId="55D71A5A" w14:textId="39207AE9" w:rsidR="008D611D" w:rsidRPr="008D611D" w:rsidRDefault="008D611D" w:rsidP="00ED540C">
            <w:pPr>
              <w:jc w:val="center"/>
              <w:rPr>
                <w:rFonts w:ascii="Times New Roman" w:hAnsi="Times New Roman" w:cs="Times New Roman"/>
                <w:sz w:val="24"/>
              </w:rPr>
            </w:pPr>
            <w:r>
              <w:rPr>
                <w:rFonts w:ascii="Times New Roman" w:hAnsi="Times New Roman" w:cs="Times New Roman"/>
                <w:sz w:val="24"/>
              </w:rPr>
              <w:t>Study</w:t>
            </w:r>
          </w:p>
        </w:tc>
        <w:tc>
          <w:tcPr>
            <w:tcW w:w="645" w:type="pct"/>
            <w:tcBorders>
              <w:top w:val="single" w:sz="4" w:space="0" w:color="auto"/>
              <w:bottom w:val="single" w:sz="4" w:space="0" w:color="auto"/>
            </w:tcBorders>
            <w:noWrap/>
            <w:vAlign w:val="bottom"/>
          </w:tcPr>
          <w:p w14:paraId="381ACADC" w14:textId="01E13D6C" w:rsidR="008D611D" w:rsidRPr="008D611D" w:rsidRDefault="00ED540C" w:rsidP="00ED540C">
            <w:pPr>
              <w:jc w:val="center"/>
              <w:rPr>
                <w:rFonts w:ascii="Times New Roman" w:hAnsi="Times New Roman" w:cs="Times New Roman"/>
                <w:sz w:val="24"/>
              </w:rPr>
            </w:pPr>
            <w:r>
              <w:rPr>
                <w:rFonts w:ascii="Times New Roman" w:hAnsi="Times New Roman" w:cs="Times New Roman"/>
                <w:sz w:val="24"/>
              </w:rPr>
              <w:t>Herbicide</w:t>
            </w:r>
          </w:p>
        </w:tc>
        <w:tc>
          <w:tcPr>
            <w:tcW w:w="277" w:type="pct"/>
            <w:tcBorders>
              <w:top w:val="single" w:sz="4" w:space="0" w:color="auto"/>
              <w:bottom w:val="single" w:sz="4" w:space="0" w:color="auto"/>
            </w:tcBorders>
            <w:noWrap/>
            <w:vAlign w:val="bottom"/>
          </w:tcPr>
          <w:p w14:paraId="76E51D6E" w14:textId="71756B42" w:rsidR="008D611D" w:rsidRPr="008D611D" w:rsidRDefault="008D611D" w:rsidP="00ED540C">
            <w:pPr>
              <w:jc w:val="center"/>
              <w:rPr>
                <w:rFonts w:ascii="Times New Roman" w:hAnsi="Times New Roman" w:cs="Times New Roman"/>
                <w:sz w:val="24"/>
              </w:rPr>
            </w:pPr>
            <w:r>
              <w:rPr>
                <w:rFonts w:ascii="Times New Roman" w:hAnsi="Times New Roman" w:cs="Times New Roman"/>
                <w:sz w:val="24"/>
              </w:rPr>
              <w:t>Dose</w:t>
            </w:r>
          </w:p>
        </w:tc>
        <w:tc>
          <w:tcPr>
            <w:tcW w:w="326" w:type="pct"/>
            <w:tcBorders>
              <w:top w:val="single" w:sz="4" w:space="0" w:color="auto"/>
              <w:bottom w:val="single" w:sz="4" w:space="0" w:color="auto"/>
            </w:tcBorders>
            <w:noWrap/>
            <w:vAlign w:val="bottom"/>
          </w:tcPr>
          <w:p w14:paraId="4EA6F80D" w14:textId="4FE9EBAD" w:rsidR="008D611D" w:rsidRPr="008D611D" w:rsidRDefault="008D611D" w:rsidP="00ED540C">
            <w:pPr>
              <w:jc w:val="center"/>
              <w:rPr>
                <w:rFonts w:ascii="Times New Roman" w:hAnsi="Times New Roman" w:cs="Times New Roman"/>
                <w:sz w:val="24"/>
              </w:rPr>
            </w:pPr>
            <w:r>
              <w:rPr>
                <w:rFonts w:ascii="Times New Roman" w:hAnsi="Times New Roman" w:cs="Times New Roman"/>
                <w:sz w:val="24"/>
              </w:rPr>
              <w:t>Mixed</w:t>
            </w:r>
          </w:p>
        </w:tc>
        <w:tc>
          <w:tcPr>
            <w:tcW w:w="1043" w:type="pct"/>
            <w:tcBorders>
              <w:top w:val="single" w:sz="4" w:space="0" w:color="auto"/>
              <w:bottom w:val="single" w:sz="4" w:space="0" w:color="auto"/>
            </w:tcBorders>
            <w:noWrap/>
            <w:vAlign w:val="bottom"/>
          </w:tcPr>
          <w:p w14:paraId="7D1509B5" w14:textId="3905A5AB" w:rsidR="00ED540C" w:rsidRDefault="00ED540C" w:rsidP="00ED540C">
            <w:pPr>
              <w:jc w:val="center"/>
              <w:rPr>
                <w:rFonts w:ascii="Times New Roman" w:hAnsi="Times New Roman" w:cs="Times New Roman"/>
                <w:sz w:val="24"/>
              </w:rPr>
            </w:pPr>
            <w:r>
              <w:rPr>
                <w:rFonts w:ascii="Times New Roman" w:hAnsi="Times New Roman" w:cs="Times New Roman"/>
                <w:sz w:val="24"/>
              </w:rPr>
              <w:t>Initial herbicide</w:t>
            </w:r>
          </w:p>
          <w:p w14:paraId="7686E48F" w14:textId="1212FA32" w:rsidR="008D611D" w:rsidRPr="008D611D" w:rsidRDefault="00ED540C" w:rsidP="00ED540C">
            <w:pPr>
              <w:jc w:val="center"/>
              <w:rPr>
                <w:rFonts w:ascii="Times New Roman" w:hAnsi="Times New Roman" w:cs="Times New Roman"/>
                <w:sz w:val="24"/>
              </w:rPr>
            </w:pPr>
            <w:r>
              <w:rPr>
                <w:rFonts w:ascii="Times New Roman" w:hAnsi="Times New Roman" w:cs="Times New Roman"/>
                <w:sz w:val="24"/>
              </w:rPr>
              <w:t>concentration (ng g</w:t>
            </w:r>
            <w:r>
              <w:rPr>
                <w:rFonts w:ascii="Times New Roman" w:hAnsi="Times New Roman" w:cs="Times New Roman"/>
                <w:sz w:val="24"/>
                <w:vertAlign w:val="superscript"/>
              </w:rPr>
              <w:t>-1</w:t>
            </w:r>
            <w:r>
              <w:rPr>
                <w:rFonts w:ascii="Times New Roman" w:hAnsi="Times New Roman" w:cs="Times New Roman"/>
                <w:sz w:val="24"/>
              </w:rPr>
              <w:t xml:space="preserve"> soil)</w:t>
            </w:r>
          </w:p>
        </w:tc>
        <w:tc>
          <w:tcPr>
            <w:tcW w:w="268" w:type="pct"/>
            <w:tcBorders>
              <w:top w:val="single" w:sz="4" w:space="0" w:color="auto"/>
              <w:bottom w:val="single" w:sz="4" w:space="0" w:color="auto"/>
            </w:tcBorders>
            <w:noWrap/>
            <w:vAlign w:val="bottom"/>
          </w:tcPr>
          <w:p w14:paraId="2FFB39FC" w14:textId="6128711B" w:rsidR="008D611D" w:rsidRPr="008D611D" w:rsidRDefault="008D611D" w:rsidP="00ED540C">
            <w:pPr>
              <w:jc w:val="center"/>
              <w:rPr>
                <w:rFonts w:ascii="Times New Roman" w:hAnsi="Times New Roman" w:cs="Times New Roman"/>
                <w:sz w:val="24"/>
              </w:rPr>
            </w:pPr>
            <w:r>
              <w:rPr>
                <w:rFonts w:ascii="Times New Roman" w:hAnsi="Times New Roman" w:cs="Times New Roman"/>
                <w:sz w:val="24"/>
              </w:rPr>
              <w:t>SE</w:t>
            </w:r>
          </w:p>
        </w:tc>
        <w:tc>
          <w:tcPr>
            <w:tcW w:w="884" w:type="pct"/>
            <w:tcBorders>
              <w:top w:val="single" w:sz="4" w:space="0" w:color="auto"/>
              <w:bottom w:val="single" w:sz="4" w:space="0" w:color="auto"/>
            </w:tcBorders>
            <w:noWrap/>
            <w:vAlign w:val="bottom"/>
          </w:tcPr>
          <w:p w14:paraId="21CFAD7B" w14:textId="28B15AC7" w:rsidR="00ED540C" w:rsidRDefault="00ED540C" w:rsidP="00ED540C">
            <w:pPr>
              <w:jc w:val="center"/>
              <w:rPr>
                <w:rFonts w:ascii="Times New Roman" w:hAnsi="Times New Roman" w:cs="Times New Roman"/>
                <w:sz w:val="24"/>
              </w:rPr>
            </w:pPr>
            <w:r>
              <w:rPr>
                <w:rFonts w:ascii="Times New Roman" w:hAnsi="Times New Roman" w:cs="Times New Roman"/>
                <w:sz w:val="24"/>
              </w:rPr>
              <w:t>1</w:t>
            </w:r>
            <w:r w:rsidRPr="00CC6354">
              <w:rPr>
                <w:rFonts w:ascii="Times New Roman" w:hAnsi="Times New Roman" w:cs="Times New Roman"/>
                <w:sz w:val="24"/>
                <w:vertAlign w:val="superscript"/>
              </w:rPr>
              <w:t>st</w:t>
            </w:r>
            <w:r>
              <w:rPr>
                <w:rFonts w:ascii="Times New Roman" w:hAnsi="Times New Roman" w:cs="Times New Roman"/>
                <w:sz w:val="24"/>
              </w:rPr>
              <w:t xml:space="preserve"> order rate constant</w:t>
            </w:r>
          </w:p>
          <w:p w14:paraId="53EC5216" w14:textId="3DE8AA07" w:rsidR="008D611D" w:rsidRPr="008D611D" w:rsidRDefault="00ED540C" w:rsidP="00ED540C">
            <w:pPr>
              <w:jc w:val="center"/>
              <w:rPr>
                <w:rFonts w:ascii="Times New Roman" w:hAnsi="Times New Roman" w:cs="Times New Roman"/>
                <w:sz w:val="24"/>
              </w:rPr>
            </w:pPr>
            <w:r>
              <w:rPr>
                <w:rFonts w:ascii="Times New Roman" w:hAnsi="Times New Roman" w:cs="Times New Roman"/>
                <w:sz w:val="24"/>
              </w:rPr>
              <w:t>(per day)</w:t>
            </w:r>
          </w:p>
        </w:tc>
        <w:tc>
          <w:tcPr>
            <w:tcW w:w="412" w:type="pct"/>
            <w:tcBorders>
              <w:top w:val="single" w:sz="4" w:space="0" w:color="auto"/>
              <w:bottom w:val="single" w:sz="4" w:space="0" w:color="auto"/>
            </w:tcBorders>
            <w:noWrap/>
            <w:vAlign w:val="bottom"/>
          </w:tcPr>
          <w:p w14:paraId="2C15F228" w14:textId="695CEEF8" w:rsidR="008D611D" w:rsidRPr="008D611D" w:rsidRDefault="008D611D" w:rsidP="00ED540C">
            <w:pPr>
              <w:jc w:val="center"/>
              <w:rPr>
                <w:rFonts w:ascii="Times New Roman" w:hAnsi="Times New Roman" w:cs="Times New Roman"/>
                <w:sz w:val="24"/>
              </w:rPr>
            </w:pPr>
            <w:r>
              <w:rPr>
                <w:rFonts w:ascii="Times New Roman" w:hAnsi="Times New Roman" w:cs="Times New Roman"/>
                <w:sz w:val="24"/>
              </w:rPr>
              <w:t>SE</w:t>
            </w:r>
          </w:p>
        </w:tc>
        <w:tc>
          <w:tcPr>
            <w:tcW w:w="347" w:type="pct"/>
            <w:tcBorders>
              <w:top w:val="single" w:sz="4" w:space="0" w:color="auto"/>
              <w:bottom w:val="single" w:sz="4" w:space="0" w:color="auto"/>
            </w:tcBorders>
            <w:noWrap/>
            <w:vAlign w:val="bottom"/>
          </w:tcPr>
          <w:p w14:paraId="60F7AC0A" w14:textId="4732B0C7" w:rsidR="008D611D" w:rsidRPr="008D611D" w:rsidRDefault="00ED540C" w:rsidP="00ED540C">
            <w:pPr>
              <w:jc w:val="center"/>
              <w:rPr>
                <w:rFonts w:ascii="Times New Roman" w:hAnsi="Times New Roman" w:cs="Times New Roman"/>
                <w:sz w:val="24"/>
                <w:vertAlign w:val="superscript"/>
              </w:rPr>
            </w:pPr>
            <w:r>
              <w:rPr>
                <w:rFonts w:ascii="Times New Roman" w:hAnsi="Times New Roman" w:cs="Times New Roman"/>
                <w:sz w:val="24"/>
              </w:rPr>
              <w:t>r</w:t>
            </w:r>
            <w:r w:rsidR="008D611D">
              <w:rPr>
                <w:rFonts w:ascii="Times New Roman" w:hAnsi="Times New Roman" w:cs="Times New Roman"/>
                <w:sz w:val="24"/>
                <w:vertAlign w:val="superscript"/>
              </w:rPr>
              <w:t>2</w:t>
            </w:r>
          </w:p>
        </w:tc>
        <w:tc>
          <w:tcPr>
            <w:tcW w:w="485" w:type="pct"/>
            <w:tcBorders>
              <w:top w:val="single" w:sz="4" w:space="0" w:color="auto"/>
              <w:bottom w:val="single" w:sz="4" w:space="0" w:color="auto"/>
            </w:tcBorders>
            <w:noWrap/>
            <w:vAlign w:val="bottom"/>
          </w:tcPr>
          <w:p w14:paraId="5C56D782" w14:textId="77777777" w:rsidR="008D611D" w:rsidRDefault="008D611D" w:rsidP="00ED540C">
            <w:pPr>
              <w:jc w:val="center"/>
              <w:rPr>
                <w:rFonts w:ascii="Times New Roman" w:hAnsi="Times New Roman" w:cs="Times New Roman"/>
                <w:sz w:val="24"/>
              </w:rPr>
            </w:pPr>
            <w:r>
              <w:rPr>
                <w:rFonts w:ascii="Times New Roman" w:hAnsi="Times New Roman" w:cs="Times New Roman"/>
                <w:sz w:val="24"/>
              </w:rPr>
              <w:t>DT50</w:t>
            </w:r>
          </w:p>
          <w:p w14:paraId="188FEEBA" w14:textId="31D4964B" w:rsidR="002A3211" w:rsidRPr="008D611D" w:rsidRDefault="002A3211" w:rsidP="00ED540C">
            <w:pPr>
              <w:jc w:val="center"/>
              <w:rPr>
                <w:rFonts w:ascii="Times New Roman" w:hAnsi="Times New Roman" w:cs="Times New Roman"/>
                <w:sz w:val="24"/>
              </w:rPr>
            </w:pPr>
            <w:r>
              <w:rPr>
                <w:rFonts w:ascii="Times New Roman" w:hAnsi="Times New Roman" w:cs="Times New Roman"/>
                <w:sz w:val="24"/>
              </w:rPr>
              <w:t>(days)</w:t>
            </w:r>
          </w:p>
        </w:tc>
      </w:tr>
      <w:tr w:rsidR="00ED540C" w:rsidRPr="008D611D" w14:paraId="5CB36150" w14:textId="77777777" w:rsidTr="00ED540C">
        <w:trPr>
          <w:trHeight w:val="405"/>
        </w:trPr>
        <w:tc>
          <w:tcPr>
            <w:tcW w:w="313" w:type="pct"/>
            <w:tcBorders>
              <w:top w:val="single" w:sz="4" w:space="0" w:color="auto"/>
            </w:tcBorders>
            <w:noWrap/>
            <w:vAlign w:val="center"/>
            <w:hideMark/>
          </w:tcPr>
          <w:p w14:paraId="330EFC69"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LS2</w:t>
            </w:r>
          </w:p>
        </w:tc>
        <w:tc>
          <w:tcPr>
            <w:tcW w:w="645" w:type="pct"/>
            <w:tcBorders>
              <w:top w:val="single" w:sz="4" w:space="0" w:color="auto"/>
            </w:tcBorders>
            <w:noWrap/>
            <w:vAlign w:val="center"/>
            <w:hideMark/>
          </w:tcPr>
          <w:p w14:paraId="60F6202F" w14:textId="10CA3159" w:rsidR="008D611D" w:rsidRPr="008D611D" w:rsidRDefault="00CC6354" w:rsidP="004865EA">
            <w:pPr>
              <w:jc w:val="center"/>
              <w:rPr>
                <w:rFonts w:ascii="Times New Roman" w:hAnsi="Times New Roman" w:cs="Times New Roman"/>
                <w:sz w:val="24"/>
              </w:rPr>
            </w:pPr>
            <w:r w:rsidRPr="008D611D">
              <w:rPr>
                <w:rFonts w:ascii="Times New Roman" w:hAnsi="Times New Roman" w:cs="Times New Roman"/>
                <w:sz w:val="24"/>
              </w:rPr>
              <w:t>P</w:t>
            </w:r>
            <w:r>
              <w:rPr>
                <w:rFonts w:ascii="Times New Roman" w:hAnsi="Times New Roman" w:cs="Times New Roman"/>
                <w:sz w:val="24"/>
              </w:rPr>
              <w:t>yroxasulfone</w:t>
            </w:r>
          </w:p>
        </w:tc>
        <w:tc>
          <w:tcPr>
            <w:tcW w:w="277" w:type="pct"/>
            <w:tcBorders>
              <w:top w:val="single" w:sz="4" w:space="0" w:color="auto"/>
            </w:tcBorders>
            <w:noWrap/>
            <w:vAlign w:val="center"/>
            <w:hideMark/>
          </w:tcPr>
          <w:p w14:paraId="5D3D9552"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79</w:t>
            </w:r>
          </w:p>
        </w:tc>
        <w:tc>
          <w:tcPr>
            <w:tcW w:w="326" w:type="pct"/>
            <w:tcBorders>
              <w:top w:val="single" w:sz="4" w:space="0" w:color="auto"/>
            </w:tcBorders>
            <w:noWrap/>
            <w:vAlign w:val="center"/>
            <w:hideMark/>
          </w:tcPr>
          <w:p w14:paraId="1E965A5C"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yes</w:t>
            </w:r>
          </w:p>
        </w:tc>
        <w:tc>
          <w:tcPr>
            <w:tcW w:w="1043" w:type="pct"/>
            <w:tcBorders>
              <w:top w:val="single" w:sz="4" w:space="0" w:color="auto"/>
            </w:tcBorders>
            <w:noWrap/>
            <w:vAlign w:val="center"/>
            <w:hideMark/>
          </w:tcPr>
          <w:p w14:paraId="091540A9"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73</w:t>
            </w:r>
          </w:p>
        </w:tc>
        <w:tc>
          <w:tcPr>
            <w:tcW w:w="268" w:type="pct"/>
            <w:tcBorders>
              <w:top w:val="single" w:sz="4" w:space="0" w:color="auto"/>
            </w:tcBorders>
            <w:noWrap/>
            <w:vAlign w:val="center"/>
            <w:hideMark/>
          </w:tcPr>
          <w:p w14:paraId="0F5E4094"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7.1</w:t>
            </w:r>
          </w:p>
        </w:tc>
        <w:tc>
          <w:tcPr>
            <w:tcW w:w="884" w:type="pct"/>
            <w:tcBorders>
              <w:top w:val="single" w:sz="4" w:space="0" w:color="auto"/>
            </w:tcBorders>
            <w:noWrap/>
            <w:vAlign w:val="center"/>
            <w:hideMark/>
          </w:tcPr>
          <w:p w14:paraId="2DE0358C"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0.034</w:t>
            </w:r>
          </w:p>
        </w:tc>
        <w:tc>
          <w:tcPr>
            <w:tcW w:w="412" w:type="pct"/>
            <w:tcBorders>
              <w:top w:val="single" w:sz="4" w:space="0" w:color="auto"/>
            </w:tcBorders>
            <w:noWrap/>
            <w:vAlign w:val="center"/>
            <w:hideMark/>
          </w:tcPr>
          <w:p w14:paraId="0D731627"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0.0073</w:t>
            </w:r>
          </w:p>
        </w:tc>
        <w:tc>
          <w:tcPr>
            <w:tcW w:w="347" w:type="pct"/>
            <w:tcBorders>
              <w:top w:val="single" w:sz="4" w:space="0" w:color="auto"/>
            </w:tcBorders>
            <w:noWrap/>
            <w:vAlign w:val="center"/>
            <w:hideMark/>
          </w:tcPr>
          <w:p w14:paraId="132584ED"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0.79</w:t>
            </w:r>
          </w:p>
        </w:tc>
        <w:tc>
          <w:tcPr>
            <w:tcW w:w="485" w:type="pct"/>
            <w:tcBorders>
              <w:top w:val="single" w:sz="4" w:space="0" w:color="auto"/>
            </w:tcBorders>
            <w:noWrap/>
            <w:vAlign w:val="center"/>
            <w:hideMark/>
          </w:tcPr>
          <w:p w14:paraId="216938C3"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20.4</w:t>
            </w:r>
          </w:p>
        </w:tc>
      </w:tr>
      <w:tr w:rsidR="00ED540C" w:rsidRPr="008D611D" w14:paraId="2BC1A40B" w14:textId="77777777" w:rsidTr="00ED540C">
        <w:trPr>
          <w:trHeight w:val="405"/>
        </w:trPr>
        <w:tc>
          <w:tcPr>
            <w:tcW w:w="313" w:type="pct"/>
            <w:noWrap/>
            <w:vAlign w:val="center"/>
            <w:hideMark/>
          </w:tcPr>
          <w:p w14:paraId="68A9170C"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LS2</w:t>
            </w:r>
          </w:p>
        </w:tc>
        <w:tc>
          <w:tcPr>
            <w:tcW w:w="645" w:type="pct"/>
            <w:noWrap/>
            <w:vAlign w:val="center"/>
            <w:hideMark/>
          </w:tcPr>
          <w:p w14:paraId="39E61129" w14:textId="5842EE12" w:rsidR="008D611D" w:rsidRPr="008D611D" w:rsidRDefault="00CC6354" w:rsidP="004865EA">
            <w:pPr>
              <w:jc w:val="center"/>
              <w:rPr>
                <w:rFonts w:ascii="Times New Roman" w:hAnsi="Times New Roman" w:cs="Times New Roman"/>
                <w:sz w:val="24"/>
              </w:rPr>
            </w:pPr>
            <w:r w:rsidRPr="008D611D">
              <w:rPr>
                <w:rFonts w:ascii="Times New Roman" w:hAnsi="Times New Roman" w:cs="Times New Roman"/>
                <w:sz w:val="24"/>
              </w:rPr>
              <w:t>P</w:t>
            </w:r>
            <w:r>
              <w:rPr>
                <w:rFonts w:ascii="Times New Roman" w:hAnsi="Times New Roman" w:cs="Times New Roman"/>
                <w:sz w:val="24"/>
              </w:rPr>
              <w:t>yroxasulfone</w:t>
            </w:r>
          </w:p>
        </w:tc>
        <w:tc>
          <w:tcPr>
            <w:tcW w:w="277" w:type="pct"/>
            <w:noWrap/>
            <w:vAlign w:val="center"/>
            <w:hideMark/>
          </w:tcPr>
          <w:p w14:paraId="4A2D17A7"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681</w:t>
            </w:r>
          </w:p>
        </w:tc>
        <w:tc>
          <w:tcPr>
            <w:tcW w:w="326" w:type="pct"/>
            <w:noWrap/>
            <w:vAlign w:val="center"/>
            <w:hideMark/>
          </w:tcPr>
          <w:p w14:paraId="3EF13FA1"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yes</w:t>
            </w:r>
          </w:p>
        </w:tc>
        <w:tc>
          <w:tcPr>
            <w:tcW w:w="1043" w:type="pct"/>
            <w:noWrap/>
            <w:vAlign w:val="center"/>
            <w:hideMark/>
          </w:tcPr>
          <w:p w14:paraId="4822D4C9"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671</w:t>
            </w:r>
          </w:p>
        </w:tc>
        <w:tc>
          <w:tcPr>
            <w:tcW w:w="268" w:type="pct"/>
            <w:noWrap/>
            <w:vAlign w:val="center"/>
            <w:hideMark/>
          </w:tcPr>
          <w:p w14:paraId="7B49FFED"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24.9</w:t>
            </w:r>
          </w:p>
        </w:tc>
        <w:tc>
          <w:tcPr>
            <w:tcW w:w="884" w:type="pct"/>
            <w:noWrap/>
            <w:vAlign w:val="center"/>
            <w:hideMark/>
          </w:tcPr>
          <w:p w14:paraId="60EC304A"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0.0193</w:t>
            </w:r>
          </w:p>
        </w:tc>
        <w:tc>
          <w:tcPr>
            <w:tcW w:w="412" w:type="pct"/>
            <w:noWrap/>
            <w:vAlign w:val="center"/>
            <w:hideMark/>
          </w:tcPr>
          <w:p w14:paraId="60057733"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0.0016</w:t>
            </w:r>
          </w:p>
        </w:tc>
        <w:tc>
          <w:tcPr>
            <w:tcW w:w="347" w:type="pct"/>
            <w:noWrap/>
            <w:vAlign w:val="center"/>
            <w:hideMark/>
          </w:tcPr>
          <w:p w14:paraId="4CBAC415"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0.96</w:t>
            </w:r>
          </w:p>
        </w:tc>
        <w:tc>
          <w:tcPr>
            <w:tcW w:w="485" w:type="pct"/>
            <w:noWrap/>
            <w:vAlign w:val="center"/>
            <w:hideMark/>
          </w:tcPr>
          <w:p w14:paraId="34012A54"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35.9</w:t>
            </w:r>
          </w:p>
        </w:tc>
      </w:tr>
      <w:tr w:rsidR="00ED540C" w:rsidRPr="008D611D" w14:paraId="7D55C26C" w14:textId="77777777" w:rsidTr="00ED540C">
        <w:trPr>
          <w:trHeight w:val="405"/>
        </w:trPr>
        <w:tc>
          <w:tcPr>
            <w:tcW w:w="313" w:type="pct"/>
            <w:noWrap/>
            <w:vAlign w:val="center"/>
            <w:hideMark/>
          </w:tcPr>
          <w:p w14:paraId="3EBF176F"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LS2</w:t>
            </w:r>
          </w:p>
        </w:tc>
        <w:tc>
          <w:tcPr>
            <w:tcW w:w="645" w:type="pct"/>
            <w:noWrap/>
            <w:vAlign w:val="center"/>
            <w:hideMark/>
          </w:tcPr>
          <w:p w14:paraId="43F2C435" w14:textId="6FAED582" w:rsidR="008D611D" w:rsidRPr="008D611D" w:rsidRDefault="00CC6354" w:rsidP="004865EA">
            <w:pPr>
              <w:jc w:val="center"/>
              <w:rPr>
                <w:rFonts w:ascii="Times New Roman" w:hAnsi="Times New Roman" w:cs="Times New Roman"/>
                <w:sz w:val="24"/>
              </w:rPr>
            </w:pPr>
            <w:r w:rsidRPr="008D611D">
              <w:rPr>
                <w:rFonts w:ascii="Times New Roman" w:hAnsi="Times New Roman" w:cs="Times New Roman"/>
                <w:sz w:val="24"/>
              </w:rPr>
              <w:t>S</w:t>
            </w:r>
            <w:r>
              <w:rPr>
                <w:rFonts w:ascii="Times New Roman" w:hAnsi="Times New Roman" w:cs="Times New Roman"/>
                <w:sz w:val="24"/>
              </w:rPr>
              <w:t>aflufenacil</w:t>
            </w:r>
          </w:p>
        </w:tc>
        <w:tc>
          <w:tcPr>
            <w:tcW w:w="277" w:type="pct"/>
            <w:noWrap/>
            <w:vAlign w:val="center"/>
            <w:hideMark/>
          </w:tcPr>
          <w:p w14:paraId="535DF8A6"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315</w:t>
            </w:r>
          </w:p>
        </w:tc>
        <w:tc>
          <w:tcPr>
            <w:tcW w:w="326" w:type="pct"/>
            <w:noWrap/>
            <w:vAlign w:val="center"/>
            <w:hideMark/>
          </w:tcPr>
          <w:p w14:paraId="5718D883"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yes</w:t>
            </w:r>
          </w:p>
        </w:tc>
        <w:tc>
          <w:tcPr>
            <w:tcW w:w="1043" w:type="pct"/>
            <w:noWrap/>
            <w:vAlign w:val="center"/>
            <w:hideMark/>
          </w:tcPr>
          <w:p w14:paraId="6F36FC1E"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290</w:t>
            </w:r>
          </w:p>
        </w:tc>
        <w:tc>
          <w:tcPr>
            <w:tcW w:w="268" w:type="pct"/>
            <w:noWrap/>
            <w:vAlign w:val="center"/>
            <w:hideMark/>
          </w:tcPr>
          <w:p w14:paraId="2B7305A2"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20.9</w:t>
            </w:r>
          </w:p>
        </w:tc>
        <w:tc>
          <w:tcPr>
            <w:tcW w:w="884" w:type="pct"/>
            <w:noWrap/>
            <w:vAlign w:val="center"/>
            <w:hideMark/>
          </w:tcPr>
          <w:p w14:paraId="76ABDFB4"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0.0292</w:t>
            </w:r>
          </w:p>
        </w:tc>
        <w:tc>
          <w:tcPr>
            <w:tcW w:w="412" w:type="pct"/>
            <w:noWrap/>
            <w:vAlign w:val="center"/>
            <w:hideMark/>
          </w:tcPr>
          <w:p w14:paraId="3AB20403"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0.0047</w:t>
            </w:r>
          </w:p>
        </w:tc>
        <w:tc>
          <w:tcPr>
            <w:tcW w:w="347" w:type="pct"/>
            <w:noWrap/>
            <w:vAlign w:val="center"/>
            <w:hideMark/>
          </w:tcPr>
          <w:p w14:paraId="5A50B83C"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0.88</w:t>
            </w:r>
          </w:p>
        </w:tc>
        <w:tc>
          <w:tcPr>
            <w:tcW w:w="485" w:type="pct"/>
            <w:noWrap/>
            <w:vAlign w:val="center"/>
            <w:hideMark/>
          </w:tcPr>
          <w:p w14:paraId="65B8CB22"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23.7</w:t>
            </w:r>
          </w:p>
        </w:tc>
      </w:tr>
      <w:tr w:rsidR="00ED540C" w:rsidRPr="008D611D" w14:paraId="355CDB2B" w14:textId="77777777" w:rsidTr="00ED540C">
        <w:trPr>
          <w:trHeight w:val="405"/>
        </w:trPr>
        <w:tc>
          <w:tcPr>
            <w:tcW w:w="313" w:type="pct"/>
            <w:tcBorders>
              <w:bottom w:val="single" w:sz="4" w:space="0" w:color="auto"/>
            </w:tcBorders>
            <w:noWrap/>
            <w:vAlign w:val="center"/>
            <w:hideMark/>
          </w:tcPr>
          <w:p w14:paraId="5E1098BA"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LS2</w:t>
            </w:r>
          </w:p>
        </w:tc>
        <w:tc>
          <w:tcPr>
            <w:tcW w:w="645" w:type="pct"/>
            <w:tcBorders>
              <w:bottom w:val="single" w:sz="4" w:space="0" w:color="auto"/>
            </w:tcBorders>
            <w:noWrap/>
            <w:vAlign w:val="center"/>
            <w:hideMark/>
          </w:tcPr>
          <w:p w14:paraId="3DBFFC33" w14:textId="73D25AD0" w:rsidR="008D611D" w:rsidRPr="008D611D" w:rsidRDefault="00CC6354" w:rsidP="004865EA">
            <w:pPr>
              <w:jc w:val="center"/>
              <w:rPr>
                <w:rFonts w:ascii="Times New Roman" w:hAnsi="Times New Roman" w:cs="Times New Roman"/>
                <w:sz w:val="24"/>
              </w:rPr>
            </w:pPr>
            <w:r w:rsidRPr="008D611D">
              <w:rPr>
                <w:rFonts w:ascii="Times New Roman" w:hAnsi="Times New Roman" w:cs="Times New Roman"/>
                <w:sz w:val="24"/>
              </w:rPr>
              <w:t>S</w:t>
            </w:r>
            <w:r>
              <w:rPr>
                <w:rFonts w:ascii="Times New Roman" w:hAnsi="Times New Roman" w:cs="Times New Roman"/>
                <w:sz w:val="24"/>
              </w:rPr>
              <w:t>aflufenacil</w:t>
            </w:r>
          </w:p>
        </w:tc>
        <w:tc>
          <w:tcPr>
            <w:tcW w:w="277" w:type="pct"/>
            <w:tcBorders>
              <w:bottom w:val="single" w:sz="4" w:space="0" w:color="auto"/>
            </w:tcBorders>
            <w:noWrap/>
            <w:vAlign w:val="center"/>
            <w:hideMark/>
          </w:tcPr>
          <w:p w14:paraId="093B0832"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3414</w:t>
            </w:r>
          </w:p>
        </w:tc>
        <w:tc>
          <w:tcPr>
            <w:tcW w:w="326" w:type="pct"/>
            <w:tcBorders>
              <w:bottom w:val="single" w:sz="4" w:space="0" w:color="auto"/>
            </w:tcBorders>
            <w:noWrap/>
            <w:vAlign w:val="center"/>
            <w:hideMark/>
          </w:tcPr>
          <w:p w14:paraId="38B62D92"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yes</w:t>
            </w:r>
          </w:p>
        </w:tc>
        <w:tc>
          <w:tcPr>
            <w:tcW w:w="1043" w:type="pct"/>
            <w:tcBorders>
              <w:bottom w:val="single" w:sz="4" w:space="0" w:color="auto"/>
            </w:tcBorders>
            <w:noWrap/>
            <w:vAlign w:val="center"/>
            <w:hideMark/>
          </w:tcPr>
          <w:p w14:paraId="3FFF17DA"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3098</w:t>
            </w:r>
          </w:p>
        </w:tc>
        <w:tc>
          <w:tcPr>
            <w:tcW w:w="268" w:type="pct"/>
            <w:tcBorders>
              <w:bottom w:val="single" w:sz="4" w:space="0" w:color="auto"/>
            </w:tcBorders>
            <w:noWrap/>
            <w:vAlign w:val="center"/>
            <w:hideMark/>
          </w:tcPr>
          <w:p w14:paraId="3842C98F"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190</w:t>
            </w:r>
          </w:p>
        </w:tc>
        <w:tc>
          <w:tcPr>
            <w:tcW w:w="884" w:type="pct"/>
            <w:tcBorders>
              <w:bottom w:val="single" w:sz="4" w:space="0" w:color="auto"/>
            </w:tcBorders>
            <w:noWrap/>
            <w:vAlign w:val="center"/>
            <w:hideMark/>
          </w:tcPr>
          <w:p w14:paraId="753B31BC"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0.0157</w:t>
            </w:r>
          </w:p>
        </w:tc>
        <w:tc>
          <w:tcPr>
            <w:tcW w:w="412" w:type="pct"/>
            <w:tcBorders>
              <w:bottom w:val="single" w:sz="4" w:space="0" w:color="auto"/>
            </w:tcBorders>
            <w:noWrap/>
            <w:vAlign w:val="center"/>
            <w:hideMark/>
          </w:tcPr>
          <w:p w14:paraId="7AF001BD"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0.0022</w:t>
            </w:r>
          </w:p>
        </w:tc>
        <w:tc>
          <w:tcPr>
            <w:tcW w:w="347" w:type="pct"/>
            <w:tcBorders>
              <w:bottom w:val="single" w:sz="4" w:space="0" w:color="auto"/>
            </w:tcBorders>
            <w:noWrap/>
            <w:vAlign w:val="center"/>
            <w:hideMark/>
          </w:tcPr>
          <w:p w14:paraId="647FA705"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0.88</w:t>
            </w:r>
          </w:p>
        </w:tc>
        <w:tc>
          <w:tcPr>
            <w:tcW w:w="485" w:type="pct"/>
            <w:tcBorders>
              <w:bottom w:val="single" w:sz="4" w:space="0" w:color="auto"/>
            </w:tcBorders>
            <w:noWrap/>
            <w:vAlign w:val="center"/>
            <w:hideMark/>
          </w:tcPr>
          <w:p w14:paraId="1037524C" w14:textId="77777777" w:rsidR="008D611D" w:rsidRPr="008D611D" w:rsidRDefault="008D611D" w:rsidP="004865EA">
            <w:pPr>
              <w:jc w:val="center"/>
              <w:rPr>
                <w:rFonts w:ascii="Times New Roman" w:hAnsi="Times New Roman" w:cs="Times New Roman"/>
                <w:sz w:val="24"/>
              </w:rPr>
            </w:pPr>
            <w:r w:rsidRPr="008D611D">
              <w:rPr>
                <w:rFonts w:ascii="Times New Roman" w:hAnsi="Times New Roman" w:cs="Times New Roman"/>
                <w:sz w:val="24"/>
              </w:rPr>
              <w:t>44.1</w:t>
            </w:r>
          </w:p>
        </w:tc>
      </w:tr>
      <w:tr w:rsidR="004865EA" w:rsidRPr="008D611D" w14:paraId="14E665AF" w14:textId="77777777" w:rsidTr="00ED540C">
        <w:trPr>
          <w:trHeight w:val="405"/>
        </w:trPr>
        <w:tc>
          <w:tcPr>
            <w:tcW w:w="5000" w:type="pct"/>
            <w:gridSpan w:val="10"/>
            <w:tcBorders>
              <w:top w:val="single" w:sz="4" w:space="0" w:color="auto"/>
            </w:tcBorders>
            <w:noWrap/>
            <w:vAlign w:val="center"/>
          </w:tcPr>
          <w:p w14:paraId="37856E54" w14:textId="6CE005A9" w:rsidR="004865EA" w:rsidRPr="008D611D" w:rsidRDefault="004865EA" w:rsidP="00ED540C">
            <w:pPr>
              <w:rPr>
                <w:rFonts w:ascii="Times New Roman" w:hAnsi="Times New Roman" w:cs="Times New Roman"/>
                <w:sz w:val="24"/>
              </w:rPr>
            </w:pPr>
            <w:r w:rsidRPr="00BF695B">
              <w:rPr>
                <w:rFonts w:ascii="Times New Roman" w:hAnsi="Times New Roman" w:cs="Times New Roman"/>
                <w:sz w:val="24"/>
              </w:rPr>
              <w:t xml:space="preserve">Abbreviations: SE, standard error; </w:t>
            </w:r>
            <w:r w:rsidR="00ED540C">
              <w:rPr>
                <w:rFonts w:ascii="Times New Roman" w:hAnsi="Times New Roman" w:cs="Times New Roman"/>
                <w:sz w:val="24"/>
              </w:rPr>
              <w:t>r</w:t>
            </w:r>
            <w:r w:rsidRPr="00BF695B">
              <w:rPr>
                <w:rFonts w:ascii="Times New Roman" w:hAnsi="Times New Roman" w:cs="Times New Roman"/>
                <w:sz w:val="24"/>
                <w:vertAlign w:val="superscript"/>
              </w:rPr>
              <w:t>2</w:t>
            </w:r>
            <w:r w:rsidRPr="00BF695B">
              <w:rPr>
                <w:rFonts w:ascii="Times New Roman" w:hAnsi="Times New Roman" w:cs="Times New Roman"/>
                <w:sz w:val="24"/>
              </w:rPr>
              <w:t>, coefficient of determination</w:t>
            </w:r>
          </w:p>
        </w:tc>
      </w:tr>
    </w:tbl>
    <w:p w14:paraId="20FEA079" w14:textId="58C93B40" w:rsidR="008D611D" w:rsidRPr="00BF695B" w:rsidRDefault="008D611D" w:rsidP="00BF695B">
      <w:pPr>
        <w:rPr>
          <w:rFonts w:ascii="Times New Roman" w:hAnsi="Times New Roman" w:cs="Times New Roman"/>
          <w:sz w:val="24"/>
        </w:rPr>
        <w:sectPr w:rsidR="008D611D" w:rsidRPr="00BF695B" w:rsidSect="00C44BA3">
          <w:pgSz w:w="15840" w:h="12240" w:orient="landscape"/>
          <w:pgMar w:top="1440" w:right="1440" w:bottom="1440" w:left="1440" w:header="720" w:footer="720" w:gutter="0"/>
          <w:lnNumType w:countBy="1" w:restart="continuous"/>
          <w:cols w:space="720"/>
          <w:docGrid w:linePitch="360"/>
        </w:sectPr>
      </w:pPr>
    </w:p>
    <w:p w14:paraId="22A24D3B" w14:textId="044ED300" w:rsidR="00AF3534" w:rsidRPr="00AF3534" w:rsidRDefault="00AF3534" w:rsidP="00AF3534">
      <w:pPr>
        <w:pStyle w:val="Caption"/>
        <w:keepNext/>
        <w:rPr>
          <w:rFonts w:ascii="Times New Roman" w:hAnsi="Times New Roman" w:cs="Times New Roman"/>
          <w:i w:val="0"/>
          <w:color w:val="000000" w:themeColor="text1"/>
          <w:sz w:val="24"/>
        </w:rPr>
      </w:pPr>
      <w:bookmarkStart w:id="26" w:name="_Toc99089430"/>
      <w:r w:rsidRPr="00AF3534">
        <w:rPr>
          <w:rFonts w:ascii="Times New Roman" w:hAnsi="Times New Roman" w:cs="Times New Roman"/>
          <w:i w:val="0"/>
          <w:color w:val="000000" w:themeColor="text1"/>
          <w:sz w:val="24"/>
        </w:rPr>
        <w:lastRenderedPageBreak/>
        <w:t xml:space="preserve">Table </w:t>
      </w:r>
      <w:r w:rsidRPr="00AF3534">
        <w:rPr>
          <w:rFonts w:ascii="Times New Roman" w:hAnsi="Times New Roman" w:cs="Times New Roman"/>
          <w:i w:val="0"/>
          <w:color w:val="000000" w:themeColor="text1"/>
          <w:sz w:val="24"/>
        </w:rPr>
        <w:fldChar w:fldCharType="begin"/>
      </w:r>
      <w:r w:rsidRPr="00AF3534">
        <w:rPr>
          <w:rFonts w:ascii="Times New Roman" w:hAnsi="Times New Roman" w:cs="Times New Roman"/>
          <w:i w:val="0"/>
          <w:color w:val="000000" w:themeColor="text1"/>
          <w:sz w:val="24"/>
        </w:rPr>
        <w:instrText xml:space="preserve"> SEQ Table \* ARABIC </w:instrText>
      </w:r>
      <w:r w:rsidRPr="00AF3534">
        <w:rPr>
          <w:rFonts w:ascii="Times New Roman" w:hAnsi="Times New Roman" w:cs="Times New Roman"/>
          <w:i w:val="0"/>
          <w:color w:val="000000" w:themeColor="text1"/>
          <w:sz w:val="24"/>
        </w:rPr>
        <w:fldChar w:fldCharType="separate"/>
      </w:r>
      <w:r w:rsidR="001A53A1">
        <w:rPr>
          <w:rFonts w:ascii="Times New Roman" w:hAnsi="Times New Roman" w:cs="Times New Roman"/>
          <w:i w:val="0"/>
          <w:noProof/>
          <w:color w:val="000000" w:themeColor="text1"/>
          <w:sz w:val="24"/>
        </w:rPr>
        <w:t>5</w:t>
      </w:r>
      <w:r w:rsidRPr="00AF3534">
        <w:rPr>
          <w:rFonts w:ascii="Times New Roman" w:hAnsi="Times New Roman" w:cs="Times New Roman"/>
          <w:i w:val="0"/>
          <w:color w:val="000000" w:themeColor="text1"/>
          <w:sz w:val="24"/>
        </w:rPr>
        <w:fldChar w:fldCharType="end"/>
      </w:r>
      <w:r w:rsidRPr="00AF3534">
        <w:rPr>
          <w:rFonts w:ascii="Times New Roman" w:hAnsi="Times New Roman" w:cs="Times New Roman"/>
          <w:i w:val="0"/>
          <w:color w:val="000000" w:themeColor="text1"/>
          <w:sz w:val="24"/>
        </w:rPr>
        <w:t>. Soil lab studies regression coefficients</w:t>
      </w:r>
      <w:r w:rsidR="00F36199">
        <w:rPr>
          <w:rFonts w:ascii="Times New Roman" w:hAnsi="Times New Roman" w:cs="Times New Roman"/>
          <w:i w:val="0"/>
          <w:color w:val="000000" w:themeColor="text1"/>
          <w:sz w:val="24"/>
        </w:rPr>
        <w:t>, r</w:t>
      </w:r>
      <w:r w:rsidR="003E4C1F">
        <w:rPr>
          <w:rFonts w:ascii="Times New Roman" w:hAnsi="Times New Roman" w:cs="Times New Roman"/>
          <w:i w:val="0"/>
          <w:color w:val="000000" w:themeColor="text1"/>
          <w:sz w:val="24"/>
          <w:vertAlign w:val="superscript"/>
        </w:rPr>
        <w:t>2</w:t>
      </w:r>
      <w:r w:rsidRPr="00AF3534">
        <w:rPr>
          <w:rFonts w:ascii="Times New Roman" w:hAnsi="Times New Roman" w:cs="Times New Roman"/>
          <w:i w:val="0"/>
          <w:color w:val="000000" w:themeColor="text1"/>
          <w:sz w:val="24"/>
        </w:rPr>
        <w:t xml:space="preserve"> values</w:t>
      </w:r>
      <w:r w:rsidR="00F36199">
        <w:rPr>
          <w:rFonts w:ascii="Times New Roman" w:hAnsi="Times New Roman" w:cs="Times New Roman"/>
          <w:i w:val="0"/>
          <w:color w:val="000000" w:themeColor="text1"/>
          <w:sz w:val="24"/>
        </w:rPr>
        <w:t>, and DT50</w:t>
      </w:r>
      <w:r w:rsidRPr="00AF3534">
        <w:rPr>
          <w:rFonts w:ascii="Times New Roman" w:hAnsi="Times New Roman" w:cs="Times New Roman"/>
          <w:i w:val="0"/>
          <w:color w:val="000000" w:themeColor="text1"/>
          <w:sz w:val="24"/>
        </w:rPr>
        <w:t xml:space="preserve"> for atrazine, pyroxasulfone, and saflufenacil</w:t>
      </w:r>
      <w:bookmarkEnd w:id="26"/>
    </w:p>
    <w:tbl>
      <w:tblPr>
        <w:tblStyle w:val="TableGrid"/>
        <w:tblW w:w="503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07"/>
        <w:gridCol w:w="990"/>
        <w:gridCol w:w="1622"/>
        <w:gridCol w:w="809"/>
        <w:gridCol w:w="901"/>
        <w:gridCol w:w="2794"/>
        <w:gridCol w:w="561"/>
        <w:gridCol w:w="2144"/>
        <w:gridCol w:w="901"/>
        <w:gridCol w:w="676"/>
        <w:gridCol w:w="851"/>
      </w:tblGrid>
      <w:tr w:rsidR="00F36199" w:rsidRPr="0085459B" w14:paraId="17C11DA4" w14:textId="77777777" w:rsidTr="008D7589">
        <w:trPr>
          <w:trHeight w:val="375"/>
          <w:jc w:val="center"/>
        </w:trPr>
        <w:tc>
          <w:tcPr>
            <w:tcW w:w="309" w:type="pct"/>
            <w:tcBorders>
              <w:top w:val="single" w:sz="4" w:space="0" w:color="auto"/>
              <w:bottom w:val="single" w:sz="4" w:space="0" w:color="auto"/>
            </w:tcBorders>
            <w:noWrap/>
            <w:vAlign w:val="bottom"/>
            <w:hideMark/>
          </w:tcPr>
          <w:p w14:paraId="61297BEE" w14:textId="77777777" w:rsidR="0085459B" w:rsidRPr="0085459B" w:rsidRDefault="0085459B" w:rsidP="008D7589">
            <w:pPr>
              <w:jc w:val="center"/>
              <w:rPr>
                <w:rFonts w:ascii="Times New Roman" w:hAnsi="Times New Roman" w:cs="Times New Roman"/>
                <w:sz w:val="24"/>
              </w:rPr>
            </w:pPr>
            <w:r w:rsidRPr="0085459B">
              <w:rPr>
                <w:rFonts w:ascii="Times New Roman" w:hAnsi="Times New Roman" w:cs="Times New Roman"/>
                <w:sz w:val="24"/>
              </w:rPr>
              <w:t>Study</w:t>
            </w:r>
          </w:p>
        </w:tc>
        <w:tc>
          <w:tcPr>
            <w:tcW w:w="379" w:type="pct"/>
            <w:tcBorders>
              <w:top w:val="single" w:sz="4" w:space="0" w:color="auto"/>
              <w:bottom w:val="single" w:sz="4" w:space="0" w:color="auto"/>
            </w:tcBorders>
            <w:noWrap/>
            <w:vAlign w:val="bottom"/>
            <w:hideMark/>
          </w:tcPr>
          <w:p w14:paraId="0F8452A0" w14:textId="77777777" w:rsidR="0085459B" w:rsidRPr="0085459B" w:rsidRDefault="0085459B" w:rsidP="008D7589">
            <w:pPr>
              <w:jc w:val="center"/>
              <w:rPr>
                <w:rFonts w:ascii="Times New Roman" w:hAnsi="Times New Roman" w:cs="Times New Roman"/>
                <w:sz w:val="24"/>
              </w:rPr>
            </w:pPr>
            <w:r w:rsidRPr="0085459B">
              <w:rPr>
                <w:rFonts w:ascii="Times New Roman" w:hAnsi="Times New Roman" w:cs="Times New Roman"/>
                <w:sz w:val="24"/>
              </w:rPr>
              <w:t>Soil</w:t>
            </w:r>
          </w:p>
        </w:tc>
        <w:tc>
          <w:tcPr>
            <w:tcW w:w="621" w:type="pct"/>
            <w:tcBorders>
              <w:top w:val="single" w:sz="4" w:space="0" w:color="auto"/>
              <w:bottom w:val="single" w:sz="4" w:space="0" w:color="auto"/>
            </w:tcBorders>
            <w:noWrap/>
            <w:vAlign w:val="bottom"/>
            <w:hideMark/>
          </w:tcPr>
          <w:p w14:paraId="62626C96" w14:textId="44F29A9A" w:rsidR="0085459B" w:rsidRPr="0085459B" w:rsidRDefault="00F36199" w:rsidP="008D7589">
            <w:pPr>
              <w:jc w:val="center"/>
              <w:rPr>
                <w:rFonts w:ascii="Times New Roman" w:hAnsi="Times New Roman" w:cs="Times New Roman"/>
                <w:sz w:val="24"/>
              </w:rPr>
            </w:pPr>
            <w:r>
              <w:rPr>
                <w:rFonts w:ascii="Times New Roman" w:hAnsi="Times New Roman" w:cs="Times New Roman"/>
                <w:sz w:val="24"/>
              </w:rPr>
              <w:t>Herbicide</w:t>
            </w:r>
          </w:p>
        </w:tc>
        <w:tc>
          <w:tcPr>
            <w:tcW w:w="310" w:type="pct"/>
            <w:tcBorders>
              <w:top w:val="single" w:sz="4" w:space="0" w:color="auto"/>
              <w:bottom w:val="single" w:sz="4" w:space="0" w:color="auto"/>
            </w:tcBorders>
            <w:noWrap/>
            <w:vAlign w:val="bottom"/>
            <w:hideMark/>
          </w:tcPr>
          <w:p w14:paraId="74EC93A0" w14:textId="77777777" w:rsidR="0085459B" w:rsidRPr="0085459B" w:rsidRDefault="0085459B" w:rsidP="008D7589">
            <w:pPr>
              <w:jc w:val="center"/>
              <w:rPr>
                <w:rFonts w:ascii="Times New Roman" w:hAnsi="Times New Roman" w:cs="Times New Roman"/>
                <w:sz w:val="24"/>
              </w:rPr>
            </w:pPr>
            <w:r w:rsidRPr="0085459B">
              <w:rPr>
                <w:rFonts w:ascii="Times New Roman" w:hAnsi="Times New Roman" w:cs="Times New Roman"/>
                <w:sz w:val="24"/>
              </w:rPr>
              <w:t>Dose</w:t>
            </w:r>
          </w:p>
        </w:tc>
        <w:tc>
          <w:tcPr>
            <w:tcW w:w="345" w:type="pct"/>
            <w:tcBorders>
              <w:top w:val="single" w:sz="4" w:space="0" w:color="auto"/>
              <w:bottom w:val="single" w:sz="4" w:space="0" w:color="auto"/>
            </w:tcBorders>
            <w:noWrap/>
            <w:vAlign w:val="bottom"/>
            <w:hideMark/>
          </w:tcPr>
          <w:p w14:paraId="32E858DD" w14:textId="77777777" w:rsidR="0085459B" w:rsidRPr="0085459B" w:rsidRDefault="0085459B" w:rsidP="008D7589">
            <w:pPr>
              <w:jc w:val="center"/>
              <w:rPr>
                <w:rFonts w:ascii="Times New Roman" w:hAnsi="Times New Roman" w:cs="Times New Roman"/>
                <w:sz w:val="24"/>
              </w:rPr>
            </w:pPr>
            <w:r w:rsidRPr="0085459B">
              <w:rPr>
                <w:rFonts w:ascii="Times New Roman" w:hAnsi="Times New Roman" w:cs="Times New Roman"/>
                <w:sz w:val="24"/>
              </w:rPr>
              <w:t>Mixed</w:t>
            </w:r>
          </w:p>
        </w:tc>
        <w:tc>
          <w:tcPr>
            <w:tcW w:w="1070" w:type="pct"/>
            <w:tcBorders>
              <w:top w:val="single" w:sz="4" w:space="0" w:color="auto"/>
              <w:bottom w:val="single" w:sz="4" w:space="0" w:color="auto"/>
            </w:tcBorders>
            <w:noWrap/>
            <w:vAlign w:val="bottom"/>
            <w:hideMark/>
          </w:tcPr>
          <w:p w14:paraId="4936F977" w14:textId="77777777" w:rsidR="00F36199" w:rsidRDefault="00F36199" w:rsidP="008D7589">
            <w:pPr>
              <w:jc w:val="center"/>
              <w:rPr>
                <w:rFonts w:ascii="Times New Roman" w:hAnsi="Times New Roman" w:cs="Times New Roman"/>
                <w:sz w:val="24"/>
              </w:rPr>
            </w:pPr>
            <w:r>
              <w:rPr>
                <w:rFonts w:ascii="Times New Roman" w:hAnsi="Times New Roman" w:cs="Times New Roman"/>
                <w:sz w:val="24"/>
              </w:rPr>
              <w:t>Initial herbicide</w:t>
            </w:r>
          </w:p>
          <w:p w14:paraId="16A5D3F4" w14:textId="5D0D1E4C" w:rsidR="0085459B" w:rsidRPr="0085459B" w:rsidRDefault="00F36199" w:rsidP="008D7589">
            <w:pPr>
              <w:jc w:val="center"/>
              <w:rPr>
                <w:rFonts w:ascii="Times New Roman" w:hAnsi="Times New Roman" w:cs="Times New Roman"/>
                <w:sz w:val="24"/>
              </w:rPr>
            </w:pPr>
            <w:r>
              <w:rPr>
                <w:rFonts w:ascii="Times New Roman" w:hAnsi="Times New Roman" w:cs="Times New Roman"/>
                <w:sz w:val="24"/>
              </w:rPr>
              <w:t>concentration (ng g</w:t>
            </w:r>
            <w:r>
              <w:rPr>
                <w:rFonts w:ascii="Times New Roman" w:hAnsi="Times New Roman" w:cs="Times New Roman"/>
                <w:sz w:val="24"/>
                <w:vertAlign w:val="superscript"/>
              </w:rPr>
              <w:t>-1</w:t>
            </w:r>
            <w:r>
              <w:rPr>
                <w:rFonts w:ascii="Times New Roman" w:hAnsi="Times New Roman" w:cs="Times New Roman"/>
                <w:sz w:val="24"/>
              </w:rPr>
              <w:t xml:space="preserve"> soil)</w:t>
            </w:r>
          </w:p>
        </w:tc>
        <w:tc>
          <w:tcPr>
            <w:tcW w:w="215" w:type="pct"/>
            <w:tcBorders>
              <w:top w:val="single" w:sz="4" w:space="0" w:color="auto"/>
              <w:bottom w:val="single" w:sz="4" w:space="0" w:color="auto"/>
            </w:tcBorders>
            <w:noWrap/>
            <w:vAlign w:val="bottom"/>
            <w:hideMark/>
          </w:tcPr>
          <w:p w14:paraId="72C0FDEC" w14:textId="1E7137FC" w:rsidR="0085459B" w:rsidRPr="0085459B" w:rsidRDefault="0085459B" w:rsidP="008D7589">
            <w:pPr>
              <w:jc w:val="center"/>
              <w:rPr>
                <w:rFonts w:ascii="Times New Roman" w:hAnsi="Times New Roman" w:cs="Times New Roman"/>
                <w:sz w:val="24"/>
              </w:rPr>
            </w:pPr>
            <w:r w:rsidRPr="0085459B">
              <w:rPr>
                <w:rFonts w:ascii="Times New Roman" w:hAnsi="Times New Roman" w:cs="Times New Roman"/>
                <w:sz w:val="24"/>
              </w:rPr>
              <w:t>SE</w:t>
            </w:r>
          </w:p>
        </w:tc>
        <w:tc>
          <w:tcPr>
            <w:tcW w:w="821" w:type="pct"/>
            <w:tcBorders>
              <w:top w:val="single" w:sz="4" w:space="0" w:color="auto"/>
              <w:bottom w:val="single" w:sz="4" w:space="0" w:color="auto"/>
            </w:tcBorders>
            <w:noWrap/>
            <w:vAlign w:val="bottom"/>
            <w:hideMark/>
          </w:tcPr>
          <w:p w14:paraId="70DA2F1B" w14:textId="4873EB7B" w:rsidR="0085459B" w:rsidRPr="0085459B" w:rsidRDefault="00F36199" w:rsidP="008D7589">
            <w:pPr>
              <w:jc w:val="center"/>
              <w:rPr>
                <w:rFonts w:ascii="Times New Roman" w:hAnsi="Times New Roman" w:cs="Times New Roman"/>
                <w:sz w:val="24"/>
              </w:rPr>
            </w:pPr>
            <w:r>
              <w:rPr>
                <w:rFonts w:ascii="Times New Roman" w:hAnsi="Times New Roman" w:cs="Times New Roman"/>
                <w:sz w:val="24"/>
              </w:rPr>
              <w:t>1</w:t>
            </w:r>
            <w:r w:rsidRPr="00CC6354">
              <w:rPr>
                <w:rFonts w:ascii="Times New Roman" w:hAnsi="Times New Roman" w:cs="Times New Roman"/>
                <w:sz w:val="24"/>
                <w:vertAlign w:val="superscript"/>
              </w:rPr>
              <w:t>st</w:t>
            </w:r>
            <w:r>
              <w:rPr>
                <w:rFonts w:ascii="Times New Roman" w:hAnsi="Times New Roman" w:cs="Times New Roman"/>
                <w:sz w:val="24"/>
              </w:rPr>
              <w:t xml:space="preserve"> order rate constant (per day)</w:t>
            </w:r>
          </w:p>
        </w:tc>
        <w:tc>
          <w:tcPr>
            <w:tcW w:w="345" w:type="pct"/>
            <w:tcBorders>
              <w:top w:val="single" w:sz="4" w:space="0" w:color="auto"/>
              <w:bottom w:val="single" w:sz="4" w:space="0" w:color="auto"/>
            </w:tcBorders>
            <w:noWrap/>
            <w:vAlign w:val="bottom"/>
            <w:hideMark/>
          </w:tcPr>
          <w:p w14:paraId="7D4E200E" w14:textId="7F866D9C" w:rsidR="0085459B" w:rsidRPr="0085459B" w:rsidRDefault="0085459B" w:rsidP="008D7589">
            <w:pPr>
              <w:jc w:val="center"/>
              <w:rPr>
                <w:rFonts w:ascii="Times New Roman" w:hAnsi="Times New Roman" w:cs="Times New Roman"/>
                <w:sz w:val="24"/>
              </w:rPr>
            </w:pPr>
            <w:r w:rsidRPr="0085459B">
              <w:rPr>
                <w:rFonts w:ascii="Times New Roman" w:hAnsi="Times New Roman" w:cs="Times New Roman"/>
                <w:sz w:val="24"/>
              </w:rPr>
              <w:t>SE</w:t>
            </w:r>
          </w:p>
        </w:tc>
        <w:tc>
          <w:tcPr>
            <w:tcW w:w="259" w:type="pct"/>
            <w:tcBorders>
              <w:top w:val="single" w:sz="4" w:space="0" w:color="auto"/>
              <w:bottom w:val="single" w:sz="4" w:space="0" w:color="auto"/>
            </w:tcBorders>
            <w:noWrap/>
            <w:vAlign w:val="bottom"/>
            <w:hideMark/>
          </w:tcPr>
          <w:p w14:paraId="3930C607" w14:textId="2803D70E" w:rsidR="0085459B" w:rsidRPr="0085459B" w:rsidRDefault="00F36199" w:rsidP="008D7589">
            <w:pPr>
              <w:jc w:val="center"/>
              <w:rPr>
                <w:rFonts w:ascii="Times New Roman" w:hAnsi="Times New Roman" w:cs="Times New Roman"/>
                <w:sz w:val="24"/>
              </w:rPr>
            </w:pPr>
            <w:r>
              <w:rPr>
                <w:rFonts w:ascii="Times New Roman" w:hAnsi="Times New Roman" w:cs="Times New Roman"/>
                <w:sz w:val="24"/>
              </w:rPr>
              <w:t>r</w:t>
            </w:r>
            <w:r w:rsidR="0085459B" w:rsidRPr="0085459B">
              <w:rPr>
                <w:rFonts w:ascii="Times New Roman" w:hAnsi="Times New Roman" w:cs="Times New Roman"/>
                <w:sz w:val="24"/>
                <w:vertAlign w:val="superscript"/>
              </w:rPr>
              <w:t>2</w:t>
            </w:r>
          </w:p>
        </w:tc>
        <w:tc>
          <w:tcPr>
            <w:tcW w:w="326" w:type="pct"/>
            <w:tcBorders>
              <w:top w:val="single" w:sz="4" w:space="0" w:color="auto"/>
              <w:bottom w:val="single" w:sz="4" w:space="0" w:color="auto"/>
            </w:tcBorders>
            <w:noWrap/>
            <w:vAlign w:val="bottom"/>
            <w:hideMark/>
          </w:tcPr>
          <w:p w14:paraId="26C540B3" w14:textId="77777777" w:rsidR="0085459B" w:rsidRDefault="0085459B" w:rsidP="008D7589">
            <w:pPr>
              <w:jc w:val="center"/>
              <w:rPr>
                <w:rFonts w:ascii="Times New Roman" w:hAnsi="Times New Roman" w:cs="Times New Roman"/>
                <w:sz w:val="24"/>
              </w:rPr>
            </w:pPr>
            <w:r w:rsidRPr="0085459B">
              <w:rPr>
                <w:rFonts w:ascii="Times New Roman" w:hAnsi="Times New Roman" w:cs="Times New Roman"/>
                <w:sz w:val="24"/>
              </w:rPr>
              <w:t>DT50</w:t>
            </w:r>
          </w:p>
          <w:p w14:paraId="1F29C7A6" w14:textId="4BE2C5ED" w:rsidR="002A3211" w:rsidRPr="0085459B" w:rsidRDefault="002A3211" w:rsidP="008D7589">
            <w:pPr>
              <w:jc w:val="center"/>
              <w:rPr>
                <w:rFonts w:ascii="Times New Roman" w:hAnsi="Times New Roman" w:cs="Times New Roman"/>
                <w:sz w:val="24"/>
              </w:rPr>
            </w:pPr>
            <w:r>
              <w:rPr>
                <w:rFonts w:ascii="Times New Roman" w:hAnsi="Times New Roman" w:cs="Times New Roman"/>
                <w:sz w:val="24"/>
              </w:rPr>
              <w:t>(days)</w:t>
            </w:r>
          </w:p>
        </w:tc>
      </w:tr>
      <w:tr w:rsidR="00F36199" w:rsidRPr="0085459B" w14:paraId="3E8BFC7C" w14:textId="77777777" w:rsidTr="008D7589">
        <w:trPr>
          <w:trHeight w:val="360"/>
          <w:jc w:val="center"/>
        </w:trPr>
        <w:tc>
          <w:tcPr>
            <w:tcW w:w="309" w:type="pct"/>
            <w:tcBorders>
              <w:top w:val="single" w:sz="4" w:space="0" w:color="auto"/>
            </w:tcBorders>
            <w:noWrap/>
            <w:vAlign w:val="center"/>
            <w:hideMark/>
          </w:tcPr>
          <w:p w14:paraId="669ACB8E"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LS3</w:t>
            </w:r>
          </w:p>
        </w:tc>
        <w:tc>
          <w:tcPr>
            <w:tcW w:w="379" w:type="pct"/>
            <w:tcBorders>
              <w:top w:val="single" w:sz="4" w:space="0" w:color="auto"/>
            </w:tcBorders>
            <w:noWrap/>
            <w:vAlign w:val="center"/>
            <w:hideMark/>
          </w:tcPr>
          <w:p w14:paraId="5B800284"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GA</w:t>
            </w:r>
          </w:p>
        </w:tc>
        <w:tc>
          <w:tcPr>
            <w:tcW w:w="621" w:type="pct"/>
            <w:tcBorders>
              <w:top w:val="single" w:sz="4" w:space="0" w:color="auto"/>
            </w:tcBorders>
            <w:noWrap/>
            <w:vAlign w:val="center"/>
            <w:hideMark/>
          </w:tcPr>
          <w:p w14:paraId="58ED6C6D" w14:textId="7981326E"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A</w:t>
            </w:r>
            <w:r w:rsidR="00F36199">
              <w:rPr>
                <w:rFonts w:ascii="Times New Roman" w:hAnsi="Times New Roman" w:cs="Times New Roman"/>
                <w:sz w:val="24"/>
              </w:rPr>
              <w:t>trazine</w:t>
            </w:r>
          </w:p>
        </w:tc>
        <w:tc>
          <w:tcPr>
            <w:tcW w:w="310" w:type="pct"/>
            <w:tcBorders>
              <w:top w:val="single" w:sz="4" w:space="0" w:color="auto"/>
            </w:tcBorders>
            <w:noWrap/>
            <w:vAlign w:val="center"/>
            <w:hideMark/>
          </w:tcPr>
          <w:p w14:paraId="27656FB6"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1425</w:t>
            </w:r>
          </w:p>
        </w:tc>
        <w:tc>
          <w:tcPr>
            <w:tcW w:w="345" w:type="pct"/>
            <w:tcBorders>
              <w:top w:val="single" w:sz="4" w:space="0" w:color="auto"/>
            </w:tcBorders>
            <w:noWrap/>
            <w:vAlign w:val="center"/>
            <w:hideMark/>
          </w:tcPr>
          <w:p w14:paraId="797B51FC"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no</w:t>
            </w:r>
          </w:p>
        </w:tc>
        <w:tc>
          <w:tcPr>
            <w:tcW w:w="1070" w:type="pct"/>
            <w:tcBorders>
              <w:top w:val="single" w:sz="4" w:space="0" w:color="auto"/>
            </w:tcBorders>
            <w:noWrap/>
            <w:vAlign w:val="center"/>
            <w:hideMark/>
          </w:tcPr>
          <w:p w14:paraId="0B052B95"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1416</w:t>
            </w:r>
          </w:p>
        </w:tc>
        <w:tc>
          <w:tcPr>
            <w:tcW w:w="215" w:type="pct"/>
            <w:tcBorders>
              <w:top w:val="single" w:sz="4" w:space="0" w:color="auto"/>
            </w:tcBorders>
            <w:noWrap/>
            <w:vAlign w:val="center"/>
            <w:hideMark/>
          </w:tcPr>
          <w:p w14:paraId="6065B07E"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28</w:t>
            </w:r>
          </w:p>
        </w:tc>
        <w:tc>
          <w:tcPr>
            <w:tcW w:w="821" w:type="pct"/>
            <w:tcBorders>
              <w:top w:val="single" w:sz="4" w:space="0" w:color="auto"/>
            </w:tcBorders>
            <w:noWrap/>
            <w:vAlign w:val="center"/>
            <w:hideMark/>
          </w:tcPr>
          <w:p w14:paraId="3830C8E9"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0.0261</w:t>
            </w:r>
          </w:p>
        </w:tc>
        <w:tc>
          <w:tcPr>
            <w:tcW w:w="345" w:type="pct"/>
            <w:tcBorders>
              <w:top w:val="single" w:sz="4" w:space="0" w:color="auto"/>
            </w:tcBorders>
            <w:noWrap/>
            <w:vAlign w:val="center"/>
            <w:hideMark/>
          </w:tcPr>
          <w:p w14:paraId="42986524"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0.0012</w:t>
            </w:r>
          </w:p>
        </w:tc>
        <w:tc>
          <w:tcPr>
            <w:tcW w:w="259" w:type="pct"/>
            <w:tcBorders>
              <w:top w:val="single" w:sz="4" w:space="0" w:color="auto"/>
            </w:tcBorders>
            <w:noWrap/>
            <w:vAlign w:val="center"/>
            <w:hideMark/>
          </w:tcPr>
          <w:p w14:paraId="6B6CEF64"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0.99</w:t>
            </w:r>
          </w:p>
        </w:tc>
        <w:tc>
          <w:tcPr>
            <w:tcW w:w="326" w:type="pct"/>
            <w:tcBorders>
              <w:top w:val="single" w:sz="4" w:space="0" w:color="auto"/>
            </w:tcBorders>
            <w:noWrap/>
            <w:vAlign w:val="center"/>
            <w:hideMark/>
          </w:tcPr>
          <w:p w14:paraId="4D28BCF3"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26.6</w:t>
            </w:r>
          </w:p>
        </w:tc>
      </w:tr>
      <w:tr w:rsidR="00F36199" w:rsidRPr="0085459B" w14:paraId="7C5CD8D1" w14:textId="77777777" w:rsidTr="008D7589">
        <w:trPr>
          <w:trHeight w:val="360"/>
          <w:jc w:val="center"/>
        </w:trPr>
        <w:tc>
          <w:tcPr>
            <w:tcW w:w="309" w:type="pct"/>
            <w:noWrap/>
            <w:vAlign w:val="center"/>
            <w:hideMark/>
          </w:tcPr>
          <w:p w14:paraId="1B61E921"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LS3</w:t>
            </w:r>
          </w:p>
        </w:tc>
        <w:tc>
          <w:tcPr>
            <w:tcW w:w="379" w:type="pct"/>
            <w:noWrap/>
            <w:vAlign w:val="center"/>
            <w:hideMark/>
          </w:tcPr>
          <w:p w14:paraId="163966CA"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IL</w:t>
            </w:r>
          </w:p>
        </w:tc>
        <w:tc>
          <w:tcPr>
            <w:tcW w:w="621" w:type="pct"/>
            <w:noWrap/>
            <w:vAlign w:val="center"/>
            <w:hideMark/>
          </w:tcPr>
          <w:p w14:paraId="33291805" w14:textId="1D1D4923" w:rsidR="0085459B" w:rsidRPr="0085459B" w:rsidRDefault="00F36199" w:rsidP="0085459B">
            <w:pPr>
              <w:jc w:val="center"/>
              <w:rPr>
                <w:rFonts w:ascii="Times New Roman" w:hAnsi="Times New Roman" w:cs="Times New Roman"/>
                <w:sz w:val="24"/>
              </w:rPr>
            </w:pPr>
            <w:r w:rsidRPr="0085459B">
              <w:rPr>
                <w:rFonts w:ascii="Times New Roman" w:hAnsi="Times New Roman" w:cs="Times New Roman"/>
                <w:sz w:val="24"/>
              </w:rPr>
              <w:t>A</w:t>
            </w:r>
            <w:r>
              <w:rPr>
                <w:rFonts w:ascii="Times New Roman" w:hAnsi="Times New Roman" w:cs="Times New Roman"/>
                <w:sz w:val="24"/>
              </w:rPr>
              <w:t>trazine</w:t>
            </w:r>
          </w:p>
        </w:tc>
        <w:tc>
          <w:tcPr>
            <w:tcW w:w="310" w:type="pct"/>
            <w:noWrap/>
            <w:vAlign w:val="center"/>
            <w:hideMark/>
          </w:tcPr>
          <w:p w14:paraId="4A8B39FA"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1425</w:t>
            </w:r>
          </w:p>
        </w:tc>
        <w:tc>
          <w:tcPr>
            <w:tcW w:w="345" w:type="pct"/>
            <w:noWrap/>
            <w:vAlign w:val="center"/>
            <w:hideMark/>
          </w:tcPr>
          <w:p w14:paraId="5A3C1492"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no</w:t>
            </w:r>
          </w:p>
        </w:tc>
        <w:tc>
          <w:tcPr>
            <w:tcW w:w="1070" w:type="pct"/>
            <w:noWrap/>
            <w:vAlign w:val="center"/>
            <w:hideMark/>
          </w:tcPr>
          <w:p w14:paraId="4DEDFC54"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1421</w:t>
            </w:r>
          </w:p>
        </w:tc>
        <w:tc>
          <w:tcPr>
            <w:tcW w:w="215" w:type="pct"/>
            <w:noWrap/>
            <w:vAlign w:val="center"/>
            <w:hideMark/>
          </w:tcPr>
          <w:p w14:paraId="3DF613CF"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13</w:t>
            </w:r>
          </w:p>
        </w:tc>
        <w:tc>
          <w:tcPr>
            <w:tcW w:w="821" w:type="pct"/>
            <w:noWrap/>
            <w:vAlign w:val="center"/>
            <w:hideMark/>
          </w:tcPr>
          <w:p w14:paraId="2462B841"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0.0214</w:t>
            </w:r>
          </w:p>
        </w:tc>
        <w:tc>
          <w:tcPr>
            <w:tcW w:w="345" w:type="pct"/>
            <w:noWrap/>
            <w:vAlign w:val="center"/>
            <w:hideMark/>
          </w:tcPr>
          <w:p w14:paraId="7A435719"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0.0005</w:t>
            </w:r>
          </w:p>
        </w:tc>
        <w:tc>
          <w:tcPr>
            <w:tcW w:w="259" w:type="pct"/>
            <w:noWrap/>
            <w:vAlign w:val="center"/>
            <w:hideMark/>
          </w:tcPr>
          <w:p w14:paraId="047150D9"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0.99</w:t>
            </w:r>
          </w:p>
        </w:tc>
        <w:tc>
          <w:tcPr>
            <w:tcW w:w="326" w:type="pct"/>
            <w:noWrap/>
            <w:vAlign w:val="center"/>
            <w:hideMark/>
          </w:tcPr>
          <w:p w14:paraId="0A374491"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32.4</w:t>
            </w:r>
          </w:p>
        </w:tc>
      </w:tr>
      <w:tr w:rsidR="00F36199" w:rsidRPr="0085459B" w14:paraId="014E3EE8" w14:textId="77777777" w:rsidTr="008D7589">
        <w:trPr>
          <w:trHeight w:val="360"/>
          <w:jc w:val="center"/>
        </w:trPr>
        <w:tc>
          <w:tcPr>
            <w:tcW w:w="309" w:type="pct"/>
            <w:noWrap/>
            <w:vAlign w:val="center"/>
            <w:hideMark/>
          </w:tcPr>
          <w:p w14:paraId="10F6C03E"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LS3</w:t>
            </w:r>
          </w:p>
        </w:tc>
        <w:tc>
          <w:tcPr>
            <w:tcW w:w="379" w:type="pct"/>
            <w:noWrap/>
            <w:vAlign w:val="center"/>
            <w:hideMark/>
          </w:tcPr>
          <w:p w14:paraId="6539B6CE"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TN</w:t>
            </w:r>
          </w:p>
        </w:tc>
        <w:tc>
          <w:tcPr>
            <w:tcW w:w="621" w:type="pct"/>
            <w:noWrap/>
            <w:vAlign w:val="center"/>
            <w:hideMark/>
          </w:tcPr>
          <w:p w14:paraId="7226E416" w14:textId="0F50E2FB" w:rsidR="0085459B" w:rsidRPr="0085459B" w:rsidRDefault="00F36199" w:rsidP="0085459B">
            <w:pPr>
              <w:jc w:val="center"/>
              <w:rPr>
                <w:rFonts w:ascii="Times New Roman" w:hAnsi="Times New Roman" w:cs="Times New Roman"/>
                <w:sz w:val="24"/>
              </w:rPr>
            </w:pPr>
            <w:r w:rsidRPr="0085459B">
              <w:rPr>
                <w:rFonts w:ascii="Times New Roman" w:hAnsi="Times New Roman" w:cs="Times New Roman"/>
                <w:sz w:val="24"/>
              </w:rPr>
              <w:t>A</w:t>
            </w:r>
            <w:r>
              <w:rPr>
                <w:rFonts w:ascii="Times New Roman" w:hAnsi="Times New Roman" w:cs="Times New Roman"/>
                <w:sz w:val="24"/>
              </w:rPr>
              <w:t>trazine</w:t>
            </w:r>
          </w:p>
        </w:tc>
        <w:tc>
          <w:tcPr>
            <w:tcW w:w="310" w:type="pct"/>
            <w:noWrap/>
            <w:vAlign w:val="center"/>
            <w:hideMark/>
          </w:tcPr>
          <w:p w14:paraId="5909055E"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1380</w:t>
            </w:r>
          </w:p>
        </w:tc>
        <w:tc>
          <w:tcPr>
            <w:tcW w:w="345" w:type="pct"/>
            <w:noWrap/>
            <w:vAlign w:val="center"/>
            <w:hideMark/>
          </w:tcPr>
          <w:p w14:paraId="4A1FDE36"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no</w:t>
            </w:r>
          </w:p>
        </w:tc>
        <w:tc>
          <w:tcPr>
            <w:tcW w:w="1070" w:type="pct"/>
            <w:noWrap/>
            <w:vAlign w:val="center"/>
            <w:hideMark/>
          </w:tcPr>
          <w:p w14:paraId="439C8925"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1483</w:t>
            </w:r>
          </w:p>
        </w:tc>
        <w:tc>
          <w:tcPr>
            <w:tcW w:w="215" w:type="pct"/>
            <w:noWrap/>
            <w:vAlign w:val="center"/>
            <w:hideMark/>
          </w:tcPr>
          <w:p w14:paraId="67462DE0"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54</w:t>
            </w:r>
          </w:p>
        </w:tc>
        <w:tc>
          <w:tcPr>
            <w:tcW w:w="821" w:type="pct"/>
            <w:noWrap/>
            <w:vAlign w:val="center"/>
            <w:hideMark/>
          </w:tcPr>
          <w:p w14:paraId="0A5AD7A0"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0.0446</w:t>
            </w:r>
          </w:p>
        </w:tc>
        <w:tc>
          <w:tcPr>
            <w:tcW w:w="345" w:type="pct"/>
            <w:noWrap/>
            <w:vAlign w:val="center"/>
            <w:hideMark/>
          </w:tcPr>
          <w:p w14:paraId="5A0EC228"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0.0036</w:t>
            </w:r>
          </w:p>
        </w:tc>
        <w:tc>
          <w:tcPr>
            <w:tcW w:w="259" w:type="pct"/>
            <w:noWrap/>
            <w:vAlign w:val="center"/>
            <w:hideMark/>
          </w:tcPr>
          <w:p w14:paraId="033B58BE"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0.98</w:t>
            </w:r>
          </w:p>
        </w:tc>
        <w:tc>
          <w:tcPr>
            <w:tcW w:w="326" w:type="pct"/>
            <w:noWrap/>
            <w:vAlign w:val="center"/>
            <w:hideMark/>
          </w:tcPr>
          <w:p w14:paraId="16C82D32"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15.5</w:t>
            </w:r>
          </w:p>
        </w:tc>
      </w:tr>
      <w:tr w:rsidR="00F36199" w:rsidRPr="0085459B" w14:paraId="5EF5E9C4" w14:textId="77777777" w:rsidTr="008D7589">
        <w:trPr>
          <w:trHeight w:val="360"/>
          <w:jc w:val="center"/>
        </w:trPr>
        <w:tc>
          <w:tcPr>
            <w:tcW w:w="309" w:type="pct"/>
            <w:noWrap/>
            <w:vAlign w:val="center"/>
            <w:hideMark/>
          </w:tcPr>
          <w:p w14:paraId="31CFF0F2"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LS3</w:t>
            </w:r>
          </w:p>
        </w:tc>
        <w:tc>
          <w:tcPr>
            <w:tcW w:w="379" w:type="pct"/>
            <w:noWrap/>
            <w:vAlign w:val="center"/>
            <w:hideMark/>
          </w:tcPr>
          <w:p w14:paraId="115B4344"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GA</w:t>
            </w:r>
          </w:p>
        </w:tc>
        <w:tc>
          <w:tcPr>
            <w:tcW w:w="621" w:type="pct"/>
            <w:noWrap/>
            <w:vAlign w:val="center"/>
            <w:hideMark/>
          </w:tcPr>
          <w:p w14:paraId="75305464" w14:textId="00709F73"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P</w:t>
            </w:r>
            <w:r w:rsidR="00F36199">
              <w:rPr>
                <w:rFonts w:ascii="Times New Roman" w:hAnsi="Times New Roman" w:cs="Times New Roman"/>
                <w:sz w:val="24"/>
              </w:rPr>
              <w:t>yroxasulfone</w:t>
            </w:r>
          </w:p>
        </w:tc>
        <w:tc>
          <w:tcPr>
            <w:tcW w:w="310" w:type="pct"/>
            <w:noWrap/>
            <w:vAlign w:val="center"/>
            <w:hideMark/>
          </w:tcPr>
          <w:p w14:paraId="5A2269DD"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779</w:t>
            </w:r>
          </w:p>
        </w:tc>
        <w:tc>
          <w:tcPr>
            <w:tcW w:w="345" w:type="pct"/>
            <w:noWrap/>
            <w:vAlign w:val="center"/>
            <w:hideMark/>
          </w:tcPr>
          <w:p w14:paraId="75442A4F"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no</w:t>
            </w:r>
          </w:p>
        </w:tc>
        <w:tc>
          <w:tcPr>
            <w:tcW w:w="1070" w:type="pct"/>
            <w:noWrap/>
            <w:vAlign w:val="center"/>
            <w:hideMark/>
          </w:tcPr>
          <w:p w14:paraId="53180F89"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770</w:t>
            </w:r>
          </w:p>
        </w:tc>
        <w:tc>
          <w:tcPr>
            <w:tcW w:w="215" w:type="pct"/>
            <w:noWrap/>
            <w:vAlign w:val="center"/>
            <w:hideMark/>
          </w:tcPr>
          <w:p w14:paraId="5D18D7E7"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13</w:t>
            </w:r>
          </w:p>
        </w:tc>
        <w:tc>
          <w:tcPr>
            <w:tcW w:w="821" w:type="pct"/>
            <w:noWrap/>
            <w:vAlign w:val="center"/>
            <w:hideMark/>
          </w:tcPr>
          <w:p w14:paraId="1D1FB0A8"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0.0083</w:t>
            </w:r>
          </w:p>
        </w:tc>
        <w:tc>
          <w:tcPr>
            <w:tcW w:w="345" w:type="pct"/>
            <w:noWrap/>
            <w:vAlign w:val="center"/>
            <w:hideMark/>
          </w:tcPr>
          <w:p w14:paraId="63C8DA8C"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0.0004</w:t>
            </w:r>
          </w:p>
        </w:tc>
        <w:tc>
          <w:tcPr>
            <w:tcW w:w="259" w:type="pct"/>
            <w:noWrap/>
            <w:vAlign w:val="center"/>
            <w:hideMark/>
          </w:tcPr>
          <w:p w14:paraId="2B750B92"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0.98</w:t>
            </w:r>
          </w:p>
        </w:tc>
        <w:tc>
          <w:tcPr>
            <w:tcW w:w="326" w:type="pct"/>
            <w:noWrap/>
            <w:vAlign w:val="center"/>
            <w:hideMark/>
          </w:tcPr>
          <w:p w14:paraId="4449AA4B"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83.5</w:t>
            </w:r>
          </w:p>
        </w:tc>
      </w:tr>
      <w:tr w:rsidR="00F36199" w:rsidRPr="0085459B" w14:paraId="6E506A95" w14:textId="77777777" w:rsidTr="008D7589">
        <w:trPr>
          <w:trHeight w:val="360"/>
          <w:jc w:val="center"/>
        </w:trPr>
        <w:tc>
          <w:tcPr>
            <w:tcW w:w="309" w:type="pct"/>
            <w:noWrap/>
            <w:vAlign w:val="center"/>
            <w:hideMark/>
          </w:tcPr>
          <w:p w14:paraId="1B15DF3E"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LS3</w:t>
            </w:r>
          </w:p>
        </w:tc>
        <w:tc>
          <w:tcPr>
            <w:tcW w:w="379" w:type="pct"/>
            <w:noWrap/>
            <w:vAlign w:val="center"/>
            <w:hideMark/>
          </w:tcPr>
          <w:p w14:paraId="31221B9A"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IL</w:t>
            </w:r>
          </w:p>
        </w:tc>
        <w:tc>
          <w:tcPr>
            <w:tcW w:w="621" w:type="pct"/>
            <w:noWrap/>
            <w:vAlign w:val="center"/>
            <w:hideMark/>
          </w:tcPr>
          <w:p w14:paraId="0489A0C4" w14:textId="33DCDC70" w:rsidR="0085459B" w:rsidRPr="0085459B" w:rsidRDefault="00F36199" w:rsidP="0085459B">
            <w:pPr>
              <w:jc w:val="center"/>
              <w:rPr>
                <w:rFonts w:ascii="Times New Roman" w:hAnsi="Times New Roman" w:cs="Times New Roman"/>
                <w:sz w:val="24"/>
              </w:rPr>
            </w:pPr>
            <w:r w:rsidRPr="0085459B">
              <w:rPr>
                <w:rFonts w:ascii="Times New Roman" w:hAnsi="Times New Roman" w:cs="Times New Roman"/>
                <w:sz w:val="24"/>
              </w:rPr>
              <w:t>P</w:t>
            </w:r>
            <w:r>
              <w:rPr>
                <w:rFonts w:ascii="Times New Roman" w:hAnsi="Times New Roman" w:cs="Times New Roman"/>
                <w:sz w:val="24"/>
              </w:rPr>
              <w:t>yroxasulfone</w:t>
            </w:r>
          </w:p>
        </w:tc>
        <w:tc>
          <w:tcPr>
            <w:tcW w:w="310" w:type="pct"/>
            <w:noWrap/>
            <w:vAlign w:val="center"/>
            <w:hideMark/>
          </w:tcPr>
          <w:p w14:paraId="2EE92D10"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758</w:t>
            </w:r>
          </w:p>
        </w:tc>
        <w:tc>
          <w:tcPr>
            <w:tcW w:w="345" w:type="pct"/>
            <w:noWrap/>
            <w:vAlign w:val="center"/>
            <w:hideMark/>
          </w:tcPr>
          <w:p w14:paraId="42727895"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no</w:t>
            </w:r>
          </w:p>
        </w:tc>
        <w:tc>
          <w:tcPr>
            <w:tcW w:w="1070" w:type="pct"/>
            <w:noWrap/>
            <w:vAlign w:val="center"/>
            <w:hideMark/>
          </w:tcPr>
          <w:p w14:paraId="3C88C7B1"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691</w:t>
            </w:r>
          </w:p>
        </w:tc>
        <w:tc>
          <w:tcPr>
            <w:tcW w:w="215" w:type="pct"/>
            <w:noWrap/>
            <w:vAlign w:val="center"/>
            <w:hideMark/>
          </w:tcPr>
          <w:p w14:paraId="6661A9CA"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28</w:t>
            </w:r>
          </w:p>
        </w:tc>
        <w:tc>
          <w:tcPr>
            <w:tcW w:w="821" w:type="pct"/>
            <w:noWrap/>
            <w:vAlign w:val="center"/>
            <w:hideMark/>
          </w:tcPr>
          <w:p w14:paraId="4BBB9814"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0.0109</w:t>
            </w:r>
          </w:p>
        </w:tc>
        <w:tc>
          <w:tcPr>
            <w:tcW w:w="345" w:type="pct"/>
            <w:noWrap/>
            <w:vAlign w:val="center"/>
            <w:hideMark/>
          </w:tcPr>
          <w:p w14:paraId="76C60E1B"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0.0012</w:t>
            </w:r>
          </w:p>
        </w:tc>
        <w:tc>
          <w:tcPr>
            <w:tcW w:w="259" w:type="pct"/>
            <w:noWrap/>
            <w:vAlign w:val="center"/>
            <w:hideMark/>
          </w:tcPr>
          <w:p w14:paraId="27180FA8"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0.92</w:t>
            </w:r>
          </w:p>
        </w:tc>
        <w:tc>
          <w:tcPr>
            <w:tcW w:w="326" w:type="pct"/>
            <w:noWrap/>
            <w:vAlign w:val="center"/>
            <w:hideMark/>
          </w:tcPr>
          <w:p w14:paraId="611D5E98"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63.6</w:t>
            </w:r>
          </w:p>
        </w:tc>
      </w:tr>
      <w:tr w:rsidR="00F36199" w:rsidRPr="0085459B" w14:paraId="5399C6F2" w14:textId="77777777" w:rsidTr="008D7589">
        <w:trPr>
          <w:trHeight w:val="360"/>
          <w:jc w:val="center"/>
        </w:trPr>
        <w:tc>
          <w:tcPr>
            <w:tcW w:w="309" w:type="pct"/>
            <w:noWrap/>
            <w:vAlign w:val="center"/>
            <w:hideMark/>
          </w:tcPr>
          <w:p w14:paraId="1E15C6C0"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LS3</w:t>
            </w:r>
          </w:p>
        </w:tc>
        <w:tc>
          <w:tcPr>
            <w:tcW w:w="379" w:type="pct"/>
            <w:noWrap/>
            <w:vAlign w:val="center"/>
            <w:hideMark/>
          </w:tcPr>
          <w:p w14:paraId="44766787"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TN</w:t>
            </w:r>
          </w:p>
        </w:tc>
        <w:tc>
          <w:tcPr>
            <w:tcW w:w="621" w:type="pct"/>
            <w:noWrap/>
            <w:vAlign w:val="center"/>
            <w:hideMark/>
          </w:tcPr>
          <w:p w14:paraId="0D6E6D3A" w14:textId="4272C8FF" w:rsidR="0085459B" w:rsidRPr="0085459B" w:rsidRDefault="00F36199" w:rsidP="0085459B">
            <w:pPr>
              <w:jc w:val="center"/>
              <w:rPr>
                <w:rFonts w:ascii="Times New Roman" w:hAnsi="Times New Roman" w:cs="Times New Roman"/>
                <w:sz w:val="24"/>
              </w:rPr>
            </w:pPr>
            <w:r w:rsidRPr="0085459B">
              <w:rPr>
                <w:rFonts w:ascii="Times New Roman" w:hAnsi="Times New Roman" w:cs="Times New Roman"/>
                <w:sz w:val="24"/>
              </w:rPr>
              <w:t>P</w:t>
            </w:r>
            <w:r>
              <w:rPr>
                <w:rFonts w:ascii="Times New Roman" w:hAnsi="Times New Roman" w:cs="Times New Roman"/>
                <w:sz w:val="24"/>
              </w:rPr>
              <w:t>yroxasulfone</w:t>
            </w:r>
          </w:p>
        </w:tc>
        <w:tc>
          <w:tcPr>
            <w:tcW w:w="310" w:type="pct"/>
            <w:noWrap/>
            <w:vAlign w:val="center"/>
            <w:hideMark/>
          </w:tcPr>
          <w:p w14:paraId="606112F9"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751</w:t>
            </w:r>
          </w:p>
        </w:tc>
        <w:tc>
          <w:tcPr>
            <w:tcW w:w="345" w:type="pct"/>
            <w:noWrap/>
            <w:vAlign w:val="center"/>
            <w:hideMark/>
          </w:tcPr>
          <w:p w14:paraId="0721D08C"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no</w:t>
            </w:r>
          </w:p>
        </w:tc>
        <w:tc>
          <w:tcPr>
            <w:tcW w:w="1070" w:type="pct"/>
            <w:noWrap/>
            <w:vAlign w:val="center"/>
            <w:hideMark/>
          </w:tcPr>
          <w:p w14:paraId="374A4887"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736</w:t>
            </w:r>
          </w:p>
        </w:tc>
        <w:tc>
          <w:tcPr>
            <w:tcW w:w="215" w:type="pct"/>
            <w:noWrap/>
            <w:vAlign w:val="center"/>
            <w:hideMark/>
          </w:tcPr>
          <w:p w14:paraId="37CD2954"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14</w:t>
            </w:r>
          </w:p>
        </w:tc>
        <w:tc>
          <w:tcPr>
            <w:tcW w:w="821" w:type="pct"/>
            <w:noWrap/>
            <w:vAlign w:val="center"/>
            <w:hideMark/>
          </w:tcPr>
          <w:p w14:paraId="54B73D87"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0.0127</w:t>
            </w:r>
          </w:p>
        </w:tc>
        <w:tc>
          <w:tcPr>
            <w:tcW w:w="345" w:type="pct"/>
            <w:noWrap/>
            <w:vAlign w:val="center"/>
            <w:hideMark/>
          </w:tcPr>
          <w:p w14:paraId="14C03EDC"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0.0006</w:t>
            </w:r>
          </w:p>
        </w:tc>
        <w:tc>
          <w:tcPr>
            <w:tcW w:w="259" w:type="pct"/>
            <w:noWrap/>
            <w:vAlign w:val="center"/>
            <w:hideMark/>
          </w:tcPr>
          <w:p w14:paraId="2E383718"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0.98</w:t>
            </w:r>
          </w:p>
        </w:tc>
        <w:tc>
          <w:tcPr>
            <w:tcW w:w="326" w:type="pct"/>
            <w:noWrap/>
            <w:vAlign w:val="center"/>
            <w:hideMark/>
          </w:tcPr>
          <w:p w14:paraId="3DA65DE6"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54.6</w:t>
            </w:r>
          </w:p>
        </w:tc>
      </w:tr>
      <w:tr w:rsidR="00F36199" w:rsidRPr="0085459B" w14:paraId="5159B591" w14:textId="77777777" w:rsidTr="008D7589">
        <w:trPr>
          <w:trHeight w:val="360"/>
          <w:jc w:val="center"/>
        </w:trPr>
        <w:tc>
          <w:tcPr>
            <w:tcW w:w="309" w:type="pct"/>
            <w:noWrap/>
            <w:vAlign w:val="center"/>
            <w:hideMark/>
          </w:tcPr>
          <w:p w14:paraId="4D720AEE"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LS3</w:t>
            </w:r>
          </w:p>
        </w:tc>
        <w:tc>
          <w:tcPr>
            <w:tcW w:w="379" w:type="pct"/>
            <w:noWrap/>
            <w:vAlign w:val="center"/>
            <w:hideMark/>
          </w:tcPr>
          <w:p w14:paraId="2B1A1E36"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GA</w:t>
            </w:r>
          </w:p>
        </w:tc>
        <w:tc>
          <w:tcPr>
            <w:tcW w:w="621" w:type="pct"/>
            <w:noWrap/>
            <w:vAlign w:val="center"/>
            <w:hideMark/>
          </w:tcPr>
          <w:p w14:paraId="2405B79D" w14:textId="091D3285"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S</w:t>
            </w:r>
            <w:r w:rsidR="00F36199">
              <w:rPr>
                <w:rFonts w:ascii="Times New Roman" w:hAnsi="Times New Roman" w:cs="Times New Roman"/>
                <w:sz w:val="24"/>
              </w:rPr>
              <w:t>aflufenacil</w:t>
            </w:r>
          </w:p>
        </w:tc>
        <w:tc>
          <w:tcPr>
            <w:tcW w:w="310" w:type="pct"/>
            <w:noWrap/>
            <w:vAlign w:val="center"/>
            <w:hideMark/>
          </w:tcPr>
          <w:p w14:paraId="0A61CC25"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1716</w:t>
            </w:r>
          </w:p>
        </w:tc>
        <w:tc>
          <w:tcPr>
            <w:tcW w:w="345" w:type="pct"/>
            <w:noWrap/>
            <w:vAlign w:val="center"/>
            <w:hideMark/>
          </w:tcPr>
          <w:p w14:paraId="64E14D34"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no</w:t>
            </w:r>
          </w:p>
        </w:tc>
        <w:tc>
          <w:tcPr>
            <w:tcW w:w="1070" w:type="pct"/>
            <w:noWrap/>
            <w:vAlign w:val="center"/>
            <w:hideMark/>
          </w:tcPr>
          <w:p w14:paraId="325BB2B6"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1591</w:t>
            </w:r>
          </w:p>
        </w:tc>
        <w:tc>
          <w:tcPr>
            <w:tcW w:w="215" w:type="pct"/>
            <w:noWrap/>
            <w:vAlign w:val="center"/>
            <w:hideMark/>
          </w:tcPr>
          <w:p w14:paraId="02E3BC66"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56</w:t>
            </w:r>
          </w:p>
        </w:tc>
        <w:tc>
          <w:tcPr>
            <w:tcW w:w="821" w:type="pct"/>
            <w:noWrap/>
            <w:vAlign w:val="center"/>
            <w:hideMark/>
          </w:tcPr>
          <w:p w14:paraId="75BF4515"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0.0137</w:t>
            </w:r>
          </w:p>
        </w:tc>
        <w:tc>
          <w:tcPr>
            <w:tcW w:w="345" w:type="pct"/>
            <w:noWrap/>
            <w:vAlign w:val="center"/>
            <w:hideMark/>
          </w:tcPr>
          <w:p w14:paraId="45CA2108"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0.0013</w:t>
            </w:r>
          </w:p>
        </w:tc>
        <w:tc>
          <w:tcPr>
            <w:tcW w:w="259" w:type="pct"/>
            <w:noWrap/>
            <w:vAlign w:val="center"/>
            <w:hideMark/>
          </w:tcPr>
          <w:p w14:paraId="7661F7C2"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0.95</w:t>
            </w:r>
          </w:p>
        </w:tc>
        <w:tc>
          <w:tcPr>
            <w:tcW w:w="326" w:type="pct"/>
            <w:noWrap/>
            <w:vAlign w:val="center"/>
            <w:hideMark/>
          </w:tcPr>
          <w:p w14:paraId="276AD519"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50.6</w:t>
            </w:r>
          </w:p>
        </w:tc>
      </w:tr>
      <w:tr w:rsidR="00F36199" w:rsidRPr="0085459B" w14:paraId="2561DCDD" w14:textId="77777777" w:rsidTr="008D7589">
        <w:trPr>
          <w:trHeight w:val="360"/>
          <w:jc w:val="center"/>
        </w:trPr>
        <w:tc>
          <w:tcPr>
            <w:tcW w:w="309" w:type="pct"/>
            <w:noWrap/>
            <w:vAlign w:val="center"/>
            <w:hideMark/>
          </w:tcPr>
          <w:p w14:paraId="79975357"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LS3</w:t>
            </w:r>
          </w:p>
        </w:tc>
        <w:tc>
          <w:tcPr>
            <w:tcW w:w="379" w:type="pct"/>
            <w:noWrap/>
            <w:vAlign w:val="center"/>
            <w:hideMark/>
          </w:tcPr>
          <w:p w14:paraId="3D651E60"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IL</w:t>
            </w:r>
          </w:p>
        </w:tc>
        <w:tc>
          <w:tcPr>
            <w:tcW w:w="621" w:type="pct"/>
            <w:noWrap/>
            <w:vAlign w:val="center"/>
            <w:hideMark/>
          </w:tcPr>
          <w:p w14:paraId="6B4B26C2" w14:textId="0E5ABA0A" w:rsidR="0085459B" w:rsidRPr="0085459B" w:rsidRDefault="008D7589" w:rsidP="0085459B">
            <w:pPr>
              <w:jc w:val="center"/>
              <w:rPr>
                <w:rFonts w:ascii="Times New Roman" w:hAnsi="Times New Roman" w:cs="Times New Roman"/>
                <w:sz w:val="24"/>
              </w:rPr>
            </w:pPr>
            <w:r w:rsidRPr="0085459B">
              <w:rPr>
                <w:rFonts w:ascii="Times New Roman" w:hAnsi="Times New Roman" w:cs="Times New Roman"/>
                <w:sz w:val="24"/>
              </w:rPr>
              <w:t>S</w:t>
            </w:r>
            <w:r>
              <w:rPr>
                <w:rFonts w:ascii="Times New Roman" w:hAnsi="Times New Roman" w:cs="Times New Roman"/>
                <w:sz w:val="24"/>
              </w:rPr>
              <w:t>aflufenacil</w:t>
            </w:r>
          </w:p>
        </w:tc>
        <w:tc>
          <w:tcPr>
            <w:tcW w:w="310" w:type="pct"/>
            <w:noWrap/>
            <w:vAlign w:val="center"/>
            <w:hideMark/>
          </w:tcPr>
          <w:p w14:paraId="3D1AD12B"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1683</w:t>
            </w:r>
          </w:p>
        </w:tc>
        <w:tc>
          <w:tcPr>
            <w:tcW w:w="345" w:type="pct"/>
            <w:noWrap/>
            <w:vAlign w:val="center"/>
            <w:hideMark/>
          </w:tcPr>
          <w:p w14:paraId="48D73FA7"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no</w:t>
            </w:r>
          </w:p>
        </w:tc>
        <w:tc>
          <w:tcPr>
            <w:tcW w:w="1070" w:type="pct"/>
            <w:noWrap/>
            <w:vAlign w:val="center"/>
            <w:hideMark/>
          </w:tcPr>
          <w:p w14:paraId="04B1CC21"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1590</w:t>
            </w:r>
          </w:p>
        </w:tc>
        <w:tc>
          <w:tcPr>
            <w:tcW w:w="215" w:type="pct"/>
            <w:noWrap/>
            <w:vAlign w:val="center"/>
            <w:hideMark/>
          </w:tcPr>
          <w:p w14:paraId="33F0B507"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45</w:t>
            </w:r>
          </w:p>
        </w:tc>
        <w:tc>
          <w:tcPr>
            <w:tcW w:w="821" w:type="pct"/>
            <w:noWrap/>
            <w:vAlign w:val="center"/>
            <w:hideMark/>
          </w:tcPr>
          <w:p w14:paraId="345D995F"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0.0127</w:t>
            </w:r>
          </w:p>
        </w:tc>
        <w:tc>
          <w:tcPr>
            <w:tcW w:w="345" w:type="pct"/>
            <w:noWrap/>
            <w:vAlign w:val="center"/>
            <w:hideMark/>
          </w:tcPr>
          <w:p w14:paraId="05D1A476"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0.0009</w:t>
            </w:r>
          </w:p>
        </w:tc>
        <w:tc>
          <w:tcPr>
            <w:tcW w:w="259" w:type="pct"/>
            <w:noWrap/>
            <w:vAlign w:val="center"/>
            <w:hideMark/>
          </w:tcPr>
          <w:p w14:paraId="569EF944"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0.97</w:t>
            </w:r>
          </w:p>
        </w:tc>
        <w:tc>
          <w:tcPr>
            <w:tcW w:w="326" w:type="pct"/>
            <w:noWrap/>
            <w:vAlign w:val="center"/>
            <w:hideMark/>
          </w:tcPr>
          <w:p w14:paraId="2BCD7A99"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54.6</w:t>
            </w:r>
          </w:p>
        </w:tc>
      </w:tr>
      <w:tr w:rsidR="00F36199" w:rsidRPr="0085459B" w14:paraId="2E845E8F" w14:textId="77777777" w:rsidTr="008D7589">
        <w:trPr>
          <w:trHeight w:val="360"/>
          <w:jc w:val="center"/>
        </w:trPr>
        <w:tc>
          <w:tcPr>
            <w:tcW w:w="309" w:type="pct"/>
            <w:noWrap/>
            <w:vAlign w:val="center"/>
            <w:hideMark/>
          </w:tcPr>
          <w:p w14:paraId="3662E2A0"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LS3</w:t>
            </w:r>
          </w:p>
        </w:tc>
        <w:tc>
          <w:tcPr>
            <w:tcW w:w="379" w:type="pct"/>
            <w:noWrap/>
            <w:vAlign w:val="center"/>
            <w:hideMark/>
          </w:tcPr>
          <w:p w14:paraId="0A9CF3E3"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TN</w:t>
            </w:r>
          </w:p>
        </w:tc>
        <w:tc>
          <w:tcPr>
            <w:tcW w:w="621" w:type="pct"/>
            <w:noWrap/>
            <w:vAlign w:val="center"/>
            <w:hideMark/>
          </w:tcPr>
          <w:p w14:paraId="42450430" w14:textId="130E8130" w:rsidR="0085459B" w:rsidRPr="0085459B" w:rsidRDefault="008D7589" w:rsidP="0085459B">
            <w:pPr>
              <w:jc w:val="center"/>
              <w:rPr>
                <w:rFonts w:ascii="Times New Roman" w:hAnsi="Times New Roman" w:cs="Times New Roman"/>
                <w:sz w:val="24"/>
              </w:rPr>
            </w:pPr>
            <w:r w:rsidRPr="0085459B">
              <w:rPr>
                <w:rFonts w:ascii="Times New Roman" w:hAnsi="Times New Roman" w:cs="Times New Roman"/>
                <w:sz w:val="24"/>
              </w:rPr>
              <w:t>S</w:t>
            </w:r>
            <w:r>
              <w:rPr>
                <w:rFonts w:ascii="Times New Roman" w:hAnsi="Times New Roman" w:cs="Times New Roman"/>
                <w:sz w:val="24"/>
              </w:rPr>
              <w:t>aflufenacil</w:t>
            </w:r>
          </w:p>
        </w:tc>
        <w:tc>
          <w:tcPr>
            <w:tcW w:w="310" w:type="pct"/>
            <w:noWrap/>
            <w:vAlign w:val="center"/>
            <w:hideMark/>
          </w:tcPr>
          <w:p w14:paraId="6CBE6C2B"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1504</w:t>
            </w:r>
          </w:p>
        </w:tc>
        <w:tc>
          <w:tcPr>
            <w:tcW w:w="345" w:type="pct"/>
            <w:noWrap/>
            <w:vAlign w:val="center"/>
            <w:hideMark/>
          </w:tcPr>
          <w:p w14:paraId="60489971"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no</w:t>
            </w:r>
          </w:p>
        </w:tc>
        <w:tc>
          <w:tcPr>
            <w:tcW w:w="1070" w:type="pct"/>
            <w:noWrap/>
            <w:vAlign w:val="center"/>
            <w:hideMark/>
          </w:tcPr>
          <w:p w14:paraId="5C336C93"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1505</w:t>
            </w:r>
          </w:p>
        </w:tc>
        <w:tc>
          <w:tcPr>
            <w:tcW w:w="215" w:type="pct"/>
            <w:noWrap/>
            <w:vAlign w:val="center"/>
            <w:hideMark/>
          </w:tcPr>
          <w:p w14:paraId="3BD92C27"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50</w:t>
            </w:r>
          </w:p>
        </w:tc>
        <w:tc>
          <w:tcPr>
            <w:tcW w:w="821" w:type="pct"/>
            <w:noWrap/>
            <w:vAlign w:val="center"/>
            <w:hideMark/>
          </w:tcPr>
          <w:p w14:paraId="157FAB76"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0.013</w:t>
            </w:r>
          </w:p>
        </w:tc>
        <w:tc>
          <w:tcPr>
            <w:tcW w:w="345" w:type="pct"/>
            <w:noWrap/>
            <w:vAlign w:val="center"/>
            <w:hideMark/>
          </w:tcPr>
          <w:p w14:paraId="5DE198CB"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0.0011</w:t>
            </w:r>
          </w:p>
        </w:tc>
        <w:tc>
          <w:tcPr>
            <w:tcW w:w="259" w:type="pct"/>
            <w:noWrap/>
            <w:vAlign w:val="center"/>
            <w:hideMark/>
          </w:tcPr>
          <w:p w14:paraId="32AF962A"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0.96</w:t>
            </w:r>
          </w:p>
        </w:tc>
        <w:tc>
          <w:tcPr>
            <w:tcW w:w="326" w:type="pct"/>
            <w:noWrap/>
            <w:vAlign w:val="center"/>
            <w:hideMark/>
          </w:tcPr>
          <w:p w14:paraId="15208AC0"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53.3</w:t>
            </w:r>
          </w:p>
        </w:tc>
      </w:tr>
      <w:tr w:rsidR="00F36199" w:rsidRPr="0085459B" w14:paraId="0CB82BC8" w14:textId="77777777" w:rsidTr="008D7589">
        <w:trPr>
          <w:trHeight w:val="360"/>
          <w:jc w:val="center"/>
        </w:trPr>
        <w:tc>
          <w:tcPr>
            <w:tcW w:w="309" w:type="pct"/>
            <w:noWrap/>
            <w:vAlign w:val="center"/>
            <w:hideMark/>
          </w:tcPr>
          <w:p w14:paraId="272C537E"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LS3</w:t>
            </w:r>
          </w:p>
        </w:tc>
        <w:tc>
          <w:tcPr>
            <w:tcW w:w="379" w:type="pct"/>
            <w:noWrap/>
            <w:vAlign w:val="center"/>
            <w:hideMark/>
          </w:tcPr>
          <w:p w14:paraId="6A8BBD72"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GA</w:t>
            </w:r>
          </w:p>
        </w:tc>
        <w:tc>
          <w:tcPr>
            <w:tcW w:w="621" w:type="pct"/>
            <w:noWrap/>
            <w:vAlign w:val="center"/>
            <w:hideMark/>
          </w:tcPr>
          <w:p w14:paraId="0DEFB2DB" w14:textId="509CFC13" w:rsidR="0085459B" w:rsidRPr="0085459B" w:rsidRDefault="00F36199" w:rsidP="0085459B">
            <w:pPr>
              <w:jc w:val="center"/>
              <w:rPr>
                <w:rFonts w:ascii="Times New Roman" w:hAnsi="Times New Roman" w:cs="Times New Roman"/>
                <w:sz w:val="24"/>
              </w:rPr>
            </w:pPr>
            <w:r w:rsidRPr="0085459B">
              <w:rPr>
                <w:rFonts w:ascii="Times New Roman" w:hAnsi="Times New Roman" w:cs="Times New Roman"/>
                <w:sz w:val="24"/>
              </w:rPr>
              <w:t>A</w:t>
            </w:r>
            <w:r>
              <w:rPr>
                <w:rFonts w:ascii="Times New Roman" w:hAnsi="Times New Roman" w:cs="Times New Roman"/>
                <w:sz w:val="24"/>
              </w:rPr>
              <w:t>trazine</w:t>
            </w:r>
          </w:p>
        </w:tc>
        <w:tc>
          <w:tcPr>
            <w:tcW w:w="310" w:type="pct"/>
            <w:noWrap/>
            <w:vAlign w:val="center"/>
            <w:hideMark/>
          </w:tcPr>
          <w:p w14:paraId="3FAD3960"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833</w:t>
            </w:r>
          </w:p>
        </w:tc>
        <w:tc>
          <w:tcPr>
            <w:tcW w:w="345" w:type="pct"/>
            <w:noWrap/>
            <w:vAlign w:val="center"/>
            <w:hideMark/>
          </w:tcPr>
          <w:p w14:paraId="737EEC17"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yes</w:t>
            </w:r>
          </w:p>
        </w:tc>
        <w:tc>
          <w:tcPr>
            <w:tcW w:w="1070" w:type="pct"/>
            <w:noWrap/>
            <w:vAlign w:val="center"/>
            <w:hideMark/>
          </w:tcPr>
          <w:p w14:paraId="673434DA"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812</w:t>
            </w:r>
          </w:p>
        </w:tc>
        <w:tc>
          <w:tcPr>
            <w:tcW w:w="215" w:type="pct"/>
            <w:noWrap/>
            <w:vAlign w:val="center"/>
            <w:hideMark/>
          </w:tcPr>
          <w:p w14:paraId="58DC6AD5"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18</w:t>
            </w:r>
          </w:p>
        </w:tc>
        <w:tc>
          <w:tcPr>
            <w:tcW w:w="821" w:type="pct"/>
            <w:noWrap/>
            <w:vAlign w:val="center"/>
            <w:hideMark/>
          </w:tcPr>
          <w:p w14:paraId="1AFB4CD7"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0.0225</w:t>
            </w:r>
          </w:p>
        </w:tc>
        <w:tc>
          <w:tcPr>
            <w:tcW w:w="345" w:type="pct"/>
            <w:noWrap/>
            <w:vAlign w:val="center"/>
            <w:hideMark/>
          </w:tcPr>
          <w:p w14:paraId="35BF9751"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0.0012</w:t>
            </w:r>
          </w:p>
        </w:tc>
        <w:tc>
          <w:tcPr>
            <w:tcW w:w="259" w:type="pct"/>
            <w:noWrap/>
            <w:vAlign w:val="center"/>
            <w:hideMark/>
          </w:tcPr>
          <w:p w14:paraId="121CD5A5"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0.99</w:t>
            </w:r>
          </w:p>
        </w:tc>
        <w:tc>
          <w:tcPr>
            <w:tcW w:w="326" w:type="pct"/>
            <w:noWrap/>
            <w:vAlign w:val="center"/>
            <w:hideMark/>
          </w:tcPr>
          <w:p w14:paraId="773CDEE6"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30.8</w:t>
            </w:r>
          </w:p>
        </w:tc>
      </w:tr>
      <w:tr w:rsidR="00F36199" w:rsidRPr="0085459B" w14:paraId="0649AB9F" w14:textId="77777777" w:rsidTr="008D7589">
        <w:trPr>
          <w:trHeight w:val="360"/>
          <w:jc w:val="center"/>
        </w:trPr>
        <w:tc>
          <w:tcPr>
            <w:tcW w:w="309" w:type="pct"/>
            <w:noWrap/>
            <w:vAlign w:val="center"/>
            <w:hideMark/>
          </w:tcPr>
          <w:p w14:paraId="1074419F"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LS3</w:t>
            </w:r>
          </w:p>
        </w:tc>
        <w:tc>
          <w:tcPr>
            <w:tcW w:w="379" w:type="pct"/>
            <w:noWrap/>
            <w:vAlign w:val="center"/>
            <w:hideMark/>
          </w:tcPr>
          <w:p w14:paraId="57061972"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IL</w:t>
            </w:r>
          </w:p>
        </w:tc>
        <w:tc>
          <w:tcPr>
            <w:tcW w:w="621" w:type="pct"/>
            <w:noWrap/>
            <w:vAlign w:val="center"/>
            <w:hideMark/>
          </w:tcPr>
          <w:p w14:paraId="200B1C75" w14:textId="78C4FA22" w:rsidR="0085459B" w:rsidRPr="0085459B" w:rsidRDefault="00F36199" w:rsidP="0085459B">
            <w:pPr>
              <w:jc w:val="center"/>
              <w:rPr>
                <w:rFonts w:ascii="Times New Roman" w:hAnsi="Times New Roman" w:cs="Times New Roman"/>
                <w:sz w:val="24"/>
              </w:rPr>
            </w:pPr>
            <w:r w:rsidRPr="0085459B">
              <w:rPr>
                <w:rFonts w:ascii="Times New Roman" w:hAnsi="Times New Roman" w:cs="Times New Roman"/>
                <w:sz w:val="24"/>
              </w:rPr>
              <w:t>A</w:t>
            </w:r>
            <w:r>
              <w:rPr>
                <w:rFonts w:ascii="Times New Roman" w:hAnsi="Times New Roman" w:cs="Times New Roman"/>
                <w:sz w:val="24"/>
              </w:rPr>
              <w:t>trazine</w:t>
            </w:r>
          </w:p>
        </w:tc>
        <w:tc>
          <w:tcPr>
            <w:tcW w:w="310" w:type="pct"/>
            <w:noWrap/>
            <w:vAlign w:val="center"/>
            <w:hideMark/>
          </w:tcPr>
          <w:p w14:paraId="654F7983"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787</w:t>
            </w:r>
          </w:p>
        </w:tc>
        <w:tc>
          <w:tcPr>
            <w:tcW w:w="345" w:type="pct"/>
            <w:noWrap/>
            <w:vAlign w:val="center"/>
            <w:hideMark/>
          </w:tcPr>
          <w:p w14:paraId="34F57B98"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yes</w:t>
            </w:r>
          </w:p>
        </w:tc>
        <w:tc>
          <w:tcPr>
            <w:tcW w:w="1070" w:type="pct"/>
            <w:noWrap/>
            <w:vAlign w:val="center"/>
            <w:hideMark/>
          </w:tcPr>
          <w:p w14:paraId="48934A5D"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817</w:t>
            </w:r>
          </w:p>
        </w:tc>
        <w:tc>
          <w:tcPr>
            <w:tcW w:w="215" w:type="pct"/>
            <w:noWrap/>
            <w:vAlign w:val="center"/>
            <w:hideMark/>
          </w:tcPr>
          <w:p w14:paraId="5598AAF3"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14</w:t>
            </w:r>
          </w:p>
        </w:tc>
        <w:tc>
          <w:tcPr>
            <w:tcW w:w="821" w:type="pct"/>
            <w:noWrap/>
            <w:vAlign w:val="center"/>
            <w:hideMark/>
          </w:tcPr>
          <w:p w14:paraId="5CE30BF6"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0.0227</w:t>
            </w:r>
          </w:p>
        </w:tc>
        <w:tc>
          <w:tcPr>
            <w:tcW w:w="345" w:type="pct"/>
            <w:noWrap/>
            <w:vAlign w:val="center"/>
            <w:hideMark/>
          </w:tcPr>
          <w:p w14:paraId="0D4EB47C"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0.001</w:t>
            </w:r>
          </w:p>
        </w:tc>
        <w:tc>
          <w:tcPr>
            <w:tcW w:w="259" w:type="pct"/>
            <w:noWrap/>
            <w:vAlign w:val="center"/>
            <w:hideMark/>
          </w:tcPr>
          <w:p w14:paraId="1F6EC3E7"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0.99</w:t>
            </w:r>
          </w:p>
        </w:tc>
        <w:tc>
          <w:tcPr>
            <w:tcW w:w="326" w:type="pct"/>
            <w:noWrap/>
            <w:vAlign w:val="center"/>
            <w:hideMark/>
          </w:tcPr>
          <w:p w14:paraId="775E3A00"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30.5</w:t>
            </w:r>
          </w:p>
        </w:tc>
      </w:tr>
      <w:tr w:rsidR="00F36199" w:rsidRPr="0085459B" w14:paraId="64FCAF5B" w14:textId="77777777" w:rsidTr="008D7589">
        <w:trPr>
          <w:trHeight w:val="360"/>
          <w:jc w:val="center"/>
        </w:trPr>
        <w:tc>
          <w:tcPr>
            <w:tcW w:w="309" w:type="pct"/>
            <w:noWrap/>
            <w:vAlign w:val="center"/>
            <w:hideMark/>
          </w:tcPr>
          <w:p w14:paraId="534995FA"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LS3</w:t>
            </w:r>
          </w:p>
        </w:tc>
        <w:tc>
          <w:tcPr>
            <w:tcW w:w="379" w:type="pct"/>
            <w:noWrap/>
            <w:vAlign w:val="center"/>
            <w:hideMark/>
          </w:tcPr>
          <w:p w14:paraId="490B7FE5"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TN</w:t>
            </w:r>
          </w:p>
        </w:tc>
        <w:tc>
          <w:tcPr>
            <w:tcW w:w="621" w:type="pct"/>
            <w:noWrap/>
            <w:vAlign w:val="center"/>
            <w:hideMark/>
          </w:tcPr>
          <w:p w14:paraId="5936597E" w14:textId="64850682" w:rsidR="0085459B" w:rsidRPr="0085459B" w:rsidRDefault="00F36199" w:rsidP="0085459B">
            <w:pPr>
              <w:jc w:val="center"/>
              <w:rPr>
                <w:rFonts w:ascii="Times New Roman" w:hAnsi="Times New Roman" w:cs="Times New Roman"/>
                <w:sz w:val="24"/>
              </w:rPr>
            </w:pPr>
            <w:r w:rsidRPr="0085459B">
              <w:rPr>
                <w:rFonts w:ascii="Times New Roman" w:hAnsi="Times New Roman" w:cs="Times New Roman"/>
                <w:sz w:val="24"/>
              </w:rPr>
              <w:t>A</w:t>
            </w:r>
            <w:r>
              <w:rPr>
                <w:rFonts w:ascii="Times New Roman" w:hAnsi="Times New Roman" w:cs="Times New Roman"/>
                <w:sz w:val="24"/>
              </w:rPr>
              <w:t>trazine</w:t>
            </w:r>
          </w:p>
        </w:tc>
        <w:tc>
          <w:tcPr>
            <w:tcW w:w="310" w:type="pct"/>
            <w:noWrap/>
            <w:vAlign w:val="center"/>
            <w:hideMark/>
          </w:tcPr>
          <w:p w14:paraId="151426CB"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814</w:t>
            </w:r>
          </w:p>
        </w:tc>
        <w:tc>
          <w:tcPr>
            <w:tcW w:w="345" w:type="pct"/>
            <w:noWrap/>
            <w:vAlign w:val="center"/>
            <w:hideMark/>
          </w:tcPr>
          <w:p w14:paraId="4121026D"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yes</w:t>
            </w:r>
          </w:p>
        </w:tc>
        <w:tc>
          <w:tcPr>
            <w:tcW w:w="1070" w:type="pct"/>
            <w:noWrap/>
            <w:vAlign w:val="center"/>
            <w:hideMark/>
          </w:tcPr>
          <w:p w14:paraId="2A66F0C8"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886</w:t>
            </w:r>
          </w:p>
        </w:tc>
        <w:tc>
          <w:tcPr>
            <w:tcW w:w="215" w:type="pct"/>
            <w:noWrap/>
            <w:vAlign w:val="center"/>
            <w:hideMark/>
          </w:tcPr>
          <w:p w14:paraId="4A2FF2AF"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14</w:t>
            </w:r>
          </w:p>
        </w:tc>
        <w:tc>
          <w:tcPr>
            <w:tcW w:w="821" w:type="pct"/>
            <w:noWrap/>
            <w:vAlign w:val="center"/>
            <w:hideMark/>
          </w:tcPr>
          <w:p w14:paraId="2C7E0F19"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0.0286</w:t>
            </w:r>
          </w:p>
        </w:tc>
        <w:tc>
          <w:tcPr>
            <w:tcW w:w="345" w:type="pct"/>
            <w:noWrap/>
            <w:vAlign w:val="center"/>
            <w:hideMark/>
          </w:tcPr>
          <w:p w14:paraId="7B15FEA8"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0.0011</w:t>
            </w:r>
          </w:p>
        </w:tc>
        <w:tc>
          <w:tcPr>
            <w:tcW w:w="259" w:type="pct"/>
            <w:noWrap/>
            <w:vAlign w:val="center"/>
            <w:hideMark/>
          </w:tcPr>
          <w:p w14:paraId="15D7654D"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0.99</w:t>
            </w:r>
          </w:p>
        </w:tc>
        <w:tc>
          <w:tcPr>
            <w:tcW w:w="326" w:type="pct"/>
            <w:noWrap/>
            <w:vAlign w:val="center"/>
            <w:hideMark/>
          </w:tcPr>
          <w:p w14:paraId="0355EE9A"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24.2</w:t>
            </w:r>
          </w:p>
        </w:tc>
      </w:tr>
      <w:tr w:rsidR="00F36199" w:rsidRPr="0085459B" w14:paraId="7BAC7935" w14:textId="77777777" w:rsidTr="008D7589">
        <w:trPr>
          <w:trHeight w:val="360"/>
          <w:jc w:val="center"/>
        </w:trPr>
        <w:tc>
          <w:tcPr>
            <w:tcW w:w="309" w:type="pct"/>
            <w:noWrap/>
            <w:vAlign w:val="center"/>
            <w:hideMark/>
          </w:tcPr>
          <w:p w14:paraId="4CE021A8"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LS3</w:t>
            </w:r>
          </w:p>
        </w:tc>
        <w:tc>
          <w:tcPr>
            <w:tcW w:w="379" w:type="pct"/>
            <w:noWrap/>
            <w:vAlign w:val="center"/>
            <w:hideMark/>
          </w:tcPr>
          <w:p w14:paraId="4D77FD93"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GA</w:t>
            </w:r>
          </w:p>
        </w:tc>
        <w:tc>
          <w:tcPr>
            <w:tcW w:w="621" w:type="pct"/>
            <w:noWrap/>
            <w:vAlign w:val="center"/>
            <w:hideMark/>
          </w:tcPr>
          <w:p w14:paraId="0F47DE8D" w14:textId="3196C038" w:rsidR="0085459B" w:rsidRPr="0085459B" w:rsidRDefault="00F36199" w:rsidP="0085459B">
            <w:pPr>
              <w:jc w:val="center"/>
              <w:rPr>
                <w:rFonts w:ascii="Times New Roman" w:hAnsi="Times New Roman" w:cs="Times New Roman"/>
                <w:sz w:val="24"/>
              </w:rPr>
            </w:pPr>
            <w:r w:rsidRPr="0085459B">
              <w:rPr>
                <w:rFonts w:ascii="Times New Roman" w:hAnsi="Times New Roman" w:cs="Times New Roman"/>
                <w:sz w:val="24"/>
              </w:rPr>
              <w:t>P</w:t>
            </w:r>
            <w:r>
              <w:rPr>
                <w:rFonts w:ascii="Times New Roman" w:hAnsi="Times New Roman" w:cs="Times New Roman"/>
                <w:sz w:val="24"/>
              </w:rPr>
              <w:t>yroxasulfone</w:t>
            </w:r>
          </w:p>
        </w:tc>
        <w:tc>
          <w:tcPr>
            <w:tcW w:w="310" w:type="pct"/>
            <w:noWrap/>
            <w:vAlign w:val="center"/>
            <w:hideMark/>
          </w:tcPr>
          <w:p w14:paraId="53317B26"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390</w:t>
            </w:r>
          </w:p>
        </w:tc>
        <w:tc>
          <w:tcPr>
            <w:tcW w:w="345" w:type="pct"/>
            <w:noWrap/>
            <w:vAlign w:val="center"/>
            <w:hideMark/>
          </w:tcPr>
          <w:p w14:paraId="2C4E35ED"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yes</w:t>
            </w:r>
          </w:p>
        </w:tc>
        <w:tc>
          <w:tcPr>
            <w:tcW w:w="1070" w:type="pct"/>
            <w:noWrap/>
            <w:vAlign w:val="center"/>
            <w:hideMark/>
          </w:tcPr>
          <w:p w14:paraId="4F7785C3"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374</w:t>
            </w:r>
          </w:p>
        </w:tc>
        <w:tc>
          <w:tcPr>
            <w:tcW w:w="215" w:type="pct"/>
            <w:noWrap/>
            <w:vAlign w:val="center"/>
            <w:hideMark/>
          </w:tcPr>
          <w:p w14:paraId="37535A50"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6</w:t>
            </w:r>
          </w:p>
        </w:tc>
        <w:tc>
          <w:tcPr>
            <w:tcW w:w="821" w:type="pct"/>
            <w:noWrap/>
            <w:vAlign w:val="center"/>
            <w:hideMark/>
          </w:tcPr>
          <w:p w14:paraId="13BC8C0D"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0.0078</w:t>
            </w:r>
          </w:p>
        </w:tc>
        <w:tc>
          <w:tcPr>
            <w:tcW w:w="345" w:type="pct"/>
            <w:noWrap/>
            <w:vAlign w:val="center"/>
            <w:hideMark/>
          </w:tcPr>
          <w:p w14:paraId="43559229"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0.0004</w:t>
            </w:r>
          </w:p>
        </w:tc>
        <w:tc>
          <w:tcPr>
            <w:tcW w:w="259" w:type="pct"/>
            <w:noWrap/>
            <w:vAlign w:val="center"/>
            <w:hideMark/>
          </w:tcPr>
          <w:p w14:paraId="44D4F4A7"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0.98</w:t>
            </w:r>
          </w:p>
        </w:tc>
        <w:tc>
          <w:tcPr>
            <w:tcW w:w="326" w:type="pct"/>
            <w:noWrap/>
            <w:vAlign w:val="center"/>
            <w:hideMark/>
          </w:tcPr>
          <w:p w14:paraId="38BA88A1"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88.8</w:t>
            </w:r>
          </w:p>
        </w:tc>
      </w:tr>
      <w:tr w:rsidR="00F36199" w:rsidRPr="0085459B" w14:paraId="30B47433" w14:textId="77777777" w:rsidTr="008D7589">
        <w:trPr>
          <w:trHeight w:val="360"/>
          <w:jc w:val="center"/>
        </w:trPr>
        <w:tc>
          <w:tcPr>
            <w:tcW w:w="309" w:type="pct"/>
            <w:noWrap/>
            <w:vAlign w:val="center"/>
            <w:hideMark/>
          </w:tcPr>
          <w:p w14:paraId="22B2E170"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LS3</w:t>
            </w:r>
          </w:p>
        </w:tc>
        <w:tc>
          <w:tcPr>
            <w:tcW w:w="379" w:type="pct"/>
            <w:noWrap/>
            <w:vAlign w:val="center"/>
            <w:hideMark/>
          </w:tcPr>
          <w:p w14:paraId="437F50D7"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IL</w:t>
            </w:r>
          </w:p>
        </w:tc>
        <w:tc>
          <w:tcPr>
            <w:tcW w:w="621" w:type="pct"/>
            <w:noWrap/>
            <w:vAlign w:val="center"/>
            <w:hideMark/>
          </w:tcPr>
          <w:p w14:paraId="064D2911" w14:textId="12FCAFAF" w:rsidR="0085459B" w:rsidRPr="0085459B" w:rsidRDefault="00F36199" w:rsidP="0085459B">
            <w:pPr>
              <w:jc w:val="center"/>
              <w:rPr>
                <w:rFonts w:ascii="Times New Roman" w:hAnsi="Times New Roman" w:cs="Times New Roman"/>
                <w:sz w:val="24"/>
              </w:rPr>
            </w:pPr>
            <w:r w:rsidRPr="0085459B">
              <w:rPr>
                <w:rFonts w:ascii="Times New Roman" w:hAnsi="Times New Roman" w:cs="Times New Roman"/>
                <w:sz w:val="24"/>
              </w:rPr>
              <w:t>P</w:t>
            </w:r>
            <w:r>
              <w:rPr>
                <w:rFonts w:ascii="Times New Roman" w:hAnsi="Times New Roman" w:cs="Times New Roman"/>
                <w:sz w:val="24"/>
              </w:rPr>
              <w:t>yroxasulfone</w:t>
            </w:r>
          </w:p>
        </w:tc>
        <w:tc>
          <w:tcPr>
            <w:tcW w:w="310" w:type="pct"/>
            <w:noWrap/>
            <w:vAlign w:val="center"/>
            <w:hideMark/>
          </w:tcPr>
          <w:p w14:paraId="592D264C"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360</w:t>
            </w:r>
          </w:p>
        </w:tc>
        <w:tc>
          <w:tcPr>
            <w:tcW w:w="345" w:type="pct"/>
            <w:noWrap/>
            <w:vAlign w:val="center"/>
            <w:hideMark/>
          </w:tcPr>
          <w:p w14:paraId="3423297F"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yes</w:t>
            </w:r>
          </w:p>
        </w:tc>
        <w:tc>
          <w:tcPr>
            <w:tcW w:w="1070" w:type="pct"/>
            <w:noWrap/>
            <w:vAlign w:val="center"/>
            <w:hideMark/>
          </w:tcPr>
          <w:p w14:paraId="43FBB897"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337</w:t>
            </w:r>
          </w:p>
        </w:tc>
        <w:tc>
          <w:tcPr>
            <w:tcW w:w="215" w:type="pct"/>
            <w:noWrap/>
            <w:vAlign w:val="center"/>
            <w:hideMark/>
          </w:tcPr>
          <w:p w14:paraId="2AE54F53"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15</w:t>
            </w:r>
          </w:p>
        </w:tc>
        <w:tc>
          <w:tcPr>
            <w:tcW w:w="821" w:type="pct"/>
            <w:noWrap/>
            <w:vAlign w:val="center"/>
            <w:hideMark/>
          </w:tcPr>
          <w:p w14:paraId="3A20EE28"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0.0102</w:t>
            </w:r>
          </w:p>
        </w:tc>
        <w:tc>
          <w:tcPr>
            <w:tcW w:w="345" w:type="pct"/>
            <w:noWrap/>
            <w:vAlign w:val="center"/>
            <w:hideMark/>
          </w:tcPr>
          <w:p w14:paraId="1C5D478E"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0.0013</w:t>
            </w:r>
          </w:p>
        </w:tc>
        <w:tc>
          <w:tcPr>
            <w:tcW w:w="259" w:type="pct"/>
            <w:noWrap/>
            <w:vAlign w:val="center"/>
            <w:hideMark/>
          </w:tcPr>
          <w:p w14:paraId="418ECFF4"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0.9</w:t>
            </w:r>
          </w:p>
        </w:tc>
        <w:tc>
          <w:tcPr>
            <w:tcW w:w="326" w:type="pct"/>
            <w:noWrap/>
            <w:vAlign w:val="center"/>
            <w:hideMark/>
          </w:tcPr>
          <w:p w14:paraId="1ECC946A"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67.9</w:t>
            </w:r>
          </w:p>
        </w:tc>
      </w:tr>
      <w:tr w:rsidR="00F36199" w:rsidRPr="0085459B" w14:paraId="00BBF54E" w14:textId="77777777" w:rsidTr="008D7589">
        <w:trPr>
          <w:trHeight w:val="360"/>
          <w:jc w:val="center"/>
        </w:trPr>
        <w:tc>
          <w:tcPr>
            <w:tcW w:w="309" w:type="pct"/>
            <w:noWrap/>
            <w:vAlign w:val="center"/>
            <w:hideMark/>
          </w:tcPr>
          <w:p w14:paraId="15DA86A5"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LS3</w:t>
            </w:r>
          </w:p>
        </w:tc>
        <w:tc>
          <w:tcPr>
            <w:tcW w:w="379" w:type="pct"/>
            <w:noWrap/>
            <w:vAlign w:val="center"/>
            <w:hideMark/>
          </w:tcPr>
          <w:p w14:paraId="7B6C31AB"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TN</w:t>
            </w:r>
          </w:p>
        </w:tc>
        <w:tc>
          <w:tcPr>
            <w:tcW w:w="621" w:type="pct"/>
            <w:noWrap/>
            <w:vAlign w:val="center"/>
            <w:hideMark/>
          </w:tcPr>
          <w:p w14:paraId="00BA6323" w14:textId="447255FC" w:rsidR="0085459B" w:rsidRPr="0085459B" w:rsidRDefault="00F36199" w:rsidP="0085459B">
            <w:pPr>
              <w:jc w:val="center"/>
              <w:rPr>
                <w:rFonts w:ascii="Times New Roman" w:hAnsi="Times New Roman" w:cs="Times New Roman"/>
                <w:sz w:val="24"/>
              </w:rPr>
            </w:pPr>
            <w:r w:rsidRPr="0085459B">
              <w:rPr>
                <w:rFonts w:ascii="Times New Roman" w:hAnsi="Times New Roman" w:cs="Times New Roman"/>
                <w:sz w:val="24"/>
              </w:rPr>
              <w:t>P</w:t>
            </w:r>
            <w:r>
              <w:rPr>
                <w:rFonts w:ascii="Times New Roman" w:hAnsi="Times New Roman" w:cs="Times New Roman"/>
                <w:sz w:val="24"/>
              </w:rPr>
              <w:t>yroxasulfone</w:t>
            </w:r>
          </w:p>
        </w:tc>
        <w:tc>
          <w:tcPr>
            <w:tcW w:w="310" w:type="pct"/>
            <w:noWrap/>
            <w:vAlign w:val="center"/>
            <w:hideMark/>
          </w:tcPr>
          <w:p w14:paraId="0979EC7E"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361</w:t>
            </w:r>
          </w:p>
        </w:tc>
        <w:tc>
          <w:tcPr>
            <w:tcW w:w="345" w:type="pct"/>
            <w:noWrap/>
            <w:vAlign w:val="center"/>
            <w:hideMark/>
          </w:tcPr>
          <w:p w14:paraId="257248C9"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yes</w:t>
            </w:r>
          </w:p>
        </w:tc>
        <w:tc>
          <w:tcPr>
            <w:tcW w:w="1070" w:type="pct"/>
            <w:noWrap/>
            <w:vAlign w:val="center"/>
            <w:hideMark/>
          </w:tcPr>
          <w:p w14:paraId="2C5F100A"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341</w:t>
            </w:r>
          </w:p>
        </w:tc>
        <w:tc>
          <w:tcPr>
            <w:tcW w:w="215" w:type="pct"/>
            <w:noWrap/>
            <w:vAlign w:val="center"/>
            <w:hideMark/>
          </w:tcPr>
          <w:p w14:paraId="55F716A0"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12</w:t>
            </w:r>
          </w:p>
        </w:tc>
        <w:tc>
          <w:tcPr>
            <w:tcW w:w="821" w:type="pct"/>
            <w:noWrap/>
            <w:vAlign w:val="center"/>
            <w:hideMark/>
          </w:tcPr>
          <w:p w14:paraId="032BE929"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0.0143</w:t>
            </w:r>
          </w:p>
        </w:tc>
        <w:tc>
          <w:tcPr>
            <w:tcW w:w="345" w:type="pct"/>
            <w:noWrap/>
            <w:vAlign w:val="center"/>
            <w:hideMark/>
          </w:tcPr>
          <w:p w14:paraId="469C6A6A"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0.0013</w:t>
            </w:r>
          </w:p>
        </w:tc>
        <w:tc>
          <w:tcPr>
            <w:tcW w:w="259" w:type="pct"/>
            <w:noWrap/>
            <w:vAlign w:val="center"/>
            <w:hideMark/>
          </w:tcPr>
          <w:p w14:paraId="79AB37E7"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0.95</w:t>
            </w:r>
          </w:p>
        </w:tc>
        <w:tc>
          <w:tcPr>
            <w:tcW w:w="326" w:type="pct"/>
            <w:noWrap/>
            <w:vAlign w:val="center"/>
            <w:hideMark/>
          </w:tcPr>
          <w:p w14:paraId="388C9021"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48.5</w:t>
            </w:r>
          </w:p>
        </w:tc>
      </w:tr>
      <w:tr w:rsidR="00F36199" w:rsidRPr="0085459B" w14:paraId="4A68C9E5" w14:textId="77777777" w:rsidTr="008D7589">
        <w:trPr>
          <w:trHeight w:val="360"/>
          <w:jc w:val="center"/>
        </w:trPr>
        <w:tc>
          <w:tcPr>
            <w:tcW w:w="309" w:type="pct"/>
            <w:noWrap/>
            <w:vAlign w:val="center"/>
            <w:hideMark/>
          </w:tcPr>
          <w:p w14:paraId="45BE5CA5"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LS3</w:t>
            </w:r>
          </w:p>
        </w:tc>
        <w:tc>
          <w:tcPr>
            <w:tcW w:w="379" w:type="pct"/>
            <w:noWrap/>
            <w:vAlign w:val="center"/>
            <w:hideMark/>
          </w:tcPr>
          <w:p w14:paraId="32F4FF55"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GA</w:t>
            </w:r>
          </w:p>
        </w:tc>
        <w:tc>
          <w:tcPr>
            <w:tcW w:w="621" w:type="pct"/>
            <w:noWrap/>
            <w:vAlign w:val="center"/>
            <w:hideMark/>
          </w:tcPr>
          <w:p w14:paraId="7BF43991" w14:textId="53AD93F7" w:rsidR="0085459B" w:rsidRPr="0085459B" w:rsidRDefault="008D7589" w:rsidP="0085459B">
            <w:pPr>
              <w:jc w:val="center"/>
              <w:rPr>
                <w:rFonts w:ascii="Times New Roman" w:hAnsi="Times New Roman" w:cs="Times New Roman"/>
                <w:sz w:val="24"/>
              </w:rPr>
            </w:pPr>
            <w:r w:rsidRPr="0085459B">
              <w:rPr>
                <w:rFonts w:ascii="Times New Roman" w:hAnsi="Times New Roman" w:cs="Times New Roman"/>
                <w:sz w:val="24"/>
              </w:rPr>
              <w:t>S</w:t>
            </w:r>
            <w:r>
              <w:rPr>
                <w:rFonts w:ascii="Times New Roman" w:hAnsi="Times New Roman" w:cs="Times New Roman"/>
                <w:sz w:val="24"/>
              </w:rPr>
              <w:t>aflufenacil</w:t>
            </w:r>
          </w:p>
        </w:tc>
        <w:tc>
          <w:tcPr>
            <w:tcW w:w="310" w:type="pct"/>
            <w:noWrap/>
            <w:vAlign w:val="center"/>
            <w:hideMark/>
          </w:tcPr>
          <w:p w14:paraId="635159C6"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875</w:t>
            </w:r>
          </w:p>
        </w:tc>
        <w:tc>
          <w:tcPr>
            <w:tcW w:w="345" w:type="pct"/>
            <w:noWrap/>
            <w:vAlign w:val="center"/>
            <w:hideMark/>
          </w:tcPr>
          <w:p w14:paraId="42EDE290"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yes</w:t>
            </w:r>
          </w:p>
        </w:tc>
        <w:tc>
          <w:tcPr>
            <w:tcW w:w="1070" w:type="pct"/>
            <w:noWrap/>
            <w:vAlign w:val="center"/>
            <w:hideMark/>
          </w:tcPr>
          <w:p w14:paraId="3B197BCA"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871</w:t>
            </w:r>
          </w:p>
        </w:tc>
        <w:tc>
          <w:tcPr>
            <w:tcW w:w="215" w:type="pct"/>
            <w:noWrap/>
            <w:vAlign w:val="center"/>
            <w:hideMark/>
          </w:tcPr>
          <w:p w14:paraId="5BAEC72D"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14</w:t>
            </w:r>
          </w:p>
        </w:tc>
        <w:tc>
          <w:tcPr>
            <w:tcW w:w="821" w:type="pct"/>
            <w:noWrap/>
            <w:vAlign w:val="center"/>
            <w:hideMark/>
          </w:tcPr>
          <w:p w14:paraId="5B1BFE89"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0.0104</w:t>
            </w:r>
          </w:p>
        </w:tc>
        <w:tc>
          <w:tcPr>
            <w:tcW w:w="345" w:type="pct"/>
            <w:noWrap/>
            <w:vAlign w:val="center"/>
            <w:hideMark/>
          </w:tcPr>
          <w:p w14:paraId="5C00AAE7"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0.0005</w:t>
            </w:r>
          </w:p>
        </w:tc>
        <w:tc>
          <w:tcPr>
            <w:tcW w:w="259" w:type="pct"/>
            <w:noWrap/>
            <w:vAlign w:val="center"/>
            <w:hideMark/>
          </w:tcPr>
          <w:p w14:paraId="20A957A8"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0.98</w:t>
            </w:r>
          </w:p>
        </w:tc>
        <w:tc>
          <w:tcPr>
            <w:tcW w:w="326" w:type="pct"/>
            <w:noWrap/>
            <w:vAlign w:val="center"/>
            <w:hideMark/>
          </w:tcPr>
          <w:p w14:paraId="1B94858D"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66.6</w:t>
            </w:r>
          </w:p>
        </w:tc>
      </w:tr>
      <w:tr w:rsidR="00F36199" w:rsidRPr="0085459B" w14:paraId="2C063F30" w14:textId="77777777" w:rsidTr="008D7589">
        <w:trPr>
          <w:trHeight w:val="360"/>
          <w:jc w:val="center"/>
        </w:trPr>
        <w:tc>
          <w:tcPr>
            <w:tcW w:w="309" w:type="pct"/>
            <w:noWrap/>
            <w:vAlign w:val="center"/>
            <w:hideMark/>
          </w:tcPr>
          <w:p w14:paraId="31162C83"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LS3</w:t>
            </w:r>
          </w:p>
        </w:tc>
        <w:tc>
          <w:tcPr>
            <w:tcW w:w="379" w:type="pct"/>
            <w:noWrap/>
            <w:vAlign w:val="center"/>
            <w:hideMark/>
          </w:tcPr>
          <w:p w14:paraId="3AB65AA8"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IL</w:t>
            </w:r>
          </w:p>
        </w:tc>
        <w:tc>
          <w:tcPr>
            <w:tcW w:w="621" w:type="pct"/>
            <w:noWrap/>
            <w:vAlign w:val="center"/>
            <w:hideMark/>
          </w:tcPr>
          <w:p w14:paraId="00C0BA4C" w14:textId="6CC5B9B4" w:rsidR="0085459B" w:rsidRPr="0085459B" w:rsidRDefault="008D7589" w:rsidP="0085459B">
            <w:pPr>
              <w:jc w:val="center"/>
              <w:rPr>
                <w:rFonts w:ascii="Times New Roman" w:hAnsi="Times New Roman" w:cs="Times New Roman"/>
                <w:sz w:val="24"/>
              </w:rPr>
            </w:pPr>
            <w:r w:rsidRPr="0085459B">
              <w:rPr>
                <w:rFonts w:ascii="Times New Roman" w:hAnsi="Times New Roman" w:cs="Times New Roman"/>
                <w:sz w:val="24"/>
              </w:rPr>
              <w:t>S</w:t>
            </w:r>
            <w:r>
              <w:rPr>
                <w:rFonts w:ascii="Times New Roman" w:hAnsi="Times New Roman" w:cs="Times New Roman"/>
                <w:sz w:val="24"/>
              </w:rPr>
              <w:t>aflufenacil</w:t>
            </w:r>
          </w:p>
        </w:tc>
        <w:tc>
          <w:tcPr>
            <w:tcW w:w="310" w:type="pct"/>
            <w:noWrap/>
            <w:vAlign w:val="center"/>
            <w:hideMark/>
          </w:tcPr>
          <w:p w14:paraId="7CB7B239"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821</w:t>
            </w:r>
          </w:p>
        </w:tc>
        <w:tc>
          <w:tcPr>
            <w:tcW w:w="345" w:type="pct"/>
            <w:noWrap/>
            <w:vAlign w:val="center"/>
            <w:hideMark/>
          </w:tcPr>
          <w:p w14:paraId="2E3D32E4"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yes</w:t>
            </w:r>
          </w:p>
        </w:tc>
        <w:tc>
          <w:tcPr>
            <w:tcW w:w="1070" w:type="pct"/>
            <w:noWrap/>
            <w:vAlign w:val="center"/>
            <w:hideMark/>
          </w:tcPr>
          <w:p w14:paraId="7CD60F58"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758</w:t>
            </w:r>
          </w:p>
        </w:tc>
        <w:tc>
          <w:tcPr>
            <w:tcW w:w="215" w:type="pct"/>
            <w:noWrap/>
            <w:vAlign w:val="center"/>
            <w:hideMark/>
          </w:tcPr>
          <w:p w14:paraId="3B179DDA"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33</w:t>
            </w:r>
          </w:p>
        </w:tc>
        <w:tc>
          <w:tcPr>
            <w:tcW w:w="821" w:type="pct"/>
            <w:noWrap/>
            <w:vAlign w:val="center"/>
            <w:hideMark/>
          </w:tcPr>
          <w:p w14:paraId="140F89D7"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0.0087</w:t>
            </w:r>
          </w:p>
        </w:tc>
        <w:tc>
          <w:tcPr>
            <w:tcW w:w="345" w:type="pct"/>
            <w:noWrap/>
            <w:vAlign w:val="center"/>
            <w:hideMark/>
          </w:tcPr>
          <w:p w14:paraId="3327C82F"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0.0011</w:t>
            </w:r>
          </w:p>
        </w:tc>
        <w:tc>
          <w:tcPr>
            <w:tcW w:w="259" w:type="pct"/>
            <w:noWrap/>
            <w:vAlign w:val="center"/>
            <w:hideMark/>
          </w:tcPr>
          <w:p w14:paraId="18378D11"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0.89</w:t>
            </w:r>
          </w:p>
        </w:tc>
        <w:tc>
          <w:tcPr>
            <w:tcW w:w="326" w:type="pct"/>
            <w:noWrap/>
            <w:vAlign w:val="center"/>
            <w:hideMark/>
          </w:tcPr>
          <w:p w14:paraId="262B7E6C"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79.7</w:t>
            </w:r>
          </w:p>
        </w:tc>
      </w:tr>
      <w:tr w:rsidR="00F36199" w:rsidRPr="0085459B" w14:paraId="3C3F1997" w14:textId="77777777" w:rsidTr="008D7589">
        <w:trPr>
          <w:trHeight w:val="360"/>
          <w:jc w:val="center"/>
        </w:trPr>
        <w:tc>
          <w:tcPr>
            <w:tcW w:w="309" w:type="pct"/>
            <w:noWrap/>
            <w:vAlign w:val="center"/>
            <w:hideMark/>
          </w:tcPr>
          <w:p w14:paraId="06B2ECDB"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LS3</w:t>
            </w:r>
          </w:p>
        </w:tc>
        <w:tc>
          <w:tcPr>
            <w:tcW w:w="379" w:type="pct"/>
            <w:noWrap/>
            <w:vAlign w:val="center"/>
            <w:hideMark/>
          </w:tcPr>
          <w:p w14:paraId="19354DED"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TN</w:t>
            </w:r>
          </w:p>
        </w:tc>
        <w:tc>
          <w:tcPr>
            <w:tcW w:w="621" w:type="pct"/>
            <w:noWrap/>
            <w:vAlign w:val="center"/>
            <w:hideMark/>
          </w:tcPr>
          <w:p w14:paraId="2CFB31B3" w14:textId="4D2DA917" w:rsidR="0085459B" w:rsidRPr="0085459B" w:rsidRDefault="008D7589" w:rsidP="0085459B">
            <w:pPr>
              <w:jc w:val="center"/>
              <w:rPr>
                <w:rFonts w:ascii="Times New Roman" w:hAnsi="Times New Roman" w:cs="Times New Roman"/>
                <w:sz w:val="24"/>
              </w:rPr>
            </w:pPr>
            <w:r w:rsidRPr="0085459B">
              <w:rPr>
                <w:rFonts w:ascii="Times New Roman" w:hAnsi="Times New Roman" w:cs="Times New Roman"/>
                <w:sz w:val="24"/>
              </w:rPr>
              <w:t>S</w:t>
            </w:r>
            <w:r>
              <w:rPr>
                <w:rFonts w:ascii="Times New Roman" w:hAnsi="Times New Roman" w:cs="Times New Roman"/>
                <w:sz w:val="24"/>
              </w:rPr>
              <w:t>aflufenacil</w:t>
            </w:r>
          </w:p>
        </w:tc>
        <w:tc>
          <w:tcPr>
            <w:tcW w:w="310" w:type="pct"/>
            <w:noWrap/>
            <w:vAlign w:val="center"/>
            <w:hideMark/>
          </w:tcPr>
          <w:p w14:paraId="3BAE6723"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837</w:t>
            </w:r>
          </w:p>
        </w:tc>
        <w:tc>
          <w:tcPr>
            <w:tcW w:w="345" w:type="pct"/>
            <w:noWrap/>
            <w:vAlign w:val="center"/>
            <w:hideMark/>
          </w:tcPr>
          <w:p w14:paraId="2CB76BA7"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yes</w:t>
            </w:r>
          </w:p>
        </w:tc>
        <w:tc>
          <w:tcPr>
            <w:tcW w:w="1070" w:type="pct"/>
            <w:noWrap/>
            <w:vAlign w:val="center"/>
            <w:hideMark/>
          </w:tcPr>
          <w:p w14:paraId="13A9B984"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779</w:t>
            </w:r>
          </w:p>
        </w:tc>
        <w:tc>
          <w:tcPr>
            <w:tcW w:w="215" w:type="pct"/>
            <w:noWrap/>
            <w:vAlign w:val="center"/>
            <w:hideMark/>
          </w:tcPr>
          <w:p w14:paraId="713EBA3E"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35</w:t>
            </w:r>
          </w:p>
        </w:tc>
        <w:tc>
          <w:tcPr>
            <w:tcW w:w="821" w:type="pct"/>
            <w:noWrap/>
            <w:vAlign w:val="center"/>
            <w:hideMark/>
          </w:tcPr>
          <w:p w14:paraId="0E7BCCB2"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0.0101</w:t>
            </w:r>
          </w:p>
        </w:tc>
        <w:tc>
          <w:tcPr>
            <w:tcW w:w="345" w:type="pct"/>
            <w:noWrap/>
            <w:vAlign w:val="center"/>
            <w:hideMark/>
          </w:tcPr>
          <w:p w14:paraId="3E6878FE"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0.0013</w:t>
            </w:r>
          </w:p>
        </w:tc>
        <w:tc>
          <w:tcPr>
            <w:tcW w:w="259" w:type="pct"/>
            <w:noWrap/>
            <w:vAlign w:val="center"/>
            <w:hideMark/>
          </w:tcPr>
          <w:p w14:paraId="48F6882E"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0.9</w:t>
            </w:r>
          </w:p>
        </w:tc>
        <w:tc>
          <w:tcPr>
            <w:tcW w:w="326" w:type="pct"/>
            <w:noWrap/>
            <w:vAlign w:val="center"/>
            <w:hideMark/>
          </w:tcPr>
          <w:p w14:paraId="34D339BC"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68.6</w:t>
            </w:r>
          </w:p>
        </w:tc>
      </w:tr>
      <w:tr w:rsidR="00F36199" w:rsidRPr="0085459B" w14:paraId="1FD8F6ED" w14:textId="77777777" w:rsidTr="008D7589">
        <w:trPr>
          <w:trHeight w:val="360"/>
          <w:jc w:val="center"/>
        </w:trPr>
        <w:tc>
          <w:tcPr>
            <w:tcW w:w="309" w:type="pct"/>
            <w:noWrap/>
            <w:vAlign w:val="center"/>
            <w:hideMark/>
          </w:tcPr>
          <w:p w14:paraId="5BC59A8F"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LS4</w:t>
            </w:r>
          </w:p>
        </w:tc>
        <w:tc>
          <w:tcPr>
            <w:tcW w:w="379" w:type="pct"/>
            <w:noWrap/>
            <w:vAlign w:val="center"/>
            <w:hideMark/>
          </w:tcPr>
          <w:p w14:paraId="46C73E95"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GA</w:t>
            </w:r>
          </w:p>
        </w:tc>
        <w:tc>
          <w:tcPr>
            <w:tcW w:w="621" w:type="pct"/>
            <w:noWrap/>
            <w:vAlign w:val="center"/>
            <w:hideMark/>
          </w:tcPr>
          <w:p w14:paraId="64B8C3C7" w14:textId="60377EBB" w:rsidR="0085459B" w:rsidRPr="0085459B" w:rsidRDefault="00F36199" w:rsidP="0085459B">
            <w:pPr>
              <w:jc w:val="center"/>
              <w:rPr>
                <w:rFonts w:ascii="Times New Roman" w:hAnsi="Times New Roman" w:cs="Times New Roman"/>
                <w:sz w:val="24"/>
              </w:rPr>
            </w:pPr>
            <w:r w:rsidRPr="0085459B">
              <w:rPr>
                <w:rFonts w:ascii="Times New Roman" w:hAnsi="Times New Roman" w:cs="Times New Roman"/>
                <w:sz w:val="24"/>
              </w:rPr>
              <w:t>A</w:t>
            </w:r>
            <w:r>
              <w:rPr>
                <w:rFonts w:ascii="Times New Roman" w:hAnsi="Times New Roman" w:cs="Times New Roman"/>
                <w:sz w:val="24"/>
              </w:rPr>
              <w:t>trazine</w:t>
            </w:r>
          </w:p>
        </w:tc>
        <w:tc>
          <w:tcPr>
            <w:tcW w:w="310" w:type="pct"/>
            <w:noWrap/>
            <w:vAlign w:val="center"/>
            <w:hideMark/>
          </w:tcPr>
          <w:p w14:paraId="1F3B877B"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1087</w:t>
            </w:r>
          </w:p>
        </w:tc>
        <w:tc>
          <w:tcPr>
            <w:tcW w:w="345" w:type="pct"/>
            <w:noWrap/>
            <w:vAlign w:val="center"/>
            <w:hideMark/>
          </w:tcPr>
          <w:p w14:paraId="49C93986"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no</w:t>
            </w:r>
          </w:p>
        </w:tc>
        <w:tc>
          <w:tcPr>
            <w:tcW w:w="1070" w:type="pct"/>
            <w:noWrap/>
            <w:vAlign w:val="center"/>
            <w:hideMark/>
          </w:tcPr>
          <w:p w14:paraId="47B09A3A"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1041</w:t>
            </w:r>
          </w:p>
        </w:tc>
        <w:tc>
          <w:tcPr>
            <w:tcW w:w="215" w:type="pct"/>
            <w:noWrap/>
            <w:vAlign w:val="center"/>
            <w:hideMark/>
          </w:tcPr>
          <w:p w14:paraId="5D198706"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26</w:t>
            </w:r>
          </w:p>
        </w:tc>
        <w:tc>
          <w:tcPr>
            <w:tcW w:w="821" w:type="pct"/>
            <w:noWrap/>
            <w:vAlign w:val="center"/>
            <w:hideMark/>
          </w:tcPr>
          <w:p w14:paraId="375DD6DC"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0.03</w:t>
            </w:r>
          </w:p>
        </w:tc>
        <w:tc>
          <w:tcPr>
            <w:tcW w:w="345" w:type="pct"/>
            <w:noWrap/>
            <w:vAlign w:val="center"/>
            <w:hideMark/>
          </w:tcPr>
          <w:p w14:paraId="26087C0F"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0.0018</w:t>
            </w:r>
          </w:p>
        </w:tc>
        <w:tc>
          <w:tcPr>
            <w:tcW w:w="259" w:type="pct"/>
            <w:noWrap/>
            <w:vAlign w:val="center"/>
            <w:hideMark/>
          </w:tcPr>
          <w:p w14:paraId="2E8BFF87"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0.98</w:t>
            </w:r>
          </w:p>
        </w:tc>
        <w:tc>
          <w:tcPr>
            <w:tcW w:w="326" w:type="pct"/>
            <w:noWrap/>
            <w:vAlign w:val="center"/>
            <w:hideMark/>
          </w:tcPr>
          <w:p w14:paraId="4BD69ABC"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23.1</w:t>
            </w:r>
          </w:p>
        </w:tc>
      </w:tr>
      <w:tr w:rsidR="00F36199" w:rsidRPr="0085459B" w14:paraId="39D02B72" w14:textId="77777777" w:rsidTr="008D7589">
        <w:trPr>
          <w:trHeight w:val="360"/>
          <w:jc w:val="center"/>
        </w:trPr>
        <w:tc>
          <w:tcPr>
            <w:tcW w:w="309" w:type="pct"/>
            <w:noWrap/>
            <w:vAlign w:val="center"/>
            <w:hideMark/>
          </w:tcPr>
          <w:p w14:paraId="61859DAA"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LS4</w:t>
            </w:r>
          </w:p>
        </w:tc>
        <w:tc>
          <w:tcPr>
            <w:tcW w:w="379" w:type="pct"/>
            <w:noWrap/>
            <w:vAlign w:val="center"/>
            <w:hideMark/>
          </w:tcPr>
          <w:p w14:paraId="5DFE6C1B"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IL</w:t>
            </w:r>
          </w:p>
        </w:tc>
        <w:tc>
          <w:tcPr>
            <w:tcW w:w="621" w:type="pct"/>
            <w:noWrap/>
            <w:vAlign w:val="center"/>
            <w:hideMark/>
          </w:tcPr>
          <w:p w14:paraId="0486307D" w14:textId="1344A59C" w:rsidR="0085459B" w:rsidRPr="0085459B" w:rsidRDefault="00F36199" w:rsidP="0085459B">
            <w:pPr>
              <w:jc w:val="center"/>
              <w:rPr>
                <w:rFonts w:ascii="Times New Roman" w:hAnsi="Times New Roman" w:cs="Times New Roman"/>
                <w:sz w:val="24"/>
              </w:rPr>
            </w:pPr>
            <w:r w:rsidRPr="0085459B">
              <w:rPr>
                <w:rFonts w:ascii="Times New Roman" w:hAnsi="Times New Roman" w:cs="Times New Roman"/>
                <w:sz w:val="24"/>
              </w:rPr>
              <w:t>A</w:t>
            </w:r>
            <w:r>
              <w:rPr>
                <w:rFonts w:ascii="Times New Roman" w:hAnsi="Times New Roman" w:cs="Times New Roman"/>
                <w:sz w:val="24"/>
              </w:rPr>
              <w:t>trazine</w:t>
            </w:r>
          </w:p>
        </w:tc>
        <w:tc>
          <w:tcPr>
            <w:tcW w:w="310" w:type="pct"/>
            <w:noWrap/>
            <w:vAlign w:val="center"/>
            <w:hideMark/>
          </w:tcPr>
          <w:p w14:paraId="2AFED55F"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1052</w:t>
            </w:r>
          </w:p>
        </w:tc>
        <w:tc>
          <w:tcPr>
            <w:tcW w:w="345" w:type="pct"/>
            <w:noWrap/>
            <w:vAlign w:val="center"/>
            <w:hideMark/>
          </w:tcPr>
          <w:p w14:paraId="0D4C6C91"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no</w:t>
            </w:r>
          </w:p>
        </w:tc>
        <w:tc>
          <w:tcPr>
            <w:tcW w:w="1070" w:type="pct"/>
            <w:noWrap/>
            <w:vAlign w:val="center"/>
            <w:hideMark/>
          </w:tcPr>
          <w:p w14:paraId="47ED9BFD"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1059</w:t>
            </w:r>
          </w:p>
        </w:tc>
        <w:tc>
          <w:tcPr>
            <w:tcW w:w="215" w:type="pct"/>
            <w:noWrap/>
            <w:vAlign w:val="center"/>
            <w:hideMark/>
          </w:tcPr>
          <w:p w14:paraId="01862449"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15</w:t>
            </w:r>
          </w:p>
        </w:tc>
        <w:tc>
          <w:tcPr>
            <w:tcW w:w="821" w:type="pct"/>
            <w:noWrap/>
            <w:vAlign w:val="center"/>
            <w:hideMark/>
          </w:tcPr>
          <w:p w14:paraId="122AC32A"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0.0211</w:t>
            </w:r>
          </w:p>
        </w:tc>
        <w:tc>
          <w:tcPr>
            <w:tcW w:w="345" w:type="pct"/>
            <w:noWrap/>
            <w:vAlign w:val="center"/>
            <w:hideMark/>
          </w:tcPr>
          <w:p w14:paraId="0D8DD00B"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0.0007</w:t>
            </w:r>
          </w:p>
        </w:tc>
        <w:tc>
          <w:tcPr>
            <w:tcW w:w="259" w:type="pct"/>
            <w:noWrap/>
            <w:vAlign w:val="center"/>
            <w:hideMark/>
          </w:tcPr>
          <w:p w14:paraId="1472F44D"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0.99</w:t>
            </w:r>
          </w:p>
        </w:tc>
        <w:tc>
          <w:tcPr>
            <w:tcW w:w="326" w:type="pct"/>
            <w:noWrap/>
            <w:vAlign w:val="center"/>
            <w:hideMark/>
          </w:tcPr>
          <w:p w14:paraId="1912F5F2"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32.8</w:t>
            </w:r>
          </w:p>
        </w:tc>
      </w:tr>
      <w:tr w:rsidR="00F36199" w:rsidRPr="0085459B" w14:paraId="01E9C546" w14:textId="77777777" w:rsidTr="008D7589">
        <w:trPr>
          <w:trHeight w:val="360"/>
          <w:jc w:val="center"/>
        </w:trPr>
        <w:tc>
          <w:tcPr>
            <w:tcW w:w="309" w:type="pct"/>
            <w:noWrap/>
            <w:vAlign w:val="center"/>
            <w:hideMark/>
          </w:tcPr>
          <w:p w14:paraId="021F91DB"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LS4</w:t>
            </w:r>
          </w:p>
        </w:tc>
        <w:tc>
          <w:tcPr>
            <w:tcW w:w="379" w:type="pct"/>
            <w:noWrap/>
            <w:vAlign w:val="center"/>
            <w:hideMark/>
          </w:tcPr>
          <w:p w14:paraId="102B1F15"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TN</w:t>
            </w:r>
          </w:p>
        </w:tc>
        <w:tc>
          <w:tcPr>
            <w:tcW w:w="621" w:type="pct"/>
            <w:noWrap/>
            <w:vAlign w:val="center"/>
            <w:hideMark/>
          </w:tcPr>
          <w:p w14:paraId="615415A9" w14:textId="3B7D78BF" w:rsidR="0085459B" w:rsidRPr="0085459B" w:rsidRDefault="00F36199" w:rsidP="0085459B">
            <w:pPr>
              <w:jc w:val="center"/>
              <w:rPr>
                <w:rFonts w:ascii="Times New Roman" w:hAnsi="Times New Roman" w:cs="Times New Roman"/>
                <w:sz w:val="24"/>
              </w:rPr>
            </w:pPr>
            <w:r w:rsidRPr="0085459B">
              <w:rPr>
                <w:rFonts w:ascii="Times New Roman" w:hAnsi="Times New Roman" w:cs="Times New Roman"/>
                <w:sz w:val="24"/>
              </w:rPr>
              <w:t>A</w:t>
            </w:r>
            <w:r>
              <w:rPr>
                <w:rFonts w:ascii="Times New Roman" w:hAnsi="Times New Roman" w:cs="Times New Roman"/>
                <w:sz w:val="24"/>
              </w:rPr>
              <w:t>trazine</w:t>
            </w:r>
          </w:p>
        </w:tc>
        <w:tc>
          <w:tcPr>
            <w:tcW w:w="310" w:type="pct"/>
            <w:noWrap/>
            <w:vAlign w:val="center"/>
            <w:hideMark/>
          </w:tcPr>
          <w:p w14:paraId="71CFEB9A"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1039</w:t>
            </w:r>
          </w:p>
        </w:tc>
        <w:tc>
          <w:tcPr>
            <w:tcW w:w="345" w:type="pct"/>
            <w:noWrap/>
            <w:vAlign w:val="center"/>
            <w:hideMark/>
          </w:tcPr>
          <w:p w14:paraId="508E72C6"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no</w:t>
            </w:r>
          </w:p>
        </w:tc>
        <w:tc>
          <w:tcPr>
            <w:tcW w:w="1070" w:type="pct"/>
            <w:noWrap/>
            <w:vAlign w:val="center"/>
            <w:hideMark/>
          </w:tcPr>
          <w:p w14:paraId="03D5EB47"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1092</w:t>
            </w:r>
          </w:p>
        </w:tc>
        <w:tc>
          <w:tcPr>
            <w:tcW w:w="215" w:type="pct"/>
            <w:noWrap/>
            <w:vAlign w:val="center"/>
            <w:hideMark/>
          </w:tcPr>
          <w:p w14:paraId="40AFB200"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31</w:t>
            </w:r>
          </w:p>
        </w:tc>
        <w:tc>
          <w:tcPr>
            <w:tcW w:w="821" w:type="pct"/>
            <w:noWrap/>
            <w:vAlign w:val="center"/>
            <w:hideMark/>
          </w:tcPr>
          <w:p w14:paraId="2F4C6E1C"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0.042</w:t>
            </w:r>
          </w:p>
        </w:tc>
        <w:tc>
          <w:tcPr>
            <w:tcW w:w="345" w:type="pct"/>
            <w:noWrap/>
            <w:vAlign w:val="center"/>
            <w:hideMark/>
          </w:tcPr>
          <w:p w14:paraId="22290649"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0.0026</w:t>
            </w:r>
          </w:p>
        </w:tc>
        <w:tc>
          <w:tcPr>
            <w:tcW w:w="259" w:type="pct"/>
            <w:noWrap/>
            <w:vAlign w:val="center"/>
            <w:hideMark/>
          </w:tcPr>
          <w:p w14:paraId="1AE2D765"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0.98</w:t>
            </w:r>
          </w:p>
        </w:tc>
        <w:tc>
          <w:tcPr>
            <w:tcW w:w="326" w:type="pct"/>
            <w:noWrap/>
            <w:vAlign w:val="center"/>
            <w:hideMark/>
          </w:tcPr>
          <w:p w14:paraId="0B6DEC00"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16.5</w:t>
            </w:r>
          </w:p>
        </w:tc>
      </w:tr>
      <w:tr w:rsidR="00F36199" w:rsidRPr="0085459B" w14:paraId="57F187CF" w14:textId="77777777" w:rsidTr="008D7589">
        <w:trPr>
          <w:trHeight w:val="360"/>
          <w:jc w:val="center"/>
        </w:trPr>
        <w:tc>
          <w:tcPr>
            <w:tcW w:w="309" w:type="pct"/>
            <w:noWrap/>
            <w:vAlign w:val="center"/>
            <w:hideMark/>
          </w:tcPr>
          <w:p w14:paraId="0041BACB"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LS4</w:t>
            </w:r>
          </w:p>
        </w:tc>
        <w:tc>
          <w:tcPr>
            <w:tcW w:w="379" w:type="pct"/>
            <w:noWrap/>
            <w:vAlign w:val="center"/>
            <w:hideMark/>
          </w:tcPr>
          <w:p w14:paraId="74A79F3D"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GA</w:t>
            </w:r>
          </w:p>
        </w:tc>
        <w:tc>
          <w:tcPr>
            <w:tcW w:w="621" w:type="pct"/>
            <w:noWrap/>
            <w:vAlign w:val="center"/>
            <w:hideMark/>
          </w:tcPr>
          <w:p w14:paraId="5D94DF6A" w14:textId="0F025F49" w:rsidR="0085459B" w:rsidRPr="0085459B" w:rsidRDefault="00F36199" w:rsidP="0085459B">
            <w:pPr>
              <w:jc w:val="center"/>
              <w:rPr>
                <w:rFonts w:ascii="Times New Roman" w:hAnsi="Times New Roman" w:cs="Times New Roman"/>
                <w:sz w:val="24"/>
              </w:rPr>
            </w:pPr>
            <w:r w:rsidRPr="0085459B">
              <w:rPr>
                <w:rFonts w:ascii="Times New Roman" w:hAnsi="Times New Roman" w:cs="Times New Roman"/>
                <w:sz w:val="24"/>
              </w:rPr>
              <w:t>P</w:t>
            </w:r>
            <w:r>
              <w:rPr>
                <w:rFonts w:ascii="Times New Roman" w:hAnsi="Times New Roman" w:cs="Times New Roman"/>
                <w:sz w:val="24"/>
              </w:rPr>
              <w:t>yroxasulfone</w:t>
            </w:r>
          </w:p>
        </w:tc>
        <w:tc>
          <w:tcPr>
            <w:tcW w:w="310" w:type="pct"/>
            <w:noWrap/>
            <w:vAlign w:val="center"/>
            <w:hideMark/>
          </w:tcPr>
          <w:p w14:paraId="334BC3B2"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453</w:t>
            </w:r>
          </w:p>
        </w:tc>
        <w:tc>
          <w:tcPr>
            <w:tcW w:w="345" w:type="pct"/>
            <w:noWrap/>
            <w:vAlign w:val="center"/>
            <w:hideMark/>
          </w:tcPr>
          <w:p w14:paraId="7C9F4380"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no</w:t>
            </w:r>
          </w:p>
        </w:tc>
        <w:tc>
          <w:tcPr>
            <w:tcW w:w="1070" w:type="pct"/>
            <w:noWrap/>
            <w:vAlign w:val="center"/>
            <w:hideMark/>
          </w:tcPr>
          <w:p w14:paraId="04ED7C6A"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405</w:t>
            </w:r>
          </w:p>
        </w:tc>
        <w:tc>
          <w:tcPr>
            <w:tcW w:w="215" w:type="pct"/>
            <w:noWrap/>
            <w:vAlign w:val="center"/>
            <w:hideMark/>
          </w:tcPr>
          <w:p w14:paraId="25CAAC2D"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25</w:t>
            </w:r>
          </w:p>
        </w:tc>
        <w:tc>
          <w:tcPr>
            <w:tcW w:w="821" w:type="pct"/>
            <w:noWrap/>
            <w:vAlign w:val="center"/>
            <w:hideMark/>
          </w:tcPr>
          <w:p w14:paraId="6B3C00A1"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0.0085</w:t>
            </w:r>
          </w:p>
        </w:tc>
        <w:tc>
          <w:tcPr>
            <w:tcW w:w="345" w:type="pct"/>
            <w:noWrap/>
            <w:vAlign w:val="center"/>
            <w:hideMark/>
          </w:tcPr>
          <w:p w14:paraId="77F108DC"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0.0015</w:t>
            </w:r>
          </w:p>
        </w:tc>
        <w:tc>
          <w:tcPr>
            <w:tcW w:w="259" w:type="pct"/>
            <w:noWrap/>
            <w:vAlign w:val="center"/>
            <w:hideMark/>
          </w:tcPr>
          <w:p w14:paraId="74EDE12C"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0.81</w:t>
            </w:r>
          </w:p>
        </w:tc>
        <w:tc>
          <w:tcPr>
            <w:tcW w:w="326" w:type="pct"/>
            <w:noWrap/>
            <w:vAlign w:val="center"/>
            <w:hideMark/>
          </w:tcPr>
          <w:p w14:paraId="64E43B8F" w14:textId="77777777" w:rsidR="0085459B" w:rsidRPr="0085459B" w:rsidRDefault="0085459B" w:rsidP="0085459B">
            <w:pPr>
              <w:jc w:val="center"/>
              <w:rPr>
                <w:rFonts w:ascii="Times New Roman" w:hAnsi="Times New Roman" w:cs="Times New Roman"/>
                <w:sz w:val="24"/>
              </w:rPr>
            </w:pPr>
            <w:r w:rsidRPr="0085459B">
              <w:rPr>
                <w:rFonts w:ascii="Times New Roman" w:hAnsi="Times New Roman" w:cs="Times New Roman"/>
                <w:sz w:val="24"/>
              </w:rPr>
              <w:t>81.5</w:t>
            </w:r>
          </w:p>
        </w:tc>
      </w:tr>
      <w:tr w:rsidR="008D7589" w:rsidRPr="0085459B" w14:paraId="705A4AB6" w14:textId="77777777" w:rsidTr="008D7589">
        <w:trPr>
          <w:trHeight w:val="360"/>
          <w:jc w:val="center"/>
        </w:trPr>
        <w:tc>
          <w:tcPr>
            <w:tcW w:w="1309" w:type="pct"/>
            <w:gridSpan w:val="3"/>
            <w:noWrap/>
            <w:vAlign w:val="center"/>
          </w:tcPr>
          <w:p w14:paraId="362985AE" w14:textId="06C0D191" w:rsidR="008D7589" w:rsidRPr="0085459B" w:rsidRDefault="008D7589" w:rsidP="008D7589">
            <w:pPr>
              <w:rPr>
                <w:rFonts w:ascii="Times New Roman" w:hAnsi="Times New Roman" w:cs="Times New Roman"/>
                <w:sz w:val="24"/>
              </w:rPr>
            </w:pPr>
          </w:p>
        </w:tc>
        <w:tc>
          <w:tcPr>
            <w:tcW w:w="310" w:type="pct"/>
            <w:noWrap/>
            <w:vAlign w:val="center"/>
          </w:tcPr>
          <w:p w14:paraId="71FA2851" w14:textId="3950294A" w:rsidR="008D7589" w:rsidRPr="0085459B" w:rsidRDefault="008D7589" w:rsidP="0085459B">
            <w:pPr>
              <w:jc w:val="center"/>
              <w:rPr>
                <w:rFonts w:ascii="Times New Roman" w:hAnsi="Times New Roman" w:cs="Times New Roman"/>
                <w:sz w:val="24"/>
              </w:rPr>
            </w:pPr>
          </w:p>
        </w:tc>
        <w:tc>
          <w:tcPr>
            <w:tcW w:w="345" w:type="pct"/>
            <w:noWrap/>
            <w:vAlign w:val="center"/>
          </w:tcPr>
          <w:p w14:paraId="24E9AFE7" w14:textId="5A8EF4BF" w:rsidR="008D7589" w:rsidRPr="0085459B" w:rsidRDefault="008D7589" w:rsidP="0085459B">
            <w:pPr>
              <w:jc w:val="center"/>
              <w:rPr>
                <w:rFonts w:ascii="Times New Roman" w:hAnsi="Times New Roman" w:cs="Times New Roman"/>
                <w:sz w:val="24"/>
              </w:rPr>
            </w:pPr>
          </w:p>
        </w:tc>
        <w:tc>
          <w:tcPr>
            <w:tcW w:w="1070" w:type="pct"/>
            <w:noWrap/>
            <w:vAlign w:val="center"/>
          </w:tcPr>
          <w:p w14:paraId="340DE9CA" w14:textId="0CE22415" w:rsidR="008D7589" w:rsidRPr="0085459B" w:rsidRDefault="008D7589" w:rsidP="0085459B">
            <w:pPr>
              <w:jc w:val="center"/>
              <w:rPr>
                <w:rFonts w:ascii="Times New Roman" w:hAnsi="Times New Roman" w:cs="Times New Roman"/>
                <w:sz w:val="24"/>
              </w:rPr>
            </w:pPr>
          </w:p>
        </w:tc>
        <w:tc>
          <w:tcPr>
            <w:tcW w:w="215" w:type="pct"/>
            <w:noWrap/>
            <w:vAlign w:val="center"/>
          </w:tcPr>
          <w:p w14:paraId="14CEBF0E" w14:textId="713B596A" w:rsidR="008D7589" w:rsidRPr="0085459B" w:rsidRDefault="008D7589" w:rsidP="0085459B">
            <w:pPr>
              <w:jc w:val="center"/>
              <w:rPr>
                <w:rFonts w:ascii="Times New Roman" w:hAnsi="Times New Roman" w:cs="Times New Roman"/>
                <w:sz w:val="24"/>
              </w:rPr>
            </w:pPr>
          </w:p>
        </w:tc>
        <w:tc>
          <w:tcPr>
            <w:tcW w:w="821" w:type="pct"/>
            <w:noWrap/>
            <w:vAlign w:val="center"/>
          </w:tcPr>
          <w:p w14:paraId="5A84394D" w14:textId="37A5DDD1" w:rsidR="008D7589" w:rsidRPr="0085459B" w:rsidRDefault="008D7589" w:rsidP="0085459B">
            <w:pPr>
              <w:jc w:val="center"/>
              <w:rPr>
                <w:rFonts w:ascii="Times New Roman" w:hAnsi="Times New Roman" w:cs="Times New Roman"/>
                <w:sz w:val="24"/>
              </w:rPr>
            </w:pPr>
          </w:p>
        </w:tc>
        <w:tc>
          <w:tcPr>
            <w:tcW w:w="345" w:type="pct"/>
            <w:noWrap/>
            <w:vAlign w:val="center"/>
          </w:tcPr>
          <w:p w14:paraId="1D97282D" w14:textId="59A8B147" w:rsidR="008D7589" w:rsidRPr="0085459B" w:rsidRDefault="008D7589" w:rsidP="0085459B">
            <w:pPr>
              <w:jc w:val="center"/>
              <w:rPr>
                <w:rFonts w:ascii="Times New Roman" w:hAnsi="Times New Roman" w:cs="Times New Roman"/>
                <w:sz w:val="24"/>
              </w:rPr>
            </w:pPr>
          </w:p>
        </w:tc>
        <w:tc>
          <w:tcPr>
            <w:tcW w:w="259" w:type="pct"/>
            <w:noWrap/>
            <w:vAlign w:val="center"/>
          </w:tcPr>
          <w:p w14:paraId="4AECFAB9" w14:textId="405D62EB" w:rsidR="008D7589" w:rsidRPr="0085459B" w:rsidRDefault="008D7589" w:rsidP="0085459B">
            <w:pPr>
              <w:jc w:val="center"/>
              <w:rPr>
                <w:rFonts w:ascii="Times New Roman" w:hAnsi="Times New Roman" w:cs="Times New Roman"/>
                <w:sz w:val="24"/>
              </w:rPr>
            </w:pPr>
          </w:p>
        </w:tc>
        <w:tc>
          <w:tcPr>
            <w:tcW w:w="326" w:type="pct"/>
            <w:noWrap/>
            <w:vAlign w:val="center"/>
          </w:tcPr>
          <w:p w14:paraId="005B63C7" w14:textId="4C1E4582" w:rsidR="008D7589" w:rsidRPr="0085459B" w:rsidRDefault="008D7589" w:rsidP="0085459B">
            <w:pPr>
              <w:jc w:val="center"/>
              <w:rPr>
                <w:rFonts w:ascii="Times New Roman" w:hAnsi="Times New Roman" w:cs="Times New Roman"/>
                <w:sz w:val="24"/>
              </w:rPr>
            </w:pPr>
          </w:p>
        </w:tc>
      </w:tr>
      <w:tr w:rsidR="008D7589" w:rsidRPr="0085459B" w14:paraId="22FB652A" w14:textId="77777777" w:rsidTr="008D7589">
        <w:trPr>
          <w:trHeight w:val="360"/>
          <w:jc w:val="center"/>
        </w:trPr>
        <w:tc>
          <w:tcPr>
            <w:tcW w:w="1309" w:type="pct"/>
            <w:gridSpan w:val="3"/>
            <w:tcBorders>
              <w:bottom w:val="single" w:sz="4" w:space="0" w:color="auto"/>
            </w:tcBorders>
            <w:noWrap/>
            <w:vAlign w:val="center"/>
          </w:tcPr>
          <w:p w14:paraId="4DB68B4B" w14:textId="0B488066" w:rsidR="008D7589" w:rsidRDefault="008D7589" w:rsidP="008D7589">
            <w:pPr>
              <w:rPr>
                <w:rFonts w:ascii="Times New Roman" w:hAnsi="Times New Roman" w:cs="Times New Roman"/>
                <w:sz w:val="24"/>
              </w:rPr>
            </w:pPr>
            <w:r>
              <w:rPr>
                <w:rFonts w:ascii="Times New Roman" w:hAnsi="Times New Roman" w:cs="Times New Roman"/>
                <w:sz w:val="24"/>
              </w:rPr>
              <w:lastRenderedPageBreak/>
              <w:t>Table 5. Continued</w:t>
            </w:r>
          </w:p>
        </w:tc>
        <w:tc>
          <w:tcPr>
            <w:tcW w:w="310" w:type="pct"/>
            <w:tcBorders>
              <w:bottom w:val="single" w:sz="4" w:space="0" w:color="auto"/>
            </w:tcBorders>
            <w:noWrap/>
            <w:vAlign w:val="bottom"/>
          </w:tcPr>
          <w:p w14:paraId="6F0A9D47" w14:textId="77777777" w:rsidR="008D7589" w:rsidRDefault="008D7589" w:rsidP="008D7589">
            <w:pPr>
              <w:jc w:val="center"/>
              <w:rPr>
                <w:rFonts w:ascii="Times New Roman" w:hAnsi="Times New Roman" w:cs="Times New Roman"/>
                <w:sz w:val="24"/>
              </w:rPr>
            </w:pPr>
          </w:p>
        </w:tc>
        <w:tc>
          <w:tcPr>
            <w:tcW w:w="345" w:type="pct"/>
            <w:tcBorders>
              <w:bottom w:val="single" w:sz="4" w:space="0" w:color="auto"/>
            </w:tcBorders>
            <w:noWrap/>
            <w:vAlign w:val="bottom"/>
          </w:tcPr>
          <w:p w14:paraId="05408F41" w14:textId="77777777" w:rsidR="008D7589" w:rsidRDefault="008D7589" w:rsidP="008D7589">
            <w:pPr>
              <w:jc w:val="center"/>
              <w:rPr>
                <w:rFonts w:ascii="Times New Roman" w:hAnsi="Times New Roman" w:cs="Times New Roman"/>
                <w:sz w:val="24"/>
              </w:rPr>
            </w:pPr>
          </w:p>
        </w:tc>
        <w:tc>
          <w:tcPr>
            <w:tcW w:w="1070" w:type="pct"/>
            <w:tcBorders>
              <w:bottom w:val="single" w:sz="4" w:space="0" w:color="auto"/>
            </w:tcBorders>
            <w:noWrap/>
            <w:vAlign w:val="bottom"/>
          </w:tcPr>
          <w:p w14:paraId="18C457CE" w14:textId="77777777" w:rsidR="008D7589" w:rsidRDefault="008D7589" w:rsidP="008D7589">
            <w:pPr>
              <w:jc w:val="center"/>
              <w:rPr>
                <w:rFonts w:ascii="Times New Roman" w:hAnsi="Times New Roman" w:cs="Times New Roman"/>
                <w:sz w:val="24"/>
              </w:rPr>
            </w:pPr>
          </w:p>
        </w:tc>
        <w:tc>
          <w:tcPr>
            <w:tcW w:w="215" w:type="pct"/>
            <w:tcBorders>
              <w:bottom w:val="single" w:sz="4" w:space="0" w:color="auto"/>
            </w:tcBorders>
            <w:noWrap/>
            <w:vAlign w:val="bottom"/>
          </w:tcPr>
          <w:p w14:paraId="3F692D3D" w14:textId="77777777" w:rsidR="008D7589" w:rsidRDefault="008D7589" w:rsidP="008D7589">
            <w:pPr>
              <w:jc w:val="center"/>
              <w:rPr>
                <w:rFonts w:ascii="Times New Roman" w:hAnsi="Times New Roman" w:cs="Times New Roman"/>
                <w:sz w:val="24"/>
              </w:rPr>
            </w:pPr>
          </w:p>
        </w:tc>
        <w:tc>
          <w:tcPr>
            <w:tcW w:w="821" w:type="pct"/>
            <w:tcBorders>
              <w:bottom w:val="single" w:sz="4" w:space="0" w:color="auto"/>
            </w:tcBorders>
            <w:noWrap/>
            <w:vAlign w:val="bottom"/>
          </w:tcPr>
          <w:p w14:paraId="40F947DD" w14:textId="77777777" w:rsidR="008D7589" w:rsidRDefault="008D7589" w:rsidP="008D7589">
            <w:pPr>
              <w:jc w:val="center"/>
              <w:rPr>
                <w:rFonts w:ascii="Times New Roman" w:hAnsi="Times New Roman" w:cs="Times New Roman"/>
                <w:sz w:val="24"/>
              </w:rPr>
            </w:pPr>
          </w:p>
        </w:tc>
        <w:tc>
          <w:tcPr>
            <w:tcW w:w="345" w:type="pct"/>
            <w:tcBorders>
              <w:bottom w:val="single" w:sz="4" w:space="0" w:color="auto"/>
            </w:tcBorders>
            <w:noWrap/>
            <w:vAlign w:val="bottom"/>
          </w:tcPr>
          <w:p w14:paraId="3646C6CC" w14:textId="77777777" w:rsidR="008D7589" w:rsidRDefault="008D7589" w:rsidP="008D7589">
            <w:pPr>
              <w:jc w:val="center"/>
              <w:rPr>
                <w:rFonts w:ascii="Times New Roman" w:hAnsi="Times New Roman" w:cs="Times New Roman"/>
                <w:sz w:val="24"/>
              </w:rPr>
            </w:pPr>
          </w:p>
        </w:tc>
        <w:tc>
          <w:tcPr>
            <w:tcW w:w="259" w:type="pct"/>
            <w:tcBorders>
              <w:bottom w:val="single" w:sz="4" w:space="0" w:color="auto"/>
            </w:tcBorders>
            <w:noWrap/>
            <w:vAlign w:val="bottom"/>
          </w:tcPr>
          <w:p w14:paraId="54454DF5" w14:textId="77777777" w:rsidR="008D7589" w:rsidRDefault="008D7589" w:rsidP="008D7589">
            <w:pPr>
              <w:jc w:val="center"/>
              <w:rPr>
                <w:rFonts w:ascii="Times New Roman" w:hAnsi="Times New Roman" w:cs="Times New Roman"/>
                <w:sz w:val="24"/>
              </w:rPr>
            </w:pPr>
          </w:p>
        </w:tc>
        <w:tc>
          <w:tcPr>
            <w:tcW w:w="326" w:type="pct"/>
            <w:tcBorders>
              <w:bottom w:val="single" w:sz="4" w:space="0" w:color="auto"/>
            </w:tcBorders>
            <w:noWrap/>
            <w:vAlign w:val="bottom"/>
          </w:tcPr>
          <w:p w14:paraId="01CCA5A5" w14:textId="77777777" w:rsidR="008D7589" w:rsidRDefault="008D7589" w:rsidP="008D7589">
            <w:pPr>
              <w:jc w:val="center"/>
              <w:rPr>
                <w:rFonts w:ascii="Times New Roman" w:hAnsi="Times New Roman" w:cs="Times New Roman"/>
                <w:sz w:val="24"/>
              </w:rPr>
            </w:pPr>
          </w:p>
        </w:tc>
      </w:tr>
      <w:tr w:rsidR="00F36199" w:rsidRPr="0085459B" w14:paraId="30653F87" w14:textId="77777777" w:rsidTr="008D7589">
        <w:trPr>
          <w:trHeight w:val="360"/>
          <w:jc w:val="center"/>
        </w:trPr>
        <w:tc>
          <w:tcPr>
            <w:tcW w:w="309" w:type="pct"/>
            <w:tcBorders>
              <w:top w:val="single" w:sz="4" w:space="0" w:color="auto"/>
              <w:bottom w:val="single" w:sz="4" w:space="0" w:color="auto"/>
            </w:tcBorders>
            <w:noWrap/>
            <w:vAlign w:val="bottom"/>
          </w:tcPr>
          <w:p w14:paraId="624DED0E" w14:textId="27BCABFC" w:rsidR="00CA3A3D" w:rsidRPr="0085459B" w:rsidRDefault="00CA3A3D" w:rsidP="008D7589">
            <w:pPr>
              <w:jc w:val="center"/>
              <w:rPr>
                <w:rFonts w:ascii="Times New Roman" w:hAnsi="Times New Roman" w:cs="Times New Roman"/>
                <w:sz w:val="24"/>
              </w:rPr>
            </w:pPr>
            <w:r>
              <w:rPr>
                <w:rFonts w:ascii="Times New Roman" w:hAnsi="Times New Roman" w:cs="Times New Roman"/>
                <w:sz w:val="24"/>
              </w:rPr>
              <w:t>Study</w:t>
            </w:r>
          </w:p>
        </w:tc>
        <w:tc>
          <w:tcPr>
            <w:tcW w:w="379" w:type="pct"/>
            <w:tcBorders>
              <w:top w:val="single" w:sz="4" w:space="0" w:color="auto"/>
              <w:bottom w:val="single" w:sz="4" w:space="0" w:color="auto"/>
            </w:tcBorders>
            <w:noWrap/>
            <w:vAlign w:val="bottom"/>
          </w:tcPr>
          <w:p w14:paraId="628C1A16" w14:textId="4691EF99" w:rsidR="00CA3A3D" w:rsidRPr="0085459B" w:rsidRDefault="00CA3A3D" w:rsidP="008D7589">
            <w:pPr>
              <w:jc w:val="center"/>
              <w:rPr>
                <w:rFonts w:ascii="Times New Roman" w:hAnsi="Times New Roman" w:cs="Times New Roman"/>
                <w:sz w:val="24"/>
              </w:rPr>
            </w:pPr>
            <w:r>
              <w:rPr>
                <w:rFonts w:ascii="Times New Roman" w:hAnsi="Times New Roman" w:cs="Times New Roman"/>
                <w:sz w:val="24"/>
              </w:rPr>
              <w:t>Soil</w:t>
            </w:r>
          </w:p>
        </w:tc>
        <w:tc>
          <w:tcPr>
            <w:tcW w:w="621" w:type="pct"/>
            <w:tcBorders>
              <w:top w:val="single" w:sz="4" w:space="0" w:color="auto"/>
              <w:bottom w:val="single" w:sz="4" w:space="0" w:color="auto"/>
            </w:tcBorders>
            <w:noWrap/>
            <w:vAlign w:val="bottom"/>
          </w:tcPr>
          <w:p w14:paraId="33D19C54" w14:textId="479A6AB1" w:rsidR="00CA3A3D" w:rsidRPr="0085459B" w:rsidRDefault="008D7589" w:rsidP="008D7589">
            <w:pPr>
              <w:jc w:val="center"/>
              <w:rPr>
                <w:rFonts w:ascii="Times New Roman" w:hAnsi="Times New Roman" w:cs="Times New Roman"/>
                <w:sz w:val="24"/>
              </w:rPr>
            </w:pPr>
            <w:r>
              <w:rPr>
                <w:rFonts w:ascii="Times New Roman" w:hAnsi="Times New Roman" w:cs="Times New Roman"/>
                <w:sz w:val="24"/>
              </w:rPr>
              <w:t>Herbicide</w:t>
            </w:r>
          </w:p>
        </w:tc>
        <w:tc>
          <w:tcPr>
            <w:tcW w:w="310" w:type="pct"/>
            <w:tcBorders>
              <w:top w:val="single" w:sz="4" w:space="0" w:color="auto"/>
              <w:bottom w:val="single" w:sz="4" w:space="0" w:color="auto"/>
            </w:tcBorders>
            <w:noWrap/>
            <w:vAlign w:val="bottom"/>
          </w:tcPr>
          <w:p w14:paraId="0B67104B" w14:textId="319F7685" w:rsidR="00CA3A3D" w:rsidRPr="0085459B" w:rsidRDefault="00CA3A3D" w:rsidP="008D7589">
            <w:pPr>
              <w:jc w:val="center"/>
              <w:rPr>
                <w:rFonts w:ascii="Times New Roman" w:hAnsi="Times New Roman" w:cs="Times New Roman"/>
                <w:sz w:val="24"/>
              </w:rPr>
            </w:pPr>
            <w:r>
              <w:rPr>
                <w:rFonts w:ascii="Times New Roman" w:hAnsi="Times New Roman" w:cs="Times New Roman"/>
                <w:sz w:val="24"/>
              </w:rPr>
              <w:t>Dose</w:t>
            </w:r>
          </w:p>
        </w:tc>
        <w:tc>
          <w:tcPr>
            <w:tcW w:w="345" w:type="pct"/>
            <w:tcBorders>
              <w:top w:val="single" w:sz="4" w:space="0" w:color="auto"/>
              <w:bottom w:val="single" w:sz="4" w:space="0" w:color="auto"/>
            </w:tcBorders>
            <w:noWrap/>
            <w:vAlign w:val="bottom"/>
          </w:tcPr>
          <w:p w14:paraId="0BE8D58E" w14:textId="76B4CF4B" w:rsidR="00CA3A3D" w:rsidRPr="0085459B" w:rsidRDefault="00CA3A3D" w:rsidP="008D7589">
            <w:pPr>
              <w:jc w:val="center"/>
              <w:rPr>
                <w:rFonts w:ascii="Times New Roman" w:hAnsi="Times New Roman" w:cs="Times New Roman"/>
                <w:sz w:val="24"/>
              </w:rPr>
            </w:pPr>
            <w:r>
              <w:rPr>
                <w:rFonts w:ascii="Times New Roman" w:hAnsi="Times New Roman" w:cs="Times New Roman"/>
                <w:sz w:val="24"/>
              </w:rPr>
              <w:t>Mixed</w:t>
            </w:r>
          </w:p>
        </w:tc>
        <w:tc>
          <w:tcPr>
            <w:tcW w:w="1070" w:type="pct"/>
            <w:tcBorders>
              <w:top w:val="single" w:sz="4" w:space="0" w:color="auto"/>
              <w:bottom w:val="single" w:sz="4" w:space="0" w:color="auto"/>
            </w:tcBorders>
            <w:noWrap/>
            <w:vAlign w:val="bottom"/>
          </w:tcPr>
          <w:p w14:paraId="6776A15C" w14:textId="77777777" w:rsidR="008D7589" w:rsidRDefault="008D7589" w:rsidP="008D7589">
            <w:pPr>
              <w:jc w:val="center"/>
              <w:rPr>
                <w:rFonts w:ascii="Times New Roman" w:hAnsi="Times New Roman" w:cs="Times New Roman"/>
                <w:sz w:val="24"/>
              </w:rPr>
            </w:pPr>
            <w:r>
              <w:rPr>
                <w:rFonts w:ascii="Times New Roman" w:hAnsi="Times New Roman" w:cs="Times New Roman"/>
                <w:sz w:val="24"/>
              </w:rPr>
              <w:t>Initial herbicide</w:t>
            </w:r>
          </w:p>
          <w:p w14:paraId="7E5566EC" w14:textId="4D192222" w:rsidR="00CA3A3D" w:rsidRPr="0085459B" w:rsidRDefault="008D7589" w:rsidP="008D7589">
            <w:pPr>
              <w:jc w:val="center"/>
              <w:rPr>
                <w:rFonts w:ascii="Times New Roman" w:hAnsi="Times New Roman" w:cs="Times New Roman"/>
                <w:sz w:val="24"/>
              </w:rPr>
            </w:pPr>
            <w:r>
              <w:rPr>
                <w:rFonts w:ascii="Times New Roman" w:hAnsi="Times New Roman" w:cs="Times New Roman"/>
                <w:sz w:val="24"/>
              </w:rPr>
              <w:t>concentration (ng g</w:t>
            </w:r>
            <w:r>
              <w:rPr>
                <w:rFonts w:ascii="Times New Roman" w:hAnsi="Times New Roman" w:cs="Times New Roman"/>
                <w:sz w:val="24"/>
                <w:vertAlign w:val="superscript"/>
              </w:rPr>
              <w:t>-1</w:t>
            </w:r>
            <w:r>
              <w:rPr>
                <w:rFonts w:ascii="Times New Roman" w:hAnsi="Times New Roman" w:cs="Times New Roman"/>
                <w:sz w:val="24"/>
              </w:rPr>
              <w:t xml:space="preserve"> soil)</w:t>
            </w:r>
          </w:p>
        </w:tc>
        <w:tc>
          <w:tcPr>
            <w:tcW w:w="215" w:type="pct"/>
            <w:tcBorders>
              <w:top w:val="single" w:sz="4" w:space="0" w:color="auto"/>
              <w:bottom w:val="single" w:sz="4" w:space="0" w:color="auto"/>
            </w:tcBorders>
            <w:noWrap/>
            <w:vAlign w:val="bottom"/>
          </w:tcPr>
          <w:p w14:paraId="2D5A70BC" w14:textId="33D68FB2" w:rsidR="00CA3A3D" w:rsidRPr="0085459B" w:rsidRDefault="00CA3A3D" w:rsidP="008D7589">
            <w:pPr>
              <w:jc w:val="center"/>
              <w:rPr>
                <w:rFonts w:ascii="Times New Roman" w:hAnsi="Times New Roman" w:cs="Times New Roman"/>
                <w:sz w:val="24"/>
              </w:rPr>
            </w:pPr>
            <w:r>
              <w:rPr>
                <w:rFonts w:ascii="Times New Roman" w:hAnsi="Times New Roman" w:cs="Times New Roman"/>
                <w:sz w:val="24"/>
              </w:rPr>
              <w:t>SE</w:t>
            </w:r>
          </w:p>
        </w:tc>
        <w:tc>
          <w:tcPr>
            <w:tcW w:w="821" w:type="pct"/>
            <w:tcBorders>
              <w:top w:val="single" w:sz="4" w:space="0" w:color="auto"/>
              <w:bottom w:val="single" w:sz="4" w:space="0" w:color="auto"/>
            </w:tcBorders>
            <w:noWrap/>
            <w:vAlign w:val="bottom"/>
          </w:tcPr>
          <w:p w14:paraId="01A39FA9" w14:textId="1F7D74D5" w:rsidR="00CA3A3D" w:rsidRPr="0085459B" w:rsidRDefault="008D7589" w:rsidP="008D7589">
            <w:pPr>
              <w:jc w:val="center"/>
              <w:rPr>
                <w:rFonts w:ascii="Times New Roman" w:hAnsi="Times New Roman" w:cs="Times New Roman"/>
                <w:sz w:val="24"/>
              </w:rPr>
            </w:pPr>
            <w:r>
              <w:rPr>
                <w:rFonts w:ascii="Times New Roman" w:hAnsi="Times New Roman" w:cs="Times New Roman"/>
                <w:sz w:val="24"/>
              </w:rPr>
              <w:t>1</w:t>
            </w:r>
            <w:r w:rsidRPr="00CC6354">
              <w:rPr>
                <w:rFonts w:ascii="Times New Roman" w:hAnsi="Times New Roman" w:cs="Times New Roman"/>
                <w:sz w:val="24"/>
                <w:vertAlign w:val="superscript"/>
              </w:rPr>
              <w:t>st</w:t>
            </w:r>
            <w:r>
              <w:rPr>
                <w:rFonts w:ascii="Times New Roman" w:hAnsi="Times New Roman" w:cs="Times New Roman"/>
                <w:sz w:val="24"/>
              </w:rPr>
              <w:t xml:space="preserve"> order rate constant (per day)</w:t>
            </w:r>
          </w:p>
        </w:tc>
        <w:tc>
          <w:tcPr>
            <w:tcW w:w="345" w:type="pct"/>
            <w:tcBorders>
              <w:top w:val="single" w:sz="4" w:space="0" w:color="auto"/>
              <w:bottom w:val="single" w:sz="4" w:space="0" w:color="auto"/>
            </w:tcBorders>
            <w:noWrap/>
            <w:vAlign w:val="bottom"/>
          </w:tcPr>
          <w:p w14:paraId="7D30D52E" w14:textId="1EFC62FB" w:rsidR="00CA3A3D" w:rsidRPr="0085459B" w:rsidRDefault="00CA3A3D" w:rsidP="008D7589">
            <w:pPr>
              <w:jc w:val="center"/>
              <w:rPr>
                <w:rFonts w:ascii="Times New Roman" w:hAnsi="Times New Roman" w:cs="Times New Roman"/>
                <w:sz w:val="24"/>
              </w:rPr>
            </w:pPr>
            <w:r>
              <w:rPr>
                <w:rFonts w:ascii="Times New Roman" w:hAnsi="Times New Roman" w:cs="Times New Roman"/>
                <w:sz w:val="24"/>
              </w:rPr>
              <w:t>SE</w:t>
            </w:r>
          </w:p>
        </w:tc>
        <w:tc>
          <w:tcPr>
            <w:tcW w:w="259" w:type="pct"/>
            <w:tcBorders>
              <w:top w:val="single" w:sz="4" w:space="0" w:color="auto"/>
              <w:bottom w:val="single" w:sz="4" w:space="0" w:color="auto"/>
            </w:tcBorders>
            <w:noWrap/>
            <w:vAlign w:val="bottom"/>
          </w:tcPr>
          <w:p w14:paraId="556F4E28" w14:textId="2BC54D7E" w:rsidR="00CA3A3D" w:rsidRPr="00CA3A3D" w:rsidRDefault="008D7589" w:rsidP="008D7589">
            <w:pPr>
              <w:jc w:val="center"/>
              <w:rPr>
                <w:rFonts w:ascii="Times New Roman" w:hAnsi="Times New Roman" w:cs="Times New Roman"/>
                <w:sz w:val="24"/>
                <w:vertAlign w:val="superscript"/>
              </w:rPr>
            </w:pPr>
            <w:r>
              <w:rPr>
                <w:rFonts w:ascii="Times New Roman" w:hAnsi="Times New Roman" w:cs="Times New Roman"/>
                <w:sz w:val="24"/>
              </w:rPr>
              <w:t>r</w:t>
            </w:r>
            <w:r w:rsidR="00CA3A3D">
              <w:rPr>
                <w:rFonts w:ascii="Times New Roman" w:hAnsi="Times New Roman" w:cs="Times New Roman"/>
                <w:sz w:val="24"/>
                <w:vertAlign w:val="superscript"/>
              </w:rPr>
              <w:t>2</w:t>
            </w:r>
          </w:p>
        </w:tc>
        <w:tc>
          <w:tcPr>
            <w:tcW w:w="326" w:type="pct"/>
            <w:tcBorders>
              <w:top w:val="single" w:sz="4" w:space="0" w:color="auto"/>
              <w:bottom w:val="single" w:sz="4" w:space="0" w:color="auto"/>
            </w:tcBorders>
            <w:noWrap/>
            <w:vAlign w:val="bottom"/>
          </w:tcPr>
          <w:p w14:paraId="20BD80F4" w14:textId="77777777" w:rsidR="00CA3A3D" w:rsidRDefault="00CA3A3D" w:rsidP="008D7589">
            <w:pPr>
              <w:jc w:val="center"/>
              <w:rPr>
                <w:rFonts w:ascii="Times New Roman" w:hAnsi="Times New Roman" w:cs="Times New Roman"/>
                <w:sz w:val="24"/>
              </w:rPr>
            </w:pPr>
            <w:r>
              <w:rPr>
                <w:rFonts w:ascii="Times New Roman" w:hAnsi="Times New Roman" w:cs="Times New Roman"/>
                <w:sz w:val="24"/>
              </w:rPr>
              <w:t>DT50</w:t>
            </w:r>
          </w:p>
          <w:p w14:paraId="2A163112" w14:textId="5A6D8C1C" w:rsidR="002A3211" w:rsidRPr="0085459B" w:rsidRDefault="002A3211" w:rsidP="008D7589">
            <w:pPr>
              <w:jc w:val="center"/>
              <w:rPr>
                <w:rFonts w:ascii="Times New Roman" w:hAnsi="Times New Roman" w:cs="Times New Roman"/>
                <w:sz w:val="24"/>
              </w:rPr>
            </w:pPr>
            <w:r>
              <w:rPr>
                <w:rFonts w:ascii="Times New Roman" w:hAnsi="Times New Roman" w:cs="Times New Roman"/>
                <w:sz w:val="24"/>
              </w:rPr>
              <w:t>(days)</w:t>
            </w:r>
          </w:p>
        </w:tc>
      </w:tr>
      <w:tr w:rsidR="008D7589" w:rsidRPr="0085459B" w14:paraId="2C00BF08" w14:textId="77777777" w:rsidTr="008D7589">
        <w:trPr>
          <w:trHeight w:val="360"/>
          <w:jc w:val="center"/>
        </w:trPr>
        <w:tc>
          <w:tcPr>
            <w:tcW w:w="309" w:type="pct"/>
            <w:tcBorders>
              <w:top w:val="single" w:sz="4" w:space="0" w:color="auto"/>
            </w:tcBorders>
            <w:noWrap/>
            <w:vAlign w:val="center"/>
          </w:tcPr>
          <w:p w14:paraId="1811AE8A" w14:textId="5970CFD1" w:rsidR="008D7589" w:rsidRDefault="008D7589" w:rsidP="008D7589">
            <w:pPr>
              <w:jc w:val="center"/>
              <w:rPr>
                <w:rFonts w:ascii="Times New Roman" w:hAnsi="Times New Roman" w:cs="Times New Roman"/>
                <w:sz w:val="24"/>
              </w:rPr>
            </w:pPr>
            <w:r w:rsidRPr="0085459B">
              <w:rPr>
                <w:rFonts w:ascii="Times New Roman" w:hAnsi="Times New Roman" w:cs="Times New Roman"/>
                <w:sz w:val="24"/>
              </w:rPr>
              <w:t>LS4</w:t>
            </w:r>
          </w:p>
        </w:tc>
        <w:tc>
          <w:tcPr>
            <w:tcW w:w="379" w:type="pct"/>
            <w:tcBorders>
              <w:top w:val="single" w:sz="4" w:space="0" w:color="auto"/>
            </w:tcBorders>
            <w:noWrap/>
            <w:vAlign w:val="center"/>
          </w:tcPr>
          <w:p w14:paraId="79619CA0" w14:textId="57E16475" w:rsidR="008D7589" w:rsidRDefault="008D7589" w:rsidP="008D7589">
            <w:pPr>
              <w:jc w:val="center"/>
              <w:rPr>
                <w:rFonts w:ascii="Times New Roman" w:hAnsi="Times New Roman" w:cs="Times New Roman"/>
                <w:sz w:val="24"/>
              </w:rPr>
            </w:pPr>
            <w:r w:rsidRPr="0085459B">
              <w:rPr>
                <w:rFonts w:ascii="Times New Roman" w:hAnsi="Times New Roman" w:cs="Times New Roman"/>
                <w:sz w:val="24"/>
              </w:rPr>
              <w:t>IL</w:t>
            </w:r>
          </w:p>
        </w:tc>
        <w:tc>
          <w:tcPr>
            <w:tcW w:w="621" w:type="pct"/>
            <w:tcBorders>
              <w:top w:val="single" w:sz="4" w:space="0" w:color="auto"/>
            </w:tcBorders>
            <w:noWrap/>
            <w:vAlign w:val="center"/>
          </w:tcPr>
          <w:p w14:paraId="30C2A4AE" w14:textId="7CD7CD0B" w:rsidR="008D7589" w:rsidRDefault="008D7589" w:rsidP="008D7589">
            <w:pPr>
              <w:jc w:val="center"/>
              <w:rPr>
                <w:rFonts w:ascii="Times New Roman" w:hAnsi="Times New Roman" w:cs="Times New Roman"/>
                <w:sz w:val="24"/>
              </w:rPr>
            </w:pPr>
            <w:r w:rsidRPr="0085459B">
              <w:rPr>
                <w:rFonts w:ascii="Times New Roman" w:hAnsi="Times New Roman" w:cs="Times New Roman"/>
                <w:sz w:val="24"/>
              </w:rPr>
              <w:t>P</w:t>
            </w:r>
            <w:r>
              <w:rPr>
                <w:rFonts w:ascii="Times New Roman" w:hAnsi="Times New Roman" w:cs="Times New Roman"/>
                <w:sz w:val="24"/>
              </w:rPr>
              <w:t>yroxasulfone</w:t>
            </w:r>
          </w:p>
        </w:tc>
        <w:tc>
          <w:tcPr>
            <w:tcW w:w="310" w:type="pct"/>
            <w:tcBorders>
              <w:top w:val="single" w:sz="4" w:space="0" w:color="auto"/>
            </w:tcBorders>
            <w:noWrap/>
            <w:vAlign w:val="center"/>
          </w:tcPr>
          <w:p w14:paraId="3634791C" w14:textId="7DE21874" w:rsidR="008D7589" w:rsidRDefault="008D7589" w:rsidP="008D7589">
            <w:pPr>
              <w:jc w:val="center"/>
              <w:rPr>
                <w:rFonts w:ascii="Times New Roman" w:hAnsi="Times New Roman" w:cs="Times New Roman"/>
                <w:sz w:val="24"/>
              </w:rPr>
            </w:pPr>
            <w:r w:rsidRPr="0085459B">
              <w:rPr>
                <w:rFonts w:ascii="Times New Roman" w:hAnsi="Times New Roman" w:cs="Times New Roman"/>
                <w:sz w:val="24"/>
              </w:rPr>
              <w:t>441</w:t>
            </w:r>
          </w:p>
        </w:tc>
        <w:tc>
          <w:tcPr>
            <w:tcW w:w="345" w:type="pct"/>
            <w:tcBorders>
              <w:top w:val="single" w:sz="4" w:space="0" w:color="auto"/>
            </w:tcBorders>
            <w:noWrap/>
            <w:vAlign w:val="center"/>
          </w:tcPr>
          <w:p w14:paraId="1616EF1B" w14:textId="65D104E9" w:rsidR="008D7589" w:rsidRDefault="008D7589" w:rsidP="008D7589">
            <w:pPr>
              <w:jc w:val="center"/>
              <w:rPr>
                <w:rFonts w:ascii="Times New Roman" w:hAnsi="Times New Roman" w:cs="Times New Roman"/>
                <w:sz w:val="24"/>
              </w:rPr>
            </w:pPr>
            <w:r w:rsidRPr="0085459B">
              <w:rPr>
                <w:rFonts w:ascii="Times New Roman" w:hAnsi="Times New Roman" w:cs="Times New Roman"/>
                <w:sz w:val="24"/>
              </w:rPr>
              <w:t>no</w:t>
            </w:r>
          </w:p>
        </w:tc>
        <w:tc>
          <w:tcPr>
            <w:tcW w:w="1070" w:type="pct"/>
            <w:tcBorders>
              <w:top w:val="single" w:sz="4" w:space="0" w:color="auto"/>
            </w:tcBorders>
            <w:noWrap/>
            <w:vAlign w:val="center"/>
          </w:tcPr>
          <w:p w14:paraId="08DFA0AD" w14:textId="1EB658B4" w:rsidR="008D7589" w:rsidRDefault="008D7589" w:rsidP="008D7589">
            <w:pPr>
              <w:jc w:val="center"/>
              <w:rPr>
                <w:rFonts w:ascii="Times New Roman" w:hAnsi="Times New Roman" w:cs="Times New Roman"/>
                <w:sz w:val="24"/>
              </w:rPr>
            </w:pPr>
            <w:r w:rsidRPr="0085459B">
              <w:rPr>
                <w:rFonts w:ascii="Times New Roman" w:hAnsi="Times New Roman" w:cs="Times New Roman"/>
                <w:sz w:val="24"/>
              </w:rPr>
              <w:t>410</w:t>
            </w:r>
          </w:p>
        </w:tc>
        <w:tc>
          <w:tcPr>
            <w:tcW w:w="215" w:type="pct"/>
            <w:tcBorders>
              <w:top w:val="single" w:sz="4" w:space="0" w:color="auto"/>
            </w:tcBorders>
            <w:noWrap/>
            <w:vAlign w:val="center"/>
          </w:tcPr>
          <w:p w14:paraId="0623B35D" w14:textId="5475C71C" w:rsidR="008D7589" w:rsidRDefault="008D7589" w:rsidP="008D7589">
            <w:pPr>
              <w:jc w:val="center"/>
              <w:rPr>
                <w:rFonts w:ascii="Times New Roman" w:hAnsi="Times New Roman" w:cs="Times New Roman"/>
                <w:sz w:val="24"/>
              </w:rPr>
            </w:pPr>
            <w:r w:rsidRPr="0085459B">
              <w:rPr>
                <w:rFonts w:ascii="Times New Roman" w:hAnsi="Times New Roman" w:cs="Times New Roman"/>
                <w:sz w:val="24"/>
              </w:rPr>
              <w:t>14</w:t>
            </w:r>
          </w:p>
        </w:tc>
        <w:tc>
          <w:tcPr>
            <w:tcW w:w="821" w:type="pct"/>
            <w:tcBorders>
              <w:top w:val="single" w:sz="4" w:space="0" w:color="auto"/>
            </w:tcBorders>
            <w:noWrap/>
            <w:vAlign w:val="center"/>
          </w:tcPr>
          <w:p w14:paraId="22A4B833" w14:textId="45644F38" w:rsidR="008D7589" w:rsidRDefault="008D7589" w:rsidP="008D7589">
            <w:pPr>
              <w:jc w:val="center"/>
              <w:rPr>
                <w:rFonts w:ascii="Times New Roman" w:hAnsi="Times New Roman" w:cs="Times New Roman"/>
                <w:sz w:val="24"/>
              </w:rPr>
            </w:pPr>
            <w:r w:rsidRPr="0085459B">
              <w:rPr>
                <w:rFonts w:ascii="Times New Roman" w:hAnsi="Times New Roman" w:cs="Times New Roman"/>
                <w:sz w:val="24"/>
              </w:rPr>
              <w:t>0.0113</w:t>
            </w:r>
          </w:p>
        </w:tc>
        <w:tc>
          <w:tcPr>
            <w:tcW w:w="345" w:type="pct"/>
            <w:tcBorders>
              <w:top w:val="single" w:sz="4" w:space="0" w:color="auto"/>
            </w:tcBorders>
            <w:noWrap/>
            <w:vAlign w:val="center"/>
          </w:tcPr>
          <w:p w14:paraId="243B45F6" w14:textId="343FED36" w:rsidR="008D7589" w:rsidRDefault="008D7589" w:rsidP="008D7589">
            <w:pPr>
              <w:jc w:val="center"/>
              <w:rPr>
                <w:rFonts w:ascii="Times New Roman" w:hAnsi="Times New Roman" w:cs="Times New Roman"/>
                <w:sz w:val="24"/>
              </w:rPr>
            </w:pPr>
            <w:r w:rsidRPr="0085459B">
              <w:rPr>
                <w:rFonts w:ascii="Times New Roman" w:hAnsi="Times New Roman" w:cs="Times New Roman"/>
                <w:sz w:val="24"/>
              </w:rPr>
              <w:t>0.001</w:t>
            </w:r>
          </w:p>
        </w:tc>
        <w:tc>
          <w:tcPr>
            <w:tcW w:w="259" w:type="pct"/>
            <w:tcBorders>
              <w:top w:val="single" w:sz="4" w:space="0" w:color="auto"/>
            </w:tcBorders>
            <w:noWrap/>
            <w:vAlign w:val="center"/>
          </w:tcPr>
          <w:p w14:paraId="10F7A225" w14:textId="137C109A" w:rsidR="008D7589" w:rsidRDefault="008D7589" w:rsidP="008D7589">
            <w:pPr>
              <w:jc w:val="center"/>
              <w:rPr>
                <w:rFonts w:ascii="Times New Roman" w:hAnsi="Times New Roman" w:cs="Times New Roman"/>
                <w:sz w:val="24"/>
              </w:rPr>
            </w:pPr>
            <w:r w:rsidRPr="0085459B">
              <w:rPr>
                <w:rFonts w:ascii="Times New Roman" w:hAnsi="Times New Roman" w:cs="Times New Roman"/>
                <w:sz w:val="24"/>
              </w:rPr>
              <w:t>0.95</w:t>
            </w:r>
          </w:p>
        </w:tc>
        <w:tc>
          <w:tcPr>
            <w:tcW w:w="326" w:type="pct"/>
            <w:tcBorders>
              <w:top w:val="single" w:sz="4" w:space="0" w:color="auto"/>
            </w:tcBorders>
            <w:noWrap/>
            <w:vAlign w:val="center"/>
          </w:tcPr>
          <w:p w14:paraId="07142CA1" w14:textId="1995B193" w:rsidR="008D7589" w:rsidRDefault="008D7589" w:rsidP="008D7589">
            <w:pPr>
              <w:jc w:val="center"/>
              <w:rPr>
                <w:rFonts w:ascii="Times New Roman" w:hAnsi="Times New Roman" w:cs="Times New Roman"/>
                <w:sz w:val="24"/>
              </w:rPr>
            </w:pPr>
            <w:r w:rsidRPr="0085459B">
              <w:rPr>
                <w:rFonts w:ascii="Times New Roman" w:hAnsi="Times New Roman" w:cs="Times New Roman"/>
                <w:sz w:val="24"/>
              </w:rPr>
              <w:t>61.3</w:t>
            </w:r>
          </w:p>
        </w:tc>
      </w:tr>
      <w:tr w:rsidR="008D7589" w:rsidRPr="0085459B" w14:paraId="7110283D" w14:textId="77777777" w:rsidTr="008D7589">
        <w:trPr>
          <w:trHeight w:val="360"/>
          <w:jc w:val="center"/>
        </w:trPr>
        <w:tc>
          <w:tcPr>
            <w:tcW w:w="309" w:type="pct"/>
            <w:noWrap/>
            <w:vAlign w:val="center"/>
            <w:hideMark/>
          </w:tcPr>
          <w:p w14:paraId="52F10AB9"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LS4</w:t>
            </w:r>
          </w:p>
        </w:tc>
        <w:tc>
          <w:tcPr>
            <w:tcW w:w="379" w:type="pct"/>
            <w:noWrap/>
            <w:vAlign w:val="center"/>
            <w:hideMark/>
          </w:tcPr>
          <w:p w14:paraId="0435368C"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TN</w:t>
            </w:r>
          </w:p>
        </w:tc>
        <w:tc>
          <w:tcPr>
            <w:tcW w:w="621" w:type="pct"/>
            <w:noWrap/>
            <w:vAlign w:val="center"/>
            <w:hideMark/>
          </w:tcPr>
          <w:p w14:paraId="087A5C73" w14:textId="2D0470E2"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P</w:t>
            </w:r>
            <w:r>
              <w:rPr>
                <w:rFonts w:ascii="Times New Roman" w:hAnsi="Times New Roman" w:cs="Times New Roman"/>
                <w:sz w:val="24"/>
              </w:rPr>
              <w:t>yroxasulfone</w:t>
            </w:r>
          </w:p>
        </w:tc>
        <w:tc>
          <w:tcPr>
            <w:tcW w:w="310" w:type="pct"/>
            <w:noWrap/>
            <w:vAlign w:val="center"/>
            <w:hideMark/>
          </w:tcPr>
          <w:p w14:paraId="5939551C"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446</w:t>
            </w:r>
          </w:p>
        </w:tc>
        <w:tc>
          <w:tcPr>
            <w:tcW w:w="345" w:type="pct"/>
            <w:noWrap/>
            <w:vAlign w:val="center"/>
            <w:hideMark/>
          </w:tcPr>
          <w:p w14:paraId="0782E8E5"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no</w:t>
            </w:r>
          </w:p>
        </w:tc>
        <w:tc>
          <w:tcPr>
            <w:tcW w:w="1070" w:type="pct"/>
            <w:noWrap/>
            <w:vAlign w:val="center"/>
            <w:hideMark/>
          </w:tcPr>
          <w:p w14:paraId="442D44E0"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422</w:t>
            </w:r>
          </w:p>
        </w:tc>
        <w:tc>
          <w:tcPr>
            <w:tcW w:w="215" w:type="pct"/>
            <w:noWrap/>
            <w:vAlign w:val="center"/>
            <w:hideMark/>
          </w:tcPr>
          <w:p w14:paraId="17B81B3F"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13</w:t>
            </w:r>
          </w:p>
        </w:tc>
        <w:tc>
          <w:tcPr>
            <w:tcW w:w="821" w:type="pct"/>
            <w:noWrap/>
            <w:vAlign w:val="center"/>
            <w:hideMark/>
          </w:tcPr>
          <w:p w14:paraId="0CF9F983"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0.0142</w:t>
            </w:r>
          </w:p>
        </w:tc>
        <w:tc>
          <w:tcPr>
            <w:tcW w:w="345" w:type="pct"/>
            <w:noWrap/>
            <w:vAlign w:val="center"/>
            <w:hideMark/>
          </w:tcPr>
          <w:p w14:paraId="6CE5BDDA"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0.0011</w:t>
            </w:r>
          </w:p>
        </w:tc>
        <w:tc>
          <w:tcPr>
            <w:tcW w:w="259" w:type="pct"/>
            <w:noWrap/>
            <w:vAlign w:val="center"/>
            <w:hideMark/>
          </w:tcPr>
          <w:p w14:paraId="44B134EE"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0.96</w:t>
            </w:r>
          </w:p>
        </w:tc>
        <w:tc>
          <w:tcPr>
            <w:tcW w:w="326" w:type="pct"/>
            <w:noWrap/>
            <w:vAlign w:val="center"/>
            <w:hideMark/>
          </w:tcPr>
          <w:p w14:paraId="5D48551E"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48.8</w:t>
            </w:r>
          </w:p>
        </w:tc>
      </w:tr>
      <w:tr w:rsidR="008D7589" w:rsidRPr="0085459B" w14:paraId="0D5FE768" w14:textId="77777777" w:rsidTr="008D7589">
        <w:trPr>
          <w:trHeight w:val="360"/>
          <w:jc w:val="center"/>
        </w:trPr>
        <w:tc>
          <w:tcPr>
            <w:tcW w:w="309" w:type="pct"/>
            <w:noWrap/>
            <w:vAlign w:val="center"/>
            <w:hideMark/>
          </w:tcPr>
          <w:p w14:paraId="13E4ABBB"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LS4</w:t>
            </w:r>
          </w:p>
        </w:tc>
        <w:tc>
          <w:tcPr>
            <w:tcW w:w="379" w:type="pct"/>
            <w:noWrap/>
            <w:vAlign w:val="center"/>
            <w:hideMark/>
          </w:tcPr>
          <w:p w14:paraId="469CCEAB"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GA</w:t>
            </w:r>
          </w:p>
        </w:tc>
        <w:tc>
          <w:tcPr>
            <w:tcW w:w="621" w:type="pct"/>
            <w:noWrap/>
            <w:vAlign w:val="center"/>
            <w:hideMark/>
          </w:tcPr>
          <w:p w14:paraId="08B156A2" w14:textId="423775A5"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S</w:t>
            </w:r>
            <w:r>
              <w:rPr>
                <w:rFonts w:ascii="Times New Roman" w:hAnsi="Times New Roman" w:cs="Times New Roman"/>
                <w:sz w:val="24"/>
              </w:rPr>
              <w:t>aflufenacil</w:t>
            </w:r>
          </w:p>
        </w:tc>
        <w:tc>
          <w:tcPr>
            <w:tcW w:w="310" w:type="pct"/>
            <w:noWrap/>
            <w:vAlign w:val="center"/>
            <w:hideMark/>
          </w:tcPr>
          <w:p w14:paraId="16553688"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1145</w:t>
            </w:r>
          </w:p>
        </w:tc>
        <w:tc>
          <w:tcPr>
            <w:tcW w:w="345" w:type="pct"/>
            <w:noWrap/>
            <w:vAlign w:val="center"/>
            <w:hideMark/>
          </w:tcPr>
          <w:p w14:paraId="5E19C34A"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no</w:t>
            </w:r>
          </w:p>
        </w:tc>
        <w:tc>
          <w:tcPr>
            <w:tcW w:w="1070" w:type="pct"/>
            <w:noWrap/>
            <w:vAlign w:val="center"/>
            <w:hideMark/>
          </w:tcPr>
          <w:p w14:paraId="1D65DD74"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1092</w:t>
            </w:r>
          </w:p>
        </w:tc>
        <w:tc>
          <w:tcPr>
            <w:tcW w:w="215" w:type="pct"/>
            <w:noWrap/>
            <w:vAlign w:val="center"/>
            <w:hideMark/>
          </w:tcPr>
          <w:p w14:paraId="67ED705F"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30</w:t>
            </w:r>
          </w:p>
        </w:tc>
        <w:tc>
          <w:tcPr>
            <w:tcW w:w="821" w:type="pct"/>
            <w:noWrap/>
            <w:vAlign w:val="center"/>
            <w:hideMark/>
          </w:tcPr>
          <w:p w14:paraId="1AFCE66C"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0.0142</w:t>
            </w:r>
          </w:p>
        </w:tc>
        <w:tc>
          <w:tcPr>
            <w:tcW w:w="345" w:type="pct"/>
            <w:noWrap/>
            <w:vAlign w:val="center"/>
            <w:hideMark/>
          </w:tcPr>
          <w:p w14:paraId="73208503"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0.001</w:t>
            </w:r>
          </w:p>
        </w:tc>
        <w:tc>
          <w:tcPr>
            <w:tcW w:w="259" w:type="pct"/>
            <w:noWrap/>
            <w:vAlign w:val="center"/>
            <w:hideMark/>
          </w:tcPr>
          <w:p w14:paraId="419BC4BE"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0.97</w:t>
            </w:r>
          </w:p>
        </w:tc>
        <w:tc>
          <w:tcPr>
            <w:tcW w:w="326" w:type="pct"/>
            <w:noWrap/>
            <w:vAlign w:val="center"/>
            <w:hideMark/>
          </w:tcPr>
          <w:p w14:paraId="0FD78238"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48.8</w:t>
            </w:r>
          </w:p>
        </w:tc>
      </w:tr>
      <w:tr w:rsidR="008D7589" w:rsidRPr="0085459B" w14:paraId="11FD1296" w14:textId="77777777" w:rsidTr="008D7589">
        <w:trPr>
          <w:trHeight w:val="360"/>
          <w:jc w:val="center"/>
        </w:trPr>
        <w:tc>
          <w:tcPr>
            <w:tcW w:w="309" w:type="pct"/>
            <w:noWrap/>
            <w:vAlign w:val="center"/>
            <w:hideMark/>
          </w:tcPr>
          <w:p w14:paraId="333D3A41"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LS4</w:t>
            </w:r>
          </w:p>
        </w:tc>
        <w:tc>
          <w:tcPr>
            <w:tcW w:w="379" w:type="pct"/>
            <w:noWrap/>
            <w:vAlign w:val="center"/>
            <w:hideMark/>
          </w:tcPr>
          <w:p w14:paraId="4EF08F4D"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IL</w:t>
            </w:r>
          </w:p>
        </w:tc>
        <w:tc>
          <w:tcPr>
            <w:tcW w:w="621" w:type="pct"/>
            <w:noWrap/>
            <w:vAlign w:val="center"/>
            <w:hideMark/>
          </w:tcPr>
          <w:p w14:paraId="7DB665F2" w14:textId="43C8E2C3"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S</w:t>
            </w:r>
            <w:r>
              <w:rPr>
                <w:rFonts w:ascii="Times New Roman" w:hAnsi="Times New Roman" w:cs="Times New Roman"/>
                <w:sz w:val="24"/>
              </w:rPr>
              <w:t>aflufenacil</w:t>
            </w:r>
          </w:p>
        </w:tc>
        <w:tc>
          <w:tcPr>
            <w:tcW w:w="310" w:type="pct"/>
            <w:noWrap/>
            <w:vAlign w:val="center"/>
            <w:hideMark/>
          </w:tcPr>
          <w:p w14:paraId="5971E11C"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957</w:t>
            </w:r>
          </w:p>
        </w:tc>
        <w:tc>
          <w:tcPr>
            <w:tcW w:w="345" w:type="pct"/>
            <w:noWrap/>
            <w:vAlign w:val="center"/>
            <w:hideMark/>
          </w:tcPr>
          <w:p w14:paraId="00D5D41B"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no</w:t>
            </w:r>
          </w:p>
        </w:tc>
        <w:tc>
          <w:tcPr>
            <w:tcW w:w="1070" w:type="pct"/>
            <w:noWrap/>
            <w:vAlign w:val="center"/>
            <w:hideMark/>
          </w:tcPr>
          <w:p w14:paraId="2636B6A0"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916</w:t>
            </w:r>
          </w:p>
        </w:tc>
        <w:tc>
          <w:tcPr>
            <w:tcW w:w="215" w:type="pct"/>
            <w:noWrap/>
            <w:vAlign w:val="center"/>
            <w:hideMark/>
          </w:tcPr>
          <w:p w14:paraId="1C08CF0D"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36</w:t>
            </w:r>
          </w:p>
        </w:tc>
        <w:tc>
          <w:tcPr>
            <w:tcW w:w="821" w:type="pct"/>
            <w:noWrap/>
            <w:vAlign w:val="center"/>
            <w:hideMark/>
          </w:tcPr>
          <w:p w14:paraId="18FBEA2C"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0.0087</w:t>
            </w:r>
          </w:p>
        </w:tc>
        <w:tc>
          <w:tcPr>
            <w:tcW w:w="345" w:type="pct"/>
            <w:noWrap/>
            <w:vAlign w:val="center"/>
            <w:hideMark/>
          </w:tcPr>
          <w:p w14:paraId="13535DE9"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0.0011</w:t>
            </w:r>
          </w:p>
        </w:tc>
        <w:tc>
          <w:tcPr>
            <w:tcW w:w="259" w:type="pct"/>
            <w:noWrap/>
            <w:vAlign w:val="center"/>
            <w:hideMark/>
          </w:tcPr>
          <w:p w14:paraId="00466D28"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0.92</w:t>
            </w:r>
          </w:p>
        </w:tc>
        <w:tc>
          <w:tcPr>
            <w:tcW w:w="326" w:type="pct"/>
            <w:noWrap/>
            <w:vAlign w:val="center"/>
            <w:hideMark/>
          </w:tcPr>
          <w:p w14:paraId="28D64786"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79.7</w:t>
            </w:r>
          </w:p>
        </w:tc>
      </w:tr>
      <w:tr w:rsidR="008D7589" w:rsidRPr="0085459B" w14:paraId="69548EA1" w14:textId="77777777" w:rsidTr="008D7589">
        <w:trPr>
          <w:trHeight w:val="360"/>
          <w:jc w:val="center"/>
        </w:trPr>
        <w:tc>
          <w:tcPr>
            <w:tcW w:w="309" w:type="pct"/>
            <w:noWrap/>
            <w:vAlign w:val="center"/>
            <w:hideMark/>
          </w:tcPr>
          <w:p w14:paraId="34BEC335"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LS4</w:t>
            </w:r>
          </w:p>
        </w:tc>
        <w:tc>
          <w:tcPr>
            <w:tcW w:w="379" w:type="pct"/>
            <w:noWrap/>
            <w:vAlign w:val="center"/>
            <w:hideMark/>
          </w:tcPr>
          <w:p w14:paraId="1553A35F"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TN</w:t>
            </w:r>
          </w:p>
        </w:tc>
        <w:tc>
          <w:tcPr>
            <w:tcW w:w="621" w:type="pct"/>
            <w:noWrap/>
            <w:vAlign w:val="center"/>
            <w:hideMark/>
          </w:tcPr>
          <w:p w14:paraId="44AF2231" w14:textId="5D756378"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S</w:t>
            </w:r>
            <w:r>
              <w:rPr>
                <w:rFonts w:ascii="Times New Roman" w:hAnsi="Times New Roman" w:cs="Times New Roman"/>
                <w:sz w:val="24"/>
              </w:rPr>
              <w:t>aflufenacil</w:t>
            </w:r>
          </w:p>
        </w:tc>
        <w:tc>
          <w:tcPr>
            <w:tcW w:w="310" w:type="pct"/>
            <w:noWrap/>
            <w:vAlign w:val="center"/>
            <w:hideMark/>
          </w:tcPr>
          <w:p w14:paraId="0DBF91DD"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1099</w:t>
            </w:r>
          </w:p>
        </w:tc>
        <w:tc>
          <w:tcPr>
            <w:tcW w:w="345" w:type="pct"/>
            <w:noWrap/>
            <w:vAlign w:val="center"/>
            <w:hideMark/>
          </w:tcPr>
          <w:p w14:paraId="094B7985"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no</w:t>
            </w:r>
          </w:p>
        </w:tc>
        <w:tc>
          <w:tcPr>
            <w:tcW w:w="1070" w:type="pct"/>
            <w:noWrap/>
            <w:vAlign w:val="center"/>
            <w:hideMark/>
          </w:tcPr>
          <w:p w14:paraId="2F819991"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1024</w:t>
            </w:r>
          </w:p>
        </w:tc>
        <w:tc>
          <w:tcPr>
            <w:tcW w:w="215" w:type="pct"/>
            <w:noWrap/>
            <w:vAlign w:val="center"/>
            <w:hideMark/>
          </w:tcPr>
          <w:p w14:paraId="19ED16A3"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53</w:t>
            </w:r>
          </w:p>
        </w:tc>
        <w:tc>
          <w:tcPr>
            <w:tcW w:w="821" w:type="pct"/>
            <w:noWrap/>
            <w:vAlign w:val="center"/>
            <w:hideMark/>
          </w:tcPr>
          <w:p w14:paraId="378A1F37"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0.0209</w:t>
            </w:r>
          </w:p>
        </w:tc>
        <w:tc>
          <w:tcPr>
            <w:tcW w:w="345" w:type="pct"/>
            <w:noWrap/>
            <w:vAlign w:val="center"/>
            <w:hideMark/>
          </w:tcPr>
          <w:p w14:paraId="48DC5D11"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0.0026</w:t>
            </w:r>
          </w:p>
        </w:tc>
        <w:tc>
          <w:tcPr>
            <w:tcW w:w="259" w:type="pct"/>
            <w:noWrap/>
            <w:vAlign w:val="center"/>
            <w:hideMark/>
          </w:tcPr>
          <w:p w14:paraId="48EB3815"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0.93</w:t>
            </w:r>
          </w:p>
        </w:tc>
        <w:tc>
          <w:tcPr>
            <w:tcW w:w="326" w:type="pct"/>
            <w:noWrap/>
            <w:vAlign w:val="center"/>
            <w:hideMark/>
          </w:tcPr>
          <w:p w14:paraId="02D34E7B"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33.2</w:t>
            </w:r>
          </w:p>
        </w:tc>
      </w:tr>
      <w:tr w:rsidR="008D7589" w:rsidRPr="0085459B" w14:paraId="3B9092DE" w14:textId="77777777" w:rsidTr="008D7589">
        <w:trPr>
          <w:trHeight w:val="360"/>
          <w:jc w:val="center"/>
        </w:trPr>
        <w:tc>
          <w:tcPr>
            <w:tcW w:w="309" w:type="pct"/>
            <w:noWrap/>
            <w:vAlign w:val="center"/>
            <w:hideMark/>
          </w:tcPr>
          <w:p w14:paraId="6BF09891"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LS4</w:t>
            </w:r>
          </w:p>
        </w:tc>
        <w:tc>
          <w:tcPr>
            <w:tcW w:w="379" w:type="pct"/>
            <w:noWrap/>
            <w:vAlign w:val="center"/>
            <w:hideMark/>
          </w:tcPr>
          <w:p w14:paraId="0819E9F7"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GA</w:t>
            </w:r>
          </w:p>
        </w:tc>
        <w:tc>
          <w:tcPr>
            <w:tcW w:w="621" w:type="pct"/>
            <w:noWrap/>
            <w:vAlign w:val="center"/>
            <w:hideMark/>
          </w:tcPr>
          <w:p w14:paraId="653162CC" w14:textId="50C2E50A"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A</w:t>
            </w:r>
            <w:r>
              <w:rPr>
                <w:rFonts w:ascii="Times New Roman" w:hAnsi="Times New Roman" w:cs="Times New Roman"/>
                <w:sz w:val="24"/>
              </w:rPr>
              <w:t>trazine</w:t>
            </w:r>
          </w:p>
        </w:tc>
        <w:tc>
          <w:tcPr>
            <w:tcW w:w="310" w:type="pct"/>
            <w:noWrap/>
            <w:vAlign w:val="center"/>
            <w:hideMark/>
          </w:tcPr>
          <w:p w14:paraId="32A8238C"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538</w:t>
            </w:r>
          </w:p>
        </w:tc>
        <w:tc>
          <w:tcPr>
            <w:tcW w:w="345" w:type="pct"/>
            <w:noWrap/>
            <w:vAlign w:val="center"/>
            <w:hideMark/>
          </w:tcPr>
          <w:p w14:paraId="776879DD"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yes</w:t>
            </w:r>
          </w:p>
        </w:tc>
        <w:tc>
          <w:tcPr>
            <w:tcW w:w="1070" w:type="pct"/>
            <w:noWrap/>
            <w:vAlign w:val="center"/>
            <w:hideMark/>
          </w:tcPr>
          <w:p w14:paraId="7E18027A"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512</w:t>
            </w:r>
          </w:p>
        </w:tc>
        <w:tc>
          <w:tcPr>
            <w:tcW w:w="215" w:type="pct"/>
            <w:noWrap/>
            <w:vAlign w:val="center"/>
            <w:hideMark/>
          </w:tcPr>
          <w:p w14:paraId="7A23F170"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17</w:t>
            </w:r>
          </w:p>
        </w:tc>
        <w:tc>
          <w:tcPr>
            <w:tcW w:w="821" w:type="pct"/>
            <w:noWrap/>
            <w:vAlign w:val="center"/>
            <w:hideMark/>
          </w:tcPr>
          <w:p w14:paraId="4FF23DEA"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0.0287</w:t>
            </w:r>
          </w:p>
        </w:tc>
        <w:tc>
          <w:tcPr>
            <w:tcW w:w="345" w:type="pct"/>
            <w:noWrap/>
            <w:vAlign w:val="center"/>
            <w:hideMark/>
          </w:tcPr>
          <w:p w14:paraId="1B3E06F6"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0.0022</w:t>
            </w:r>
          </w:p>
        </w:tc>
        <w:tc>
          <w:tcPr>
            <w:tcW w:w="259" w:type="pct"/>
            <w:noWrap/>
            <w:vAlign w:val="center"/>
            <w:hideMark/>
          </w:tcPr>
          <w:p w14:paraId="359DD3C0"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0.98</w:t>
            </w:r>
          </w:p>
        </w:tc>
        <w:tc>
          <w:tcPr>
            <w:tcW w:w="326" w:type="pct"/>
            <w:noWrap/>
            <w:vAlign w:val="center"/>
            <w:hideMark/>
          </w:tcPr>
          <w:p w14:paraId="02D13210"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24.1</w:t>
            </w:r>
          </w:p>
        </w:tc>
      </w:tr>
      <w:tr w:rsidR="008D7589" w:rsidRPr="0085459B" w14:paraId="2687B9A2" w14:textId="77777777" w:rsidTr="008D7589">
        <w:trPr>
          <w:trHeight w:val="360"/>
          <w:jc w:val="center"/>
        </w:trPr>
        <w:tc>
          <w:tcPr>
            <w:tcW w:w="309" w:type="pct"/>
            <w:noWrap/>
            <w:vAlign w:val="center"/>
            <w:hideMark/>
          </w:tcPr>
          <w:p w14:paraId="345F20EC"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LS4</w:t>
            </w:r>
          </w:p>
        </w:tc>
        <w:tc>
          <w:tcPr>
            <w:tcW w:w="379" w:type="pct"/>
            <w:noWrap/>
            <w:vAlign w:val="center"/>
            <w:hideMark/>
          </w:tcPr>
          <w:p w14:paraId="407EC225"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IL</w:t>
            </w:r>
          </w:p>
        </w:tc>
        <w:tc>
          <w:tcPr>
            <w:tcW w:w="621" w:type="pct"/>
            <w:noWrap/>
            <w:vAlign w:val="center"/>
            <w:hideMark/>
          </w:tcPr>
          <w:p w14:paraId="59EAD90F" w14:textId="36B0A07E"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A</w:t>
            </w:r>
            <w:r>
              <w:rPr>
                <w:rFonts w:ascii="Times New Roman" w:hAnsi="Times New Roman" w:cs="Times New Roman"/>
                <w:sz w:val="24"/>
              </w:rPr>
              <w:t>trazine</w:t>
            </w:r>
          </w:p>
        </w:tc>
        <w:tc>
          <w:tcPr>
            <w:tcW w:w="310" w:type="pct"/>
            <w:noWrap/>
            <w:vAlign w:val="center"/>
            <w:hideMark/>
          </w:tcPr>
          <w:p w14:paraId="21960990"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515</w:t>
            </w:r>
          </w:p>
        </w:tc>
        <w:tc>
          <w:tcPr>
            <w:tcW w:w="345" w:type="pct"/>
            <w:noWrap/>
            <w:vAlign w:val="center"/>
            <w:hideMark/>
          </w:tcPr>
          <w:p w14:paraId="13F9AF7C"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yes</w:t>
            </w:r>
          </w:p>
        </w:tc>
        <w:tc>
          <w:tcPr>
            <w:tcW w:w="1070" w:type="pct"/>
            <w:noWrap/>
            <w:vAlign w:val="center"/>
            <w:hideMark/>
          </w:tcPr>
          <w:p w14:paraId="6CCDD72D"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518</w:t>
            </w:r>
          </w:p>
        </w:tc>
        <w:tc>
          <w:tcPr>
            <w:tcW w:w="215" w:type="pct"/>
            <w:noWrap/>
            <w:vAlign w:val="center"/>
            <w:hideMark/>
          </w:tcPr>
          <w:p w14:paraId="2FC4BCDB"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7</w:t>
            </w:r>
          </w:p>
        </w:tc>
        <w:tc>
          <w:tcPr>
            <w:tcW w:w="821" w:type="pct"/>
            <w:noWrap/>
            <w:vAlign w:val="center"/>
            <w:hideMark/>
          </w:tcPr>
          <w:p w14:paraId="298DD96E"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0.0183</w:t>
            </w:r>
          </w:p>
        </w:tc>
        <w:tc>
          <w:tcPr>
            <w:tcW w:w="345" w:type="pct"/>
            <w:noWrap/>
            <w:vAlign w:val="center"/>
            <w:hideMark/>
          </w:tcPr>
          <w:p w14:paraId="41DB0975"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0.0006</w:t>
            </w:r>
          </w:p>
        </w:tc>
        <w:tc>
          <w:tcPr>
            <w:tcW w:w="259" w:type="pct"/>
            <w:noWrap/>
            <w:vAlign w:val="center"/>
            <w:hideMark/>
          </w:tcPr>
          <w:p w14:paraId="0B06A5B3"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0.99</w:t>
            </w:r>
          </w:p>
        </w:tc>
        <w:tc>
          <w:tcPr>
            <w:tcW w:w="326" w:type="pct"/>
            <w:noWrap/>
            <w:vAlign w:val="center"/>
            <w:hideMark/>
          </w:tcPr>
          <w:p w14:paraId="190F6F7D"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37.9</w:t>
            </w:r>
          </w:p>
        </w:tc>
      </w:tr>
      <w:tr w:rsidR="008D7589" w:rsidRPr="0085459B" w14:paraId="416E5D5B" w14:textId="77777777" w:rsidTr="008D7589">
        <w:trPr>
          <w:trHeight w:val="360"/>
          <w:jc w:val="center"/>
        </w:trPr>
        <w:tc>
          <w:tcPr>
            <w:tcW w:w="309" w:type="pct"/>
            <w:noWrap/>
            <w:vAlign w:val="center"/>
            <w:hideMark/>
          </w:tcPr>
          <w:p w14:paraId="3FE93C71"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LS4</w:t>
            </w:r>
          </w:p>
        </w:tc>
        <w:tc>
          <w:tcPr>
            <w:tcW w:w="379" w:type="pct"/>
            <w:noWrap/>
            <w:vAlign w:val="center"/>
            <w:hideMark/>
          </w:tcPr>
          <w:p w14:paraId="71C0848D"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TN</w:t>
            </w:r>
          </w:p>
        </w:tc>
        <w:tc>
          <w:tcPr>
            <w:tcW w:w="621" w:type="pct"/>
            <w:noWrap/>
            <w:vAlign w:val="center"/>
            <w:hideMark/>
          </w:tcPr>
          <w:p w14:paraId="01AA1CB2" w14:textId="624C26EE"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A</w:t>
            </w:r>
            <w:r>
              <w:rPr>
                <w:rFonts w:ascii="Times New Roman" w:hAnsi="Times New Roman" w:cs="Times New Roman"/>
                <w:sz w:val="24"/>
              </w:rPr>
              <w:t>trazine</w:t>
            </w:r>
          </w:p>
        </w:tc>
        <w:tc>
          <w:tcPr>
            <w:tcW w:w="310" w:type="pct"/>
            <w:noWrap/>
            <w:vAlign w:val="center"/>
            <w:hideMark/>
          </w:tcPr>
          <w:p w14:paraId="761B9BB9"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515</w:t>
            </w:r>
          </w:p>
        </w:tc>
        <w:tc>
          <w:tcPr>
            <w:tcW w:w="345" w:type="pct"/>
            <w:noWrap/>
            <w:vAlign w:val="center"/>
            <w:hideMark/>
          </w:tcPr>
          <w:p w14:paraId="1C31F7DB"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yes</w:t>
            </w:r>
          </w:p>
        </w:tc>
        <w:tc>
          <w:tcPr>
            <w:tcW w:w="1070" w:type="pct"/>
            <w:noWrap/>
            <w:vAlign w:val="center"/>
            <w:hideMark/>
          </w:tcPr>
          <w:p w14:paraId="43FE3DF0"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508</w:t>
            </w:r>
          </w:p>
        </w:tc>
        <w:tc>
          <w:tcPr>
            <w:tcW w:w="215" w:type="pct"/>
            <w:noWrap/>
            <w:vAlign w:val="center"/>
            <w:hideMark/>
          </w:tcPr>
          <w:p w14:paraId="0B9AEE91"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7</w:t>
            </w:r>
          </w:p>
        </w:tc>
        <w:tc>
          <w:tcPr>
            <w:tcW w:w="821" w:type="pct"/>
            <w:noWrap/>
            <w:vAlign w:val="center"/>
            <w:hideMark/>
          </w:tcPr>
          <w:p w14:paraId="51BEE400"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0.0276</w:t>
            </w:r>
          </w:p>
        </w:tc>
        <w:tc>
          <w:tcPr>
            <w:tcW w:w="345" w:type="pct"/>
            <w:noWrap/>
            <w:vAlign w:val="center"/>
            <w:hideMark/>
          </w:tcPr>
          <w:p w14:paraId="233DBE1A"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0.0009</w:t>
            </w:r>
          </w:p>
        </w:tc>
        <w:tc>
          <w:tcPr>
            <w:tcW w:w="259" w:type="pct"/>
            <w:noWrap/>
            <w:vAlign w:val="center"/>
            <w:hideMark/>
          </w:tcPr>
          <w:p w14:paraId="12B2A6B7"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0.99</w:t>
            </w:r>
          </w:p>
        </w:tc>
        <w:tc>
          <w:tcPr>
            <w:tcW w:w="326" w:type="pct"/>
            <w:noWrap/>
            <w:vAlign w:val="center"/>
            <w:hideMark/>
          </w:tcPr>
          <w:p w14:paraId="6AB287F4"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25.1</w:t>
            </w:r>
          </w:p>
        </w:tc>
      </w:tr>
      <w:tr w:rsidR="008D7589" w:rsidRPr="0085459B" w14:paraId="77F89872" w14:textId="77777777" w:rsidTr="008D7589">
        <w:trPr>
          <w:trHeight w:val="360"/>
          <w:jc w:val="center"/>
        </w:trPr>
        <w:tc>
          <w:tcPr>
            <w:tcW w:w="309" w:type="pct"/>
            <w:noWrap/>
            <w:vAlign w:val="center"/>
            <w:hideMark/>
          </w:tcPr>
          <w:p w14:paraId="42004AC5"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LS4</w:t>
            </w:r>
          </w:p>
        </w:tc>
        <w:tc>
          <w:tcPr>
            <w:tcW w:w="379" w:type="pct"/>
            <w:noWrap/>
            <w:vAlign w:val="center"/>
            <w:hideMark/>
          </w:tcPr>
          <w:p w14:paraId="204131D3"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GA</w:t>
            </w:r>
          </w:p>
        </w:tc>
        <w:tc>
          <w:tcPr>
            <w:tcW w:w="621" w:type="pct"/>
            <w:noWrap/>
            <w:vAlign w:val="center"/>
            <w:hideMark/>
          </w:tcPr>
          <w:p w14:paraId="00211F5B" w14:textId="19A7986A"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P</w:t>
            </w:r>
            <w:r>
              <w:rPr>
                <w:rFonts w:ascii="Times New Roman" w:hAnsi="Times New Roman" w:cs="Times New Roman"/>
                <w:sz w:val="24"/>
              </w:rPr>
              <w:t>yroxasulfone</w:t>
            </w:r>
          </w:p>
        </w:tc>
        <w:tc>
          <w:tcPr>
            <w:tcW w:w="310" w:type="pct"/>
            <w:noWrap/>
            <w:vAlign w:val="center"/>
            <w:hideMark/>
          </w:tcPr>
          <w:p w14:paraId="11BCA646"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237</w:t>
            </w:r>
          </w:p>
        </w:tc>
        <w:tc>
          <w:tcPr>
            <w:tcW w:w="345" w:type="pct"/>
            <w:noWrap/>
            <w:vAlign w:val="center"/>
            <w:hideMark/>
          </w:tcPr>
          <w:p w14:paraId="0D439876"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yes</w:t>
            </w:r>
          </w:p>
        </w:tc>
        <w:tc>
          <w:tcPr>
            <w:tcW w:w="1070" w:type="pct"/>
            <w:noWrap/>
            <w:vAlign w:val="center"/>
            <w:hideMark/>
          </w:tcPr>
          <w:p w14:paraId="753C9E38"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234</w:t>
            </w:r>
          </w:p>
        </w:tc>
        <w:tc>
          <w:tcPr>
            <w:tcW w:w="215" w:type="pct"/>
            <w:noWrap/>
            <w:vAlign w:val="center"/>
            <w:hideMark/>
          </w:tcPr>
          <w:p w14:paraId="318EB4F3"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5</w:t>
            </w:r>
          </w:p>
        </w:tc>
        <w:tc>
          <w:tcPr>
            <w:tcW w:w="821" w:type="pct"/>
            <w:noWrap/>
            <w:vAlign w:val="center"/>
            <w:hideMark/>
          </w:tcPr>
          <w:p w14:paraId="4AC09BD4"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0.0116</w:t>
            </w:r>
          </w:p>
        </w:tc>
        <w:tc>
          <w:tcPr>
            <w:tcW w:w="345" w:type="pct"/>
            <w:noWrap/>
            <w:vAlign w:val="center"/>
            <w:hideMark/>
          </w:tcPr>
          <w:p w14:paraId="5A26EDC7"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0.0006</w:t>
            </w:r>
          </w:p>
        </w:tc>
        <w:tc>
          <w:tcPr>
            <w:tcW w:w="259" w:type="pct"/>
            <w:noWrap/>
            <w:vAlign w:val="center"/>
            <w:hideMark/>
          </w:tcPr>
          <w:p w14:paraId="227CDC5D"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0.98</w:t>
            </w:r>
          </w:p>
        </w:tc>
        <w:tc>
          <w:tcPr>
            <w:tcW w:w="326" w:type="pct"/>
            <w:noWrap/>
            <w:vAlign w:val="center"/>
            <w:hideMark/>
          </w:tcPr>
          <w:p w14:paraId="2B1E92EF"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59.7</w:t>
            </w:r>
          </w:p>
        </w:tc>
      </w:tr>
      <w:tr w:rsidR="008D7589" w:rsidRPr="0085459B" w14:paraId="6CBDBFE9" w14:textId="77777777" w:rsidTr="008D7589">
        <w:trPr>
          <w:trHeight w:val="360"/>
          <w:jc w:val="center"/>
        </w:trPr>
        <w:tc>
          <w:tcPr>
            <w:tcW w:w="309" w:type="pct"/>
            <w:noWrap/>
            <w:vAlign w:val="center"/>
            <w:hideMark/>
          </w:tcPr>
          <w:p w14:paraId="16FD3D5C"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LS4</w:t>
            </w:r>
          </w:p>
        </w:tc>
        <w:tc>
          <w:tcPr>
            <w:tcW w:w="379" w:type="pct"/>
            <w:noWrap/>
            <w:vAlign w:val="center"/>
            <w:hideMark/>
          </w:tcPr>
          <w:p w14:paraId="0C27B44A"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IL</w:t>
            </w:r>
          </w:p>
        </w:tc>
        <w:tc>
          <w:tcPr>
            <w:tcW w:w="621" w:type="pct"/>
            <w:noWrap/>
            <w:vAlign w:val="center"/>
            <w:hideMark/>
          </w:tcPr>
          <w:p w14:paraId="6A3C2165" w14:textId="7D49EE24"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P</w:t>
            </w:r>
            <w:r>
              <w:rPr>
                <w:rFonts w:ascii="Times New Roman" w:hAnsi="Times New Roman" w:cs="Times New Roman"/>
                <w:sz w:val="24"/>
              </w:rPr>
              <w:t>yroxasulfone</w:t>
            </w:r>
          </w:p>
        </w:tc>
        <w:tc>
          <w:tcPr>
            <w:tcW w:w="310" w:type="pct"/>
            <w:noWrap/>
            <w:vAlign w:val="center"/>
            <w:hideMark/>
          </w:tcPr>
          <w:p w14:paraId="1FDA0778"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226</w:t>
            </w:r>
          </w:p>
        </w:tc>
        <w:tc>
          <w:tcPr>
            <w:tcW w:w="345" w:type="pct"/>
            <w:noWrap/>
            <w:vAlign w:val="center"/>
            <w:hideMark/>
          </w:tcPr>
          <w:p w14:paraId="0A5D5007"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yes</w:t>
            </w:r>
          </w:p>
        </w:tc>
        <w:tc>
          <w:tcPr>
            <w:tcW w:w="1070" w:type="pct"/>
            <w:noWrap/>
            <w:vAlign w:val="center"/>
            <w:hideMark/>
          </w:tcPr>
          <w:p w14:paraId="38D3D052"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213</w:t>
            </w:r>
          </w:p>
        </w:tc>
        <w:tc>
          <w:tcPr>
            <w:tcW w:w="215" w:type="pct"/>
            <w:noWrap/>
            <w:vAlign w:val="center"/>
            <w:hideMark/>
          </w:tcPr>
          <w:p w14:paraId="30EBA0F9"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12</w:t>
            </w:r>
          </w:p>
        </w:tc>
        <w:tc>
          <w:tcPr>
            <w:tcW w:w="821" w:type="pct"/>
            <w:noWrap/>
            <w:vAlign w:val="center"/>
            <w:hideMark/>
          </w:tcPr>
          <w:p w14:paraId="5A8B395C"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0.0167</w:t>
            </w:r>
          </w:p>
        </w:tc>
        <w:tc>
          <w:tcPr>
            <w:tcW w:w="345" w:type="pct"/>
            <w:noWrap/>
            <w:vAlign w:val="center"/>
            <w:hideMark/>
          </w:tcPr>
          <w:p w14:paraId="2A247483"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0.0023</w:t>
            </w:r>
          </w:p>
        </w:tc>
        <w:tc>
          <w:tcPr>
            <w:tcW w:w="259" w:type="pct"/>
            <w:noWrap/>
            <w:vAlign w:val="center"/>
            <w:hideMark/>
          </w:tcPr>
          <w:p w14:paraId="53968341"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0.91</w:t>
            </w:r>
          </w:p>
        </w:tc>
        <w:tc>
          <w:tcPr>
            <w:tcW w:w="326" w:type="pct"/>
            <w:noWrap/>
            <w:vAlign w:val="center"/>
            <w:hideMark/>
          </w:tcPr>
          <w:p w14:paraId="50364142"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41.5</w:t>
            </w:r>
          </w:p>
        </w:tc>
      </w:tr>
      <w:tr w:rsidR="008D7589" w:rsidRPr="0085459B" w14:paraId="30A9C6C5" w14:textId="77777777" w:rsidTr="008D7589">
        <w:trPr>
          <w:trHeight w:val="360"/>
          <w:jc w:val="center"/>
        </w:trPr>
        <w:tc>
          <w:tcPr>
            <w:tcW w:w="309" w:type="pct"/>
            <w:noWrap/>
            <w:vAlign w:val="center"/>
            <w:hideMark/>
          </w:tcPr>
          <w:p w14:paraId="46783858"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LS4</w:t>
            </w:r>
          </w:p>
        </w:tc>
        <w:tc>
          <w:tcPr>
            <w:tcW w:w="379" w:type="pct"/>
            <w:noWrap/>
            <w:vAlign w:val="center"/>
            <w:hideMark/>
          </w:tcPr>
          <w:p w14:paraId="0D1654A0"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TN</w:t>
            </w:r>
          </w:p>
        </w:tc>
        <w:tc>
          <w:tcPr>
            <w:tcW w:w="621" w:type="pct"/>
            <w:noWrap/>
            <w:vAlign w:val="center"/>
            <w:hideMark/>
          </w:tcPr>
          <w:p w14:paraId="2CB92AA2" w14:textId="3385D3E2"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P</w:t>
            </w:r>
            <w:r>
              <w:rPr>
                <w:rFonts w:ascii="Times New Roman" w:hAnsi="Times New Roman" w:cs="Times New Roman"/>
                <w:sz w:val="24"/>
              </w:rPr>
              <w:t>yroxasulfone</w:t>
            </w:r>
          </w:p>
        </w:tc>
        <w:tc>
          <w:tcPr>
            <w:tcW w:w="310" w:type="pct"/>
            <w:noWrap/>
            <w:vAlign w:val="center"/>
            <w:hideMark/>
          </w:tcPr>
          <w:p w14:paraId="56A55EA5"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225</w:t>
            </w:r>
          </w:p>
        </w:tc>
        <w:tc>
          <w:tcPr>
            <w:tcW w:w="345" w:type="pct"/>
            <w:noWrap/>
            <w:vAlign w:val="center"/>
            <w:hideMark/>
          </w:tcPr>
          <w:p w14:paraId="212CB8F5"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yes</w:t>
            </w:r>
          </w:p>
        </w:tc>
        <w:tc>
          <w:tcPr>
            <w:tcW w:w="1070" w:type="pct"/>
            <w:noWrap/>
            <w:vAlign w:val="center"/>
            <w:hideMark/>
          </w:tcPr>
          <w:p w14:paraId="4BC060C0"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219</w:t>
            </w:r>
          </w:p>
        </w:tc>
        <w:tc>
          <w:tcPr>
            <w:tcW w:w="215" w:type="pct"/>
            <w:noWrap/>
            <w:vAlign w:val="center"/>
            <w:hideMark/>
          </w:tcPr>
          <w:p w14:paraId="2E4C861C"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11</w:t>
            </w:r>
          </w:p>
        </w:tc>
        <w:tc>
          <w:tcPr>
            <w:tcW w:w="821" w:type="pct"/>
            <w:noWrap/>
            <w:vAlign w:val="center"/>
            <w:hideMark/>
          </w:tcPr>
          <w:p w14:paraId="48C1AA47"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0.0229</w:t>
            </w:r>
          </w:p>
        </w:tc>
        <w:tc>
          <w:tcPr>
            <w:tcW w:w="345" w:type="pct"/>
            <w:noWrap/>
            <w:vAlign w:val="center"/>
            <w:hideMark/>
          </w:tcPr>
          <w:p w14:paraId="48AE31EB"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0.0027</w:t>
            </w:r>
          </w:p>
        </w:tc>
        <w:tc>
          <w:tcPr>
            <w:tcW w:w="259" w:type="pct"/>
            <w:noWrap/>
            <w:vAlign w:val="center"/>
            <w:hideMark/>
          </w:tcPr>
          <w:p w14:paraId="5DBDF330"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0.94</w:t>
            </w:r>
          </w:p>
        </w:tc>
        <w:tc>
          <w:tcPr>
            <w:tcW w:w="326" w:type="pct"/>
            <w:noWrap/>
            <w:vAlign w:val="center"/>
            <w:hideMark/>
          </w:tcPr>
          <w:p w14:paraId="5B276B14"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30.3</w:t>
            </w:r>
          </w:p>
        </w:tc>
      </w:tr>
      <w:tr w:rsidR="008D7589" w:rsidRPr="0085459B" w14:paraId="63CA75C9" w14:textId="77777777" w:rsidTr="008D7589">
        <w:trPr>
          <w:trHeight w:val="360"/>
          <w:jc w:val="center"/>
        </w:trPr>
        <w:tc>
          <w:tcPr>
            <w:tcW w:w="309" w:type="pct"/>
            <w:noWrap/>
            <w:vAlign w:val="center"/>
            <w:hideMark/>
          </w:tcPr>
          <w:p w14:paraId="7C3B344D"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LS4</w:t>
            </w:r>
          </w:p>
        </w:tc>
        <w:tc>
          <w:tcPr>
            <w:tcW w:w="379" w:type="pct"/>
            <w:noWrap/>
            <w:vAlign w:val="center"/>
            <w:hideMark/>
          </w:tcPr>
          <w:p w14:paraId="06526BC8"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GA</w:t>
            </w:r>
          </w:p>
        </w:tc>
        <w:tc>
          <w:tcPr>
            <w:tcW w:w="621" w:type="pct"/>
            <w:noWrap/>
            <w:vAlign w:val="center"/>
            <w:hideMark/>
          </w:tcPr>
          <w:p w14:paraId="22FD8A3C" w14:textId="71F9C6F1"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S</w:t>
            </w:r>
            <w:r>
              <w:rPr>
                <w:rFonts w:ascii="Times New Roman" w:hAnsi="Times New Roman" w:cs="Times New Roman"/>
                <w:sz w:val="24"/>
              </w:rPr>
              <w:t>aflufenacil</w:t>
            </w:r>
          </w:p>
        </w:tc>
        <w:tc>
          <w:tcPr>
            <w:tcW w:w="310" w:type="pct"/>
            <w:noWrap/>
            <w:vAlign w:val="center"/>
            <w:hideMark/>
          </w:tcPr>
          <w:p w14:paraId="73ACEA93"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818</w:t>
            </w:r>
          </w:p>
        </w:tc>
        <w:tc>
          <w:tcPr>
            <w:tcW w:w="345" w:type="pct"/>
            <w:noWrap/>
            <w:vAlign w:val="center"/>
            <w:hideMark/>
          </w:tcPr>
          <w:p w14:paraId="4BAFEDE1"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yes</w:t>
            </w:r>
          </w:p>
        </w:tc>
        <w:tc>
          <w:tcPr>
            <w:tcW w:w="1070" w:type="pct"/>
            <w:noWrap/>
            <w:vAlign w:val="center"/>
            <w:hideMark/>
          </w:tcPr>
          <w:p w14:paraId="3745C0E8"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779</w:t>
            </w:r>
          </w:p>
        </w:tc>
        <w:tc>
          <w:tcPr>
            <w:tcW w:w="215" w:type="pct"/>
            <w:noWrap/>
            <w:vAlign w:val="center"/>
            <w:hideMark/>
          </w:tcPr>
          <w:p w14:paraId="0A065AE7"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20</w:t>
            </w:r>
          </w:p>
        </w:tc>
        <w:tc>
          <w:tcPr>
            <w:tcW w:w="821" w:type="pct"/>
            <w:noWrap/>
            <w:vAlign w:val="center"/>
            <w:hideMark/>
          </w:tcPr>
          <w:p w14:paraId="30DA027F"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0.014</w:t>
            </w:r>
          </w:p>
        </w:tc>
        <w:tc>
          <w:tcPr>
            <w:tcW w:w="345" w:type="pct"/>
            <w:noWrap/>
            <w:vAlign w:val="center"/>
            <w:hideMark/>
          </w:tcPr>
          <w:p w14:paraId="369E8CEB"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0.001</w:t>
            </w:r>
          </w:p>
        </w:tc>
        <w:tc>
          <w:tcPr>
            <w:tcW w:w="259" w:type="pct"/>
            <w:noWrap/>
            <w:vAlign w:val="center"/>
            <w:hideMark/>
          </w:tcPr>
          <w:p w14:paraId="7B90D17C"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0.97</w:t>
            </w:r>
          </w:p>
        </w:tc>
        <w:tc>
          <w:tcPr>
            <w:tcW w:w="326" w:type="pct"/>
            <w:noWrap/>
            <w:vAlign w:val="center"/>
            <w:hideMark/>
          </w:tcPr>
          <w:p w14:paraId="7DC17223"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49.5</w:t>
            </w:r>
          </w:p>
        </w:tc>
      </w:tr>
      <w:tr w:rsidR="008D7589" w:rsidRPr="0085459B" w14:paraId="75F77AD2" w14:textId="77777777" w:rsidTr="008D7589">
        <w:trPr>
          <w:trHeight w:val="360"/>
          <w:jc w:val="center"/>
        </w:trPr>
        <w:tc>
          <w:tcPr>
            <w:tcW w:w="309" w:type="pct"/>
            <w:noWrap/>
            <w:vAlign w:val="center"/>
            <w:hideMark/>
          </w:tcPr>
          <w:p w14:paraId="69158000"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LS4</w:t>
            </w:r>
          </w:p>
        </w:tc>
        <w:tc>
          <w:tcPr>
            <w:tcW w:w="379" w:type="pct"/>
            <w:noWrap/>
            <w:vAlign w:val="center"/>
            <w:hideMark/>
          </w:tcPr>
          <w:p w14:paraId="78DC73FC"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IL</w:t>
            </w:r>
          </w:p>
        </w:tc>
        <w:tc>
          <w:tcPr>
            <w:tcW w:w="621" w:type="pct"/>
            <w:noWrap/>
            <w:vAlign w:val="center"/>
            <w:hideMark/>
          </w:tcPr>
          <w:p w14:paraId="3C5A91A5" w14:textId="618BE009"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S</w:t>
            </w:r>
            <w:r>
              <w:rPr>
                <w:rFonts w:ascii="Times New Roman" w:hAnsi="Times New Roman" w:cs="Times New Roman"/>
                <w:sz w:val="24"/>
              </w:rPr>
              <w:t>aflufenacil</w:t>
            </w:r>
          </w:p>
        </w:tc>
        <w:tc>
          <w:tcPr>
            <w:tcW w:w="310" w:type="pct"/>
            <w:noWrap/>
            <w:vAlign w:val="center"/>
            <w:hideMark/>
          </w:tcPr>
          <w:p w14:paraId="79922D98"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621</w:t>
            </w:r>
          </w:p>
        </w:tc>
        <w:tc>
          <w:tcPr>
            <w:tcW w:w="345" w:type="pct"/>
            <w:noWrap/>
            <w:vAlign w:val="center"/>
            <w:hideMark/>
          </w:tcPr>
          <w:p w14:paraId="77EC2B6F"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yes</w:t>
            </w:r>
          </w:p>
        </w:tc>
        <w:tc>
          <w:tcPr>
            <w:tcW w:w="1070" w:type="pct"/>
            <w:noWrap/>
            <w:vAlign w:val="center"/>
            <w:hideMark/>
          </w:tcPr>
          <w:p w14:paraId="3A4B2E0C"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660</w:t>
            </w:r>
          </w:p>
        </w:tc>
        <w:tc>
          <w:tcPr>
            <w:tcW w:w="215" w:type="pct"/>
            <w:noWrap/>
            <w:vAlign w:val="center"/>
            <w:hideMark/>
          </w:tcPr>
          <w:p w14:paraId="71324B69"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28</w:t>
            </w:r>
          </w:p>
        </w:tc>
        <w:tc>
          <w:tcPr>
            <w:tcW w:w="821" w:type="pct"/>
            <w:noWrap/>
            <w:vAlign w:val="center"/>
            <w:hideMark/>
          </w:tcPr>
          <w:p w14:paraId="3183FF2B"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0.0077</w:t>
            </w:r>
          </w:p>
        </w:tc>
        <w:tc>
          <w:tcPr>
            <w:tcW w:w="345" w:type="pct"/>
            <w:noWrap/>
            <w:vAlign w:val="center"/>
            <w:hideMark/>
          </w:tcPr>
          <w:p w14:paraId="2FE0F08F"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0.001</w:t>
            </w:r>
          </w:p>
        </w:tc>
        <w:tc>
          <w:tcPr>
            <w:tcW w:w="259" w:type="pct"/>
            <w:noWrap/>
            <w:vAlign w:val="center"/>
            <w:hideMark/>
          </w:tcPr>
          <w:p w14:paraId="637972EB"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0.88</w:t>
            </w:r>
          </w:p>
        </w:tc>
        <w:tc>
          <w:tcPr>
            <w:tcW w:w="326" w:type="pct"/>
            <w:noWrap/>
            <w:vAlign w:val="center"/>
            <w:hideMark/>
          </w:tcPr>
          <w:p w14:paraId="453A7A76"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90.0</w:t>
            </w:r>
          </w:p>
        </w:tc>
      </w:tr>
      <w:tr w:rsidR="008D7589" w:rsidRPr="0085459B" w14:paraId="56D02E09" w14:textId="77777777" w:rsidTr="008D7589">
        <w:trPr>
          <w:trHeight w:val="360"/>
          <w:jc w:val="center"/>
        </w:trPr>
        <w:tc>
          <w:tcPr>
            <w:tcW w:w="309" w:type="pct"/>
            <w:tcBorders>
              <w:bottom w:val="single" w:sz="4" w:space="0" w:color="auto"/>
            </w:tcBorders>
            <w:noWrap/>
            <w:vAlign w:val="center"/>
            <w:hideMark/>
          </w:tcPr>
          <w:p w14:paraId="322FBF41"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LS4</w:t>
            </w:r>
          </w:p>
        </w:tc>
        <w:tc>
          <w:tcPr>
            <w:tcW w:w="379" w:type="pct"/>
            <w:tcBorders>
              <w:bottom w:val="single" w:sz="4" w:space="0" w:color="auto"/>
            </w:tcBorders>
            <w:noWrap/>
            <w:vAlign w:val="center"/>
            <w:hideMark/>
          </w:tcPr>
          <w:p w14:paraId="6CC8E8EB"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TN</w:t>
            </w:r>
          </w:p>
        </w:tc>
        <w:tc>
          <w:tcPr>
            <w:tcW w:w="621" w:type="pct"/>
            <w:tcBorders>
              <w:bottom w:val="single" w:sz="4" w:space="0" w:color="auto"/>
            </w:tcBorders>
            <w:noWrap/>
            <w:vAlign w:val="center"/>
            <w:hideMark/>
          </w:tcPr>
          <w:p w14:paraId="729C6412" w14:textId="083A711D"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S</w:t>
            </w:r>
            <w:r>
              <w:rPr>
                <w:rFonts w:ascii="Times New Roman" w:hAnsi="Times New Roman" w:cs="Times New Roman"/>
                <w:sz w:val="24"/>
              </w:rPr>
              <w:t>aflufenacil</w:t>
            </w:r>
          </w:p>
        </w:tc>
        <w:tc>
          <w:tcPr>
            <w:tcW w:w="310" w:type="pct"/>
            <w:tcBorders>
              <w:bottom w:val="single" w:sz="4" w:space="0" w:color="auto"/>
            </w:tcBorders>
            <w:noWrap/>
            <w:vAlign w:val="center"/>
            <w:hideMark/>
          </w:tcPr>
          <w:p w14:paraId="74B80B89"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626</w:t>
            </w:r>
          </w:p>
        </w:tc>
        <w:tc>
          <w:tcPr>
            <w:tcW w:w="345" w:type="pct"/>
            <w:tcBorders>
              <w:bottom w:val="single" w:sz="4" w:space="0" w:color="auto"/>
            </w:tcBorders>
            <w:noWrap/>
            <w:vAlign w:val="center"/>
            <w:hideMark/>
          </w:tcPr>
          <w:p w14:paraId="539F707E"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yes</w:t>
            </w:r>
          </w:p>
        </w:tc>
        <w:tc>
          <w:tcPr>
            <w:tcW w:w="1070" w:type="pct"/>
            <w:tcBorders>
              <w:bottom w:val="single" w:sz="4" w:space="0" w:color="auto"/>
            </w:tcBorders>
            <w:noWrap/>
            <w:vAlign w:val="center"/>
            <w:hideMark/>
          </w:tcPr>
          <w:p w14:paraId="26AB7701"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550</w:t>
            </w:r>
          </w:p>
        </w:tc>
        <w:tc>
          <w:tcPr>
            <w:tcW w:w="215" w:type="pct"/>
            <w:tcBorders>
              <w:bottom w:val="single" w:sz="4" w:space="0" w:color="auto"/>
            </w:tcBorders>
            <w:noWrap/>
            <w:vAlign w:val="center"/>
            <w:hideMark/>
          </w:tcPr>
          <w:p w14:paraId="1B01240D"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38</w:t>
            </w:r>
          </w:p>
        </w:tc>
        <w:tc>
          <w:tcPr>
            <w:tcW w:w="821" w:type="pct"/>
            <w:tcBorders>
              <w:bottom w:val="single" w:sz="4" w:space="0" w:color="auto"/>
            </w:tcBorders>
            <w:noWrap/>
            <w:vAlign w:val="center"/>
            <w:hideMark/>
          </w:tcPr>
          <w:p w14:paraId="15D0D387"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0.0129</w:t>
            </w:r>
          </w:p>
        </w:tc>
        <w:tc>
          <w:tcPr>
            <w:tcW w:w="345" w:type="pct"/>
            <w:tcBorders>
              <w:bottom w:val="single" w:sz="4" w:space="0" w:color="auto"/>
            </w:tcBorders>
            <w:noWrap/>
            <w:vAlign w:val="center"/>
            <w:hideMark/>
          </w:tcPr>
          <w:p w14:paraId="074F9C7E"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0.0023</w:t>
            </w:r>
          </w:p>
        </w:tc>
        <w:tc>
          <w:tcPr>
            <w:tcW w:w="259" w:type="pct"/>
            <w:tcBorders>
              <w:bottom w:val="single" w:sz="4" w:space="0" w:color="auto"/>
            </w:tcBorders>
            <w:noWrap/>
            <w:vAlign w:val="center"/>
            <w:hideMark/>
          </w:tcPr>
          <w:p w14:paraId="143334F7"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0.83</w:t>
            </w:r>
          </w:p>
        </w:tc>
        <w:tc>
          <w:tcPr>
            <w:tcW w:w="326" w:type="pct"/>
            <w:tcBorders>
              <w:bottom w:val="single" w:sz="4" w:space="0" w:color="auto"/>
            </w:tcBorders>
            <w:noWrap/>
            <w:vAlign w:val="center"/>
            <w:hideMark/>
          </w:tcPr>
          <w:p w14:paraId="0B839B23" w14:textId="77777777" w:rsidR="008D7589" w:rsidRPr="0085459B" w:rsidRDefault="008D7589" w:rsidP="008D7589">
            <w:pPr>
              <w:jc w:val="center"/>
              <w:rPr>
                <w:rFonts w:ascii="Times New Roman" w:hAnsi="Times New Roman" w:cs="Times New Roman"/>
                <w:sz w:val="24"/>
              </w:rPr>
            </w:pPr>
            <w:r w:rsidRPr="0085459B">
              <w:rPr>
                <w:rFonts w:ascii="Times New Roman" w:hAnsi="Times New Roman" w:cs="Times New Roman"/>
                <w:sz w:val="24"/>
              </w:rPr>
              <w:t>53.7</w:t>
            </w:r>
          </w:p>
        </w:tc>
      </w:tr>
      <w:tr w:rsidR="008D7589" w:rsidRPr="0085459B" w14:paraId="3863A6C6" w14:textId="77777777" w:rsidTr="008D7589">
        <w:trPr>
          <w:trHeight w:val="315"/>
          <w:jc w:val="center"/>
        </w:trPr>
        <w:tc>
          <w:tcPr>
            <w:tcW w:w="5000" w:type="pct"/>
            <w:gridSpan w:val="11"/>
            <w:tcBorders>
              <w:top w:val="single" w:sz="4" w:space="0" w:color="auto"/>
            </w:tcBorders>
            <w:noWrap/>
            <w:vAlign w:val="center"/>
            <w:hideMark/>
          </w:tcPr>
          <w:p w14:paraId="0B82EA50" w14:textId="5CA205E7" w:rsidR="008D7589" w:rsidRPr="0085459B" w:rsidRDefault="008D7589" w:rsidP="008D7589">
            <w:pPr>
              <w:rPr>
                <w:rFonts w:ascii="Times New Roman" w:hAnsi="Times New Roman" w:cs="Times New Roman"/>
                <w:sz w:val="24"/>
              </w:rPr>
            </w:pPr>
            <w:r w:rsidRPr="0085459B">
              <w:rPr>
                <w:rFonts w:ascii="Times New Roman" w:hAnsi="Times New Roman" w:cs="Times New Roman"/>
                <w:sz w:val="24"/>
              </w:rPr>
              <w:t>Abbreviations</w:t>
            </w:r>
            <w:r>
              <w:rPr>
                <w:rFonts w:ascii="Times New Roman" w:hAnsi="Times New Roman" w:cs="Times New Roman"/>
                <w:sz w:val="24"/>
              </w:rPr>
              <w:t>:</w:t>
            </w:r>
            <w:r w:rsidRPr="0085459B">
              <w:rPr>
                <w:rFonts w:ascii="Times New Roman" w:hAnsi="Times New Roman" w:cs="Times New Roman"/>
                <w:sz w:val="24"/>
              </w:rPr>
              <w:t xml:space="preserve"> SE, standard error; </w:t>
            </w:r>
            <w:r>
              <w:rPr>
                <w:rFonts w:ascii="Times New Roman" w:hAnsi="Times New Roman" w:cs="Times New Roman"/>
                <w:sz w:val="24"/>
              </w:rPr>
              <w:t>r</w:t>
            </w:r>
            <w:r>
              <w:rPr>
                <w:rFonts w:ascii="Times New Roman" w:hAnsi="Times New Roman" w:cs="Times New Roman"/>
                <w:sz w:val="24"/>
                <w:vertAlign w:val="superscript"/>
              </w:rPr>
              <w:t>2</w:t>
            </w:r>
            <w:r w:rsidRPr="0085459B">
              <w:rPr>
                <w:rFonts w:ascii="Times New Roman" w:hAnsi="Times New Roman" w:cs="Times New Roman"/>
                <w:sz w:val="24"/>
              </w:rPr>
              <w:t>, coefficient of determination</w:t>
            </w:r>
          </w:p>
        </w:tc>
      </w:tr>
    </w:tbl>
    <w:p w14:paraId="5CF57F9A" w14:textId="3CBB4C2B" w:rsidR="0085459B" w:rsidRPr="00786D4D" w:rsidRDefault="0085459B" w:rsidP="00786D4D">
      <w:pPr>
        <w:rPr>
          <w:rFonts w:ascii="Times New Roman" w:hAnsi="Times New Roman" w:cs="Times New Roman"/>
          <w:sz w:val="24"/>
        </w:rPr>
        <w:sectPr w:rsidR="0085459B" w:rsidRPr="00786D4D" w:rsidSect="00CA7909">
          <w:pgSz w:w="15840" w:h="12240" w:orient="landscape"/>
          <w:pgMar w:top="1440" w:right="1440" w:bottom="1440" w:left="1440" w:header="720" w:footer="720" w:gutter="0"/>
          <w:cols w:space="720"/>
          <w:docGrid w:linePitch="360"/>
        </w:sectPr>
      </w:pPr>
    </w:p>
    <w:p w14:paraId="67B63739" w14:textId="77777777" w:rsidR="00E40826" w:rsidRDefault="00A24B79" w:rsidP="00E40826">
      <w:pPr>
        <w:keepNext/>
      </w:pPr>
      <w:r>
        <w:rPr>
          <w:rFonts w:ascii="Times New Roman" w:hAnsi="Times New Roman" w:cs="Times New Roman"/>
          <w:noProof/>
          <w:sz w:val="24"/>
        </w:rPr>
        <w:lastRenderedPageBreak/>
        <w:drawing>
          <wp:inline distT="0" distB="0" distL="0" distR="0" wp14:anchorId="229BC168" wp14:editId="3A3586D6">
            <wp:extent cx="8229600" cy="4986020"/>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019.weather.chart.jpg"/>
                    <pic:cNvPicPr/>
                  </pic:nvPicPr>
                  <pic:blipFill>
                    <a:blip r:embed="rId15">
                      <a:extLst>
                        <a:ext uri="{28A0092B-C50C-407E-A947-70E740481C1C}">
                          <a14:useLocalDpi xmlns:a14="http://schemas.microsoft.com/office/drawing/2010/main" val="0"/>
                        </a:ext>
                      </a:extLst>
                    </a:blip>
                    <a:stretch>
                      <a:fillRect/>
                    </a:stretch>
                  </pic:blipFill>
                  <pic:spPr>
                    <a:xfrm>
                      <a:off x="0" y="0"/>
                      <a:ext cx="8229600" cy="4986020"/>
                    </a:xfrm>
                    <a:prstGeom prst="rect">
                      <a:avLst/>
                    </a:prstGeom>
                  </pic:spPr>
                </pic:pic>
              </a:graphicData>
            </a:graphic>
          </wp:inline>
        </w:drawing>
      </w:r>
    </w:p>
    <w:p w14:paraId="3EAF9A4A" w14:textId="5B1EF06C" w:rsidR="00D340AC" w:rsidRPr="00FC5059" w:rsidRDefault="00E40826" w:rsidP="00FC5059">
      <w:pPr>
        <w:pStyle w:val="Heading1"/>
        <w:rPr>
          <w:rFonts w:ascii="Times New Roman" w:hAnsi="Times New Roman" w:cs="Times New Roman"/>
          <w:color w:val="000000" w:themeColor="text1"/>
          <w:sz w:val="28"/>
        </w:rPr>
      </w:pPr>
      <w:bookmarkStart w:id="27" w:name="_Toc99090375"/>
      <w:bookmarkStart w:id="28" w:name="_Toc99090708"/>
      <w:bookmarkStart w:id="29" w:name="_Toc99090790"/>
      <w:bookmarkStart w:id="30" w:name="_Toc99091039"/>
      <w:bookmarkStart w:id="31" w:name="_Toc99091550"/>
      <w:bookmarkStart w:id="32" w:name="_Toc99092009"/>
      <w:r w:rsidRPr="00FC5059">
        <w:rPr>
          <w:rFonts w:ascii="Times New Roman" w:hAnsi="Times New Roman" w:cs="Times New Roman"/>
          <w:color w:val="000000" w:themeColor="text1"/>
          <w:sz w:val="24"/>
        </w:rPr>
        <w:t xml:space="preserve">Figure </w:t>
      </w:r>
      <w:r w:rsidRPr="00FC5059">
        <w:rPr>
          <w:rFonts w:ascii="Times New Roman" w:hAnsi="Times New Roman" w:cs="Times New Roman"/>
          <w:color w:val="000000" w:themeColor="text1"/>
          <w:sz w:val="24"/>
        </w:rPr>
        <w:fldChar w:fldCharType="begin"/>
      </w:r>
      <w:r w:rsidRPr="00FC5059">
        <w:rPr>
          <w:rFonts w:ascii="Times New Roman" w:hAnsi="Times New Roman" w:cs="Times New Roman"/>
          <w:color w:val="000000" w:themeColor="text1"/>
          <w:sz w:val="24"/>
        </w:rPr>
        <w:instrText xml:space="preserve"> SEQ Figure \* ARABIC </w:instrText>
      </w:r>
      <w:r w:rsidRPr="00FC5059">
        <w:rPr>
          <w:rFonts w:ascii="Times New Roman" w:hAnsi="Times New Roman" w:cs="Times New Roman"/>
          <w:color w:val="000000" w:themeColor="text1"/>
          <w:sz w:val="24"/>
        </w:rPr>
        <w:fldChar w:fldCharType="separate"/>
      </w:r>
      <w:r w:rsidR="001A53A1">
        <w:rPr>
          <w:rFonts w:ascii="Times New Roman" w:hAnsi="Times New Roman" w:cs="Times New Roman"/>
          <w:noProof/>
          <w:color w:val="000000" w:themeColor="text1"/>
          <w:sz w:val="24"/>
        </w:rPr>
        <w:t>1</w:t>
      </w:r>
      <w:r w:rsidRPr="00FC5059">
        <w:rPr>
          <w:rFonts w:ascii="Times New Roman" w:hAnsi="Times New Roman" w:cs="Times New Roman"/>
          <w:color w:val="000000" w:themeColor="text1"/>
          <w:sz w:val="24"/>
        </w:rPr>
        <w:fldChar w:fldCharType="end"/>
      </w:r>
      <w:r w:rsidRPr="00FC5059">
        <w:rPr>
          <w:rFonts w:ascii="Times New Roman" w:hAnsi="Times New Roman" w:cs="Times New Roman"/>
          <w:color w:val="000000" w:themeColor="text1"/>
          <w:sz w:val="24"/>
        </w:rPr>
        <w:t>. 2019 Field study average, minimum, and maximum weekly temperature and precipitation</w:t>
      </w:r>
      <w:bookmarkEnd w:id="27"/>
      <w:bookmarkEnd w:id="28"/>
      <w:bookmarkEnd w:id="29"/>
      <w:bookmarkEnd w:id="30"/>
      <w:bookmarkEnd w:id="31"/>
      <w:bookmarkEnd w:id="32"/>
    </w:p>
    <w:p w14:paraId="7A16ED68" w14:textId="537A12D0" w:rsidR="00D340AC" w:rsidRDefault="00D340AC" w:rsidP="00D340AC">
      <w:pPr>
        <w:rPr>
          <w:rFonts w:ascii="Times New Roman" w:hAnsi="Times New Roman" w:cs="Times New Roman"/>
          <w:sz w:val="24"/>
        </w:rPr>
      </w:pPr>
    </w:p>
    <w:p w14:paraId="0D30A4C2" w14:textId="1E2D6F3C" w:rsidR="00D340AC" w:rsidRDefault="00D340AC" w:rsidP="00D340AC">
      <w:pPr>
        <w:rPr>
          <w:rFonts w:ascii="Times New Roman" w:hAnsi="Times New Roman" w:cs="Times New Roman"/>
          <w:sz w:val="24"/>
        </w:rPr>
      </w:pPr>
    </w:p>
    <w:p w14:paraId="50111295" w14:textId="77777777" w:rsidR="008467FC" w:rsidRPr="00D340AC" w:rsidRDefault="008467FC" w:rsidP="00D340AC">
      <w:pPr>
        <w:rPr>
          <w:rFonts w:ascii="Times New Roman" w:hAnsi="Times New Roman" w:cs="Times New Roman"/>
          <w:sz w:val="24"/>
        </w:rPr>
        <w:sectPr w:rsidR="008467FC" w:rsidRPr="00D340AC" w:rsidSect="00CA7909">
          <w:pgSz w:w="15840" w:h="12240" w:orient="landscape"/>
          <w:pgMar w:top="1440" w:right="1440" w:bottom="1440" w:left="1440" w:header="720" w:footer="720" w:gutter="0"/>
          <w:cols w:space="720"/>
          <w:docGrid w:linePitch="360"/>
        </w:sectPr>
      </w:pPr>
    </w:p>
    <w:p w14:paraId="27DAB2EC" w14:textId="77777777" w:rsidR="00E40826" w:rsidRDefault="00A24B79" w:rsidP="00E40826">
      <w:pPr>
        <w:keepNext/>
        <w:jc w:val="center"/>
      </w:pPr>
      <w:r>
        <w:rPr>
          <w:rFonts w:ascii="Times New Roman" w:hAnsi="Times New Roman" w:cs="Times New Roman"/>
          <w:noProof/>
          <w:sz w:val="24"/>
        </w:rPr>
        <w:lastRenderedPageBreak/>
        <w:drawing>
          <wp:inline distT="0" distB="0" distL="0" distR="0" wp14:anchorId="5D996924" wp14:editId="3BBB2608">
            <wp:extent cx="8229600" cy="4967605"/>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20.weather.chart.jpg"/>
                    <pic:cNvPicPr/>
                  </pic:nvPicPr>
                  <pic:blipFill>
                    <a:blip r:embed="rId16">
                      <a:extLst>
                        <a:ext uri="{28A0092B-C50C-407E-A947-70E740481C1C}">
                          <a14:useLocalDpi xmlns:a14="http://schemas.microsoft.com/office/drawing/2010/main" val="0"/>
                        </a:ext>
                      </a:extLst>
                    </a:blip>
                    <a:stretch>
                      <a:fillRect/>
                    </a:stretch>
                  </pic:blipFill>
                  <pic:spPr>
                    <a:xfrm>
                      <a:off x="0" y="0"/>
                      <a:ext cx="8229600" cy="4967605"/>
                    </a:xfrm>
                    <a:prstGeom prst="rect">
                      <a:avLst/>
                    </a:prstGeom>
                  </pic:spPr>
                </pic:pic>
              </a:graphicData>
            </a:graphic>
          </wp:inline>
        </w:drawing>
      </w:r>
    </w:p>
    <w:p w14:paraId="36E7EBCD" w14:textId="7B7B48A4" w:rsidR="00D340AC" w:rsidRPr="00FC5059" w:rsidRDefault="00E40826" w:rsidP="00FC5059">
      <w:pPr>
        <w:pStyle w:val="Heading1"/>
        <w:rPr>
          <w:rFonts w:ascii="Times New Roman" w:hAnsi="Times New Roman" w:cs="Times New Roman"/>
          <w:noProof/>
          <w:color w:val="000000" w:themeColor="text1"/>
          <w:sz w:val="28"/>
        </w:rPr>
      </w:pPr>
      <w:bookmarkStart w:id="33" w:name="_Toc99090376"/>
      <w:bookmarkStart w:id="34" w:name="_Toc99090709"/>
      <w:bookmarkStart w:id="35" w:name="_Toc99090791"/>
      <w:bookmarkStart w:id="36" w:name="_Toc99091040"/>
      <w:bookmarkStart w:id="37" w:name="_Toc99091551"/>
      <w:bookmarkStart w:id="38" w:name="_Toc99092010"/>
      <w:r w:rsidRPr="00FC5059">
        <w:rPr>
          <w:rFonts w:ascii="Times New Roman" w:hAnsi="Times New Roman" w:cs="Times New Roman"/>
          <w:color w:val="000000" w:themeColor="text1"/>
          <w:sz w:val="24"/>
        </w:rPr>
        <w:t xml:space="preserve">Figure </w:t>
      </w:r>
      <w:r w:rsidRPr="00FC5059">
        <w:rPr>
          <w:rFonts w:ascii="Times New Roman" w:hAnsi="Times New Roman" w:cs="Times New Roman"/>
          <w:color w:val="000000" w:themeColor="text1"/>
          <w:sz w:val="24"/>
        </w:rPr>
        <w:fldChar w:fldCharType="begin"/>
      </w:r>
      <w:r w:rsidRPr="00FC5059">
        <w:rPr>
          <w:rFonts w:ascii="Times New Roman" w:hAnsi="Times New Roman" w:cs="Times New Roman"/>
          <w:color w:val="000000" w:themeColor="text1"/>
          <w:sz w:val="24"/>
        </w:rPr>
        <w:instrText xml:space="preserve"> SEQ Figure \* ARABIC </w:instrText>
      </w:r>
      <w:r w:rsidRPr="00FC5059">
        <w:rPr>
          <w:rFonts w:ascii="Times New Roman" w:hAnsi="Times New Roman" w:cs="Times New Roman"/>
          <w:color w:val="000000" w:themeColor="text1"/>
          <w:sz w:val="24"/>
        </w:rPr>
        <w:fldChar w:fldCharType="separate"/>
      </w:r>
      <w:r w:rsidR="001A53A1">
        <w:rPr>
          <w:rFonts w:ascii="Times New Roman" w:hAnsi="Times New Roman" w:cs="Times New Roman"/>
          <w:noProof/>
          <w:color w:val="000000" w:themeColor="text1"/>
          <w:sz w:val="24"/>
        </w:rPr>
        <w:t>2</w:t>
      </w:r>
      <w:r w:rsidRPr="00FC5059">
        <w:rPr>
          <w:rFonts w:ascii="Times New Roman" w:hAnsi="Times New Roman" w:cs="Times New Roman"/>
          <w:color w:val="000000" w:themeColor="text1"/>
          <w:sz w:val="24"/>
        </w:rPr>
        <w:fldChar w:fldCharType="end"/>
      </w:r>
      <w:r w:rsidRPr="00FC5059">
        <w:rPr>
          <w:rFonts w:ascii="Times New Roman" w:hAnsi="Times New Roman" w:cs="Times New Roman"/>
          <w:color w:val="000000" w:themeColor="text1"/>
          <w:sz w:val="24"/>
        </w:rPr>
        <w:t>. 2020 Field study average, minimum, and maximum weekly temperature and precipitation</w:t>
      </w:r>
      <w:bookmarkEnd w:id="33"/>
      <w:bookmarkEnd w:id="34"/>
      <w:bookmarkEnd w:id="35"/>
      <w:bookmarkEnd w:id="36"/>
      <w:bookmarkEnd w:id="37"/>
      <w:bookmarkEnd w:id="38"/>
    </w:p>
    <w:p w14:paraId="6E018C82" w14:textId="0AFE3CFB" w:rsidR="00D340AC" w:rsidRDefault="00D340AC" w:rsidP="00D340AC">
      <w:pPr>
        <w:rPr>
          <w:rFonts w:ascii="Times New Roman" w:hAnsi="Times New Roman" w:cs="Times New Roman"/>
          <w:sz w:val="24"/>
        </w:rPr>
      </w:pPr>
    </w:p>
    <w:p w14:paraId="5676171D" w14:textId="0B619AA4" w:rsidR="00D340AC" w:rsidRDefault="00D340AC" w:rsidP="00D340AC">
      <w:pPr>
        <w:rPr>
          <w:rFonts w:ascii="Times New Roman" w:hAnsi="Times New Roman" w:cs="Times New Roman"/>
          <w:sz w:val="24"/>
        </w:rPr>
      </w:pPr>
    </w:p>
    <w:p w14:paraId="3A7636A8" w14:textId="77777777" w:rsidR="004A0CC0" w:rsidRPr="00D340AC" w:rsidRDefault="004A0CC0" w:rsidP="00D340AC">
      <w:pPr>
        <w:rPr>
          <w:rFonts w:ascii="Times New Roman" w:hAnsi="Times New Roman" w:cs="Times New Roman"/>
          <w:sz w:val="24"/>
        </w:rPr>
        <w:sectPr w:rsidR="004A0CC0" w:rsidRPr="00D340AC" w:rsidSect="00CA7909">
          <w:pgSz w:w="15840" w:h="12240" w:orient="landscape"/>
          <w:pgMar w:top="1440" w:right="1440" w:bottom="1440" w:left="1440" w:header="720" w:footer="720" w:gutter="0"/>
          <w:cols w:space="720"/>
          <w:docGrid w:linePitch="360"/>
        </w:sectPr>
      </w:pPr>
    </w:p>
    <w:p w14:paraId="25912B26" w14:textId="63CEED57" w:rsidR="00D340AC" w:rsidRDefault="00E40826" w:rsidP="00D340AC">
      <w:pPr>
        <w:spacing w:line="480" w:lineRule="auto"/>
        <w:ind w:left="720" w:hanging="720"/>
        <w:rPr>
          <w:rFonts w:ascii="Times New Roman" w:hAnsi="Times New Roman" w:cs="Times New Roman"/>
          <w:b/>
          <w:sz w:val="24"/>
        </w:rPr>
      </w:pPr>
      <w:r>
        <w:rPr>
          <w:noProof/>
        </w:rPr>
        <w:lastRenderedPageBreak/>
        <mc:AlternateContent>
          <mc:Choice Requires="wps">
            <w:drawing>
              <wp:anchor distT="0" distB="0" distL="114300" distR="114300" simplePos="0" relativeHeight="251661312" behindDoc="0" locked="0" layoutInCell="1" allowOverlap="1" wp14:anchorId="14741D31" wp14:editId="5820CA26">
                <wp:simplePos x="0" y="0"/>
                <wp:positionH relativeFrom="margin">
                  <wp:align>right</wp:align>
                </wp:positionH>
                <wp:positionV relativeFrom="paragraph">
                  <wp:posOffset>6762750</wp:posOffset>
                </wp:positionV>
                <wp:extent cx="5934075" cy="635"/>
                <wp:effectExtent l="0" t="0" r="9525" b="0"/>
                <wp:wrapSquare wrapText="bothSides"/>
                <wp:docPr id="1" name="Text Box 1"/>
                <wp:cNvGraphicFramePr/>
                <a:graphic xmlns:a="http://schemas.openxmlformats.org/drawingml/2006/main">
                  <a:graphicData uri="http://schemas.microsoft.com/office/word/2010/wordprocessingShape">
                    <wps:wsp>
                      <wps:cNvSpPr txBox="1"/>
                      <wps:spPr>
                        <a:xfrm>
                          <a:off x="0" y="0"/>
                          <a:ext cx="5934075" cy="635"/>
                        </a:xfrm>
                        <a:prstGeom prst="rect">
                          <a:avLst/>
                        </a:prstGeom>
                        <a:solidFill>
                          <a:prstClr val="white"/>
                        </a:solidFill>
                        <a:ln>
                          <a:noFill/>
                        </a:ln>
                      </wps:spPr>
                      <wps:txbx>
                        <w:txbxContent>
                          <w:p w14:paraId="7C687CBB" w14:textId="68339BA5" w:rsidR="008E6223" w:rsidRPr="00FC5059" w:rsidRDefault="008E6223" w:rsidP="00FC5059">
                            <w:pPr>
                              <w:pStyle w:val="Heading1"/>
                              <w:rPr>
                                <w:rFonts w:ascii="Times New Roman" w:hAnsi="Times New Roman" w:cs="Times New Roman"/>
                                <w:b/>
                                <w:noProof/>
                                <w:color w:val="000000" w:themeColor="text1"/>
                                <w:sz w:val="28"/>
                              </w:rPr>
                            </w:pPr>
                            <w:bookmarkStart w:id="39" w:name="_Toc99090377"/>
                            <w:bookmarkStart w:id="40" w:name="_Toc99090710"/>
                            <w:bookmarkStart w:id="41" w:name="_Toc99090792"/>
                            <w:bookmarkStart w:id="42" w:name="_Toc99091041"/>
                            <w:bookmarkStart w:id="43" w:name="_Toc99091552"/>
                            <w:bookmarkStart w:id="44" w:name="_Toc99092011"/>
                            <w:r w:rsidRPr="00FC5059">
                              <w:rPr>
                                <w:rFonts w:ascii="Times New Roman" w:hAnsi="Times New Roman" w:cs="Times New Roman"/>
                                <w:color w:val="000000" w:themeColor="text1"/>
                                <w:sz w:val="24"/>
                              </w:rPr>
                              <w:t xml:space="preserve">Figure </w:t>
                            </w:r>
                            <w:r w:rsidRPr="00FC5059">
                              <w:rPr>
                                <w:rFonts w:ascii="Times New Roman" w:hAnsi="Times New Roman" w:cs="Times New Roman"/>
                                <w:color w:val="000000" w:themeColor="text1"/>
                                <w:sz w:val="24"/>
                              </w:rPr>
                              <w:fldChar w:fldCharType="begin"/>
                            </w:r>
                            <w:r w:rsidRPr="00FC5059">
                              <w:rPr>
                                <w:rFonts w:ascii="Times New Roman" w:hAnsi="Times New Roman" w:cs="Times New Roman"/>
                                <w:color w:val="000000" w:themeColor="text1"/>
                                <w:sz w:val="24"/>
                              </w:rPr>
                              <w:instrText xml:space="preserve"> SEQ Figure \* ARABIC </w:instrText>
                            </w:r>
                            <w:r w:rsidRPr="00FC5059">
                              <w:rPr>
                                <w:rFonts w:ascii="Times New Roman" w:hAnsi="Times New Roman" w:cs="Times New Roman"/>
                                <w:color w:val="000000" w:themeColor="text1"/>
                                <w:sz w:val="24"/>
                              </w:rPr>
                              <w:fldChar w:fldCharType="separate"/>
                            </w:r>
                            <w:r w:rsidR="001A53A1">
                              <w:rPr>
                                <w:rFonts w:ascii="Times New Roman" w:hAnsi="Times New Roman" w:cs="Times New Roman"/>
                                <w:noProof/>
                                <w:color w:val="000000" w:themeColor="text1"/>
                                <w:sz w:val="24"/>
                              </w:rPr>
                              <w:t>3</w:t>
                            </w:r>
                            <w:r w:rsidRPr="00FC5059">
                              <w:rPr>
                                <w:rFonts w:ascii="Times New Roman" w:hAnsi="Times New Roman" w:cs="Times New Roman"/>
                                <w:color w:val="000000" w:themeColor="text1"/>
                                <w:sz w:val="24"/>
                              </w:rPr>
                              <w:fldChar w:fldCharType="end"/>
                            </w:r>
                            <w:r w:rsidRPr="00FC5059">
                              <w:rPr>
                                <w:rFonts w:ascii="Times New Roman" w:hAnsi="Times New Roman" w:cs="Times New Roman"/>
                                <w:color w:val="000000" w:themeColor="text1"/>
                                <w:sz w:val="24"/>
                              </w:rPr>
                              <w:t>. 2020 Atrazine dissipation in field TN soil as a function of initial herbicide concentration and days after treatment.</w:t>
                            </w:r>
                            <w:bookmarkEnd w:id="39"/>
                            <w:bookmarkEnd w:id="40"/>
                            <w:bookmarkEnd w:id="41"/>
                            <w:bookmarkEnd w:id="42"/>
                            <w:bookmarkEnd w:id="43"/>
                            <w:bookmarkEnd w:id="4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14741D31" id="_x0000_t202" coordsize="21600,21600" o:spt="202" path="m,l,21600r21600,l21600,xe">
                <v:stroke joinstyle="miter"/>
                <v:path gradientshapeok="t" o:connecttype="rect"/>
              </v:shapetype>
              <v:shape id="Text Box 1" o:spid="_x0000_s1026" type="#_x0000_t202" style="position:absolute;left:0;text-align:left;margin-left:416.05pt;margin-top:532.5pt;width:467.25pt;height:.05pt;z-index:25166131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" stroked="f">
                <v:textbox style="mso-fit-shape-to-text:t" inset="0,0,0,0">
                  <w:txbxContent>
                    <w:p w14:paraId="7C687CBB" w14:textId="68339BA5" w:rsidR="008E6223" w:rsidRPr="00FC5059" w:rsidRDefault="008E6223" w:rsidP="00FC5059">
                      <w:pPr>
                        <w:pStyle w:val="Heading1"/>
                        <w:rPr>
                          <w:rFonts w:ascii="Times New Roman" w:hAnsi="Times New Roman" w:cs="Times New Roman"/>
                          <w:b/>
                          <w:noProof/>
                          <w:color w:val="000000" w:themeColor="text1"/>
                          <w:sz w:val="28"/>
                        </w:rPr>
                      </w:pPr>
                      <w:bookmarkStart w:id="45" w:name="_Toc99090377"/>
                      <w:bookmarkStart w:id="46" w:name="_Toc99090710"/>
                      <w:bookmarkStart w:id="47" w:name="_Toc99090792"/>
                      <w:bookmarkStart w:id="48" w:name="_Toc99091041"/>
                      <w:bookmarkStart w:id="49" w:name="_Toc99091552"/>
                      <w:bookmarkStart w:id="50" w:name="_Toc99092011"/>
                      <w:r w:rsidRPr="00FC5059">
                        <w:rPr>
                          <w:rFonts w:ascii="Times New Roman" w:hAnsi="Times New Roman" w:cs="Times New Roman"/>
                          <w:color w:val="000000" w:themeColor="text1"/>
                          <w:sz w:val="24"/>
                        </w:rPr>
                        <w:t xml:space="preserve">Figure </w:t>
                      </w:r>
                      <w:r w:rsidRPr="00FC5059">
                        <w:rPr>
                          <w:rFonts w:ascii="Times New Roman" w:hAnsi="Times New Roman" w:cs="Times New Roman"/>
                          <w:color w:val="000000" w:themeColor="text1"/>
                          <w:sz w:val="24"/>
                        </w:rPr>
                        <w:fldChar w:fldCharType="begin"/>
                      </w:r>
                      <w:r w:rsidRPr="00FC5059">
                        <w:rPr>
                          <w:rFonts w:ascii="Times New Roman" w:hAnsi="Times New Roman" w:cs="Times New Roman"/>
                          <w:color w:val="000000" w:themeColor="text1"/>
                          <w:sz w:val="24"/>
                        </w:rPr>
                        <w:instrText xml:space="preserve"> SEQ Figure \* ARABIC </w:instrText>
                      </w:r>
                      <w:r w:rsidRPr="00FC5059">
                        <w:rPr>
                          <w:rFonts w:ascii="Times New Roman" w:hAnsi="Times New Roman" w:cs="Times New Roman"/>
                          <w:color w:val="000000" w:themeColor="text1"/>
                          <w:sz w:val="24"/>
                        </w:rPr>
                        <w:fldChar w:fldCharType="separate"/>
                      </w:r>
                      <w:r w:rsidR="001A53A1">
                        <w:rPr>
                          <w:rFonts w:ascii="Times New Roman" w:hAnsi="Times New Roman" w:cs="Times New Roman"/>
                          <w:noProof/>
                          <w:color w:val="000000" w:themeColor="text1"/>
                          <w:sz w:val="24"/>
                        </w:rPr>
                        <w:t>3</w:t>
                      </w:r>
                      <w:r w:rsidRPr="00FC5059">
                        <w:rPr>
                          <w:rFonts w:ascii="Times New Roman" w:hAnsi="Times New Roman" w:cs="Times New Roman"/>
                          <w:color w:val="000000" w:themeColor="text1"/>
                          <w:sz w:val="24"/>
                        </w:rPr>
                        <w:fldChar w:fldCharType="end"/>
                      </w:r>
                      <w:r w:rsidRPr="00FC5059">
                        <w:rPr>
                          <w:rFonts w:ascii="Times New Roman" w:hAnsi="Times New Roman" w:cs="Times New Roman"/>
                          <w:color w:val="000000" w:themeColor="text1"/>
                          <w:sz w:val="24"/>
                        </w:rPr>
                        <w:t>. 2020 Atrazine dissipation in field TN soil as a function of initial herbicide concentration and days after treatment.</w:t>
                      </w:r>
                      <w:bookmarkEnd w:id="45"/>
                      <w:bookmarkEnd w:id="46"/>
                      <w:bookmarkEnd w:id="47"/>
                      <w:bookmarkEnd w:id="48"/>
                      <w:bookmarkEnd w:id="49"/>
                      <w:bookmarkEnd w:id="50"/>
                    </w:p>
                  </w:txbxContent>
                </v:textbox>
                <w10:wrap type="square" anchorx="margin"/>
              </v:shape>
            </w:pict>
          </mc:Fallback>
        </mc:AlternateContent>
      </w:r>
      <w:r w:rsidR="00E03E3F">
        <w:rPr>
          <w:rFonts w:ascii="Times New Roman" w:hAnsi="Times New Roman" w:cs="Times New Roman"/>
          <w:b/>
          <w:noProof/>
          <w:sz w:val="24"/>
        </w:rPr>
        <w:drawing>
          <wp:anchor distT="0" distB="0" distL="114300" distR="114300" simplePos="0" relativeHeight="251659264" behindDoc="0" locked="0" layoutInCell="1" allowOverlap="1" wp14:anchorId="19FA0AE7" wp14:editId="78FC256C">
            <wp:simplePos x="1771650" y="914400"/>
            <wp:positionH relativeFrom="margin">
              <wp:align>center</wp:align>
            </wp:positionH>
            <wp:positionV relativeFrom="margin">
              <wp:align>top</wp:align>
            </wp:positionV>
            <wp:extent cx="4221554" cy="6702425"/>
            <wp:effectExtent l="0" t="0" r="7620" b="317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ATR-field-Draft2.JPG"/>
                    <pic:cNvPicPr/>
                  </pic:nvPicPr>
                  <pic:blipFill rotWithShape="1">
                    <a:blip r:embed="rId17">
                      <a:extLst>
                        <a:ext uri="{28A0092B-C50C-407E-A947-70E740481C1C}">
                          <a14:useLocalDpi xmlns:a14="http://schemas.microsoft.com/office/drawing/2010/main" val="0"/>
                        </a:ext>
                      </a:extLst>
                    </a:blip>
                    <a:srcRect l="8028" t="8689" r="20935" b="4104"/>
                    <a:stretch/>
                  </pic:blipFill>
                  <pic:spPr bwMode="auto">
                    <a:xfrm>
                      <a:off x="0" y="0"/>
                      <a:ext cx="4221554" cy="6702425"/>
                    </a:xfrm>
                    <a:prstGeom prst="rect">
                      <a:avLst/>
                    </a:prstGeom>
                    <a:ln>
                      <a:noFill/>
                    </a:ln>
                    <a:extLst>
                      <a:ext uri="{53640926-AAD7-44D8-BBD7-CCE9431645EC}">
                        <a14:shadowObscured xmlns:a14="http://schemas.microsoft.com/office/drawing/2010/main"/>
                      </a:ext>
                    </a:extLst>
                  </pic:spPr>
                </pic:pic>
              </a:graphicData>
            </a:graphic>
          </wp:anchor>
        </w:drawing>
      </w:r>
      <w:r w:rsidR="00D340AC">
        <w:rPr>
          <w:rFonts w:ascii="Times New Roman" w:hAnsi="Times New Roman" w:cs="Times New Roman"/>
          <w:b/>
          <w:sz w:val="24"/>
        </w:rPr>
        <w:br w:type="textWrapping" w:clear="all"/>
      </w:r>
    </w:p>
    <w:p w14:paraId="7A12559A" w14:textId="2C6AF78C" w:rsidR="00E03E3F" w:rsidRPr="00D340AC" w:rsidRDefault="00D340AC" w:rsidP="00D340AC">
      <w:pPr>
        <w:tabs>
          <w:tab w:val="left" w:pos="900"/>
        </w:tabs>
        <w:rPr>
          <w:rFonts w:ascii="Times New Roman" w:hAnsi="Times New Roman" w:cs="Times New Roman"/>
          <w:sz w:val="24"/>
        </w:rPr>
        <w:sectPr w:rsidR="00E03E3F" w:rsidRPr="00D340AC" w:rsidSect="00CA7909">
          <w:pgSz w:w="12240" w:h="15840"/>
          <w:pgMar w:top="1440" w:right="1440" w:bottom="1440" w:left="1440" w:header="720" w:footer="720" w:gutter="0"/>
          <w:cols w:space="720"/>
          <w:docGrid w:linePitch="360"/>
        </w:sectPr>
      </w:pPr>
      <w:r>
        <w:rPr>
          <w:rFonts w:ascii="Times New Roman" w:hAnsi="Times New Roman" w:cs="Times New Roman"/>
          <w:sz w:val="24"/>
        </w:rPr>
        <w:tab/>
      </w:r>
    </w:p>
    <w:p w14:paraId="05A6370B" w14:textId="77777777" w:rsidR="00E40826" w:rsidRDefault="00E03E3F" w:rsidP="00E40826">
      <w:pPr>
        <w:keepNext/>
        <w:spacing w:line="480" w:lineRule="auto"/>
        <w:ind w:left="720" w:hanging="720"/>
        <w:jc w:val="center"/>
      </w:pPr>
      <w:r>
        <w:rPr>
          <w:rFonts w:ascii="Times New Roman" w:hAnsi="Times New Roman" w:cs="Times New Roman"/>
          <w:b/>
          <w:noProof/>
          <w:sz w:val="24"/>
        </w:rPr>
        <w:lastRenderedPageBreak/>
        <w:drawing>
          <wp:inline distT="0" distB="0" distL="0" distR="0" wp14:anchorId="7A86E780" wp14:editId="06B7168E">
            <wp:extent cx="4166036" cy="66548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PYROX-field-Draft2.JPG"/>
                    <pic:cNvPicPr/>
                  </pic:nvPicPr>
                  <pic:blipFill rotWithShape="1">
                    <a:blip r:embed="rId18">
                      <a:extLst>
                        <a:ext uri="{28A0092B-C50C-407E-A947-70E740481C1C}">
                          <a14:useLocalDpi xmlns:a14="http://schemas.microsoft.com/office/drawing/2010/main" val="0"/>
                        </a:ext>
                      </a:extLst>
                    </a:blip>
                    <a:srcRect l="8161" t="8896" r="21738" b="4520"/>
                    <a:stretch/>
                  </pic:blipFill>
                  <pic:spPr bwMode="auto">
                    <a:xfrm>
                      <a:off x="0" y="0"/>
                      <a:ext cx="4166036" cy="6654800"/>
                    </a:xfrm>
                    <a:prstGeom prst="rect">
                      <a:avLst/>
                    </a:prstGeom>
                    <a:ln>
                      <a:noFill/>
                    </a:ln>
                    <a:extLst>
                      <a:ext uri="{53640926-AAD7-44D8-BBD7-CCE9431645EC}">
                        <a14:shadowObscured xmlns:a14="http://schemas.microsoft.com/office/drawing/2010/main"/>
                      </a:ext>
                    </a:extLst>
                  </pic:spPr>
                </pic:pic>
              </a:graphicData>
            </a:graphic>
          </wp:inline>
        </w:drawing>
      </w:r>
    </w:p>
    <w:p w14:paraId="6D920369" w14:textId="4625EC9A" w:rsidR="00D340AC" w:rsidRPr="00FC5059" w:rsidRDefault="00E40826" w:rsidP="00FC5059">
      <w:pPr>
        <w:pStyle w:val="Heading1"/>
        <w:rPr>
          <w:rFonts w:ascii="Times New Roman" w:hAnsi="Times New Roman" w:cs="Times New Roman"/>
          <w:b/>
          <w:color w:val="000000" w:themeColor="text1"/>
          <w:sz w:val="28"/>
        </w:rPr>
      </w:pPr>
      <w:bookmarkStart w:id="51" w:name="_Toc99090378"/>
      <w:bookmarkStart w:id="52" w:name="_Toc99090711"/>
      <w:bookmarkStart w:id="53" w:name="_Toc99090793"/>
      <w:bookmarkStart w:id="54" w:name="_Toc99091042"/>
      <w:bookmarkStart w:id="55" w:name="_Toc99091553"/>
      <w:bookmarkStart w:id="56" w:name="_Toc99092012"/>
      <w:r w:rsidRPr="00FC5059">
        <w:rPr>
          <w:rFonts w:ascii="Times New Roman" w:hAnsi="Times New Roman" w:cs="Times New Roman"/>
          <w:color w:val="000000" w:themeColor="text1"/>
          <w:sz w:val="24"/>
        </w:rPr>
        <w:t xml:space="preserve">Figure </w:t>
      </w:r>
      <w:r w:rsidRPr="00FC5059">
        <w:rPr>
          <w:rFonts w:ascii="Times New Roman" w:hAnsi="Times New Roman" w:cs="Times New Roman"/>
          <w:color w:val="000000" w:themeColor="text1"/>
          <w:sz w:val="24"/>
        </w:rPr>
        <w:fldChar w:fldCharType="begin"/>
      </w:r>
      <w:r w:rsidRPr="00FC5059">
        <w:rPr>
          <w:rFonts w:ascii="Times New Roman" w:hAnsi="Times New Roman" w:cs="Times New Roman"/>
          <w:color w:val="000000" w:themeColor="text1"/>
          <w:sz w:val="24"/>
        </w:rPr>
        <w:instrText xml:space="preserve"> SEQ Figure \* ARABIC </w:instrText>
      </w:r>
      <w:r w:rsidRPr="00FC5059">
        <w:rPr>
          <w:rFonts w:ascii="Times New Roman" w:hAnsi="Times New Roman" w:cs="Times New Roman"/>
          <w:color w:val="000000" w:themeColor="text1"/>
          <w:sz w:val="24"/>
        </w:rPr>
        <w:fldChar w:fldCharType="separate"/>
      </w:r>
      <w:r w:rsidR="001A53A1">
        <w:rPr>
          <w:rFonts w:ascii="Times New Roman" w:hAnsi="Times New Roman" w:cs="Times New Roman"/>
          <w:noProof/>
          <w:color w:val="000000" w:themeColor="text1"/>
          <w:sz w:val="24"/>
        </w:rPr>
        <w:t>4</w:t>
      </w:r>
      <w:r w:rsidRPr="00FC5059">
        <w:rPr>
          <w:rFonts w:ascii="Times New Roman" w:hAnsi="Times New Roman" w:cs="Times New Roman"/>
          <w:color w:val="000000" w:themeColor="text1"/>
          <w:sz w:val="24"/>
        </w:rPr>
        <w:fldChar w:fldCharType="end"/>
      </w:r>
      <w:r w:rsidRPr="00FC5059">
        <w:rPr>
          <w:rFonts w:ascii="Times New Roman" w:hAnsi="Times New Roman" w:cs="Times New Roman"/>
          <w:color w:val="000000" w:themeColor="text1"/>
          <w:sz w:val="24"/>
        </w:rPr>
        <w:t>. 2020 Pyroxasulfone dissipation in</w:t>
      </w:r>
      <w:r w:rsidR="00FA2D85" w:rsidRPr="00FC5059">
        <w:rPr>
          <w:rFonts w:ascii="Times New Roman" w:hAnsi="Times New Roman" w:cs="Times New Roman"/>
          <w:color w:val="000000" w:themeColor="text1"/>
          <w:sz w:val="24"/>
        </w:rPr>
        <w:t xml:space="preserve"> field</w:t>
      </w:r>
      <w:r w:rsidRPr="00FC5059">
        <w:rPr>
          <w:rFonts w:ascii="Times New Roman" w:hAnsi="Times New Roman" w:cs="Times New Roman"/>
          <w:color w:val="000000" w:themeColor="text1"/>
          <w:sz w:val="24"/>
        </w:rPr>
        <w:t xml:space="preserve"> TN soil as a function of initial herbicide concentration and days after treatment.</w:t>
      </w:r>
      <w:bookmarkEnd w:id="51"/>
      <w:bookmarkEnd w:id="52"/>
      <w:bookmarkEnd w:id="53"/>
      <w:bookmarkEnd w:id="54"/>
      <w:bookmarkEnd w:id="55"/>
      <w:bookmarkEnd w:id="56"/>
    </w:p>
    <w:p w14:paraId="7B96BC3D" w14:textId="60C06F50" w:rsidR="00E03E3F" w:rsidRPr="00D340AC" w:rsidRDefault="00D340AC" w:rsidP="00D340AC">
      <w:pPr>
        <w:tabs>
          <w:tab w:val="left" w:pos="1215"/>
        </w:tabs>
        <w:rPr>
          <w:rFonts w:ascii="Times New Roman" w:hAnsi="Times New Roman" w:cs="Times New Roman"/>
          <w:sz w:val="24"/>
        </w:rPr>
        <w:sectPr w:rsidR="00E03E3F" w:rsidRPr="00D340AC" w:rsidSect="00CA7909">
          <w:pgSz w:w="12240" w:h="15840"/>
          <w:pgMar w:top="1440" w:right="1440" w:bottom="1440" w:left="1440" w:header="720" w:footer="720" w:gutter="0"/>
          <w:cols w:space="720"/>
          <w:docGrid w:linePitch="360"/>
        </w:sectPr>
      </w:pPr>
      <w:r>
        <w:rPr>
          <w:rFonts w:ascii="Times New Roman" w:hAnsi="Times New Roman" w:cs="Times New Roman"/>
          <w:sz w:val="24"/>
        </w:rPr>
        <w:tab/>
      </w:r>
    </w:p>
    <w:p w14:paraId="76CD5B31" w14:textId="77777777" w:rsidR="003E272C" w:rsidRDefault="00E03E3F" w:rsidP="003E272C">
      <w:pPr>
        <w:keepNext/>
        <w:spacing w:line="480" w:lineRule="auto"/>
        <w:ind w:left="720" w:hanging="720"/>
        <w:jc w:val="center"/>
      </w:pPr>
      <w:r>
        <w:rPr>
          <w:rFonts w:ascii="Times New Roman" w:hAnsi="Times New Roman" w:cs="Times New Roman"/>
          <w:b/>
          <w:noProof/>
          <w:sz w:val="24"/>
        </w:rPr>
        <w:lastRenderedPageBreak/>
        <w:drawing>
          <wp:inline distT="0" distB="0" distL="0" distR="0" wp14:anchorId="61A18608" wp14:editId="0C9FC1DE">
            <wp:extent cx="4221463" cy="6710680"/>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safl-field-Draft2.JPG"/>
                    <pic:cNvPicPr/>
                  </pic:nvPicPr>
                  <pic:blipFill rotWithShape="1">
                    <a:blip r:embed="rId19">
                      <a:extLst>
                        <a:ext uri="{28A0092B-C50C-407E-A947-70E740481C1C}">
                          <a14:useLocalDpi xmlns:a14="http://schemas.microsoft.com/office/drawing/2010/main" val="0"/>
                        </a:ext>
                      </a:extLst>
                    </a:blip>
                    <a:srcRect l="7894" t="8482" r="21068" b="4200"/>
                    <a:stretch/>
                  </pic:blipFill>
                  <pic:spPr bwMode="auto">
                    <a:xfrm>
                      <a:off x="0" y="0"/>
                      <a:ext cx="4222157" cy="6711784"/>
                    </a:xfrm>
                    <a:prstGeom prst="rect">
                      <a:avLst/>
                    </a:prstGeom>
                    <a:ln>
                      <a:noFill/>
                    </a:ln>
                    <a:extLst>
                      <a:ext uri="{53640926-AAD7-44D8-BBD7-CCE9431645EC}">
                        <a14:shadowObscured xmlns:a14="http://schemas.microsoft.com/office/drawing/2010/main"/>
                      </a:ext>
                    </a:extLst>
                  </pic:spPr>
                </pic:pic>
              </a:graphicData>
            </a:graphic>
          </wp:inline>
        </w:drawing>
      </w:r>
    </w:p>
    <w:p w14:paraId="4770A48C" w14:textId="3D8470A6" w:rsidR="00D340AC" w:rsidRPr="00FC5059" w:rsidRDefault="003E272C" w:rsidP="00FC5059">
      <w:pPr>
        <w:pStyle w:val="Heading1"/>
        <w:rPr>
          <w:rFonts w:ascii="Times New Roman" w:hAnsi="Times New Roman" w:cs="Times New Roman"/>
          <w:b/>
          <w:color w:val="000000" w:themeColor="text1"/>
          <w:sz w:val="28"/>
        </w:rPr>
      </w:pPr>
      <w:bookmarkStart w:id="57" w:name="_Toc99090379"/>
      <w:bookmarkStart w:id="58" w:name="_Toc99090712"/>
      <w:bookmarkStart w:id="59" w:name="_Toc99090794"/>
      <w:bookmarkStart w:id="60" w:name="_Toc99091043"/>
      <w:bookmarkStart w:id="61" w:name="_Toc99091554"/>
      <w:bookmarkStart w:id="62" w:name="_Toc99092013"/>
      <w:r w:rsidRPr="00FC5059">
        <w:rPr>
          <w:rFonts w:ascii="Times New Roman" w:hAnsi="Times New Roman" w:cs="Times New Roman"/>
          <w:color w:val="000000" w:themeColor="text1"/>
          <w:sz w:val="24"/>
        </w:rPr>
        <w:t xml:space="preserve">Figure </w:t>
      </w:r>
      <w:r w:rsidRPr="00FC5059">
        <w:rPr>
          <w:rFonts w:ascii="Times New Roman" w:hAnsi="Times New Roman" w:cs="Times New Roman"/>
          <w:color w:val="000000" w:themeColor="text1"/>
          <w:sz w:val="24"/>
        </w:rPr>
        <w:fldChar w:fldCharType="begin"/>
      </w:r>
      <w:r w:rsidRPr="00FC5059">
        <w:rPr>
          <w:rFonts w:ascii="Times New Roman" w:hAnsi="Times New Roman" w:cs="Times New Roman"/>
          <w:color w:val="000000" w:themeColor="text1"/>
          <w:sz w:val="24"/>
        </w:rPr>
        <w:instrText xml:space="preserve"> SEQ Figure \* ARABIC </w:instrText>
      </w:r>
      <w:r w:rsidRPr="00FC5059">
        <w:rPr>
          <w:rFonts w:ascii="Times New Roman" w:hAnsi="Times New Roman" w:cs="Times New Roman"/>
          <w:color w:val="000000" w:themeColor="text1"/>
          <w:sz w:val="24"/>
        </w:rPr>
        <w:fldChar w:fldCharType="separate"/>
      </w:r>
      <w:r w:rsidR="001A53A1">
        <w:rPr>
          <w:rFonts w:ascii="Times New Roman" w:hAnsi="Times New Roman" w:cs="Times New Roman"/>
          <w:noProof/>
          <w:color w:val="000000" w:themeColor="text1"/>
          <w:sz w:val="24"/>
        </w:rPr>
        <w:t>5</w:t>
      </w:r>
      <w:r w:rsidRPr="00FC5059">
        <w:rPr>
          <w:rFonts w:ascii="Times New Roman" w:hAnsi="Times New Roman" w:cs="Times New Roman"/>
          <w:color w:val="000000" w:themeColor="text1"/>
          <w:sz w:val="24"/>
        </w:rPr>
        <w:fldChar w:fldCharType="end"/>
      </w:r>
      <w:r w:rsidRPr="00FC5059">
        <w:rPr>
          <w:rFonts w:ascii="Times New Roman" w:hAnsi="Times New Roman" w:cs="Times New Roman"/>
          <w:color w:val="000000" w:themeColor="text1"/>
          <w:sz w:val="24"/>
        </w:rPr>
        <w:t>. 2020 Saflufenacil dissipation in</w:t>
      </w:r>
      <w:r w:rsidR="00FA2D85" w:rsidRPr="00FC5059">
        <w:rPr>
          <w:rFonts w:ascii="Times New Roman" w:hAnsi="Times New Roman" w:cs="Times New Roman"/>
          <w:color w:val="000000" w:themeColor="text1"/>
          <w:sz w:val="24"/>
        </w:rPr>
        <w:t xml:space="preserve"> field</w:t>
      </w:r>
      <w:r w:rsidRPr="00FC5059">
        <w:rPr>
          <w:rFonts w:ascii="Times New Roman" w:hAnsi="Times New Roman" w:cs="Times New Roman"/>
          <w:color w:val="000000" w:themeColor="text1"/>
          <w:sz w:val="24"/>
        </w:rPr>
        <w:t xml:space="preserve"> TN soil as a function of initial herbicide concentration and days after treatment.</w:t>
      </w:r>
      <w:bookmarkEnd w:id="57"/>
      <w:bookmarkEnd w:id="58"/>
      <w:bookmarkEnd w:id="59"/>
      <w:bookmarkEnd w:id="60"/>
      <w:bookmarkEnd w:id="61"/>
      <w:bookmarkEnd w:id="62"/>
    </w:p>
    <w:p w14:paraId="17BAD191" w14:textId="750657C7" w:rsidR="00E03E3F" w:rsidRPr="00D340AC" w:rsidRDefault="00D340AC" w:rsidP="00D340AC">
      <w:pPr>
        <w:tabs>
          <w:tab w:val="left" w:pos="1140"/>
        </w:tabs>
        <w:rPr>
          <w:rFonts w:ascii="Times New Roman" w:hAnsi="Times New Roman" w:cs="Times New Roman"/>
          <w:sz w:val="24"/>
        </w:rPr>
        <w:sectPr w:rsidR="00E03E3F" w:rsidRPr="00D340AC" w:rsidSect="00CA7909">
          <w:pgSz w:w="12240" w:h="15840"/>
          <w:pgMar w:top="1440" w:right="1440" w:bottom="1440" w:left="1440" w:header="720" w:footer="720" w:gutter="0"/>
          <w:cols w:space="720"/>
          <w:docGrid w:linePitch="360"/>
        </w:sectPr>
      </w:pPr>
      <w:r>
        <w:rPr>
          <w:rFonts w:ascii="Times New Roman" w:hAnsi="Times New Roman" w:cs="Times New Roman"/>
          <w:sz w:val="24"/>
        </w:rPr>
        <w:tab/>
      </w:r>
    </w:p>
    <w:p w14:paraId="2BA77631" w14:textId="77777777" w:rsidR="003E272C" w:rsidRDefault="002F3177" w:rsidP="003E272C">
      <w:pPr>
        <w:keepNext/>
        <w:spacing w:line="480" w:lineRule="auto"/>
        <w:ind w:left="720" w:hanging="720"/>
      </w:pPr>
      <w:r>
        <w:rPr>
          <w:rFonts w:ascii="Times New Roman" w:hAnsi="Times New Roman" w:cs="Times New Roman"/>
          <w:noProof/>
          <w:sz w:val="24"/>
        </w:rPr>
        <w:lastRenderedPageBreak/>
        <w:drawing>
          <wp:inline distT="0" distB="0" distL="0" distR="0" wp14:anchorId="4217513A" wp14:editId="13BD7264">
            <wp:extent cx="5298365" cy="7362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L-TCM-field-summary.JPG"/>
                    <pic:cNvPicPr/>
                  </pic:nvPicPr>
                  <pic:blipFill rotWithShape="1">
                    <a:blip r:embed="rId20">
                      <a:extLst>
                        <a:ext uri="{28A0092B-C50C-407E-A947-70E740481C1C}">
                          <a14:useLocalDpi xmlns:a14="http://schemas.microsoft.com/office/drawing/2010/main" val="0"/>
                        </a:ext>
                      </a:extLst>
                    </a:blip>
                    <a:srcRect l="8010" t="8799" r="14225" b="6293"/>
                    <a:stretch/>
                  </pic:blipFill>
                  <pic:spPr bwMode="auto">
                    <a:xfrm>
                      <a:off x="0" y="0"/>
                      <a:ext cx="5346499" cy="7429714"/>
                    </a:xfrm>
                    <a:prstGeom prst="rect">
                      <a:avLst/>
                    </a:prstGeom>
                    <a:ln>
                      <a:noFill/>
                    </a:ln>
                    <a:extLst>
                      <a:ext uri="{53640926-AAD7-44D8-BBD7-CCE9431645EC}">
                        <a14:shadowObscured xmlns:a14="http://schemas.microsoft.com/office/drawing/2010/main"/>
                      </a:ext>
                    </a:extLst>
                  </pic:spPr>
                </pic:pic>
              </a:graphicData>
            </a:graphic>
          </wp:inline>
        </w:drawing>
      </w:r>
    </w:p>
    <w:p w14:paraId="69E050D5" w14:textId="15EAD3D4" w:rsidR="00D340AC" w:rsidRPr="00FC5059" w:rsidRDefault="003E272C" w:rsidP="00FC5059">
      <w:pPr>
        <w:pStyle w:val="Heading1"/>
        <w:rPr>
          <w:rFonts w:ascii="Times New Roman" w:hAnsi="Times New Roman" w:cs="Times New Roman"/>
          <w:color w:val="000000" w:themeColor="text1"/>
          <w:sz w:val="28"/>
        </w:rPr>
      </w:pPr>
      <w:bookmarkStart w:id="63" w:name="_Toc99090380"/>
      <w:bookmarkStart w:id="64" w:name="_Toc99090713"/>
      <w:bookmarkStart w:id="65" w:name="_Toc99090795"/>
      <w:bookmarkStart w:id="66" w:name="_Toc99091044"/>
      <w:bookmarkStart w:id="67" w:name="_Toc99091555"/>
      <w:bookmarkStart w:id="68" w:name="_Toc99092014"/>
      <w:r w:rsidRPr="00FC5059">
        <w:rPr>
          <w:rFonts w:ascii="Times New Roman" w:hAnsi="Times New Roman" w:cs="Times New Roman"/>
          <w:color w:val="000000" w:themeColor="text1"/>
          <w:sz w:val="24"/>
        </w:rPr>
        <w:t xml:space="preserve">Figure </w:t>
      </w:r>
      <w:r w:rsidRPr="00FC5059">
        <w:rPr>
          <w:rFonts w:ascii="Times New Roman" w:hAnsi="Times New Roman" w:cs="Times New Roman"/>
          <w:color w:val="000000" w:themeColor="text1"/>
          <w:sz w:val="24"/>
        </w:rPr>
        <w:fldChar w:fldCharType="begin"/>
      </w:r>
      <w:r w:rsidRPr="00FC5059">
        <w:rPr>
          <w:rFonts w:ascii="Times New Roman" w:hAnsi="Times New Roman" w:cs="Times New Roman"/>
          <w:color w:val="000000" w:themeColor="text1"/>
          <w:sz w:val="24"/>
        </w:rPr>
        <w:instrText xml:space="preserve"> SEQ Figure \* ARABIC </w:instrText>
      </w:r>
      <w:r w:rsidRPr="00FC5059">
        <w:rPr>
          <w:rFonts w:ascii="Times New Roman" w:hAnsi="Times New Roman" w:cs="Times New Roman"/>
          <w:color w:val="000000" w:themeColor="text1"/>
          <w:sz w:val="24"/>
        </w:rPr>
        <w:fldChar w:fldCharType="separate"/>
      </w:r>
      <w:r w:rsidR="001A53A1">
        <w:rPr>
          <w:rFonts w:ascii="Times New Roman" w:hAnsi="Times New Roman" w:cs="Times New Roman"/>
          <w:noProof/>
          <w:color w:val="000000" w:themeColor="text1"/>
          <w:sz w:val="24"/>
        </w:rPr>
        <w:t>6</w:t>
      </w:r>
      <w:r w:rsidRPr="00FC5059">
        <w:rPr>
          <w:rFonts w:ascii="Times New Roman" w:hAnsi="Times New Roman" w:cs="Times New Roman"/>
          <w:color w:val="000000" w:themeColor="text1"/>
          <w:sz w:val="24"/>
        </w:rPr>
        <w:fldChar w:fldCharType="end"/>
      </w:r>
      <w:r w:rsidRPr="00FC5059">
        <w:rPr>
          <w:rFonts w:ascii="Times New Roman" w:hAnsi="Times New Roman" w:cs="Times New Roman"/>
          <w:color w:val="000000" w:themeColor="text1"/>
          <w:sz w:val="24"/>
        </w:rPr>
        <w:t>. 2019-2020 Field studies dissipation of pyroxasulfone, atrazine, and saflufenacil as a function of initial herbicide concentration and the DT50</w:t>
      </w:r>
      <w:r w:rsidR="00FA2D85" w:rsidRPr="00FC5059">
        <w:rPr>
          <w:rFonts w:ascii="Times New Roman" w:hAnsi="Times New Roman" w:cs="Times New Roman"/>
          <w:color w:val="000000" w:themeColor="text1"/>
          <w:sz w:val="24"/>
        </w:rPr>
        <w:t>.</w:t>
      </w:r>
      <w:bookmarkEnd w:id="63"/>
      <w:bookmarkEnd w:id="64"/>
      <w:bookmarkEnd w:id="65"/>
      <w:bookmarkEnd w:id="66"/>
      <w:bookmarkEnd w:id="67"/>
      <w:bookmarkEnd w:id="68"/>
    </w:p>
    <w:p w14:paraId="3D7834BF" w14:textId="77777777" w:rsidR="00E03E3F" w:rsidRPr="00D340AC" w:rsidRDefault="00E03E3F" w:rsidP="00D340AC">
      <w:pPr>
        <w:rPr>
          <w:rFonts w:ascii="Times New Roman" w:hAnsi="Times New Roman" w:cs="Times New Roman"/>
          <w:sz w:val="24"/>
        </w:rPr>
        <w:sectPr w:rsidR="00E03E3F" w:rsidRPr="00D340AC" w:rsidSect="00CA7909">
          <w:pgSz w:w="12240" w:h="15840"/>
          <w:pgMar w:top="1440" w:right="1440" w:bottom="1440" w:left="1440" w:header="720" w:footer="720" w:gutter="0"/>
          <w:cols w:space="720"/>
          <w:docGrid w:linePitch="360"/>
        </w:sectPr>
      </w:pPr>
    </w:p>
    <w:p w14:paraId="27C96F4D" w14:textId="6196101B" w:rsidR="002F3177" w:rsidRPr="002F3177" w:rsidRDefault="00DC6082" w:rsidP="0013412D">
      <w:pPr>
        <w:tabs>
          <w:tab w:val="left" w:pos="720"/>
        </w:tabs>
        <w:spacing w:line="480" w:lineRule="auto"/>
        <w:ind w:left="720" w:hanging="720"/>
        <w:rPr>
          <w:rFonts w:ascii="Times New Roman" w:hAnsi="Times New Roman" w:cs="Times New Roman"/>
          <w:sz w:val="24"/>
        </w:rPr>
        <w:sectPr w:rsidR="002F3177" w:rsidRPr="002F3177" w:rsidSect="009453F1">
          <w:pgSz w:w="12240" w:h="15840"/>
          <w:pgMar w:top="1440" w:right="1440" w:bottom="1440" w:left="1440" w:header="720" w:footer="720" w:gutter="0"/>
          <w:cols w:space="720"/>
          <w:docGrid w:linePitch="360"/>
        </w:sectPr>
      </w:pPr>
      <w:r>
        <w:rPr>
          <w:noProof/>
        </w:rPr>
        <w:lastRenderedPageBreak/>
        <mc:AlternateContent>
          <mc:Choice Requires="wps">
            <w:drawing>
              <wp:anchor distT="0" distB="0" distL="114300" distR="114300" simplePos="0" relativeHeight="251663360" behindDoc="0" locked="0" layoutInCell="1" allowOverlap="1" wp14:anchorId="74649514" wp14:editId="4C3A764E">
                <wp:simplePos x="0" y="0"/>
                <wp:positionH relativeFrom="margin">
                  <wp:align>right</wp:align>
                </wp:positionH>
                <wp:positionV relativeFrom="paragraph">
                  <wp:posOffset>7625715</wp:posOffset>
                </wp:positionV>
                <wp:extent cx="5943600" cy="563245"/>
                <wp:effectExtent l="0" t="0" r="0" b="8255"/>
                <wp:wrapSquare wrapText="bothSides"/>
                <wp:docPr id="2" name="Text Box 2"/>
                <wp:cNvGraphicFramePr/>
                <a:graphic xmlns:a="http://schemas.openxmlformats.org/drawingml/2006/main">
                  <a:graphicData uri="http://schemas.microsoft.com/office/word/2010/wordprocessingShape">
                    <wps:wsp>
                      <wps:cNvSpPr txBox="1"/>
                      <wps:spPr>
                        <a:xfrm>
                          <a:off x="0" y="0"/>
                          <a:ext cx="5943600" cy="563245"/>
                        </a:xfrm>
                        <a:prstGeom prst="rect">
                          <a:avLst/>
                        </a:prstGeom>
                        <a:solidFill>
                          <a:prstClr val="white"/>
                        </a:solidFill>
                        <a:ln>
                          <a:noFill/>
                        </a:ln>
                      </wps:spPr>
                      <wps:txbx>
                        <w:txbxContent>
                          <w:p w14:paraId="173E368C" w14:textId="16650FAF" w:rsidR="008E6223" w:rsidRPr="00FC5059" w:rsidRDefault="008E6223" w:rsidP="00FC5059">
                            <w:pPr>
                              <w:pStyle w:val="Heading1"/>
                              <w:rPr>
                                <w:rFonts w:ascii="Times New Roman" w:hAnsi="Times New Roman" w:cs="Times New Roman"/>
                                <w:noProof/>
                                <w:color w:val="000000" w:themeColor="text1"/>
                                <w:sz w:val="28"/>
                              </w:rPr>
                            </w:pPr>
                            <w:bookmarkStart w:id="69" w:name="_Toc99090381"/>
                            <w:bookmarkStart w:id="70" w:name="_Toc99090714"/>
                            <w:bookmarkStart w:id="71" w:name="_Toc99090796"/>
                            <w:bookmarkStart w:id="72" w:name="_Toc99091045"/>
                            <w:bookmarkStart w:id="73" w:name="_Toc99091556"/>
                            <w:bookmarkStart w:id="74" w:name="_Toc99092015"/>
                            <w:r w:rsidRPr="00FC5059">
                              <w:rPr>
                                <w:rFonts w:ascii="Times New Roman" w:hAnsi="Times New Roman" w:cs="Times New Roman"/>
                                <w:color w:val="000000" w:themeColor="text1"/>
                                <w:sz w:val="24"/>
                              </w:rPr>
                              <w:t xml:space="preserve">Figure </w:t>
                            </w:r>
                            <w:r w:rsidRPr="00FC5059">
                              <w:rPr>
                                <w:rFonts w:ascii="Times New Roman" w:hAnsi="Times New Roman" w:cs="Times New Roman"/>
                                <w:color w:val="000000" w:themeColor="text1"/>
                                <w:sz w:val="24"/>
                              </w:rPr>
                              <w:fldChar w:fldCharType="begin"/>
                            </w:r>
                            <w:r w:rsidRPr="00FC5059">
                              <w:rPr>
                                <w:rFonts w:ascii="Times New Roman" w:hAnsi="Times New Roman" w:cs="Times New Roman"/>
                                <w:color w:val="000000" w:themeColor="text1"/>
                                <w:sz w:val="24"/>
                              </w:rPr>
                              <w:instrText xml:space="preserve"> SEQ Figure \* ARABIC </w:instrText>
                            </w:r>
                            <w:r w:rsidRPr="00FC5059">
                              <w:rPr>
                                <w:rFonts w:ascii="Times New Roman" w:hAnsi="Times New Roman" w:cs="Times New Roman"/>
                                <w:color w:val="000000" w:themeColor="text1"/>
                                <w:sz w:val="24"/>
                              </w:rPr>
                              <w:fldChar w:fldCharType="separate"/>
                            </w:r>
                            <w:r w:rsidR="001A53A1">
                              <w:rPr>
                                <w:rFonts w:ascii="Times New Roman" w:hAnsi="Times New Roman" w:cs="Times New Roman"/>
                                <w:noProof/>
                                <w:color w:val="000000" w:themeColor="text1"/>
                                <w:sz w:val="24"/>
                              </w:rPr>
                              <w:t>7</w:t>
                            </w:r>
                            <w:r w:rsidRPr="00FC5059">
                              <w:rPr>
                                <w:rFonts w:ascii="Times New Roman" w:hAnsi="Times New Roman" w:cs="Times New Roman"/>
                                <w:color w:val="000000" w:themeColor="text1"/>
                                <w:sz w:val="24"/>
                              </w:rPr>
                              <w:fldChar w:fldCharType="end"/>
                            </w:r>
                            <w:r w:rsidRPr="00FC5059">
                              <w:rPr>
                                <w:rFonts w:ascii="Times New Roman" w:hAnsi="Times New Roman" w:cs="Times New Roman"/>
                                <w:color w:val="000000" w:themeColor="text1"/>
                                <w:sz w:val="24"/>
                              </w:rPr>
                              <w:t>. TN lab studies data degradation of pyroxasulfone, atrazine, and saflufenacil as a function of initial herbicide concentration and the DT50.</w:t>
                            </w:r>
                            <w:bookmarkEnd w:id="69"/>
                            <w:bookmarkEnd w:id="70"/>
                            <w:bookmarkEnd w:id="71"/>
                            <w:bookmarkEnd w:id="72"/>
                            <w:bookmarkEnd w:id="73"/>
                            <w:bookmarkEnd w:id="7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649514" id="Text Box 2" o:spid="_x0000_s1027" type="#_x0000_t202" style="position:absolute;left:0;text-align:left;margin-left:416.8pt;margin-top:600.45pt;width:468pt;height:44.3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" stroked="f">
                <v:textbox inset="0,0,0,0">
                  <w:txbxContent>
                    <w:p w14:paraId="173E368C" w14:textId="16650FAF" w:rsidR="008E6223" w:rsidRPr="00FC5059" w:rsidRDefault="008E6223" w:rsidP="00FC5059">
                      <w:pPr>
                        <w:pStyle w:val="Heading1"/>
                        <w:rPr>
                          <w:rFonts w:ascii="Times New Roman" w:hAnsi="Times New Roman" w:cs="Times New Roman"/>
                          <w:noProof/>
                          <w:color w:val="000000" w:themeColor="text1"/>
                          <w:sz w:val="28"/>
                        </w:rPr>
                      </w:pPr>
                      <w:bookmarkStart w:id="75" w:name="_Toc99090381"/>
                      <w:bookmarkStart w:id="76" w:name="_Toc99090714"/>
                      <w:bookmarkStart w:id="77" w:name="_Toc99090796"/>
                      <w:bookmarkStart w:id="78" w:name="_Toc99091045"/>
                      <w:bookmarkStart w:id="79" w:name="_Toc99091556"/>
                      <w:bookmarkStart w:id="80" w:name="_Toc99092015"/>
                      <w:r w:rsidRPr="00FC5059">
                        <w:rPr>
                          <w:rFonts w:ascii="Times New Roman" w:hAnsi="Times New Roman" w:cs="Times New Roman"/>
                          <w:color w:val="000000" w:themeColor="text1"/>
                          <w:sz w:val="24"/>
                        </w:rPr>
                        <w:t xml:space="preserve">Figure </w:t>
                      </w:r>
                      <w:r w:rsidRPr="00FC5059">
                        <w:rPr>
                          <w:rFonts w:ascii="Times New Roman" w:hAnsi="Times New Roman" w:cs="Times New Roman"/>
                          <w:color w:val="000000" w:themeColor="text1"/>
                          <w:sz w:val="24"/>
                        </w:rPr>
                        <w:fldChar w:fldCharType="begin"/>
                      </w:r>
                      <w:r w:rsidRPr="00FC5059">
                        <w:rPr>
                          <w:rFonts w:ascii="Times New Roman" w:hAnsi="Times New Roman" w:cs="Times New Roman"/>
                          <w:color w:val="000000" w:themeColor="text1"/>
                          <w:sz w:val="24"/>
                        </w:rPr>
                        <w:instrText xml:space="preserve"> SEQ Figure \* ARABIC </w:instrText>
                      </w:r>
                      <w:r w:rsidRPr="00FC5059">
                        <w:rPr>
                          <w:rFonts w:ascii="Times New Roman" w:hAnsi="Times New Roman" w:cs="Times New Roman"/>
                          <w:color w:val="000000" w:themeColor="text1"/>
                          <w:sz w:val="24"/>
                        </w:rPr>
                        <w:fldChar w:fldCharType="separate"/>
                      </w:r>
                      <w:r w:rsidR="001A53A1">
                        <w:rPr>
                          <w:rFonts w:ascii="Times New Roman" w:hAnsi="Times New Roman" w:cs="Times New Roman"/>
                          <w:noProof/>
                          <w:color w:val="000000" w:themeColor="text1"/>
                          <w:sz w:val="24"/>
                        </w:rPr>
                        <w:t>7</w:t>
                      </w:r>
                      <w:r w:rsidRPr="00FC5059">
                        <w:rPr>
                          <w:rFonts w:ascii="Times New Roman" w:hAnsi="Times New Roman" w:cs="Times New Roman"/>
                          <w:color w:val="000000" w:themeColor="text1"/>
                          <w:sz w:val="24"/>
                        </w:rPr>
                        <w:fldChar w:fldCharType="end"/>
                      </w:r>
                      <w:r w:rsidRPr="00FC5059">
                        <w:rPr>
                          <w:rFonts w:ascii="Times New Roman" w:hAnsi="Times New Roman" w:cs="Times New Roman"/>
                          <w:color w:val="000000" w:themeColor="text1"/>
                          <w:sz w:val="24"/>
                        </w:rPr>
                        <w:t>. TN lab studies data degradation of pyroxasulfone, atrazine, and saflufenacil as a function of initial herbicide concentration and the DT50.</w:t>
                      </w:r>
                      <w:bookmarkEnd w:id="75"/>
                      <w:bookmarkEnd w:id="76"/>
                      <w:bookmarkEnd w:id="77"/>
                      <w:bookmarkEnd w:id="78"/>
                      <w:bookmarkEnd w:id="79"/>
                      <w:bookmarkEnd w:id="80"/>
                    </w:p>
                  </w:txbxContent>
                </v:textbox>
                <w10:wrap type="square" anchorx="margin"/>
              </v:shape>
            </w:pict>
          </mc:Fallback>
        </mc:AlternateContent>
      </w:r>
      <w:r w:rsidR="002F3177">
        <w:rPr>
          <w:rFonts w:ascii="Times New Roman" w:hAnsi="Times New Roman" w:cs="Times New Roman"/>
          <w:noProof/>
          <w:sz w:val="24"/>
        </w:rPr>
        <w:drawing>
          <wp:anchor distT="0" distB="0" distL="114300" distR="114300" simplePos="0" relativeHeight="251658240" behindDoc="0" locked="0" layoutInCell="1" allowOverlap="1" wp14:anchorId="7EEE0304" wp14:editId="2EE7DCD6">
            <wp:simplePos x="0" y="0"/>
            <wp:positionH relativeFrom="margin">
              <wp:align>center</wp:align>
            </wp:positionH>
            <wp:positionV relativeFrom="margin">
              <wp:align>top</wp:align>
            </wp:positionV>
            <wp:extent cx="5448300" cy="7599680"/>
            <wp:effectExtent l="0" t="0" r="0" b="127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L-TCM-lab-summary-draft2.JPG"/>
                    <pic:cNvPicPr/>
                  </pic:nvPicPr>
                  <pic:blipFill rotWithShape="1">
                    <a:blip r:embed="rId21">
                      <a:extLst>
                        <a:ext uri="{28A0092B-C50C-407E-A947-70E740481C1C}">
                          <a14:useLocalDpi xmlns:a14="http://schemas.microsoft.com/office/drawing/2010/main" val="0"/>
                        </a:ext>
                      </a:extLst>
                    </a:blip>
                    <a:srcRect l="2740" t="8311" r="18230" b="6454"/>
                    <a:stretch/>
                  </pic:blipFill>
                  <pic:spPr bwMode="auto">
                    <a:xfrm>
                      <a:off x="0" y="0"/>
                      <a:ext cx="5448300" cy="7599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844ADDA" w14:textId="77777777" w:rsidR="00A644F3" w:rsidRDefault="005F14A1" w:rsidP="00A644F3">
      <w:pPr>
        <w:keepNext/>
      </w:pPr>
      <w:bookmarkStart w:id="81" w:name="_Toc99089486"/>
      <w:r>
        <w:rPr>
          <w:noProof/>
        </w:rPr>
        <w:lastRenderedPageBreak/>
        <w:drawing>
          <wp:inline distT="0" distB="0" distL="0" distR="0" wp14:anchorId="64996514" wp14:editId="13365287">
            <wp:extent cx="5634355" cy="7324725"/>
            <wp:effectExtent l="0" t="0" r="444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L-TCM-lab-summary-draft3.JPG"/>
                    <pic:cNvPicPr/>
                  </pic:nvPicPr>
                  <pic:blipFill rotWithShape="1">
                    <a:blip r:embed="rId22">
                      <a:extLst>
                        <a:ext uri="{28A0092B-C50C-407E-A947-70E740481C1C}">
                          <a14:useLocalDpi xmlns:a14="http://schemas.microsoft.com/office/drawing/2010/main" val="0"/>
                        </a:ext>
                      </a:extLst>
                    </a:blip>
                    <a:srcRect l="4226" t="8776" r="16740" b="5851"/>
                    <a:stretch/>
                  </pic:blipFill>
                  <pic:spPr bwMode="auto">
                    <a:xfrm>
                      <a:off x="0" y="0"/>
                      <a:ext cx="5634839" cy="7325354"/>
                    </a:xfrm>
                    <a:prstGeom prst="rect">
                      <a:avLst/>
                    </a:prstGeom>
                    <a:ln>
                      <a:noFill/>
                    </a:ln>
                    <a:extLst>
                      <a:ext uri="{53640926-AAD7-44D8-BBD7-CCE9431645EC}">
                        <a14:shadowObscured xmlns:a14="http://schemas.microsoft.com/office/drawing/2010/main"/>
                      </a:ext>
                    </a:extLst>
                  </pic:spPr>
                </pic:pic>
              </a:graphicData>
            </a:graphic>
          </wp:inline>
        </w:drawing>
      </w:r>
    </w:p>
    <w:p w14:paraId="331D21DD" w14:textId="4C21400D" w:rsidR="00235641" w:rsidRDefault="00A644F3" w:rsidP="00A644F3">
      <w:pPr>
        <w:pStyle w:val="Caption"/>
        <w:rPr>
          <w:rFonts w:ascii="Times New Roman" w:hAnsi="Times New Roman" w:cs="Times New Roman"/>
          <w:i w:val="0"/>
          <w:color w:val="000000" w:themeColor="text1"/>
          <w:sz w:val="24"/>
        </w:rPr>
      </w:pPr>
      <w:bookmarkStart w:id="82" w:name="_Toc99092016"/>
      <w:r w:rsidRPr="00A644F3">
        <w:rPr>
          <w:rFonts w:ascii="Times New Roman" w:hAnsi="Times New Roman" w:cs="Times New Roman"/>
          <w:i w:val="0"/>
          <w:color w:val="000000" w:themeColor="text1"/>
          <w:sz w:val="24"/>
        </w:rPr>
        <w:t xml:space="preserve">Figure </w:t>
      </w:r>
      <w:r w:rsidRPr="00A644F3">
        <w:rPr>
          <w:rFonts w:ascii="Times New Roman" w:hAnsi="Times New Roman" w:cs="Times New Roman"/>
          <w:i w:val="0"/>
          <w:color w:val="000000" w:themeColor="text1"/>
          <w:sz w:val="24"/>
        </w:rPr>
        <w:fldChar w:fldCharType="begin"/>
      </w:r>
      <w:r w:rsidRPr="00A644F3">
        <w:rPr>
          <w:rFonts w:ascii="Times New Roman" w:hAnsi="Times New Roman" w:cs="Times New Roman"/>
          <w:i w:val="0"/>
          <w:color w:val="000000" w:themeColor="text1"/>
          <w:sz w:val="24"/>
        </w:rPr>
        <w:instrText xml:space="preserve"> SEQ Figure \* ARABIC </w:instrText>
      </w:r>
      <w:r w:rsidRPr="00A644F3">
        <w:rPr>
          <w:rFonts w:ascii="Times New Roman" w:hAnsi="Times New Roman" w:cs="Times New Roman"/>
          <w:i w:val="0"/>
          <w:color w:val="000000" w:themeColor="text1"/>
          <w:sz w:val="24"/>
        </w:rPr>
        <w:fldChar w:fldCharType="separate"/>
      </w:r>
      <w:r w:rsidR="001A53A1">
        <w:rPr>
          <w:rFonts w:ascii="Times New Roman" w:hAnsi="Times New Roman" w:cs="Times New Roman"/>
          <w:i w:val="0"/>
          <w:noProof/>
          <w:color w:val="000000" w:themeColor="text1"/>
          <w:sz w:val="24"/>
        </w:rPr>
        <w:t>8</w:t>
      </w:r>
      <w:r w:rsidRPr="00A644F3">
        <w:rPr>
          <w:rFonts w:ascii="Times New Roman" w:hAnsi="Times New Roman" w:cs="Times New Roman"/>
          <w:i w:val="0"/>
          <w:color w:val="000000" w:themeColor="text1"/>
          <w:sz w:val="24"/>
        </w:rPr>
        <w:fldChar w:fldCharType="end"/>
      </w:r>
      <w:r w:rsidRPr="00A644F3">
        <w:rPr>
          <w:rFonts w:ascii="Times New Roman" w:hAnsi="Times New Roman" w:cs="Times New Roman"/>
          <w:i w:val="0"/>
          <w:color w:val="000000" w:themeColor="text1"/>
          <w:sz w:val="24"/>
        </w:rPr>
        <w:t>. All lab studies data degradation of pyroxasulfone, atrazine, and saflufenacil as a function of initial herbicide concentration and the DT50.</w:t>
      </w:r>
      <w:bookmarkEnd w:id="82"/>
    </w:p>
    <w:p w14:paraId="78B90FED" w14:textId="5577F1CB" w:rsidR="005F14A1" w:rsidRPr="00FC5059" w:rsidRDefault="00235641" w:rsidP="00235641">
      <w:pPr>
        <w:pStyle w:val="Caption"/>
        <w:rPr>
          <w:rFonts w:ascii="Times New Roman" w:hAnsi="Times New Roman" w:cs="Times New Roman"/>
          <w:sz w:val="24"/>
          <w:szCs w:val="24"/>
        </w:rPr>
      </w:pPr>
      <w:r>
        <w:rPr>
          <w:rFonts w:ascii="Times New Roman" w:hAnsi="Times New Roman" w:cs="Times New Roman"/>
          <w:i w:val="0"/>
          <w:color w:val="000000" w:themeColor="text1"/>
          <w:sz w:val="24"/>
        </w:rPr>
        <w:t>s</w:t>
      </w:r>
      <w:r w:rsidR="00EF58C0">
        <w:rPr>
          <w:rFonts w:ascii="Times New Roman" w:hAnsi="Times New Roman" w:cs="Times New Roman"/>
          <w:i w:val="0"/>
          <w:color w:val="000000" w:themeColor="text1"/>
          <w:sz w:val="24"/>
        </w:rPr>
        <w:t>tar</w:t>
      </w:r>
      <w:r>
        <w:rPr>
          <w:rFonts w:ascii="Times New Roman" w:hAnsi="Times New Roman" w:cs="Times New Roman"/>
          <w:i w:val="0"/>
          <w:color w:val="000000" w:themeColor="text1"/>
          <w:sz w:val="24"/>
        </w:rPr>
        <w:t>s</w:t>
      </w:r>
      <w:r w:rsidR="00EF58C0">
        <w:rPr>
          <w:rFonts w:ascii="Times New Roman" w:hAnsi="Times New Roman" w:cs="Times New Roman"/>
          <w:i w:val="0"/>
          <w:color w:val="000000" w:themeColor="text1"/>
          <w:sz w:val="24"/>
        </w:rPr>
        <w:t xml:space="preserve"> =</w:t>
      </w:r>
      <w:r>
        <w:rPr>
          <w:rFonts w:ascii="Times New Roman" w:hAnsi="Times New Roman" w:cs="Times New Roman"/>
          <w:i w:val="0"/>
          <w:color w:val="000000" w:themeColor="text1"/>
          <w:sz w:val="24"/>
        </w:rPr>
        <w:t xml:space="preserve"> IL, triangles </w:t>
      </w:r>
      <w:bookmarkStart w:id="83" w:name="_GoBack"/>
      <w:bookmarkEnd w:id="83"/>
      <w:r>
        <w:rPr>
          <w:rFonts w:ascii="Times New Roman" w:hAnsi="Times New Roman" w:cs="Times New Roman"/>
          <w:i w:val="0"/>
          <w:color w:val="000000" w:themeColor="text1"/>
          <w:sz w:val="24"/>
        </w:rPr>
        <w:t>= GA, squares = TN</w:t>
      </w:r>
      <w:r w:rsidR="005F14A1" w:rsidRPr="00FC5059">
        <w:rPr>
          <w:rFonts w:ascii="Times New Roman" w:hAnsi="Times New Roman" w:cs="Times New Roman"/>
          <w:sz w:val="24"/>
          <w:szCs w:val="24"/>
        </w:rPr>
        <w:tab/>
      </w:r>
    </w:p>
    <w:p w14:paraId="2ED0F3F4" w14:textId="77777777" w:rsidR="005F14A1" w:rsidRPr="005F14A1" w:rsidRDefault="005F14A1" w:rsidP="005F14A1">
      <w:pPr>
        <w:sectPr w:rsidR="005F14A1" w:rsidRPr="005F14A1" w:rsidSect="00CA7909">
          <w:pgSz w:w="12240" w:h="15840"/>
          <w:pgMar w:top="1440" w:right="1440" w:bottom="1440" w:left="1440" w:header="720" w:footer="720" w:gutter="0"/>
          <w:cols w:space="720"/>
          <w:docGrid w:linePitch="360"/>
        </w:sectPr>
      </w:pPr>
    </w:p>
    <w:p w14:paraId="1917A1FA" w14:textId="4CA53397" w:rsidR="005C15E9" w:rsidRPr="00EC3EE6" w:rsidRDefault="005C15E9" w:rsidP="00EC3EE6">
      <w:pPr>
        <w:pStyle w:val="Heading1"/>
        <w:jc w:val="center"/>
        <w:rPr>
          <w:rFonts w:ascii="Times New Roman" w:hAnsi="Times New Roman" w:cs="Times New Roman"/>
          <w:b/>
          <w:color w:val="000000" w:themeColor="text1"/>
          <w:sz w:val="24"/>
        </w:rPr>
      </w:pPr>
      <w:r w:rsidRPr="00EC3EE6">
        <w:rPr>
          <w:rFonts w:ascii="Times New Roman" w:hAnsi="Times New Roman" w:cs="Times New Roman"/>
          <w:b/>
          <w:color w:val="000000" w:themeColor="text1"/>
          <w:sz w:val="24"/>
        </w:rPr>
        <w:lastRenderedPageBreak/>
        <w:t>CONCLUSIONS</w:t>
      </w:r>
      <w:bookmarkEnd w:id="81"/>
    </w:p>
    <w:p w14:paraId="05A5A471" w14:textId="77777777" w:rsidR="00EC3EE6" w:rsidRPr="00EC3EE6" w:rsidRDefault="00EC3EE6" w:rsidP="00EC3EE6"/>
    <w:p w14:paraId="3F99C37C" w14:textId="0B78A630" w:rsidR="00014A3A" w:rsidRDefault="003D72C6" w:rsidP="00014A3A">
      <w:pPr>
        <w:spacing w:line="480" w:lineRule="auto"/>
        <w:ind w:firstLine="720"/>
        <w:rPr>
          <w:rFonts w:ascii="Times New Roman" w:hAnsi="Times New Roman" w:cs="Times New Roman"/>
          <w:bCs/>
          <w:sz w:val="24"/>
        </w:rPr>
      </w:pPr>
      <w:r>
        <w:rPr>
          <w:rFonts w:ascii="Times New Roman" w:hAnsi="Times New Roman" w:cs="Times New Roman"/>
          <w:bCs/>
          <w:sz w:val="24"/>
        </w:rPr>
        <w:t xml:space="preserve">Residual herbicide use </w:t>
      </w:r>
      <w:r w:rsidR="00DA5338">
        <w:rPr>
          <w:rFonts w:ascii="Times New Roman" w:hAnsi="Times New Roman" w:cs="Times New Roman"/>
          <w:bCs/>
          <w:sz w:val="24"/>
        </w:rPr>
        <w:t xml:space="preserve">is an integral part of an integrated approach to weed management in agriculture.  </w:t>
      </w:r>
      <w:r w:rsidR="00E90935">
        <w:rPr>
          <w:rFonts w:ascii="Times New Roman" w:hAnsi="Times New Roman" w:cs="Times New Roman"/>
          <w:bCs/>
          <w:sz w:val="24"/>
        </w:rPr>
        <w:t xml:space="preserve">Understanding their fate once introduced into the environment is paramount in developing weed control programs that are sustainable and effective.  </w:t>
      </w:r>
      <w:r w:rsidR="00DA5338">
        <w:rPr>
          <w:rFonts w:ascii="Times New Roman" w:hAnsi="Times New Roman" w:cs="Times New Roman"/>
          <w:bCs/>
          <w:sz w:val="24"/>
        </w:rPr>
        <w:t>Atrazine, pyroxasulfone, and saflufenacil</w:t>
      </w:r>
      <w:r w:rsidR="00E90935">
        <w:rPr>
          <w:rFonts w:ascii="Times New Roman" w:hAnsi="Times New Roman" w:cs="Times New Roman"/>
          <w:bCs/>
          <w:sz w:val="24"/>
        </w:rPr>
        <w:t xml:space="preserve"> represent commonly used herbicides from distinct herbicide classes that have varying field persistence.  The EPA authorizes pesticide labels and has increasingly relied on </w:t>
      </w:r>
      <w:r w:rsidR="00014A3A">
        <w:rPr>
          <w:rFonts w:ascii="Times New Roman" w:hAnsi="Times New Roman" w:cs="Times New Roman"/>
          <w:bCs/>
          <w:sz w:val="24"/>
        </w:rPr>
        <w:t xml:space="preserve">herbicide fate modeling to determine </w:t>
      </w:r>
      <w:r w:rsidR="000F79E3">
        <w:rPr>
          <w:rFonts w:ascii="Times New Roman" w:hAnsi="Times New Roman" w:cs="Times New Roman"/>
          <w:bCs/>
          <w:sz w:val="24"/>
        </w:rPr>
        <w:t>herbicide environmental fate</w:t>
      </w:r>
      <w:r w:rsidR="00014A3A">
        <w:rPr>
          <w:rFonts w:ascii="Times New Roman" w:hAnsi="Times New Roman" w:cs="Times New Roman"/>
          <w:bCs/>
          <w:sz w:val="24"/>
        </w:rPr>
        <w:t>.  These models can be erroneous when assumptions of the inputs are not realized.  DT50s are a common descriptor of herbicide fate and are typically calculated using first order kinetics models.  First order kinetics can input errors in models as degradation is assumed independent of rate applied.</w:t>
      </w:r>
    </w:p>
    <w:p w14:paraId="0F723E87" w14:textId="6557501B" w:rsidR="00223EDE" w:rsidRDefault="00953F44" w:rsidP="00014A3A">
      <w:pPr>
        <w:spacing w:line="480" w:lineRule="auto"/>
        <w:ind w:firstLine="720"/>
        <w:rPr>
          <w:rFonts w:ascii="Times New Roman" w:hAnsi="Times New Roman" w:cs="Times New Roman"/>
          <w:bCs/>
          <w:sz w:val="24"/>
        </w:rPr>
      </w:pPr>
      <w:r>
        <w:rPr>
          <w:rFonts w:ascii="Times New Roman" w:hAnsi="Times New Roman" w:cs="Times New Roman"/>
          <w:bCs/>
          <w:sz w:val="24"/>
        </w:rPr>
        <w:t xml:space="preserve">Atrazine field </w:t>
      </w:r>
      <w:r w:rsidR="00021F7F">
        <w:rPr>
          <w:rFonts w:ascii="Times New Roman" w:hAnsi="Times New Roman" w:cs="Times New Roman"/>
          <w:bCs/>
          <w:sz w:val="24"/>
        </w:rPr>
        <w:t>dissipation DT</w:t>
      </w:r>
      <w:r>
        <w:rPr>
          <w:rFonts w:ascii="Times New Roman" w:hAnsi="Times New Roman" w:cs="Times New Roman"/>
          <w:bCs/>
          <w:sz w:val="24"/>
        </w:rPr>
        <w:t>50s were 9-13 DAT depending on concentration</w:t>
      </w:r>
      <w:r w:rsidR="00014A3A">
        <w:rPr>
          <w:rFonts w:ascii="Times New Roman" w:hAnsi="Times New Roman" w:cs="Times New Roman"/>
          <w:bCs/>
          <w:sz w:val="24"/>
        </w:rPr>
        <w:t xml:space="preserve">, which were lower than previously reported.  </w:t>
      </w:r>
      <w:r>
        <w:rPr>
          <w:rFonts w:ascii="Times New Roman" w:hAnsi="Times New Roman" w:cs="Times New Roman"/>
          <w:bCs/>
          <w:sz w:val="24"/>
        </w:rPr>
        <w:t xml:space="preserve">Suspected </w:t>
      </w:r>
      <w:r w:rsidR="00021F7F">
        <w:rPr>
          <w:rFonts w:ascii="Times New Roman" w:hAnsi="Times New Roman" w:cs="Times New Roman"/>
          <w:bCs/>
          <w:sz w:val="24"/>
        </w:rPr>
        <w:t>enhanced degradation</w:t>
      </w:r>
      <w:r w:rsidR="00014A3A">
        <w:rPr>
          <w:rFonts w:ascii="Times New Roman" w:hAnsi="Times New Roman" w:cs="Times New Roman"/>
          <w:bCs/>
          <w:sz w:val="24"/>
        </w:rPr>
        <w:t xml:space="preserve"> due to previous field history</w:t>
      </w:r>
      <w:r w:rsidR="00021F7F">
        <w:rPr>
          <w:rFonts w:ascii="Times New Roman" w:hAnsi="Times New Roman" w:cs="Times New Roman"/>
          <w:bCs/>
          <w:sz w:val="24"/>
        </w:rPr>
        <w:t xml:space="preserve"> could explain the lower DT50’s.  Lab studies indicated DT50s of 9-39 DAT which are comparable where enhanced degradation has been documented.  Field and lab studies generally agree on dissipation of atrazine.  Comparing initial atrazine concentrations and DT50s</w:t>
      </w:r>
      <w:r w:rsidR="00E764DA">
        <w:rPr>
          <w:rFonts w:ascii="Times New Roman" w:hAnsi="Times New Roman" w:cs="Times New Roman"/>
          <w:bCs/>
          <w:sz w:val="24"/>
        </w:rPr>
        <w:t xml:space="preserve"> in the field studies</w:t>
      </w:r>
      <w:r w:rsidR="00021F7F">
        <w:rPr>
          <w:rFonts w:ascii="Times New Roman" w:hAnsi="Times New Roman" w:cs="Times New Roman"/>
          <w:bCs/>
          <w:sz w:val="24"/>
        </w:rPr>
        <w:t xml:space="preserve"> suggests no </w:t>
      </w:r>
      <w:r w:rsidR="003E1BA2">
        <w:rPr>
          <w:rFonts w:ascii="Times New Roman" w:hAnsi="Times New Roman" w:cs="Times New Roman"/>
          <w:bCs/>
          <w:sz w:val="24"/>
        </w:rPr>
        <w:t>correlation</w:t>
      </w:r>
      <w:r w:rsidR="00060AAD">
        <w:rPr>
          <w:rFonts w:ascii="Times New Roman" w:hAnsi="Times New Roman" w:cs="Times New Roman"/>
          <w:bCs/>
          <w:sz w:val="24"/>
        </w:rPr>
        <w:t xml:space="preserve">.  </w:t>
      </w:r>
      <w:r w:rsidR="00E764DA">
        <w:rPr>
          <w:rFonts w:ascii="Times New Roman" w:hAnsi="Times New Roman" w:cs="Times New Roman"/>
          <w:bCs/>
          <w:sz w:val="24"/>
        </w:rPr>
        <w:t xml:space="preserve">On the other hand, lab studies </w:t>
      </w:r>
      <w:r w:rsidR="006A0AEE">
        <w:rPr>
          <w:rFonts w:ascii="Times New Roman" w:hAnsi="Times New Roman" w:cs="Times New Roman"/>
          <w:bCs/>
          <w:sz w:val="24"/>
        </w:rPr>
        <w:t>reveal</w:t>
      </w:r>
      <w:r w:rsidR="00E764DA">
        <w:rPr>
          <w:rFonts w:ascii="Times New Roman" w:hAnsi="Times New Roman" w:cs="Times New Roman"/>
          <w:bCs/>
          <w:sz w:val="24"/>
        </w:rPr>
        <w:t xml:space="preserve"> a negative correlation when comparing DT50s and initial concentrations.  The</w:t>
      </w:r>
      <w:r w:rsidR="003E1BA2">
        <w:rPr>
          <w:rFonts w:ascii="Times New Roman" w:hAnsi="Times New Roman" w:cs="Times New Roman"/>
          <w:bCs/>
          <w:sz w:val="24"/>
        </w:rPr>
        <w:t>se</w:t>
      </w:r>
      <w:r w:rsidR="00E764DA">
        <w:rPr>
          <w:rFonts w:ascii="Times New Roman" w:hAnsi="Times New Roman" w:cs="Times New Roman"/>
          <w:bCs/>
          <w:sz w:val="24"/>
        </w:rPr>
        <w:t xml:space="preserve"> data suggest</w:t>
      </w:r>
      <w:r w:rsidR="003E1BA2">
        <w:rPr>
          <w:rFonts w:ascii="Times New Roman" w:hAnsi="Times New Roman" w:cs="Times New Roman"/>
          <w:bCs/>
          <w:sz w:val="24"/>
        </w:rPr>
        <w:t xml:space="preserve"> a higher</w:t>
      </w:r>
      <w:r w:rsidR="00E764DA">
        <w:rPr>
          <w:rFonts w:ascii="Times New Roman" w:hAnsi="Times New Roman" w:cs="Times New Roman"/>
          <w:bCs/>
          <w:sz w:val="24"/>
        </w:rPr>
        <w:t xml:space="preserve"> atrazine dose could prompt enhanced degradation as increased herbicide concentrations dissipated sooner</w:t>
      </w:r>
      <w:r w:rsidR="003E1BA2">
        <w:rPr>
          <w:rFonts w:ascii="Times New Roman" w:hAnsi="Times New Roman" w:cs="Times New Roman"/>
          <w:bCs/>
          <w:sz w:val="24"/>
        </w:rPr>
        <w:t xml:space="preserve"> than lower concentrations</w:t>
      </w:r>
      <w:r w:rsidR="00E764DA">
        <w:rPr>
          <w:rFonts w:ascii="Times New Roman" w:hAnsi="Times New Roman" w:cs="Times New Roman"/>
          <w:bCs/>
          <w:sz w:val="24"/>
        </w:rPr>
        <w:t xml:space="preserve">.  </w:t>
      </w:r>
      <w:r w:rsidR="003E1BA2">
        <w:rPr>
          <w:rFonts w:ascii="Times New Roman" w:hAnsi="Times New Roman" w:cs="Times New Roman"/>
          <w:bCs/>
          <w:sz w:val="24"/>
        </w:rPr>
        <w:t>C</w:t>
      </w:r>
      <w:r w:rsidR="00060AAD">
        <w:rPr>
          <w:rFonts w:ascii="Times New Roman" w:hAnsi="Times New Roman" w:cs="Times New Roman"/>
          <w:bCs/>
          <w:sz w:val="24"/>
        </w:rPr>
        <w:t>onsidering enhanced degradation is likely in these studies, concentration effects on dissipation might not be clear</w:t>
      </w:r>
      <w:r w:rsidR="006A0AEE">
        <w:rPr>
          <w:rFonts w:ascii="Times New Roman" w:hAnsi="Times New Roman" w:cs="Times New Roman"/>
          <w:bCs/>
          <w:sz w:val="24"/>
        </w:rPr>
        <w:t>.</w:t>
      </w:r>
    </w:p>
    <w:p w14:paraId="523CEB9D" w14:textId="1BA49E73" w:rsidR="00060AAD" w:rsidRDefault="00060AAD" w:rsidP="00223EDE">
      <w:pPr>
        <w:spacing w:line="480" w:lineRule="auto"/>
        <w:ind w:firstLine="720"/>
        <w:rPr>
          <w:rFonts w:ascii="Times New Roman" w:hAnsi="Times New Roman" w:cs="Times New Roman"/>
          <w:bCs/>
          <w:sz w:val="24"/>
        </w:rPr>
      </w:pPr>
      <w:r>
        <w:rPr>
          <w:rFonts w:ascii="Times New Roman" w:hAnsi="Times New Roman" w:cs="Times New Roman"/>
          <w:bCs/>
          <w:sz w:val="24"/>
        </w:rPr>
        <w:t xml:space="preserve">Pyroxasulfone field dissipation DT50s were 24-54 DAT and lab studies were 30-89 DAT depending on concentration.  These </w:t>
      </w:r>
      <w:r w:rsidR="00A40EC0">
        <w:rPr>
          <w:rFonts w:ascii="Times New Roman" w:hAnsi="Times New Roman" w:cs="Times New Roman"/>
          <w:bCs/>
          <w:sz w:val="24"/>
        </w:rPr>
        <w:t xml:space="preserve">field study </w:t>
      </w:r>
      <w:r>
        <w:rPr>
          <w:rFonts w:ascii="Times New Roman" w:hAnsi="Times New Roman" w:cs="Times New Roman"/>
          <w:bCs/>
          <w:sz w:val="24"/>
        </w:rPr>
        <w:t xml:space="preserve">DT50s are comparable to previous research and </w:t>
      </w:r>
      <w:r>
        <w:rPr>
          <w:rFonts w:ascii="Times New Roman" w:hAnsi="Times New Roman" w:cs="Times New Roman"/>
          <w:bCs/>
          <w:sz w:val="24"/>
        </w:rPr>
        <w:lastRenderedPageBreak/>
        <w:t xml:space="preserve">the data suggests </w:t>
      </w:r>
      <w:r w:rsidR="00A40EC0">
        <w:rPr>
          <w:rFonts w:ascii="Times New Roman" w:hAnsi="Times New Roman" w:cs="Times New Roman"/>
          <w:bCs/>
          <w:sz w:val="24"/>
        </w:rPr>
        <w:t xml:space="preserve">increased </w:t>
      </w:r>
      <w:r>
        <w:rPr>
          <w:rFonts w:ascii="Times New Roman" w:hAnsi="Times New Roman" w:cs="Times New Roman"/>
          <w:bCs/>
          <w:sz w:val="24"/>
        </w:rPr>
        <w:t>concentration</w:t>
      </w:r>
      <w:r w:rsidR="00A40EC0">
        <w:rPr>
          <w:rFonts w:ascii="Times New Roman" w:hAnsi="Times New Roman" w:cs="Times New Roman"/>
          <w:bCs/>
          <w:sz w:val="24"/>
        </w:rPr>
        <w:t>s correlate with increased dissipation time</w:t>
      </w:r>
      <w:r>
        <w:rPr>
          <w:rFonts w:ascii="Times New Roman" w:hAnsi="Times New Roman" w:cs="Times New Roman"/>
          <w:bCs/>
          <w:sz w:val="24"/>
        </w:rPr>
        <w:t xml:space="preserve">.  DT50s </w:t>
      </w:r>
      <w:r w:rsidR="002D0CF5">
        <w:rPr>
          <w:rFonts w:ascii="Times New Roman" w:hAnsi="Times New Roman" w:cs="Times New Roman"/>
          <w:bCs/>
          <w:sz w:val="24"/>
        </w:rPr>
        <w:t xml:space="preserve">in the lab studies </w:t>
      </w:r>
      <w:r>
        <w:rPr>
          <w:rFonts w:ascii="Times New Roman" w:hAnsi="Times New Roman" w:cs="Times New Roman"/>
          <w:bCs/>
          <w:sz w:val="24"/>
        </w:rPr>
        <w:t>regressed against initial concentrations</w:t>
      </w:r>
      <w:r w:rsidR="006A0AEE">
        <w:rPr>
          <w:rFonts w:ascii="Times New Roman" w:hAnsi="Times New Roman" w:cs="Times New Roman"/>
          <w:bCs/>
          <w:sz w:val="24"/>
        </w:rPr>
        <w:t xml:space="preserve"> suggest a positive correlation.  These findings suggest pyroxasulfone initial concentration will have an effect on DT50.</w:t>
      </w:r>
    </w:p>
    <w:p w14:paraId="7FF78876" w14:textId="73AC4943" w:rsidR="005F685B" w:rsidRDefault="006A0AEE" w:rsidP="00223EDE">
      <w:pPr>
        <w:spacing w:line="480" w:lineRule="auto"/>
        <w:ind w:firstLine="720"/>
        <w:rPr>
          <w:rFonts w:ascii="Times New Roman" w:hAnsi="Times New Roman" w:cs="Times New Roman"/>
          <w:bCs/>
          <w:sz w:val="24"/>
        </w:rPr>
      </w:pPr>
      <w:r>
        <w:rPr>
          <w:rFonts w:ascii="Times New Roman" w:hAnsi="Times New Roman" w:cs="Times New Roman"/>
          <w:bCs/>
          <w:sz w:val="24"/>
        </w:rPr>
        <w:t xml:space="preserve">Saflufenacil </w:t>
      </w:r>
      <w:r w:rsidR="00646352">
        <w:rPr>
          <w:rFonts w:ascii="Times New Roman" w:hAnsi="Times New Roman" w:cs="Times New Roman"/>
          <w:bCs/>
          <w:sz w:val="24"/>
        </w:rPr>
        <w:t>field dissipation DT50s were 4-9 DAT depending on concentration</w:t>
      </w:r>
      <w:r w:rsidR="005E7ED7">
        <w:rPr>
          <w:rFonts w:ascii="Times New Roman" w:hAnsi="Times New Roman" w:cs="Times New Roman"/>
          <w:bCs/>
          <w:sz w:val="24"/>
        </w:rPr>
        <w:t xml:space="preserve"> which were comparable to previous reports.  Saflufenacil lab degradation DT50s were </w:t>
      </w:r>
      <w:r w:rsidR="005F685B">
        <w:rPr>
          <w:rFonts w:ascii="Times New Roman" w:hAnsi="Times New Roman" w:cs="Times New Roman"/>
          <w:bCs/>
          <w:sz w:val="24"/>
        </w:rPr>
        <w:t xml:space="preserve">15-90 DAT which are </w:t>
      </w:r>
      <w:r w:rsidR="00E10113">
        <w:rPr>
          <w:rFonts w:ascii="Times New Roman" w:hAnsi="Times New Roman" w:cs="Times New Roman"/>
          <w:bCs/>
          <w:sz w:val="24"/>
        </w:rPr>
        <w:t>comparable and higher</w:t>
      </w:r>
      <w:r w:rsidR="005F685B">
        <w:rPr>
          <w:rFonts w:ascii="Times New Roman" w:hAnsi="Times New Roman" w:cs="Times New Roman"/>
          <w:bCs/>
          <w:sz w:val="24"/>
        </w:rPr>
        <w:t xml:space="preserve">.  The longer DT50s calculated in these studies are likely due to </w:t>
      </w:r>
      <w:r w:rsidR="00E10113">
        <w:rPr>
          <w:rFonts w:ascii="Times New Roman" w:hAnsi="Times New Roman" w:cs="Times New Roman"/>
          <w:bCs/>
          <w:sz w:val="24"/>
        </w:rPr>
        <w:t>lower pH soils, differential organic matter content, and moist</w:t>
      </w:r>
      <w:r w:rsidR="005F685B">
        <w:rPr>
          <w:rFonts w:ascii="Times New Roman" w:hAnsi="Times New Roman" w:cs="Times New Roman"/>
          <w:bCs/>
          <w:sz w:val="24"/>
        </w:rPr>
        <w:t xml:space="preserve"> soil conditions.  Larger DT50s have been reported in </w:t>
      </w:r>
      <w:r w:rsidR="00E10113">
        <w:rPr>
          <w:rFonts w:ascii="Times New Roman" w:hAnsi="Times New Roman" w:cs="Times New Roman"/>
          <w:bCs/>
          <w:sz w:val="24"/>
        </w:rPr>
        <w:t>high moisture soils</w:t>
      </w:r>
      <w:r w:rsidR="005F685B">
        <w:rPr>
          <w:rFonts w:ascii="Times New Roman" w:hAnsi="Times New Roman" w:cs="Times New Roman"/>
          <w:bCs/>
          <w:sz w:val="24"/>
        </w:rPr>
        <w:t xml:space="preserve"> w</w:t>
      </w:r>
      <w:r w:rsidR="00E10113">
        <w:rPr>
          <w:rFonts w:ascii="Times New Roman" w:hAnsi="Times New Roman" w:cs="Times New Roman"/>
          <w:bCs/>
          <w:sz w:val="24"/>
        </w:rPr>
        <w:t>h</w:t>
      </w:r>
      <w:r w:rsidR="005F685B">
        <w:rPr>
          <w:rFonts w:ascii="Times New Roman" w:hAnsi="Times New Roman" w:cs="Times New Roman"/>
          <w:bCs/>
          <w:sz w:val="24"/>
        </w:rPr>
        <w:t xml:space="preserve">ere aerobic degradation could be inhibited.  The field studies and lab studies suggest no correlation to initial herbicide concentration and calculated DT50s. </w:t>
      </w:r>
    </w:p>
    <w:p w14:paraId="7F8E6DFF" w14:textId="089C3EDB" w:rsidR="00E10113" w:rsidRPr="00E10113" w:rsidRDefault="00E10113" w:rsidP="00E10113">
      <w:pPr>
        <w:spacing w:line="480" w:lineRule="auto"/>
        <w:ind w:firstLine="720"/>
        <w:rPr>
          <w:rFonts w:ascii="Times New Roman" w:hAnsi="Times New Roman" w:cs="Times New Roman"/>
          <w:bCs/>
          <w:sz w:val="24"/>
        </w:rPr>
      </w:pPr>
      <w:r w:rsidRPr="00E10113">
        <w:rPr>
          <w:rFonts w:ascii="Times New Roman" w:hAnsi="Times New Roman" w:cs="Times New Roman"/>
          <w:bCs/>
          <w:sz w:val="24"/>
        </w:rPr>
        <w:t xml:space="preserve">These data suggest that </w:t>
      </w:r>
      <w:r>
        <w:rPr>
          <w:rFonts w:ascii="Times New Roman" w:hAnsi="Times New Roman" w:cs="Times New Roman"/>
          <w:bCs/>
          <w:sz w:val="24"/>
        </w:rPr>
        <w:t>extra care</w:t>
      </w:r>
      <w:r w:rsidRPr="00E10113">
        <w:rPr>
          <w:rFonts w:ascii="Times New Roman" w:hAnsi="Times New Roman" w:cs="Times New Roman"/>
          <w:bCs/>
          <w:sz w:val="24"/>
        </w:rPr>
        <w:t xml:space="preserve"> should be taken when calculating DT50s, as initial concentration could influence dissipation rates for some herbicides.  </w:t>
      </w:r>
      <w:r w:rsidR="00C042DE" w:rsidRPr="00C042DE">
        <w:rPr>
          <w:rFonts w:ascii="Times New Roman" w:hAnsi="Times New Roman" w:cs="Times New Roman"/>
          <w:bCs/>
          <w:sz w:val="24"/>
        </w:rPr>
        <w:t>Initial concentrations are the most important points on the dissipation curve</w:t>
      </w:r>
      <w:r w:rsidR="00C042DE">
        <w:rPr>
          <w:rFonts w:ascii="Times New Roman" w:hAnsi="Times New Roman" w:cs="Times New Roman"/>
          <w:bCs/>
          <w:sz w:val="24"/>
        </w:rPr>
        <w:t xml:space="preserve"> as they set the starting point</w:t>
      </w:r>
      <w:r w:rsidR="00C042DE" w:rsidRPr="00C042DE">
        <w:rPr>
          <w:rFonts w:ascii="Times New Roman" w:hAnsi="Times New Roman" w:cs="Times New Roman"/>
          <w:bCs/>
          <w:sz w:val="24"/>
        </w:rPr>
        <w:t xml:space="preserve">, however they also tend to be the most erroneous.  </w:t>
      </w:r>
      <w:r w:rsidRPr="00E10113">
        <w:rPr>
          <w:rFonts w:ascii="Times New Roman" w:hAnsi="Times New Roman" w:cs="Times New Roman"/>
          <w:bCs/>
          <w:sz w:val="24"/>
        </w:rPr>
        <w:t xml:space="preserve">The EPA has increasingly used modeling for herbicide environmental fate and for some input parameters dissipation is assumed to be independent of rate applied.  This assumption could input errors into models which could mislead regulators when considering a herbicide label.  </w:t>
      </w:r>
      <w:r w:rsidR="00C042DE" w:rsidRPr="00C042DE">
        <w:rPr>
          <w:rFonts w:ascii="Times New Roman" w:hAnsi="Times New Roman" w:cs="Times New Roman"/>
          <w:bCs/>
          <w:sz w:val="24"/>
        </w:rPr>
        <w:t xml:space="preserve">In these studies, pyroxasulfone and atrazine dissipations were affected by initial herbicide concentrations.  </w:t>
      </w:r>
      <w:r w:rsidR="00FD10EB">
        <w:rPr>
          <w:rFonts w:ascii="Times New Roman" w:hAnsi="Times New Roman" w:cs="Times New Roman"/>
          <w:bCs/>
          <w:sz w:val="24"/>
        </w:rPr>
        <w:t>Furthermore, t</w:t>
      </w:r>
      <w:r w:rsidRPr="00E10113">
        <w:rPr>
          <w:rFonts w:ascii="Times New Roman" w:hAnsi="Times New Roman" w:cs="Times New Roman"/>
          <w:bCs/>
          <w:sz w:val="24"/>
        </w:rPr>
        <w:t>hese projects suggest that companies could look at &gt;1 herbicide per dissipation study.  Currently, typical TFD studies are 2-3 plots with at least a 1-year duration</w:t>
      </w:r>
      <w:r w:rsidR="00FD10EB">
        <w:rPr>
          <w:rFonts w:ascii="Times New Roman" w:hAnsi="Times New Roman" w:cs="Times New Roman"/>
          <w:bCs/>
          <w:sz w:val="24"/>
        </w:rPr>
        <w:t xml:space="preserve"> observing one molecule</w:t>
      </w:r>
      <w:r w:rsidRPr="00E10113">
        <w:rPr>
          <w:rFonts w:ascii="Times New Roman" w:hAnsi="Times New Roman" w:cs="Times New Roman"/>
          <w:bCs/>
          <w:sz w:val="24"/>
        </w:rPr>
        <w:t xml:space="preserve"> (&gt;</w:t>
      </w:r>
      <w:r w:rsidR="00C042DE">
        <w:rPr>
          <w:rFonts w:ascii="Times New Roman" w:hAnsi="Times New Roman" w:cs="Times New Roman"/>
          <w:bCs/>
          <w:sz w:val="24"/>
        </w:rPr>
        <w:t>DT95</w:t>
      </w:r>
      <w:r w:rsidRPr="00E10113">
        <w:rPr>
          <w:rFonts w:ascii="Times New Roman" w:hAnsi="Times New Roman" w:cs="Times New Roman"/>
          <w:bCs/>
          <w:sz w:val="24"/>
        </w:rPr>
        <w:t xml:space="preserve">).  </w:t>
      </w:r>
      <w:r w:rsidR="00FD10EB">
        <w:rPr>
          <w:rFonts w:ascii="Times New Roman" w:hAnsi="Times New Roman" w:cs="Times New Roman"/>
          <w:bCs/>
          <w:sz w:val="24"/>
        </w:rPr>
        <w:t xml:space="preserve">Many companies, when applying for herbicide registration, tend to look into marketing premixes with 2+ different herbicides.  As stated earlier, dissipation could be affected when different molecules are coapplied.  Dissipation studies could include the new herbicide and the proposed premixes in the </w:t>
      </w:r>
      <w:r w:rsidR="00FD10EB">
        <w:rPr>
          <w:rFonts w:ascii="Times New Roman" w:hAnsi="Times New Roman" w:cs="Times New Roman"/>
          <w:bCs/>
          <w:sz w:val="24"/>
        </w:rPr>
        <w:lastRenderedPageBreak/>
        <w:t xml:space="preserve">same study.  </w:t>
      </w:r>
      <w:r w:rsidRPr="00E10113">
        <w:rPr>
          <w:rFonts w:ascii="Times New Roman" w:hAnsi="Times New Roman" w:cs="Times New Roman"/>
          <w:bCs/>
          <w:sz w:val="24"/>
        </w:rPr>
        <w:t xml:space="preserve">Benefits to these study parameters include cost savings as compared to current TFD parameters and a possible reduction in study </w:t>
      </w:r>
      <w:r w:rsidR="00FD10EB">
        <w:rPr>
          <w:rFonts w:ascii="Times New Roman" w:hAnsi="Times New Roman" w:cs="Times New Roman"/>
          <w:bCs/>
          <w:sz w:val="24"/>
        </w:rPr>
        <w:t xml:space="preserve">data </w:t>
      </w:r>
      <w:r w:rsidRPr="00E10113">
        <w:rPr>
          <w:rFonts w:ascii="Times New Roman" w:hAnsi="Times New Roman" w:cs="Times New Roman"/>
          <w:bCs/>
          <w:sz w:val="24"/>
        </w:rPr>
        <w:t>variability.</w:t>
      </w:r>
    </w:p>
    <w:p w14:paraId="7FAF2118" w14:textId="7B94E119" w:rsidR="006A0AEE" w:rsidRPr="00223EDE" w:rsidRDefault="006A0AEE" w:rsidP="00223EDE">
      <w:pPr>
        <w:spacing w:line="480" w:lineRule="auto"/>
        <w:ind w:firstLine="720"/>
        <w:rPr>
          <w:rFonts w:ascii="Times New Roman" w:hAnsi="Times New Roman" w:cs="Times New Roman"/>
          <w:bCs/>
          <w:sz w:val="24"/>
        </w:rPr>
        <w:sectPr w:rsidR="006A0AEE" w:rsidRPr="00223EDE" w:rsidSect="00CA7909">
          <w:pgSz w:w="12240" w:h="15840"/>
          <w:pgMar w:top="1440" w:right="1440" w:bottom="1440" w:left="1440" w:header="720" w:footer="720" w:gutter="0"/>
          <w:cols w:space="720"/>
          <w:docGrid w:linePitch="360"/>
        </w:sectPr>
      </w:pPr>
    </w:p>
    <w:p w14:paraId="543199A0" w14:textId="1B3264B1" w:rsidR="00E03E3F" w:rsidRDefault="005C15E9" w:rsidP="00EC3EE6">
      <w:pPr>
        <w:pStyle w:val="Heading1"/>
        <w:jc w:val="center"/>
        <w:rPr>
          <w:rFonts w:ascii="Times New Roman" w:hAnsi="Times New Roman" w:cs="Times New Roman"/>
          <w:b/>
          <w:color w:val="000000" w:themeColor="text1"/>
          <w:sz w:val="24"/>
        </w:rPr>
      </w:pPr>
      <w:bookmarkStart w:id="84" w:name="_Toc99089487"/>
      <w:r w:rsidRPr="00EC3EE6">
        <w:rPr>
          <w:rFonts w:ascii="Times New Roman" w:hAnsi="Times New Roman" w:cs="Times New Roman"/>
          <w:b/>
          <w:color w:val="000000" w:themeColor="text1"/>
          <w:sz w:val="24"/>
        </w:rPr>
        <w:lastRenderedPageBreak/>
        <w:t>VITA</w:t>
      </w:r>
      <w:bookmarkEnd w:id="84"/>
    </w:p>
    <w:p w14:paraId="774D9351" w14:textId="77777777" w:rsidR="00EC3EE6" w:rsidRPr="00EC3EE6" w:rsidRDefault="00EC3EE6" w:rsidP="00EC3EE6"/>
    <w:p w14:paraId="2FA3FEC3" w14:textId="390A7AD3" w:rsidR="00AC2351" w:rsidRPr="00AC2351" w:rsidRDefault="00AC2351" w:rsidP="00AC2351">
      <w:pPr>
        <w:spacing w:line="480" w:lineRule="auto"/>
        <w:ind w:firstLine="720"/>
        <w:rPr>
          <w:rFonts w:ascii="Times New Roman" w:hAnsi="Times New Roman" w:cs="Times New Roman"/>
          <w:sz w:val="24"/>
        </w:rPr>
      </w:pPr>
      <w:r>
        <w:rPr>
          <w:rFonts w:ascii="Times New Roman" w:hAnsi="Times New Roman" w:cs="Times New Roman"/>
          <w:sz w:val="24"/>
        </w:rPr>
        <w:tab/>
      </w:r>
      <w:r w:rsidRPr="00AC2351">
        <w:rPr>
          <w:rFonts w:ascii="Times New Roman" w:hAnsi="Times New Roman" w:cs="Times New Roman"/>
          <w:sz w:val="24"/>
        </w:rPr>
        <w:t>Randall L</w:t>
      </w:r>
      <w:r>
        <w:rPr>
          <w:rFonts w:ascii="Times New Roman" w:hAnsi="Times New Roman" w:cs="Times New Roman"/>
          <w:sz w:val="24"/>
        </w:rPr>
        <w:t>ee</w:t>
      </w:r>
      <w:r w:rsidRPr="00AC2351">
        <w:rPr>
          <w:rFonts w:ascii="Times New Roman" w:hAnsi="Times New Roman" w:cs="Times New Roman"/>
          <w:sz w:val="24"/>
        </w:rPr>
        <w:t xml:space="preserve"> Landry grew up in a small town in western Louisiana.  Following graduation from </w:t>
      </w:r>
      <w:r>
        <w:rPr>
          <w:rFonts w:ascii="Times New Roman" w:hAnsi="Times New Roman" w:cs="Times New Roman"/>
          <w:sz w:val="24"/>
        </w:rPr>
        <w:t>Pitkin H</w:t>
      </w:r>
      <w:r w:rsidRPr="00AC2351">
        <w:rPr>
          <w:rFonts w:ascii="Times New Roman" w:hAnsi="Times New Roman" w:cs="Times New Roman"/>
          <w:sz w:val="24"/>
        </w:rPr>
        <w:t xml:space="preserve">igh </w:t>
      </w:r>
      <w:r>
        <w:rPr>
          <w:rFonts w:ascii="Times New Roman" w:hAnsi="Times New Roman" w:cs="Times New Roman"/>
          <w:sz w:val="24"/>
        </w:rPr>
        <w:t>S</w:t>
      </w:r>
      <w:r w:rsidRPr="00AC2351">
        <w:rPr>
          <w:rFonts w:ascii="Times New Roman" w:hAnsi="Times New Roman" w:cs="Times New Roman"/>
          <w:sz w:val="24"/>
        </w:rPr>
        <w:t>chool he pursued his Bachelors at Louisiana State University in Alexandria</w:t>
      </w:r>
      <w:r>
        <w:rPr>
          <w:rFonts w:ascii="Times New Roman" w:hAnsi="Times New Roman" w:cs="Times New Roman"/>
          <w:sz w:val="24"/>
        </w:rPr>
        <w:t xml:space="preserve">. </w:t>
      </w:r>
      <w:r w:rsidRPr="00AC2351">
        <w:rPr>
          <w:rFonts w:ascii="Times New Roman" w:hAnsi="Times New Roman" w:cs="Times New Roman"/>
          <w:sz w:val="24"/>
        </w:rPr>
        <w:t xml:space="preserve"> Randall was hired after graduation in 2008 at Louisiana State University Agricultural Center as a Research Associate in Weed Science working with corn, cotton, grain sorghum, soybean, and wheat.  Eventually enrolling in graduate school during his work tenure, Randall received his Master of Science in Soil, Plant, and Environmental Sciences (</w:t>
      </w:r>
      <w:r>
        <w:rPr>
          <w:rFonts w:ascii="Times New Roman" w:hAnsi="Times New Roman" w:cs="Times New Roman"/>
          <w:sz w:val="24"/>
        </w:rPr>
        <w:t xml:space="preserve">Agronomy - </w:t>
      </w:r>
      <w:r w:rsidRPr="00AC2351">
        <w:rPr>
          <w:rFonts w:ascii="Times New Roman" w:hAnsi="Times New Roman" w:cs="Times New Roman"/>
          <w:sz w:val="24"/>
        </w:rPr>
        <w:t xml:space="preserve">Weed Science) from Louisiana State University in December of 2014.  Following graduation, he accepted a position with a Contract Research Organization (CRO). </w:t>
      </w:r>
    </w:p>
    <w:p w14:paraId="4171474C" w14:textId="5858874B" w:rsidR="00AC2351" w:rsidRPr="00AC2351" w:rsidRDefault="00AC2351" w:rsidP="00AC2351">
      <w:pPr>
        <w:spacing w:after="200" w:line="480" w:lineRule="auto"/>
        <w:ind w:firstLine="720"/>
        <w:rPr>
          <w:rFonts w:ascii="Times New Roman" w:hAnsi="Times New Roman" w:cs="Times New Roman"/>
          <w:sz w:val="24"/>
        </w:rPr>
      </w:pPr>
      <w:r w:rsidRPr="00AC2351">
        <w:rPr>
          <w:rFonts w:ascii="Times New Roman" w:hAnsi="Times New Roman" w:cs="Times New Roman"/>
          <w:sz w:val="24"/>
        </w:rPr>
        <w:t xml:space="preserve">Randall worked for five years with Pest Management Enterprises, an agricultural contract research organization (CRO), as a Research (Weed) Scientist.  He was responsible for research relating to efficacy on weeds, diseases, insects, varieties, regulated – USDA-APHIS and/or EPA-EUP in multiple crops that can be grown in the </w:t>
      </w:r>
      <w:r w:rsidR="00753C75">
        <w:rPr>
          <w:rFonts w:ascii="Times New Roman" w:hAnsi="Times New Roman" w:cs="Times New Roman"/>
          <w:sz w:val="24"/>
        </w:rPr>
        <w:t>c</w:t>
      </w:r>
      <w:r w:rsidRPr="00AC2351">
        <w:rPr>
          <w:rFonts w:ascii="Times New Roman" w:hAnsi="Times New Roman" w:cs="Times New Roman"/>
          <w:sz w:val="24"/>
        </w:rPr>
        <w:t xml:space="preserve">entral Louisiana </w:t>
      </w:r>
      <w:r w:rsidR="00B37F70">
        <w:rPr>
          <w:rFonts w:ascii="Times New Roman" w:hAnsi="Times New Roman" w:cs="Times New Roman"/>
          <w:sz w:val="24"/>
        </w:rPr>
        <w:t>l</w:t>
      </w:r>
      <w:r w:rsidRPr="00AC2351">
        <w:rPr>
          <w:rFonts w:ascii="Times New Roman" w:hAnsi="Times New Roman" w:cs="Times New Roman"/>
          <w:sz w:val="24"/>
        </w:rPr>
        <w:t xml:space="preserve">ower Red River </w:t>
      </w:r>
      <w:r w:rsidR="00B37F70">
        <w:rPr>
          <w:rFonts w:ascii="Times New Roman" w:hAnsi="Times New Roman" w:cs="Times New Roman"/>
          <w:sz w:val="24"/>
        </w:rPr>
        <w:t>v</w:t>
      </w:r>
      <w:r w:rsidRPr="00AC2351">
        <w:rPr>
          <w:rFonts w:ascii="Times New Roman" w:hAnsi="Times New Roman" w:cs="Times New Roman"/>
          <w:sz w:val="24"/>
        </w:rPr>
        <w:t>alley.  He is a current member of the National Alliance of Independent Crop Consultants (NAICC), Louisiana Agricultural Consultant’s Association (LACA), and a member of Southern Weed Science Society (SWSS).</w:t>
      </w:r>
    </w:p>
    <w:p w14:paraId="31C8FAE3" w14:textId="45E5C317" w:rsidR="00AC2351" w:rsidRPr="00AC2351" w:rsidRDefault="00AC2351" w:rsidP="00AC2351">
      <w:pPr>
        <w:spacing w:after="200" w:line="480" w:lineRule="auto"/>
        <w:ind w:firstLine="720"/>
        <w:rPr>
          <w:rFonts w:ascii="Times New Roman" w:hAnsi="Times New Roman" w:cs="Times New Roman"/>
          <w:sz w:val="24"/>
        </w:rPr>
      </w:pPr>
      <w:r>
        <w:rPr>
          <w:rFonts w:ascii="Times New Roman" w:hAnsi="Times New Roman" w:cs="Times New Roman"/>
          <w:sz w:val="24"/>
        </w:rPr>
        <w:t>Randall decided to pursue his PhD</w:t>
      </w:r>
      <w:r w:rsidRPr="00AC2351">
        <w:rPr>
          <w:rFonts w:ascii="Times New Roman" w:hAnsi="Times New Roman" w:cs="Times New Roman"/>
          <w:sz w:val="24"/>
        </w:rPr>
        <w:t xml:space="preserve"> at the University of Tennessee in Knoxville working with Dr. Thomas C. Mueller in Weed Science conducting research in herbicide efficacy, environmental fate, and weed resistance mitigation.  </w:t>
      </w:r>
      <w:r w:rsidR="00383E87">
        <w:rPr>
          <w:rFonts w:ascii="Times New Roman" w:hAnsi="Times New Roman" w:cs="Times New Roman"/>
          <w:sz w:val="24"/>
        </w:rPr>
        <w:t>Upon completion of his PhD, he plans to pursue a career in agriculture industry.</w:t>
      </w:r>
    </w:p>
    <w:p w14:paraId="734FB803" w14:textId="41502051" w:rsidR="00AC2351" w:rsidRPr="00AC2351" w:rsidRDefault="00AC2351" w:rsidP="00AC2351">
      <w:pPr>
        <w:spacing w:line="480" w:lineRule="auto"/>
        <w:rPr>
          <w:rFonts w:ascii="Times New Roman" w:hAnsi="Times New Roman" w:cs="Times New Roman"/>
          <w:sz w:val="24"/>
        </w:rPr>
      </w:pPr>
    </w:p>
    <w:sectPr w:rsidR="00AC2351" w:rsidRPr="00AC2351" w:rsidSect="00CA790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B33E1D" w14:textId="77777777" w:rsidR="00593FFF" w:rsidRDefault="00593FFF" w:rsidP="00982072">
      <w:pPr>
        <w:spacing w:after="0" w:line="240" w:lineRule="auto"/>
      </w:pPr>
      <w:r>
        <w:separator/>
      </w:r>
    </w:p>
  </w:endnote>
  <w:endnote w:type="continuationSeparator" w:id="0">
    <w:p w14:paraId="4D7E278F" w14:textId="77777777" w:rsidR="00593FFF" w:rsidRDefault="00593FFF" w:rsidP="00982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0331352"/>
      <w:docPartObj>
        <w:docPartGallery w:val="Page Numbers (Bottom of Page)"/>
        <w:docPartUnique/>
      </w:docPartObj>
    </w:sdtPr>
    <w:sdtEndPr>
      <w:rPr>
        <w:rFonts w:ascii="Times New Roman" w:hAnsi="Times New Roman" w:cs="Times New Roman"/>
        <w:noProof/>
        <w:sz w:val="24"/>
      </w:rPr>
    </w:sdtEndPr>
    <w:sdtContent>
      <w:p w14:paraId="680FF11A" w14:textId="36DB4877" w:rsidR="008E6223" w:rsidRPr="0035568D" w:rsidRDefault="008E6223">
        <w:pPr>
          <w:pStyle w:val="Footer"/>
          <w:jc w:val="right"/>
          <w:rPr>
            <w:rFonts w:ascii="Times New Roman" w:hAnsi="Times New Roman" w:cs="Times New Roman"/>
            <w:sz w:val="24"/>
          </w:rPr>
        </w:pPr>
        <w:r w:rsidRPr="0035568D">
          <w:rPr>
            <w:rFonts w:ascii="Times New Roman" w:hAnsi="Times New Roman" w:cs="Times New Roman"/>
            <w:sz w:val="24"/>
          </w:rPr>
          <w:fldChar w:fldCharType="begin"/>
        </w:r>
        <w:r w:rsidRPr="0035568D">
          <w:rPr>
            <w:rFonts w:ascii="Times New Roman" w:hAnsi="Times New Roman" w:cs="Times New Roman"/>
            <w:sz w:val="24"/>
          </w:rPr>
          <w:instrText xml:space="preserve"> PAGE   \* MERGEFORMAT </w:instrText>
        </w:r>
        <w:r w:rsidRPr="0035568D">
          <w:rPr>
            <w:rFonts w:ascii="Times New Roman" w:hAnsi="Times New Roman" w:cs="Times New Roman"/>
            <w:sz w:val="24"/>
          </w:rPr>
          <w:fldChar w:fldCharType="separate"/>
        </w:r>
        <w:r w:rsidRPr="0035568D">
          <w:rPr>
            <w:rFonts w:ascii="Times New Roman" w:hAnsi="Times New Roman" w:cs="Times New Roman"/>
            <w:noProof/>
            <w:sz w:val="24"/>
          </w:rPr>
          <w:t>2</w:t>
        </w:r>
        <w:r w:rsidRPr="0035568D">
          <w:rPr>
            <w:rFonts w:ascii="Times New Roman" w:hAnsi="Times New Roman" w:cs="Times New Roman"/>
            <w:noProof/>
            <w:sz w:val="24"/>
          </w:rPr>
          <w:fldChar w:fldCharType="end"/>
        </w:r>
      </w:p>
    </w:sdtContent>
  </w:sdt>
  <w:p w14:paraId="1C66E6B2" w14:textId="77777777" w:rsidR="008E6223" w:rsidRDefault="008E62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5277668"/>
      <w:docPartObj>
        <w:docPartGallery w:val="Page Numbers (Bottom of Page)"/>
        <w:docPartUnique/>
      </w:docPartObj>
    </w:sdtPr>
    <w:sdtEndPr>
      <w:rPr>
        <w:rFonts w:ascii="Times New Roman" w:hAnsi="Times New Roman" w:cs="Times New Roman"/>
        <w:noProof/>
        <w:sz w:val="24"/>
      </w:rPr>
    </w:sdtEndPr>
    <w:sdtContent>
      <w:p w14:paraId="3ED0A049" w14:textId="77777777" w:rsidR="008E6223" w:rsidRPr="0035568D" w:rsidRDefault="008E6223">
        <w:pPr>
          <w:pStyle w:val="Footer"/>
          <w:jc w:val="right"/>
          <w:rPr>
            <w:rFonts w:ascii="Times New Roman" w:hAnsi="Times New Roman" w:cs="Times New Roman"/>
            <w:sz w:val="24"/>
          </w:rPr>
        </w:pPr>
        <w:r w:rsidRPr="0035568D">
          <w:rPr>
            <w:rFonts w:ascii="Times New Roman" w:hAnsi="Times New Roman" w:cs="Times New Roman"/>
            <w:sz w:val="24"/>
          </w:rPr>
          <w:fldChar w:fldCharType="begin"/>
        </w:r>
        <w:r w:rsidRPr="0035568D">
          <w:rPr>
            <w:rFonts w:ascii="Times New Roman" w:hAnsi="Times New Roman" w:cs="Times New Roman"/>
            <w:sz w:val="24"/>
          </w:rPr>
          <w:instrText xml:space="preserve"> PAGE   \* MERGEFORMAT </w:instrText>
        </w:r>
        <w:r w:rsidRPr="0035568D">
          <w:rPr>
            <w:rFonts w:ascii="Times New Roman" w:hAnsi="Times New Roman" w:cs="Times New Roman"/>
            <w:sz w:val="24"/>
          </w:rPr>
          <w:fldChar w:fldCharType="separate"/>
        </w:r>
        <w:r w:rsidRPr="0035568D">
          <w:rPr>
            <w:rFonts w:ascii="Times New Roman" w:hAnsi="Times New Roman" w:cs="Times New Roman"/>
            <w:noProof/>
            <w:sz w:val="24"/>
          </w:rPr>
          <w:t>2</w:t>
        </w:r>
        <w:r w:rsidRPr="0035568D">
          <w:rPr>
            <w:rFonts w:ascii="Times New Roman" w:hAnsi="Times New Roman" w:cs="Times New Roman"/>
            <w:noProof/>
            <w:sz w:val="24"/>
          </w:rPr>
          <w:fldChar w:fldCharType="end"/>
        </w:r>
      </w:p>
    </w:sdtContent>
  </w:sdt>
  <w:p w14:paraId="64A1DE12" w14:textId="77777777" w:rsidR="008E6223" w:rsidRDefault="008E62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3097510"/>
      <w:docPartObj>
        <w:docPartGallery w:val="Page Numbers (Bottom of Page)"/>
        <w:docPartUnique/>
      </w:docPartObj>
    </w:sdtPr>
    <w:sdtEndPr>
      <w:rPr>
        <w:rFonts w:ascii="Times New Roman" w:hAnsi="Times New Roman" w:cs="Times New Roman"/>
        <w:noProof/>
        <w:sz w:val="24"/>
      </w:rPr>
    </w:sdtEndPr>
    <w:sdtContent>
      <w:p w14:paraId="26600F55" w14:textId="7C67B2D3" w:rsidR="008E6223" w:rsidRPr="00900EA6" w:rsidRDefault="008E6223">
        <w:pPr>
          <w:pStyle w:val="Footer"/>
          <w:jc w:val="right"/>
          <w:rPr>
            <w:rFonts w:ascii="Times New Roman" w:hAnsi="Times New Roman" w:cs="Times New Roman"/>
            <w:sz w:val="24"/>
          </w:rPr>
        </w:pPr>
        <w:r w:rsidRPr="00900EA6">
          <w:rPr>
            <w:rFonts w:ascii="Times New Roman" w:hAnsi="Times New Roman" w:cs="Times New Roman"/>
            <w:sz w:val="24"/>
          </w:rPr>
          <w:fldChar w:fldCharType="begin"/>
        </w:r>
        <w:r w:rsidRPr="00900EA6">
          <w:rPr>
            <w:rFonts w:ascii="Times New Roman" w:hAnsi="Times New Roman" w:cs="Times New Roman"/>
            <w:sz w:val="24"/>
          </w:rPr>
          <w:instrText xml:space="preserve"> PAGE   \* MERGEFORMAT </w:instrText>
        </w:r>
        <w:r w:rsidRPr="00900EA6">
          <w:rPr>
            <w:rFonts w:ascii="Times New Roman" w:hAnsi="Times New Roman" w:cs="Times New Roman"/>
            <w:sz w:val="24"/>
          </w:rPr>
          <w:fldChar w:fldCharType="separate"/>
        </w:r>
        <w:r w:rsidRPr="00900EA6">
          <w:rPr>
            <w:rFonts w:ascii="Times New Roman" w:hAnsi="Times New Roman" w:cs="Times New Roman"/>
            <w:noProof/>
            <w:sz w:val="24"/>
          </w:rPr>
          <w:t>2</w:t>
        </w:r>
        <w:r w:rsidRPr="00900EA6">
          <w:rPr>
            <w:rFonts w:ascii="Times New Roman" w:hAnsi="Times New Roman" w:cs="Times New Roman"/>
            <w:noProof/>
            <w:sz w:val="24"/>
          </w:rPr>
          <w:fldChar w:fldCharType="end"/>
        </w:r>
      </w:p>
    </w:sdtContent>
  </w:sdt>
  <w:p w14:paraId="6274A7D7" w14:textId="77777777" w:rsidR="008E6223" w:rsidRDefault="008E62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98EA7A" w14:textId="77777777" w:rsidR="00593FFF" w:rsidRDefault="00593FFF" w:rsidP="00982072">
      <w:pPr>
        <w:spacing w:after="0" w:line="240" w:lineRule="auto"/>
      </w:pPr>
      <w:r>
        <w:separator/>
      </w:r>
    </w:p>
  </w:footnote>
  <w:footnote w:type="continuationSeparator" w:id="0">
    <w:p w14:paraId="5656B283" w14:textId="77777777" w:rsidR="00593FFF" w:rsidRDefault="00593FFF" w:rsidP="00982072">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R3V10RHlNaslAd" int2:id="zao9aBxb">
      <int2:state int2:value="Rejected" int2:type="LegacyProofing"/>
    </int2:textHash>
    <int2:textHash int2:hashCode="1zjZxCMEh2q4ma" int2:id="G2QW764z">
      <int2:state int2:value="Rejected" int2:type="LegacyProofing"/>
    </int2:textHash>
    <int2:textHash int2:hashCode="DYbKgaiMHv2vV7" int2:id="O7VQXq13">
      <int2:state int2:value="Rejected" int2:type="LegacyProofing"/>
    </int2:textHash>
    <int2:textHash int2:hashCode="mv/p1MnmbBOuLt" int2:id="kh46Jr85">
      <int2:state int2:value="Rejected" int2:type="LegacyProofing"/>
    </int2:textHash>
    <int2:bookmark int2:bookmarkName="_Int_Zf0ssqMC" int2:invalidationBookmarkName="" int2:hashCode="xlOlC98lw/1Ouj" int2:id="6vkiLoYr">
      <int2:state int2:value="Rejected" int2:type="LegacyProofing"/>
    </int2:bookmark>
    <int2:bookmark int2:bookmarkName="_Int_irynDfkN" int2:invalidationBookmarkName="" int2:hashCode="xlOlC98lw/1Ouj" int2:id="ffsjEPdg">
      <int2:state int2:value="Rejected" int2:type="LegacyProofing"/>
    </int2:bookmark>
    <int2:bookmark int2:bookmarkName="_Int_EqbzIo1p" int2:invalidationBookmarkName="" int2:hashCode="qnpqO9OCsOGxW3" int2:id="oIB2ZReH">
      <int2:state int2:value="Rejected" int2:type="LegacyProofing"/>
    </int2:bookmark>
    <int2:bookmark int2:bookmarkName="_Int_KD4exTUT" int2:invalidationBookmarkName="" int2:hashCode="qnpqO9OCsOGxW3" int2:id="Yhry6cin">
      <int2:state int2:value="Rejected" int2:type="LegacyProofing"/>
    </int2:bookmark>
    <int2:bookmark int2:bookmarkName="_Int_yOEohJjU" int2:invalidationBookmarkName="" int2:hashCode="qnpqO9OCsOGxW3" int2:id="2PzFyegO">
      <int2:state int2:value="Rejected" int2:type="LegacyProofing"/>
    </int2:bookmark>
    <int2:bookmark int2:bookmarkName="_Int_uq6Ck1zJ" int2:invalidationBookmarkName="" int2:hashCode="BxAoZwPWxbt0Sy" int2:id="RmIUhI3C">
      <int2:state int2:value="Rejected" int2:type="LegacyProofing"/>
    </int2:bookmark>
    <int2:bookmark int2:bookmarkName="_Int_TJC169Ap" int2:invalidationBookmarkName="" int2:hashCode="BxAoZwPWxbt0Sy" int2:id="t2MmdajC">
      <int2:state int2:value="Rejected" int2:type="LegacyProofing"/>
    </int2:bookmark>
    <int2:bookmark int2:bookmarkName="_Int_PyySxdM5" int2:invalidationBookmarkName="" int2:hashCode="BxAoZwPWxbt0Sy" int2:id="AsXP1rrm">
      <int2:state int2:value="Rejected" int2:type="LegacyProofing"/>
    </int2:bookmark>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A0B"/>
    <w:rsid w:val="000070ED"/>
    <w:rsid w:val="00007E56"/>
    <w:rsid w:val="00014A3A"/>
    <w:rsid w:val="00017164"/>
    <w:rsid w:val="00017AC2"/>
    <w:rsid w:val="00021F7F"/>
    <w:rsid w:val="000223C5"/>
    <w:rsid w:val="00023FFC"/>
    <w:rsid w:val="00025230"/>
    <w:rsid w:val="00025E96"/>
    <w:rsid w:val="000302DA"/>
    <w:rsid w:val="000338F9"/>
    <w:rsid w:val="00036942"/>
    <w:rsid w:val="00041AD8"/>
    <w:rsid w:val="00043591"/>
    <w:rsid w:val="00045B54"/>
    <w:rsid w:val="0005770C"/>
    <w:rsid w:val="00060AAD"/>
    <w:rsid w:val="000613C5"/>
    <w:rsid w:val="00063376"/>
    <w:rsid w:val="00066E29"/>
    <w:rsid w:val="000677EA"/>
    <w:rsid w:val="000679E9"/>
    <w:rsid w:val="00072139"/>
    <w:rsid w:val="00072876"/>
    <w:rsid w:val="00072A08"/>
    <w:rsid w:val="00072BB0"/>
    <w:rsid w:val="00073748"/>
    <w:rsid w:val="00073FA5"/>
    <w:rsid w:val="00075F1E"/>
    <w:rsid w:val="00080825"/>
    <w:rsid w:val="00080CEB"/>
    <w:rsid w:val="00086E8C"/>
    <w:rsid w:val="00097E5E"/>
    <w:rsid w:val="000A0615"/>
    <w:rsid w:val="000A35A7"/>
    <w:rsid w:val="000A43D4"/>
    <w:rsid w:val="000B06C7"/>
    <w:rsid w:val="000B0872"/>
    <w:rsid w:val="000C05FF"/>
    <w:rsid w:val="000C0E1A"/>
    <w:rsid w:val="000C44D5"/>
    <w:rsid w:val="000D0106"/>
    <w:rsid w:val="000D3312"/>
    <w:rsid w:val="000D435D"/>
    <w:rsid w:val="000D76D5"/>
    <w:rsid w:val="000E015E"/>
    <w:rsid w:val="000E10F5"/>
    <w:rsid w:val="000E3990"/>
    <w:rsid w:val="000F0769"/>
    <w:rsid w:val="000F11B3"/>
    <w:rsid w:val="000F49FD"/>
    <w:rsid w:val="000F79E3"/>
    <w:rsid w:val="001013A6"/>
    <w:rsid w:val="001033D1"/>
    <w:rsid w:val="00120748"/>
    <w:rsid w:val="00120C42"/>
    <w:rsid w:val="00120F8F"/>
    <w:rsid w:val="00124526"/>
    <w:rsid w:val="001249C8"/>
    <w:rsid w:val="00126A1D"/>
    <w:rsid w:val="00127806"/>
    <w:rsid w:val="00127F32"/>
    <w:rsid w:val="00133327"/>
    <w:rsid w:val="00133DFF"/>
    <w:rsid w:val="0013412D"/>
    <w:rsid w:val="00135304"/>
    <w:rsid w:val="001526F5"/>
    <w:rsid w:val="00152EA8"/>
    <w:rsid w:val="0015332C"/>
    <w:rsid w:val="00155BD4"/>
    <w:rsid w:val="00161233"/>
    <w:rsid w:val="00162F50"/>
    <w:rsid w:val="001640ED"/>
    <w:rsid w:val="00166096"/>
    <w:rsid w:val="00167963"/>
    <w:rsid w:val="001723E9"/>
    <w:rsid w:val="001761CE"/>
    <w:rsid w:val="00177559"/>
    <w:rsid w:val="00177FDD"/>
    <w:rsid w:val="001822C6"/>
    <w:rsid w:val="00182459"/>
    <w:rsid w:val="0018750E"/>
    <w:rsid w:val="00187621"/>
    <w:rsid w:val="0019152A"/>
    <w:rsid w:val="00192785"/>
    <w:rsid w:val="00192B9A"/>
    <w:rsid w:val="00192EBB"/>
    <w:rsid w:val="00193325"/>
    <w:rsid w:val="001936BD"/>
    <w:rsid w:val="00195679"/>
    <w:rsid w:val="001A3E0F"/>
    <w:rsid w:val="001A53A1"/>
    <w:rsid w:val="001A7EC4"/>
    <w:rsid w:val="001C4EEC"/>
    <w:rsid w:val="001D25B3"/>
    <w:rsid w:val="001D5103"/>
    <w:rsid w:val="001E1440"/>
    <w:rsid w:val="001E5097"/>
    <w:rsid w:val="001E6CDE"/>
    <w:rsid w:val="001E7EE3"/>
    <w:rsid w:val="001F120B"/>
    <w:rsid w:val="0020442A"/>
    <w:rsid w:val="002069F3"/>
    <w:rsid w:val="00210521"/>
    <w:rsid w:val="002125A6"/>
    <w:rsid w:val="002173E2"/>
    <w:rsid w:val="002214D9"/>
    <w:rsid w:val="002221DD"/>
    <w:rsid w:val="00223EDE"/>
    <w:rsid w:val="0022400D"/>
    <w:rsid w:val="002247E3"/>
    <w:rsid w:val="00225272"/>
    <w:rsid w:val="0022553A"/>
    <w:rsid w:val="00232989"/>
    <w:rsid w:val="002349F4"/>
    <w:rsid w:val="00235641"/>
    <w:rsid w:val="0023592A"/>
    <w:rsid w:val="00235A4D"/>
    <w:rsid w:val="00241955"/>
    <w:rsid w:val="00241E30"/>
    <w:rsid w:val="00243F1D"/>
    <w:rsid w:val="002445E2"/>
    <w:rsid w:val="00247575"/>
    <w:rsid w:val="00247689"/>
    <w:rsid w:val="00256047"/>
    <w:rsid w:val="00256BB2"/>
    <w:rsid w:val="00260BDF"/>
    <w:rsid w:val="00262397"/>
    <w:rsid w:val="00265101"/>
    <w:rsid w:val="00275C1F"/>
    <w:rsid w:val="0027719F"/>
    <w:rsid w:val="00277473"/>
    <w:rsid w:val="00280515"/>
    <w:rsid w:val="00280DD2"/>
    <w:rsid w:val="00282AF4"/>
    <w:rsid w:val="00284B5F"/>
    <w:rsid w:val="0029423A"/>
    <w:rsid w:val="002959E2"/>
    <w:rsid w:val="00296A21"/>
    <w:rsid w:val="002A3211"/>
    <w:rsid w:val="002A60A4"/>
    <w:rsid w:val="002B5B98"/>
    <w:rsid w:val="002B709C"/>
    <w:rsid w:val="002C32AD"/>
    <w:rsid w:val="002C7A02"/>
    <w:rsid w:val="002C7F95"/>
    <w:rsid w:val="002D0CF5"/>
    <w:rsid w:val="002D302B"/>
    <w:rsid w:val="002D4175"/>
    <w:rsid w:val="002D5377"/>
    <w:rsid w:val="002D5BD5"/>
    <w:rsid w:val="002D62EB"/>
    <w:rsid w:val="002E1AEF"/>
    <w:rsid w:val="002F3177"/>
    <w:rsid w:val="002F47A4"/>
    <w:rsid w:val="002F783C"/>
    <w:rsid w:val="00300FB5"/>
    <w:rsid w:val="00301AB1"/>
    <w:rsid w:val="0030579E"/>
    <w:rsid w:val="00310B0C"/>
    <w:rsid w:val="0031132A"/>
    <w:rsid w:val="00313034"/>
    <w:rsid w:val="00313A16"/>
    <w:rsid w:val="003169CD"/>
    <w:rsid w:val="003209DC"/>
    <w:rsid w:val="0033256C"/>
    <w:rsid w:val="003367F9"/>
    <w:rsid w:val="003452BC"/>
    <w:rsid w:val="00346242"/>
    <w:rsid w:val="00351FB8"/>
    <w:rsid w:val="0035568D"/>
    <w:rsid w:val="0035577C"/>
    <w:rsid w:val="00356F87"/>
    <w:rsid w:val="003607FC"/>
    <w:rsid w:val="00360EAE"/>
    <w:rsid w:val="00372A0B"/>
    <w:rsid w:val="0037692F"/>
    <w:rsid w:val="00376AD2"/>
    <w:rsid w:val="003770AA"/>
    <w:rsid w:val="00383E87"/>
    <w:rsid w:val="00385900"/>
    <w:rsid w:val="00385EAE"/>
    <w:rsid w:val="00393A3C"/>
    <w:rsid w:val="003A0E2A"/>
    <w:rsid w:val="003A4681"/>
    <w:rsid w:val="003A5B33"/>
    <w:rsid w:val="003A6960"/>
    <w:rsid w:val="003B0CA7"/>
    <w:rsid w:val="003C61A1"/>
    <w:rsid w:val="003C6C28"/>
    <w:rsid w:val="003C7A39"/>
    <w:rsid w:val="003D4A6D"/>
    <w:rsid w:val="003D72C6"/>
    <w:rsid w:val="003E06D4"/>
    <w:rsid w:val="003E102E"/>
    <w:rsid w:val="003E1BA2"/>
    <w:rsid w:val="003E272C"/>
    <w:rsid w:val="003E30EA"/>
    <w:rsid w:val="003E4C1F"/>
    <w:rsid w:val="003E7724"/>
    <w:rsid w:val="003F18CC"/>
    <w:rsid w:val="003F2F51"/>
    <w:rsid w:val="003F3E98"/>
    <w:rsid w:val="003F4C8C"/>
    <w:rsid w:val="003F6735"/>
    <w:rsid w:val="003F6FE9"/>
    <w:rsid w:val="00406B78"/>
    <w:rsid w:val="00416F73"/>
    <w:rsid w:val="004235F3"/>
    <w:rsid w:val="00426C56"/>
    <w:rsid w:val="00426E89"/>
    <w:rsid w:val="0042798F"/>
    <w:rsid w:val="00430C8E"/>
    <w:rsid w:val="004438E5"/>
    <w:rsid w:val="00446BEC"/>
    <w:rsid w:val="00447C69"/>
    <w:rsid w:val="00451601"/>
    <w:rsid w:val="00452867"/>
    <w:rsid w:val="004571A4"/>
    <w:rsid w:val="0046328F"/>
    <w:rsid w:val="00473780"/>
    <w:rsid w:val="00475C22"/>
    <w:rsid w:val="00481C23"/>
    <w:rsid w:val="00484E16"/>
    <w:rsid w:val="004865EA"/>
    <w:rsid w:val="00486F7E"/>
    <w:rsid w:val="004874DD"/>
    <w:rsid w:val="00491D08"/>
    <w:rsid w:val="00492B50"/>
    <w:rsid w:val="004A0CC0"/>
    <w:rsid w:val="004A1400"/>
    <w:rsid w:val="004A3156"/>
    <w:rsid w:val="004B2ACA"/>
    <w:rsid w:val="004B5898"/>
    <w:rsid w:val="004B5CF2"/>
    <w:rsid w:val="004B5D3D"/>
    <w:rsid w:val="004B7541"/>
    <w:rsid w:val="004C02CC"/>
    <w:rsid w:val="004D4019"/>
    <w:rsid w:val="004E6033"/>
    <w:rsid w:val="004E7952"/>
    <w:rsid w:val="004F0DC3"/>
    <w:rsid w:val="0050209B"/>
    <w:rsid w:val="00504FC0"/>
    <w:rsid w:val="0050606F"/>
    <w:rsid w:val="00506E9F"/>
    <w:rsid w:val="0051196E"/>
    <w:rsid w:val="00514515"/>
    <w:rsid w:val="005236B3"/>
    <w:rsid w:val="005244C8"/>
    <w:rsid w:val="00526961"/>
    <w:rsid w:val="00527A3C"/>
    <w:rsid w:val="005332F1"/>
    <w:rsid w:val="005374CD"/>
    <w:rsid w:val="00537939"/>
    <w:rsid w:val="00541352"/>
    <w:rsid w:val="00542410"/>
    <w:rsid w:val="005429BB"/>
    <w:rsid w:val="00550FB0"/>
    <w:rsid w:val="00551FA2"/>
    <w:rsid w:val="00553180"/>
    <w:rsid w:val="005549A8"/>
    <w:rsid w:val="00557AF5"/>
    <w:rsid w:val="00560B4A"/>
    <w:rsid w:val="005611F6"/>
    <w:rsid w:val="00564CB0"/>
    <w:rsid w:val="00566986"/>
    <w:rsid w:val="005669CF"/>
    <w:rsid w:val="0057068D"/>
    <w:rsid w:val="0057106D"/>
    <w:rsid w:val="0057685A"/>
    <w:rsid w:val="005818A7"/>
    <w:rsid w:val="00581FE0"/>
    <w:rsid w:val="00583BD6"/>
    <w:rsid w:val="00593C14"/>
    <w:rsid w:val="00593FFF"/>
    <w:rsid w:val="005A152A"/>
    <w:rsid w:val="005A2585"/>
    <w:rsid w:val="005A5089"/>
    <w:rsid w:val="005B53FB"/>
    <w:rsid w:val="005C15E9"/>
    <w:rsid w:val="005C3D0E"/>
    <w:rsid w:val="005C5DC0"/>
    <w:rsid w:val="005D2AA7"/>
    <w:rsid w:val="005D2C2B"/>
    <w:rsid w:val="005D584A"/>
    <w:rsid w:val="005E03DE"/>
    <w:rsid w:val="005E7ED7"/>
    <w:rsid w:val="005F14A1"/>
    <w:rsid w:val="005F685B"/>
    <w:rsid w:val="005F7DE5"/>
    <w:rsid w:val="00604D7D"/>
    <w:rsid w:val="0060554E"/>
    <w:rsid w:val="006129FE"/>
    <w:rsid w:val="0061331D"/>
    <w:rsid w:val="0061341F"/>
    <w:rsid w:val="00613E35"/>
    <w:rsid w:val="006228EC"/>
    <w:rsid w:val="00632C8E"/>
    <w:rsid w:val="006351FA"/>
    <w:rsid w:val="00635783"/>
    <w:rsid w:val="00636CA2"/>
    <w:rsid w:val="00640AFC"/>
    <w:rsid w:val="00641953"/>
    <w:rsid w:val="006422D5"/>
    <w:rsid w:val="006429EE"/>
    <w:rsid w:val="00646109"/>
    <w:rsid w:val="00646352"/>
    <w:rsid w:val="00653D43"/>
    <w:rsid w:val="00654244"/>
    <w:rsid w:val="006571B2"/>
    <w:rsid w:val="0066288E"/>
    <w:rsid w:val="00666461"/>
    <w:rsid w:val="00666BC5"/>
    <w:rsid w:val="00667FCD"/>
    <w:rsid w:val="00670DB8"/>
    <w:rsid w:val="00672419"/>
    <w:rsid w:val="00672B5B"/>
    <w:rsid w:val="00672C31"/>
    <w:rsid w:val="00676813"/>
    <w:rsid w:val="00677F27"/>
    <w:rsid w:val="00681544"/>
    <w:rsid w:val="006823B0"/>
    <w:rsid w:val="006839C7"/>
    <w:rsid w:val="006954F0"/>
    <w:rsid w:val="006970BC"/>
    <w:rsid w:val="00697E6A"/>
    <w:rsid w:val="006A060F"/>
    <w:rsid w:val="006A0AEE"/>
    <w:rsid w:val="006A0C79"/>
    <w:rsid w:val="006A3D32"/>
    <w:rsid w:val="006A7D40"/>
    <w:rsid w:val="006B2AEF"/>
    <w:rsid w:val="006B569D"/>
    <w:rsid w:val="006C3724"/>
    <w:rsid w:val="006C795D"/>
    <w:rsid w:val="006D2EE7"/>
    <w:rsid w:val="006D5DDA"/>
    <w:rsid w:val="006E7F81"/>
    <w:rsid w:val="006F23C0"/>
    <w:rsid w:val="006F2E6C"/>
    <w:rsid w:val="006F6E39"/>
    <w:rsid w:val="007034D1"/>
    <w:rsid w:val="0070596D"/>
    <w:rsid w:val="0071525B"/>
    <w:rsid w:val="00716756"/>
    <w:rsid w:val="00716994"/>
    <w:rsid w:val="00721BD4"/>
    <w:rsid w:val="00726932"/>
    <w:rsid w:val="007370E0"/>
    <w:rsid w:val="007372F8"/>
    <w:rsid w:val="00745B85"/>
    <w:rsid w:val="00747F0B"/>
    <w:rsid w:val="0075083E"/>
    <w:rsid w:val="0075197F"/>
    <w:rsid w:val="007530BF"/>
    <w:rsid w:val="00753C75"/>
    <w:rsid w:val="0075734B"/>
    <w:rsid w:val="007617FB"/>
    <w:rsid w:val="007642F2"/>
    <w:rsid w:val="007742BE"/>
    <w:rsid w:val="00776AA8"/>
    <w:rsid w:val="00785C2F"/>
    <w:rsid w:val="00786D4D"/>
    <w:rsid w:val="007A143B"/>
    <w:rsid w:val="007B150E"/>
    <w:rsid w:val="007B7747"/>
    <w:rsid w:val="007C16DB"/>
    <w:rsid w:val="007C3651"/>
    <w:rsid w:val="007C6453"/>
    <w:rsid w:val="007D3BFD"/>
    <w:rsid w:val="007E1B56"/>
    <w:rsid w:val="007E3599"/>
    <w:rsid w:val="007E5332"/>
    <w:rsid w:val="007E5B28"/>
    <w:rsid w:val="007E69A1"/>
    <w:rsid w:val="007E6DFF"/>
    <w:rsid w:val="007F2A39"/>
    <w:rsid w:val="008014FB"/>
    <w:rsid w:val="008034B2"/>
    <w:rsid w:val="00804133"/>
    <w:rsid w:val="008136EE"/>
    <w:rsid w:val="008176E2"/>
    <w:rsid w:val="008247B4"/>
    <w:rsid w:val="00842CE9"/>
    <w:rsid w:val="0084417F"/>
    <w:rsid w:val="008467FC"/>
    <w:rsid w:val="00846919"/>
    <w:rsid w:val="0085026F"/>
    <w:rsid w:val="008515C5"/>
    <w:rsid w:val="0085459B"/>
    <w:rsid w:val="00854908"/>
    <w:rsid w:val="00857418"/>
    <w:rsid w:val="00861398"/>
    <w:rsid w:val="00862324"/>
    <w:rsid w:val="0086329D"/>
    <w:rsid w:val="008657F3"/>
    <w:rsid w:val="00866062"/>
    <w:rsid w:val="00870DFE"/>
    <w:rsid w:val="008739EF"/>
    <w:rsid w:val="0087649F"/>
    <w:rsid w:val="00882A0B"/>
    <w:rsid w:val="00885B19"/>
    <w:rsid w:val="008939BB"/>
    <w:rsid w:val="00895394"/>
    <w:rsid w:val="00897E69"/>
    <w:rsid w:val="008A43A6"/>
    <w:rsid w:val="008B3689"/>
    <w:rsid w:val="008B5883"/>
    <w:rsid w:val="008B60A3"/>
    <w:rsid w:val="008C4E4F"/>
    <w:rsid w:val="008C7C00"/>
    <w:rsid w:val="008D24A6"/>
    <w:rsid w:val="008D2AB1"/>
    <w:rsid w:val="008D611D"/>
    <w:rsid w:val="008D7589"/>
    <w:rsid w:val="008E2877"/>
    <w:rsid w:val="008E43BA"/>
    <w:rsid w:val="008E5A16"/>
    <w:rsid w:val="008E6223"/>
    <w:rsid w:val="008E6A25"/>
    <w:rsid w:val="008F3456"/>
    <w:rsid w:val="008F3A0F"/>
    <w:rsid w:val="008F6456"/>
    <w:rsid w:val="00900EA6"/>
    <w:rsid w:val="009025E5"/>
    <w:rsid w:val="00902A09"/>
    <w:rsid w:val="009043E3"/>
    <w:rsid w:val="00904AF4"/>
    <w:rsid w:val="009060BC"/>
    <w:rsid w:val="009071D3"/>
    <w:rsid w:val="00912344"/>
    <w:rsid w:val="00913151"/>
    <w:rsid w:val="00922A88"/>
    <w:rsid w:val="00923434"/>
    <w:rsid w:val="009256B3"/>
    <w:rsid w:val="00931153"/>
    <w:rsid w:val="00934039"/>
    <w:rsid w:val="00934092"/>
    <w:rsid w:val="009342DF"/>
    <w:rsid w:val="009346DC"/>
    <w:rsid w:val="00935FF5"/>
    <w:rsid w:val="009453F1"/>
    <w:rsid w:val="00947BEF"/>
    <w:rsid w:val="00953F44"/>
    <w:rsid w:val="00961D35"/>
    <w:rsid w:val="00965921"/>
    <w:rsid w:val="00966087"/>
    <w:rsid w:val="00971B20"/>
    <w:rsid w:val="00971CAE"/>
    <w:rsid w:val="0097513F"/>
    <w:rsid w:val="00981251"/>
    <w:rsid w:val="00981E6E"/>
    <w:rsid w:val="00982072"/>
    <w:rsid w:val="00982413"/>
    <w:rsid w:val="00985B15"/>
    <w:rsid w:val="00986721"/>
    <w:rsid w:val="00990234"/>
    <w:rsid w:val="00994A7C"/>
    <w:rsid w:val="0099529B"/>
    <w:rsid w:val="00995E26"/>
    <w:rsid w:val="00995FCF"/>
    <w:rsid w:val="009A2118"/>
    <w:rsid w:val="009A220C"/>
    <w:rsid w:val="009A5BC9"/>
    <w:rsid w:val="009A60E8"/>
    <w:rsid w:val="009A694A"/>
    <w:rsid w:val="009B1489"/>
    <w:rsid w:val="009B1D40"/>
    <w:rsid w:val="009B1D47"/>
    <w:rsid w:val="009B393E"/>
    <w:rsid w:val="009B4765"/>
    <w:rsid w:val="009B63BD"/>
    <w:rsid w:val="009B7887"/>
    <w:rsid w:val="009C2C8A"/>
    <w:rsid w:val="009C3ECF"/>
    <w:rsid w:val="009D321C"/>
    <w:rsid w:val="009D3270"/>
    <w:rsid w:val="009F07FD"/>
    <w:rsid w:val="00A00F82"/>
    <w:rsid w:val="00A023C3"/>
    <w:rsid w:val="00A0673D"/>
    <w:rsid w:val="00A164B8"/>
    <w:rsid w:val="00A24B79"/>
    <w:rsid w:val="00A27D60"/>
    <w:rsid w:val="00A329BD"/>
    <w:rsid w:val="00A34BA1"/>
    <w:rsid w:val="00A40EC0"/>
    <w:rsid w:val="00A438A8"/>
    <w:rsid w:val="00A45709"/>
    <w:rsid w:val="00A47FFA"/>
    <w:rsid w:val="00A5106C"/>
    <w:rsid w:val="00A51FDA"/>
    <w:rsid w:val="00A533A0"/>
    <w:rsid w:val="00A546BB"/>
    <w:rsid w:val="00A60D61"/>
    <w:rsid w:val="00A644F3"/>
    <w:rsid w:val="00A66060"/>
    <w:rsid w:val="00A77CA9"/>
    <w:rsid w:val="00A82A03"/>
    <w:rsid w:val="00A83CF3"/>
    <w:rsid w:val="00A85FFB"/>
    <w:rsid w:val="00A86880"/>
    <w:rsid w:val="00AA3F77"/>
    <w:rsid w:val="00AA5226"/>
    <w:rsid w:val="00AA625E"/>
    <w:rsid w:val="00AA75DF"/>
    <w:rsid w:val="00AB0405"/>
    <w:rsid w:val="00AB3E87"/>
    <w:rsid w:val="00AC0ED3"/>
    <w:rsid w:val="00AC115C"/>
    <w:rsid w:val="00AC2351"/>
    <w:rsid w:val="00AC2AED"/>
    <w:rsid w:val="00AC3FD2"/>
    <w:rsid w:val="00AC48BD"/>
    <w:rsid w:val="00AC607D"/>
    <w:rsid w:val="00AC6AF2"/>
    <w:rsid w:val="00AC716E"/>
    <w:rsid w:val="00AC7684"/>
    <w:rsid w:val="00AD108B"/>
    <w:rsid w:val="00AD335B"/>
    <w:rsid w:val="00AD6FE2"/>
    <w:rsid w:val="00AE41BA"/>
    <w:rsid w:val="00AE5E4D"/>
    <w:rsid w:val="00AF2996"/>
    <w:rsid w:val="00AF3534"/>
    <w:rsid w:val="00AF3FE3"/>
    <w:rsid w:val="00B00FB3"/>
    <w:rsid w:val="00B01994"/>
    <w:rsid w:val="00B041FB"/>
    <w:rsid w:val="00B12B2D"/>
    <w:rsid w:val="00B136DA"/>
    <w:rsid w:val="00B15D42"/>
    <w:rsid w:val="00B15DB2"/>
    <w:rsid w:val="00B16965"/>
    <w:rsid w:val="00B24391"/>
    <w:rsid w:val="00B30B44"/>
    <w:rsid w:val="00B3658B"/>
    <w:rsid w:val="00B37F70"/>
    <w:rsid w:val="00B50539"/>
    <w:rsid w:val="00B509E9"/>
    <w:rsid w:val="00B56886"/>
    <w:rsid w:val="00B56B10"/>
    <w:rsid w:val="00B64A4A"/>
    <w:rsid w:val="00B77201"/>
    <w:rsid w:val="00B84EF8"/>
    <w:rsid w:val="00B8772F"/>
    <w:rsid w:val="00B943D5"/>
    <w:rsid w:val="00B9465E"/>
    <w:rsid w:val="00BA11A3"/>
    <w:rsid w:val="00BA4CAC"/>
    <w:rsid w:val="00BA4D16"/>
    <w:rsid w:val="00BB3A2B"/>
    <w:rsid w:val="00BB5515"/>
    <w:rsid w:val="00BB6B37"/>
    <w:rsid w:val="00BC70F9"/>
    <w:rsid w:val="00BD48A7"/>
    <w:rsid w:val="00BD7851"/>
    <w:rsid w:val="00BF5665"/>
    <w:rsid w:val="00BF695B"/>
    <w:rsid w:val="00C00C68"/>
    <w:rsid w:val="00C042DE"/>
    <w:rsid w:val="00C0473A"/>
    <w:rsid w:val="00C151CC"/>
    <w:rsid w:val="00C15564"/>
    <w:rsid w:val="00C15D15"/>
    <w:rsid w:val="00C32130"/>
    <w:rsid w:val="00C339EB"/>
    <w:rsid w:val="00C41212"/>
    <w:rsid w:val="00C44BA3"/>
    <w:rsid w:val="00C501B2"/>
    <w:rsid w:val="00C521AE"/>
    <w:rsid w:val="00C541E6"/>
    <w:rsid w:val="00C54F8D"/>
    <w:rsid w:val="00C566D3"/>
    <w:rsid w:val="00C56D3A"/>
    <w:rsid w:val="00C71FEF"/>
    <w:rsid w:val="00C72B9A"/>
    <w:rsid w:val="00C73D0C"/>
    <w:rsid w:val="00C8524F"/>
    <w:rsid w:val="00C87E60"/>
    <w:rsid w:val="00C906A1"/>
    <w:rsid w:val="00C942FA"/>
    <w:rsid w:val="00CA11CB"/>
    <w:rsid w:val="00CA1F85"/>
    <w:rsid w:val="00CA3A3D"/>
    <w:rsid w:val="00CA4479"/>
    <w:rsid w:val="00CA51B1"/>
    <w:rsid w:val="00CA6146"/>
    <w:rsid w:val="00CA7909"/>
    <w:rsid w:val="00CB1E40"/>
    <w:rsid w:val="00CB1F86"/>
    <w:rsid w:val="00CB726C"/>
    <w:rsid w:val="00CC4611"/>
    <w:rsid w:val="00CC5215"/>
    <w:rsid w:val="00CC6354"/>
    <w:rsid w:val="00CD07B0"/>
    <w:rsid w:val="00CD3F63"/>
    <w:rsid w:val="00CD6C67"/>
    <w:rsid w:val="00CE17D1"/>
    <w:rsid w:val="00CF3672"/>
    <w:rsid w:val="00D0457B"/>
    <w:rsid w:val="00D045AE"/>
    <w:rsid w:val="00D04BC4"/>
    <w:rsid w:val="00D05DD0"/>
    <w:rsid w:val="00D06C71"/>
    <w:rsid w:val="00D1297F"/>
    <w:rsid w:val="00D12DEC"/>
    <w:rsid w:val="00D14E3B"/>
    <w:rsid w:val="00D21EEE"/>
    <w:rsid w:val="00D31A13"/>
    <w:rsid w:val="00D340AC"/>
    <w:rsid w:val="00D401A7"/>
    <w:rsid w:val="00D427DA"/>
    <w:rsid w:val="00D4359A"/>
    <w:rsid w:val="00D46519"/>
    <w:rsid w:val="00D46B25"/>
    <w:rsid w:val="00D47702"/>
    <w:rsid w:val="00D47745"/>
    <w:rsid w:val="00D562C1"/>
    <w:rsid w:val="00D5721C"/>
    <w:rsid w:val="00D60C45"/>
    <w:rsid w:val="00D612D6"/>
    <w:rsid w:val="00D62602"/>
    <w:rsid w:val="00D62FE8"/>
    <w:rsid w:val="00D72F8C"/>
    <w:rsid w:val="00D73C00"/>
    <w:rsid w:val="00D80E0E"/>
    <w:rsid w:val="00D94090"/>
    <w:rsid w:val="00D967C6"/>
    <w:rsid w:val="00DA0334"/>
    <w:rsid w:val="00DA0C64"/>
    <w:rsid w:val="00DA5338"/>
    <w:rsid w:val="00DA5970"/>
    <w:rsid w:val="00DA5990"/>
    <w:rsid w:val="00DB2316"/>
    <w:rsid w:val="00DB3489"/>
    <w:rsid w:val="00DC032A"/>
    <w:rsid w:val="00DC0FC9"/>
    <w:rsid w:val="00DC1C50"/>
    <w:rsid w:val="00DC2023"/>
    <w:rsid w:val="00DC3CF6"/>
    <w:rsid w:val="00DC6082"/>
    <w:rsid w:val="00DD00AB"/>
    <w:rsid w:val="00DD243A"/>
    <w:rsid w:val="00DD4530"/>
    <w:rsid w:val="00DD6B08"/>
    <w:rsid w:val="00DE1093"/>
    <w:rsid w:val="00DE4079"/>
    <w:rsid w:val="00DF38F6"/>
    <w:rsid w:val="00DF540F"/>
    <w:rsid w:val="00E03E3F"/>
    <w:rsid w:val="00E04137"/>
    <w:rsid w:val="00E0652F"/>
    <w:rsid w:val="00E06DE4"/>
    <w:rsid w:val="00E07424"/>
    <w:rsid w:val="00E10113"/>
    <w:rsid w:val="00E10EE2"/>
    <w:rsid w:val="00E12BE3"/>
    <w:rsid w:val="00E13198"/>
    <w:rsid w:val="00E2133B"/>
    <w:rsid w:val="00E2740F"/>
    <w:rsid w:val="00E334AE"/>
    <w:rsid w:val="00E35604"/>
    <w:rsid w:val="00E4057B"/>
    <w:rsid w:val="00E4057D"/>
    <w:rsid w:val="00E40826"/>
    <w:rsid w:val="00E455AD"/>
    <w:rsid w:val="00E504F6"/>
    <w:rsid w:val="00E512FD"/>
    <w:rsid w:val="00E55BF4"/>
    <w:rsid w:val="00E63D47"/>
    <w:rsid w:val="00E730DE"/>
    <w:rsid w:val="00E74527"/>
    <w:rsid w:val="00E764DA"/>
    <w:rsid w:val="00E770C2"/>
    <w:rsid w:val="00E82260"/>
    <w:rsid w:val="00E8319D"/>
    <w:rsid w:val="00E85657"/>
    <w:rsid w:val="00E90935"/>
    <w:rsid w:val="00E95D46"/>
    <w:rsid w:val="00EA0F71"/>
    <w:rsid w:val="00EA6DAA"/>
    <w:rsid w:val="00EB1ABE"/>
    <w:rsid w:val="00EB547F"/>
    <w:rsid w:val="00EC20AC"/>
    <w:rsid w:val="00EC3EE6"/>
    <w:rsid w:val="00EC5025"/>
    <w:rsid w:val="00EC616E"/>
    <w:rsid w:val="00ED1A8E"/>
    <w:rsid w:val="00ED1F76"/>
    <w:rsid w:val="00ED540C"/>
    <w:rsid w:val="00ED72D8"/>
    <w:rsid w:val="00EE062E"/>
    <w:rsid w:val="00EE1537"/>
    <w:rsid w:val="00EE3786"/>
    <w:rsid w:val="00EE4378"/>
    <w:rsid w:val="00EE6A79"/>
    <w:rsid w:val="00EF58C0"/>
    <w:rsid w:val="00F01179"/>
    <w:rsid w:val="00F03912"/>
    <w:rsid w:val="00F112A1"/>
    <w:rsid w:val="00F11B33"/>
    <w:rsid w:val="00F17BF5"/>
    <w:rsid w:val="00F20A48"/>
    <w:rsid w:val="00F216E8"/>
    <w:rsid w:val="00F2657A"/>
    <w:rsid w:val="00F27E6D"/>
    <w:rsid w:val="00F34202"/>
    <w:rsid w:val="00F36199"/>
    <w:rsid w:val="00F37B4F"/>
    <w:rsid w:val="00F37FCF"/>
    <w:rsid w:val="00F40FF6"/>
    <w:rsid w:val="00F45385"/>
    <w:rsid w:val="00F4586E"/>
    <w:rsid w:val="00F54F29"/>
    <w:rsid w:val="00F600FC"/>
    <w:rsid w:val="00F60A7A"/>
    <w:rsid w:val="00F611A0"/>
    <w:rsid w:val="00F61D20"/>
    <w:rsid w:val="00F71D66"/>
    <w:rsid w:val="00F73096"/>
    <w:rsid w:val="00F73168"/>
    <w:rsid w:val="00F92F4E"/>
    <w:rsid w:val="00F94061"/>
    <w:rsid w:val="00F95C08"/>
    <w:rsid w:val="00F96194"/>
    <w:rsid w:val="00F97E5C"/>
    <w:rsid w:val="00FA18DC"/>
    <w:rsid w:val="00FA2D85"/>
    <w:rsid w:val="00FB4535"/>
    <w:rsid w:val="00FB53AA"/>
    <w:rsid w:val="00FB6446"/>
    <w:rsid w:val="00FC0773"/>
    <w:rsid w:val="00FC2976"/>
    <w:rsid w:val="00FC3FC5"/>
    <w:rsid w:val="00FC5059"/>
    <w:rsid w:val="00FC52FC"/>
    <w:rsid w:val="00FC7CA9"/>
    <w:rsid w:val="00FD10EB"/>
    <w:rsid w:val="00FD1E99"/>
    <w:rsid w:val="00FD2456"/>
    <w:rsid w:val="00FD58FF"/>
    <w:rsid w:val="00FE1DFD"/>
    <w:rsid w:val="00FE3FC1"/>
    <w:rsid w:val="00FE623D"/>
    <w:rsid w:val="00FF0BCC"/>
    <w:rsid w:val="00FF2010"/>
    <w:rsid w:val="00FF2F17"/>
    <w:rsid w:val="00FF5D7F"/>
    <w:rsid w:val="00FF6C8D"/>
    <w:rsid w:val="00FF6EFF"/>
    <w:rsid w:val="00FF6F37"/>
    <w:rsid w:val="044F9109"/>
    <w:rsid w:val="17FFA2C6"/>
    <w:rsid w:val="44026B05"/>
    <w:rsid w:val="5B626AE9"/>
    <w:rsid w:val="5E9A0BAB"/>
    <w:rsid w:val="75275E7F"/>
    <w:rsid w:val="756B267E"/>
    <w:rsid w:val="76C32EE0"/>
    <w:rsid w:val="7D680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DBA92"/>
  <w15:chartTrackingRefBased/>
  <w15:docId w15:val="{FCB6D669-453B-4D4C-979F-FC494E343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052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C3EE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C505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A4C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CAC"/>
  </w:style>
  <w:style w:type="character" w:styleId="LineNumber">
    <w:name w:val="line number"/>
    <w:basedOn w:val="DefaultParagraphFont"/>
    <w:uiPriority w:val="99"/>
    <w:semiHidden/>
    <w:unhideWhenUsed/>
    <w:rsid w:val="00BA4CAC"/>
  </w:style>
  <w:style w:type="paragraph" w:styleId="Header">
    <w:name w:val="header"/>
    <w:basedOn w:val="Normal"/>
    <w:link w:val="HeaderChar"/>
    <w:uiPriority w:val="99"/>
    <w:unhideWhenUsed/>
    <w:rsid w:val="009820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072"/>
  </w:style>
  <w:style w:type="character" w:styleId="Hyperlink">
    <w:name w:val="Hyperlink"/>
    <w:basedOn w:val="DefaultParagraphFont"/>
    <w:uiPriority w:val="99"/>
    <w:unhideWhenUsed/>
    <w:rsid w:val="00E03E3F"/>
    <w:rPr>
      <w:color w:val="0563C1" w:themeColor="hyperlink"/>
      <w:u w:val="single"/>
    </w:rPr>
  </w:style>
  <w:style w:type="paragraph" w:customStyle="1" w:styleId="paragraph">
    <w:name w:val="paragraph"/>
    <w:basedOn w:val="Normal"/>
    <w:rsid w:val="009A22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A220C"/>
  </w:style>
  <w:style w:type="character" w:customStyle="1" w:styleId="eop">
    <w:name w:val="eop"/>
    <w:basedOn w:val="DefaultParagraphFont"/>
    <w:rsid w:val="009A220C"/>
  </w:style>
  <w:style w:type="character" w:customStyle="1" w:styleId="Heading1Char">
    <w:name w:val="Heading 1 Char"/>
    <w:basedOn w:val="DefaultParagraphFont"/>
    <w:link w:val="Heading1"/>
    <w:uiPriority w:val="9"/>
    <w:rsid w:val="0021052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10521"/>
    <w:pPr>
      <w:outlineLvl w:val="9"/>
    </w:pPr>
  </w:style>
  <w:style w:type="character" w:styleId="UnresolvedMention">
    <w:name w:val="Unresolved Mention"/>
    <w:basedOn w:val="DefaultParagraphFont"/>
    <w:uiPriority w:val="99"/>
    <w:semiHidden/>
    <w:unhideWhenUsed/>
    <w:rsid w:val="00AF3FE3"/>
    <w:rPr>
      <w:color w:val="605E5C"/>
      <w:shd w:val="clear" w:color="auto" w:fill="E1DFDD"/>
    </w:rPr>
  </w:style>
  <w:style w:type="paragraph" w:styleId="BalloonText">
    <w:name w:val="Balloon Text"/>
    <w:basedOn w:val="Normal"/>
    <w:link w:val="BalloonTextChar"/>
    <w:uiPriority w:val="99"/>
    <w:semiHidden/>
    <w:unhideWhenUsed/>
    <w:rsid w:val="007642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42F2"/>
    <w:rPr>
      <w:rFonts w:ascii="Segoe UI" w:hAnsi="Segoe UI" w:cs="Segoe UI"/>
      <w:sz w:val="18"/>
      <w:szCs w:val="18"/>
    </w:rPr>
  </w:style>
  <w:style w:type="table" w:styleId="TableGrid">
    <w:name w:val="Table Grid"/>
    <w:basedOn w:val="TableNormal"/>
    <w:uiPriority w:val="39"/>
    <w:rsid w:val="00BF69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6422D5"/>
    <w:pPr>
      <w:spacing w:after="100"/>
      <w:ind w:left="220"/>
    </w:pPr>
    <w:rPr>
      <w:rFonts w:eastAsiaTheme="minorEastAsia" w:cs="Times New Roman"/>
    </w:rPr>
  </w:style>
  <w:style w:type="paragraph" w:styleId="TOC1">
    <w:name w:val="toc 1"/>
    <w:basedOn w:val="Normal"/>
    <w:next w:val="Normal"/>
    <w:autoRedefine/>
    <w:uiPriority w:val="39"/>
    <w:unhideWhenUsed/>
    <w:rsid w:val="004235F3"/>
    <w:pPr>
      <w:tabs>
        <w:tab w:val="right" w:leader="dot" w:pos="9350"/>
      </w:tabs>
      <w:spacing w:after="100"/>
    </w:pPr>
    <w:rPr>
      <w:rFonts w:eastAsiaTheme="minorEastAsia" w:cs="Times New Roman"/>
      <w:bCs/>
    </w:rPr>
  </w:style>
  <w:style w:type="paragraph" w:styleId="TOC3">
    <w:name w:val="toc 3"/>
    <w:basedOn w:val="Normal"/>
    <w:next w:val="Normal"/>
    <w:autoRedefine/>
    <w:uiPriority w:val="39"/>
    <w:unhideWhenUsed/>
    <w:rsid w:val="006422D5"/>
    <w:pPr>
      <w:spacing w:after="100"/>
      <w:ind w:left="440"/>
    </w:pPr>
    <w:rPr>
      <w:rFonts w:eastAsiaTheme="minorEastAsia" w:cs="Times New Roman"/>
    </w:rPr>
  </w:style>
  <w:style w:type="character" w:customStyle="1" w:styleId="Heading2Char">
    <w:name w:val="Heading 2 Char"/>
    <w:basedOn w:val="DefaultParagraphFont"/>
    <w:link w:val="Heading2"/>
    <w:uiPriority w:val="9"/>
    <w:rsid w:val="00EC3EE6"/>
    <w:rPr>
      <w:rFonts w:asciiTheme="majorHAnsi" w:eastAsiaTheme="majorEastAsia" w:hAnsiTheme="majorHAnsi" w:cstheme="majorBidi"/>
      <w:color w:val="2F5496" w:themeColor="accent1" w:themeShade="BF"/>
      <w:sz w:val="26"/>
      <w:szCs w:val="26"/>
    </w:rPr>
  </w:style>
  <w:style w:type="paragraph" w:styleId="Caption">
    <w:name w:val="caption"/>
    <w:basedOn w:val="Normal"/>
    <w:next w:val="Normal"/>
    <w:uiPriority w:val="35"/>
    <w:unhideWhenUsed/>
    <w:qFormat/>
    <w:rsid w:val="00DA0C64"/>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3E4C1F"/>
    <w:pPr>
      <w:spacing w:after="0"/>
    </w:pPr>
  </w:style>
  <w:style w:type="character" w:customStyle="1" w:styleId="Heading3Char">
    <w:name w:val="Heading 3 Char"/>
    <w:basedOn w:val="DefaultParagraphFont"/>
    <w:link w:val="Heading3"/>
    <w:uiPriority w:val="9"/>
    <w:rsid w:val="00FC5059"/>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484257">
      <w:bodyDiv w:val="1"/>
      <w:marLeft w:val="0"/>
      <w:marRight w:val="0"/>
      <w:marTop w:val="0"/>
      <w:marBottom w:val="0"/>
      <w:divBdr>
        <w:top w:val="none" w:sz="0" w:space="0" w:color="auto"/>
        <w:left w:val="none" w:sz="0" w:space="0" w:color="auto"/>
        <w:bottom w:val="none" w:sz="0" w:space="0" w:color="auto"/>
        <w:right w:val="none" w:sz="0" w:space="0" w:color="auto"/>
      </w:divBdr>
      <w:divsChild>
        <w:div w:id="206258671">
          <w:marLeft w:val="0"/>
          <w:marRight w:val="0"/>
          <w:marTop w:val="0"/>
          <w:marBottom w:val="0"/>
          <w:divBdr>
            <w:top w:val="none" w:sz="0" w:space="0" w:color="auto"/>
            <w:left w:val="none" w:sz="0" w:space="0" w:color="auto"/>
            <w:bottom w:val="none" w:sz="0" w:space="0" w:color="auto"/>
            <w:right w:val="none" w:sz="0" w:space="0" w:color="auto"/>
          </w:divBdr>
          <w:divsChild>
            <w:div w:id="1691225656">
              <w:marLeft w:val="0"/>
              <w:marRight w:val="0"/>
              <w:marTop w:val="0"/>
              <w:marBottom w:val="0"/>
              <w:divBdr>
                <w:top w:val="none" w:sz="0" w:space="0" w:color="auto"/>
                <w:left w:val="none" w:sz="0" w:space="0" w:color="auto"/>
                <w:bottom w:val="none" w:sz="0" w:space="0" w:color="auto"/>
                <w:right w:val="none" w:sz="0" w:space="0" w:color="auto"/>
              </w:divBdr>
              <w:divsChild>
                <w:div w:id="151283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13764">
      <w:bodyDiv w:val="1"/>
      <w:marLeft w:val="0"/>
      <w:marRight w:val="0"/>
      <w:marTop w:val="0"/>
      <w:marBottom w:val="0"/>
      <w:divBdr>
        <w:top w:val="none" w:sz="0" w:space="0" w:color="auto"/>
        <w:left w:val="none" w:sz="0" w:space="0" w:color="auto"/>
        <w:bottom w:val="none" w:sz="0" w:space="0" w:color="auto"/>
        <w:right w:val="none" w:sz="0" w:space="0" w:color="auto"/>
      </w:divBdr>
      <w:divsChild>
        <w:div w:id="689111487">
          <w:marLeft w:val="0"/>
          <w:marRight w:val="0"/>
          <w:marTop w:val="0"/>
          <w:marBottom w:val="0"/>
          <w:divBdr>
            <w:top w:val="none" w:sz="0" w:space="0" w:color="auto"/>
            <w:left w:val="none" w:sz="0" w:space="0" w:color="auto"/>
            <w:bottom w:val="none" w:sz="0" w:space="0" w:color="auto"/>
            <w:right w:val="none" w:sz="0" w:space="0" w:color="auto"/>
          </w:divBdr>
          <w:divsChild>
            <w:div w:id="1841659407">
              <w:marLeft w:val="0"/>
              <w:marRight w:val="0"/>
              <w:marTop w:val="0"/>
              <w:marBottom w:val="0"/>
              <w:divBdr>
                <w:top w:val="none" w:sz="0" w:space="0" w:color="auto"/>
                <w:left w:val="none" w:sz="0" w:space="0" w:color="auto"/>
                <w:bottom w:val="none" w:sz="0" w:space="0" w:color="auto"/>
                <w:right w:val="none" w:sz="0" w:space="0" w:color="auto"/>
              </w:divBdr>
              <w:divsChild>
                <w:div w:id="1587812026">
                  <w:marLeft w:val="0"/>
                  <w:marRight w:val="0"/>
                  <w:marTop w:val="0"/>
                  <w:marBottom w:val="0"/>
                  <w:divBdr>
                    <w:top w:val="none" w:sz="0" w:space="0" w:color="auto"/>
                    <w:left w:val="none" w:sz="0" w:space="0" w:color="auto"/>
                    <w:bottom w:val="none" w:sz="0" w:space="0" w:color="auto"/>
                    <w:right w:val="none" w:sz="0" w:space="0" w:color="auto"/>
                  </w:divBdr>
                  <w:divsChild>
                    <w:div w:id="2074347507">
                      <w:marLeft w:val="0"/>
                      <w:marRight w:val="0"/>
                      <w:marTop w:val="0"/>
                      <w:marBottom w:val="0"/>
                      <w:divBdr>
                        <w:top w:val="none" w:sz="0" w:space="0" w:color="auto"/>
                        <w:left w:val="none" w:sz="0" w:space="0" w:color="auto"/>
                        <w:bottom w:val="none" w:sz="0" w:space="0" w:color="auto"/>
                        <w:right w:val="none" w:sz="0" w:space="0" w:color="auto"/>
                      </w:divBdr>
                      <w:divsChild>
                        <w:div w:id="1380937175">
                          <w:marLeft w:val="0"/>
                          <w:marRight w:val="0"/>
                          <w:marTop w:val="0"/>
                          <w:marBottom w:val="0"/>
                          <w:divBdr>
                            <w:top w:val="none" w:sz="0" w:space="0" w:color="auto"/>
                            <w:left w:val="none" w:sz="0" w:space="0" w:color="auto"/>
                            <w:bottom w:val="none" w:sz="0" w:space="0" w:color="auto"/>
                            <w:right w:val="none" w:sz="0" w:space="0" w:color="auto"/>
                          </w:divBdr>
                        </w:div>
                      </w:divsChild>
                    </w:div>
                    <w:div w:id="1342970577">
                      <w:marLeft w:val="0"/>
                      <w:marRight w:val="0"/>
                      <w:marTop w:val="0"/>
                      <w:marBottom w:val="0"/>
                      <w:divBdr>
                        <w:top w:val="none" w:sz="0" w:space="0" w:color="auto"/>
                        <w:left w:val="none" w:sz="0" w:space="0" w:color="auto"/>
                        <w:bottom w:val="none" w:sz="0" w:space="0" w:color="auto"/>
                        <w:right w:val="none" w:sz="0" w:space="0" w:color="auto"/>
                      </w:divBdr>
                      <w:divsChild>
                        <w:div w:id="25369944">
                          <w:marLeft w:val="0"/>
                          <w:marRight w:val="0"/>
                          <w:marTop w:val="0"/>
                          <w:marBottom w:val="0"/>
                          <w:divBdr>
                            <w:top w:val="none" w:sz="0" w:space="0" w:color="auto"/>
                            <w:left w:val="none" w:sz="0" w:space="0" w:color="auto"/>
                            <w:bottom w:val="none" w:sz="0" w:space="0" w:color="auto"/>
                            <w:right w:val="none" w:sz="0" w:space="0" w:color="auto"/>
                          </w:divBdr>
                        </w:div>
                      </w:divsChild>
                    </w:div>
                    <w:div w:id="993531038">
                      <w:marLeft w:val="0"/>
                      <w:marRight w:val="0"/>
                      <w:marTop w:val="0"/>
                      <w:marBottom w:val="0"/>
                      <w:divBdr>
                        <w:top w:val="none" w:sz="0" w:space="0" w:color="auto"/>
                        <w:left w:val="none" w:sz="0" w:space="0" w:color="auto"/>
                        <w:bottom w:val="none" w:sz="0" w:space="0" w:color="auto"/>
                        <w:right w:val="none" w:sz="0" w:space="0" w:color="auto"/>
                      </w:divBdr>
                      <w:divsChild>
                        <w:div w:id="1530408191">
                          <w:marLeft w:val="0"/>
                          <w:marRight w:val="0"/>
                          <w:marTop w:val="0"/>
                          <w:marBottom w:val="0"/>
                          <w:divBdr>
                            <w:top w:val="none" w:sz="0" w:space="0" w:color="auto"/>
                            <w:left w:val="none" w:sz="0" w:space="0" w:color="auto"/>
                            <w:bottom w:val="none" w:sz="0" w:space="0" w:color="auto"/>
                            <w:right w:val="none" w:sz="0" w:space="0" w:color="auto"/>
                          </w:divBdr>
                        </w:div>
                      </w:divsChild>
                    </w:div>
                    <w:div w:id="1430589851">
                      <w:marLeft w:val="0"/>
                      <w:marRight w:val="0"/>
                      <w:marTop w:val="0"/>
                      <w:marBottom w:val="0"/>
                      <w:divBdr>
                        <w:top w:val="none" w:sz="0" w:space="0" w:color="auto"/>
                        <w:left w:val="none" w:sz="0" w:space="0" w:color="auto"/>
                        <w:bottom w:val="none" w:sz="0" w:space="0" w:color="auto"/>
                        <w:right w:val="none" w:sz="0" w:space="0" w:color="auto"/>
                      </w:divBdr>
                      <w:divsChild>
                        <w:div w:id="224338458">
                          <w:marLeft w:val="0"/>
                          <w:marRight w:val="0"/>
                          <w:marTop w:val="0"/>
                          <w:marBottom w:val="0"/>
                          <w:divBdr>
                            <w:top w:val="none" w:sz="0" w:space="0" w:color="auto"/>
                            <w:left w:val="none" w:sz="0" w:space="0" w:color="auto"/>
                            <w:bottom w:val="none" w:sz="0" w:space="0" w:color="auto"/>
                            <w:right w:val="none" w:sz="0" w:space="0" w:color="auto"/>
                          </w:divBdr>
                        </w:div>
                      </w:divsChild>
                    </w:div>
                    <w:div w:id="1364868516">
                      <w:marLeft w:val="0"/>
                      <w:marRight w:val="0"/>
                      <w:marTop w:val="0"/>
                      <w:marBottom w:val="0"/>
                      <w:divBdr>
                        <w:top w:val="none" w:sz="0" w:space="0" w:color="auto"/>
                        <w:left w:val="none" w:sz="0" w:space="0" w:color="auto"/>
                        <w:bottom w:val="none" w:sz="0" w:space="0" w:color="auto"/>
                        <w:right w:val="none" w:sz="0" w:space="0" w:color="auto"/>
                      </w:divBdr>
                      <w:divsChild>
                        <w:div w:id="1741828245">
                          <w:marLeft w:val="0"/>
                          <w:marRight w:val="0"/>
                          <w:marTop w:val="0"/>
                          <w:marBottom w:val="0"/>
                          <w:divBdr>
                            <w:top w:val="none" w:sz="0" w:space="0" w:color="auto"/>
                            <w:left w:val="none" w:sz="0" w:space="0" w:color="auto"/>
                            <w:bottom w:val="none" w:sz="0" w:space="0" w:color="auto"/>
                            <w:right w:val="none" w:sz="0" w:space="0" w:color="auto"/>
                          </w:divBdr>
                        </w:div>
                      </w:divsChild>
                    </w:div>
                    <w:div w:id="1750080944">
                      <w:marLeft w:val="0"/>
                      <w:marRight w:val="0"/>
                      <w:marTop w:val="0"/>
                      <w:marBottom w:val="0"/>
                      <w:divBdr>
                        <w:top w:val="none" w:sz="0" w:space="0" w:color="auto"/>
                        <w:left w:val="none" w:sz="0" w:space="0" w:color="auto"/>
                        <w:bottom w:val="none" w:sz="0" w:space="0" w:color="auto"/>
                        <w:right w:val="none" w:sz="0" w:space="0" w:color="auto"/>
                      </w:divBdr>
                      <w:divsChild>
                        <w:div w:id="1278097605">
                          <w:marLeft w:val="0"/>
                          <w:marRight w:val="0"/>
                          <w:marTop w:val="0"/>
                          <w:marBottom w:val="0"/>
                          <w:divBdr>
                            <w:top w:val="none" w:sz="0" w:space="0" w:color="auto"/>
                            <w:left w:val="none" w:sz="0" w:space="0" w:color="auto"/>
                            <w:bottom w:val="none" w:sz="0" w:space="0" w:color="auto"/>
                            <w:right w:val="none" w:sz="0" w:space="0" w:color="auto"/>
                          </w:divBdr>
                        </w:div>
                      </w:divsChild>
                    </w:div>
                    <w:div w:id="1210528792">
                      <w:marLeft w:val="0"/>
                      <w:marRight w:val="0"/>
                      <w:marTop w:val="0"/>
                      <w:marBottom w:val="0"/>
                      <w:divBdr>
                        <w:top w:val="none" w:sz="0" w:space="0" w:color="auto"/>
                        <w:left w:val="none" w:sz="0" w:space="0" w:color="auto"/>
                        <w:bottom w:val="none" w:sz="0" w:space="0" w:color="auto"/>
                        <w:right w:val="none" w:sz="0" w:space="0" w:color="auto"/>
                      </w:divBdr>
                      <w:divsChild>
                        <w:div w:id="1745910017">
                          <w:marLeft w:val="0"/>
                          <w:marRight w:val="0"/>
                          <w:marTop w:val="0"/>
                          <w:marBottom w:val="0"/>
                          <w:divBdr>
                            <w:top w:val="none" w:sz="0" w:space="0" w:color="auto"/>
                            <w:left w:val="none" w:sz="0" w:space="0" w:color="auto"/>
                            <w:bottom w:val="none" w:sz="0" w:space="0" w:color="auto"/>
                            <w:right w:val="none" w:sz="0" w:space="0" w:color="auto"/>
                          </w:divBdr>
                        </w:div>
                      </w:divsChild>
                    </w:div>
                    <w:div w:id="1190415466">
                      <w:marLeft w:val="0"/>
                      <w:marRight w:val="0"/>
                      <w:marTop w:val="0"/>
                      <w:marBottom w:val="0"/>
                      <w:divBdr>
                        <w:top w:val="none" w:sz="0" w:space="0" w:color="auto"/>
                        <w:left w:val="none" w:sz="0" w:space="0" w:color="auto"/>
                        <w:bottom w:val="none" w:sz="0" w:space="0" w:color="auto"/>
                        <w:right w:val="none" w:sz="0" w:space="0" w:color="auto"/>
                      </w:divBdr>
                      <w:divsChild>
                        <w:div w:id="639841372">
                          <w:marLeft w:val="0"/>
                          <w:marRight w:val="0"/>
                          <w:marTop w:val="0"/>
                          <w:marBottom w:val="0"/>
                          <w:divBdr>
                            <w:top w:val="none" w:sz="0" w:space="0" w:color="auto"/>
                            <w:left w:val="none" w:sz="0" w:space="0" w:color="auto"/>
                            <w:bottom w:val="none" w:sz="0" w:space="0" w:color="auto"/>
                            <w:right w:val="none" w:sz="0" w:space="0" w:color="auto"/>
                          </w:divBdr>
                        </w:div>
                      </w:divsChild>
                    </w:div>
                    <w:div w:id="1082336520">
                      <w:marLeft w:val="0"/>
                      <w:marRight w:val="0"/>
                      <w:marTop w:val="0"/>
                      <w:marBottom w:val="0"/>
                      <w:divBdr>
                        <w:top w:val="none" w:sz="0" w:space="0" w:color="auto"/>
                        <w:left w:val="none" w:sz="0" w:space="0" w:color="auto"/>
                        <w:bottom w:val="none" w:sz="0" w:space="0" w:color="auto"/>
                        <w:right w:val="none" w:sz="0" w:space="0" w:color="auto"/>
                      </w:divBdr>
                      <w:divsChild>
                        <w:div w:id="182979042">
                          <w:marLeft w:val="0"/>
                          <w:marRight w:val="0"/>
                          <w:marTop w:val="0"/>
                          <w:marBottom w:val="0"/>
                          <w:divBdr>
                            <w:top w:val="none" w:sz="0" w:space="0" w:color="auto"/>
                            <w:left w:val="none" w:sz="0" w:space="0" w:color="auto"/>
                            <w:bottom w:val="none" w:sz="0" w:space="0" w:color="auto"/>
                            <w:right w:val="none" w:sz="0" w:space="0" w:color="auto"/>
                          </w:divBdr>
                        </w:div>
                      </w:divsChild>
                    </w:div>
                    <w:div w:id="72512454">
                      <w:marLeft w:val="0"/>
                      <w:marRight w:val="0"/>
                      <w:marTop w:val="0"/>
                      <w:marBottom w:val="0"/>
                      <w:divBdr>
                        <w:top w:val="none" w:sz="0" w:space="0" w:color="auto"/>
                        <w:left w:val="none" w:sz="0" w:space="0" w:color="auto"/>
                        <w:bottom w:val="none" w:sz="0" w:space="0" w:color="auto"/>
                        <w:right w:val="none" w:sz="0" w:space="0" w:color="auto"/>
                      </w:divBdr>
                      <w:divsChild>
                        <w:div w:id="843516685">
                          <w:marLeft w:val="0"/>
                          <w:marRight w:val="0"/>
                          <w:marTop w:val="0"/>
                          <w:marBottom w:val="0"/>
                          <w:divBdr>
                            <w:top w:val="none" w:sz="0" w:space="0" w:color="auto"/>
                            <w:left w:val="none" w:sz="0" w:space="0" w:color="auto"/>
                            <w:bottom w:val="none" w:sz="0" w:space="0" w:color="auto"/>
                            <w:right w:val="none" w:sz="0" w:space="0" w:color="auto"/>
                          </w:divBdr>
                        </w:div>
                      </w:divsChild>
                    </w:div>
                    <w:div w:id="251090140">
                      <w:marLeft w:val="0"/>
                      <w:marRight w:val="0"/>
                      <w:marTop w:val="0"/>
                      <w:marBottom w:val="0"/>
                      <w:divBdr>
                        <w:top w:val="none" w:sz="0" w:space="0" w:color="auto"/>
                        <w:left w:val="none" w:sz="0" w:space="0" w:color="auto"/>
                        <w:bottom w:val="none" w:sz="0" w:space="0" w:color="auto"/>
                        <w:right w:val="none" w:sz="0" w:space="0" w:color="auto"/>
                      </w:divBdr>
                      <w:divsChild>
                        <w:div w:id="446891519">
                          <w:marLeft w:val="0"/>
                          <w:marRight w:val="0"/>
                          <w:marTop w:val="0"/>
                          <w:marBottom w:val="0"/>
                          <w:divBdr>
                            <w:top w:val="none" w:sz="0" w:space="0" w:color="auto"/>
                            <w:left w:val="none" w:sz="0" w:space="0" w:color="auto"/>
                            <w:bottom w:val="none" w:sz="0" w:space="0" w:color="auto"/>
                            <w:right w:val="none" w:sz="0" w:space="0" w:color="auto"/>
                          </w:divBdr>
                        </w:div>
                      </w:divsChild>
                    </w:div>
                    <w:div w:id="1456682618">
                      <w:marLeft w:val="0"/>
                      <w:marRight w:val="0"/>
                      <w:marTop w:val="0"/>
                      <w:marBottom w:val="0"/>
                      <w:divBdr>
                        <w:top w:val="none" w:sz="0" w:space="0" w:color="auto"/>
                        <w:left w:val="none" w:sz="0" w:space="0" w:color="auto"/>
                        <w:bottom w:val="none" w:sz="0" w:space="0" w:color="auto"/>
                        <w:right w:val="none" w:sz="0" w:space="0" w:color="auto"/>
                      </w:divBdr>
                      <w:divsChild>
                        <w:div w:id="285695602">
                          <w:marLeft w:val="0"/>
                          <w:marRight w:val="0"/>
                          <w:marTop w:val="0"/>
                          <w:marBottom w:val="0"/>
                          <w:divBdr>
                            <w:top w:val="none" w:sz="0" w:space="0" w:color="auto"/>
                            <w:left w:val="none" w:sz="0" w:space="0" w:color="auto"/>
                            <w:bottom w:val="none" w:sz="0" w:space="0" w:color="auto"/>
                            <w:right w:val="none" w:sz="0" w:space="0" w:color="auto"/>
                          </w:divBdr>
                        </w:div>
                      </w:divsChild>
                    </w:div>
                    <w:div w:id="1094938053">
                      <w:marLeft w:val="0"/>
                      <w:marRight w:val="0"/>
                      <w:marTop w:val="0"/>
                      <w:marBottom w:val="0"/>
                      <w:divBdr>
                        <w:top w:val="none" w:sz="0" w:space="0" w:color="auto"/>
                        <w:left w:val="none" w:sz="0" w:space="0" w:color="auto"/>
                        <w:bottom w:val="none" w:sz="0" w:space="0" w:color="auto"/>
                        <w:right w:val="none" w:sz="0" w:space="0" w:color="auto"/>
                      </w:divBdr>
                      <w:divsChild>
                        <w:div w:id="1927225548">
                          <w:marLeft w:val="0"/>
                          <w:marRight w:val="0"/>
                          <w:marTop w:val="0"/>
                          <w:marBottom w:val="0"/>
                          <w:divBdr>
                            <w:top w:val="none" w:sz="0" w:space="0" w:color="auto"/>
                            <w:left w:val="none" w:sz="0" w:space="0" w:color="auto"/>
                            <w:bottom w:val="none" w:sz="0" w:space="0" w:color="auto"/>
                            <w:right w:val="none" w:sz="0" w:space="0" w:color="auto"/>
                          </w:divBdr>
                        </w:div>
                      </w:divsChild>
                    </w:div>
                    <w:div w:id="519853744">
                      <w:marLeft w:val="0"/>
                      <w:marRight w:val="0"/>
                      <w:marTop w:val="0"/>
                      <w:marBottom w:val="0"/>
                      <w:divBdr>
                        <w:top w:val="none" w:sz="0" w:space="0" w:color="auto"/>
                        <w:left w:val="none" w:sz="0" w:space="0" w:color="auto"/>
                        <w:bottom w:val="none" w:sz="0" w:space="0" w:color="auto"/>
                        <w:right w:val="none" w:sz="0" w:space="0" w:color="auto"/>
                      </w:divBdr>
                      <w:divsChild>
                        <w:div w:id="994261557">
                          <w:marLeft w:val="0"/>
                          <w:marRight w:val="0"/>
                          <w:marTop w:val="0"/>
                          <w:marBottom w:val="0"/>
                          <w:divBdr>
                            <w:top w:val="none" w:sz="0" w:space="0" w:color="auto"/>
                            <w:left w:val="none" w:sz="0" w:space="0" w:color="auto"/>
                            <w:bottom w:val="none" w:sz="0" w:space="0" w:color="auto"/>
                            <w:right w:val="none" w:sz="0" w:space="0" w:color="auto"/>
                          </w:divBdr>
                        </w:div>
                      </w:divsChild>
                    </w:div>
                    <w:div w:id="1042708230">
                      <w:marLeft w:val="0"/>
                      <w:marRight w:val="0"/>
                      <w:marTop w:val="0"/>
                      <w:marBottom w:val="0"/>
                      <w:divBdr>
                        <w:top w:val="none" w:sz="0" w:space="0" w:color="auto"/>
                        <w:left w:val="none" w:sz="0" w:space="0" w:color="auto"/>
                        <w:bottom w:val="none" w:sz="0" w:space="0" w:color="auto"/>
                        <w:right w:val="none" w:sz="0" w:space="0" w:color="auto"/>
                      </w:divBdr>
                      <w:divsChild>
                        <w:div w:id="1181817733">
                          <w:marLeft w:val="0"/>
                          <w:marRight w:val="0"/>
                          <w:marTop w:val="0"/>
                          <w:marBottom w:val="0"/>
                          <w:divBdr>
                            <w:top w:val="none" w:sz="0" w:space="0" w:color="auto"/>
                            <w:left w:val="none" w:sz="0" w:space="0" w:color="auto"/>
                            <w:bottom w:val="none" w:sz="0" w:space="0" w:color="auto"/>
                            <w:right w:val="none" w:sz="0" w:space="0" w:color="auto"/>
                          </w:divBdr>
                        </w:div>
                      </w:divsChild>
                    </w:div>
                    <w:div w:id="1005011281">
                      <w:marLeft w:val="0"/>
                      <w:marRight w:val="0"/>
                      <w:marTop w:val="0"/>
                      <w:marBottom w:val="0"/>
                      <w:divBdr>
                        <w:top w:val="none" w:sz="0" w:space="0" w:color="auto"/>
                        <w:left w:val="none" w:sz="0" w:space="0" w:color="auto"/>
                        <w:bottom w:val="none" w:sz="0" w:space="0" w:color="auto"/>
                        <w:right w:val="none" w:sz="0" w:space="0" w:color="auto"/>
                      </w:divBdr>
                      <w:divsChild>
                        <w:div w:id="1165702609">
                          <w:marLeft w:val="0"/>
                          <w:marRight w:val="0"/>
                          <w:marTop w:val="0"/>
                          <w:marBottom w:val="0"/>
                          <w:divBdr>
                            <w:top w:val="none" w:sz="0" w:space="0" w:color="auto"/>
                            <w:left w:val="none" w:sz="0" w:space="0" w:color="auto"/>
                            <w:bottom w:val="none" w:sz="0" w:space="0" w:color="auto"/>
                            <w:right w:val="none" w:sz="0" w:space="0" w:color="auto"/>
                          </w:divBdr>
                        </w:div>
                      </w:divsChild>
                    </w:div>
                    <w:div w:id="984120685">
                      <w:marLeft w:val="0"/>
                      <w:marRight w:val="0"/>
                      <w:marTop w:val="0"/>
                      <w:marBottom w:val="0"/>
                      <w:divBdr>
                        <w:top w:val="none" w:sz="0" w:space="0" w:color="auto"/>
                        <w:left w:val="none" w:sz="0" w:space="0" w:color="auto"/>
                        <w:bottom w:val="none" w:sz="0" w:space="0" w:color="auto"/>
                        <w:right w:val="none" w:sz="0" w:space="0" w:color="auto"/>
                      </w:divBdr>
                      <w:divsChild>
                        <w:div w:id="1485857100">
                          <w:marLeft w:val="0"/>
                          <w:marRight w:val="0"/>
                          <w:marTop w:val="0"/>
                          <w:marBottom w:val="0"/>
                          <w:divBdr>
                            <w:top w:val="none" w:sz="0" w:space="0" w:color="auto"/>
                            <w:left w:val="none" w:sz="0" w:space="0" w:color="auto"/>
                            <w:bottom w:val="none" w:sz="0" w:space="0" w:color="auto"/>
                            <w:right w:val="none" w:sz="0" w:space="0" w:color="auto"/>
                          </w:divBdr>
                        </w:div>
                      </w:divsChild>
                    </w:div>
                    <w:div w:id="436751813">
                      <w:marLeft w:val="0"/>
                      <w:marRight w:val="0"/>
                      <w:marTop w:val="0"/>
                      <w:marBottom w:val="0"/>
                      <w:divBdr>
                        <w:top w:val="none" w:sz="0" w:space="0" w:color="auto"/>
                        <w:left w:val="none" w:sz="0" w:space="0" w:color="auto"/>
                        <w:bottom w:val="none" w:sz="0" w:space="0" w:color="auto"/>
                        <w:right w:val="none" w:sz="0" w:space="0" w:color="auto"/>
                      </w:divBdr>
                      <w:divsChild>
                        <w:div w:id="1972788121">
                          <w:marLeft w:val="0"/>
                          <w:marRight w:val="0"/>
                          <w:marTop w:val="0"/>
                          <w:marBottom w:val="0"/>
                          <w:divBdr>
                            <w:top w:val="none" w:sz="0" w:space="0" w:color="auto"/>
                            <w:left w:val="none" w:sz="0" w:space="0" w:color="auto"/>
                            <w:bottom w:val="none" w:sz="0" w:space="0" w:color="auto"/>
                            <w:right w:val="none" w:sz="0" w:space="0" w:color="auto"/>
                          </w:divBdr>
                        </w:div>
                      </w:divsChild>
                    </w:div>
                    <w:div w:id="1671181574">
                      <w:marLeft w:val="0"/>
                      <w:marRight w:val="0"/>
                      <w:marTop w:val="0"/>
                      <w:marBottom w:val="0"/>
                      <w:divBdr>
                        <w:top w:val="none" w:sz="0" w:space="0" w:color="auto"/>
                        <w:left w:val="none" w:sz="0" w:space="0" w:color="auto"/>
                        <w:bottom w:val="none" w:sz="0" w:space="0" w:color="auto"/>
                        <w:right w:val="none" w:sz="0" w:space="0" w:color="auto"/>
                      </w:divBdr>
                      <w:divsChild>
                        <w:div w:id="256183987">
                          <w:marLeft w:val="0"/>
                          <w:marRight w:val="0"/>
                          <w:marTop w:val="0"/>
                          <w:marBottom w:val="0"/>
                          <w:divBdr>
                            <w:top w:val="none" w:sz="0" w:space="0" w:color="auto"/>
                            <w:left w:val="none" w:sz="0" w:space="0" w:color="auto"/>
                            <w:bottom w:val="none" w:sz="0" w:space="0" w:color="auto"/>
                            <w:right w:val="none" w:sz="0" w:space="0" w:color="auto"/>
                          </w:divBdr>
                        </w:div>
                      </w:divsChild>
                    </w:div>
                    <w:div w:id="1485855906">
                      <w:marLeft w:val="0"/>
                      <w:marRight w:val="0"/>
                      <w:marTop w:val="0"/>
                      <w:marBottom w:val="0"/>
                      <w:divBdr>
                        <w:top w:val="none" w:sz="0" w:space="0" w:color="auto"/>
                        <w:left w:val="none" w:sz="0" w:space="0" w:color="auto"/>
                        <w:bottom w:val="none" w:sz="0" w:space="0" w:color="auto"/>
                        <w:right w:val="none" w:sz="0" w:space="0" w:color="auto"/>
                      </w:divBdr>
                      <w:divsChild>
                        <w:div w:id="1177422391">
                          <w:marLeft w:val="0"/>
                          <w:marRight w:val="0"/>
                          <w:marTop w:val="0"/>
                          <w:marBottom w:val="0"/>
                          <w:divBdr>
                            <w:top w:val="none" w:sz="0" w:space="0" w:color="auto"/>
                            <w:left w:val="none" w:sz="0" w:space="0" w:color="auto"/>
                            <w:bottom w:val="none" w:sz="0" w:space="0" w:color="auto"/>
                            <w:right w:val="none" w:sz="0" w:space="0" w:color="auto"/>
                          </w:divBdr>
                        </w:div>
                      </w:divsChild>
                    </w:div>
                    <w:div w:id="734619789">
                      <w:marLeft w:val="0"/>
                      <w:marRight w:val="0"/>
                      <w:marTop w:val="0"/>
                      <w:marBottom w:val="0"/>
                      <w:divBdr>
                        <w:top w:val="none" w:sz="0" w:space="0" w:color="auto"/>
                        <w:left w:val="none" w:sz="0" w:space="0" w:color="auto"/>
                        <w:bottom w:val="none" w:sz="0" w:space="0" w:color="auto"/>
                        <w:right w:val="none" w:sz="0" w:space="0" w:color="auto"/>
                      </w:divBdr>
                      <w:divsChild>
                        <w:div w:id="1241872116">
                          <w:marLeft w:val="0"/>
                          <w:marRight w:val="0"/>
                          <w:marTop w:val="0"/>
                          <w:marBottom w:val="0"/>
                          <w:divBdr>
                            <w:top w:val="none" w:sz="0" w:space="0" w:color="auto"/>
                            <w:left w:val="none" w:sz="0" w:space="0" w:color="auto"/>
                            <w:bottom w:val="none" w:sz="0" w:space="0" w:color="auto"/>
                            <w:right w:val="none" w:sz="0" w:space="0" w:color="auto"/>
                          </w:divBdr>
                        </w:div>
                      </w:divsChild>
                    </w:div>
                    <w:div w:id="1964532473">
                      <w:marLeft w:val="0"/>
                      <w:marRight w:val="0"/>
                      <w:marTop w:val="0"/>
                      <w:marBottom w:val="0"/>
                      <w:divBdr>
                        <w:top w:val="none" w:sz="0" w:space="0" w:color="auto"/>
                        <w:left w:val="none" w:sz="0" w:space="0" w:color="auto"/>
                        <w:bottom w:val="none" w:sz="0" w:space="0" w:color="auto"/>
                        <w:right w:val="none" w:sz="0" w:space="0" w:color="auto"/>
                      </w:divBdr>
                      <w:divsChild>
                        <w:div w:id="348139129">
                          <w:marLeft w:val="0"/>
                          <w:marRight w:val="0"/>
                          <w:marTop w:val="0"/>
                          <w:marBottom w:val="0"/>
                          <w:divBdr>
                            <w:top w:val="none" w:sz="0" w:space="0" w:color="auto"/>
                            <w:left w:val="none" w:sz="0" w:space="0" w:color="auto"/>
                            <w:bottom w:val="none" w:sz="0" w:space="0" w:color="auto"/>
                            <w:right w:val="none" w:sz="0" w:space="0" w:color="auto"/>
                          </w:divBdr>
                        </w:div>
                      </w:divsChild>
                    </w:div>
                    <w:div w:id="1302542711">
                      <w:marLeft w:val="0"/>
                      <w:marRight w:val="0"/>
                      <w:marTop w:val="0"/>
                      <w:marBottom w:val="0"/>
                      <w:divBdr>
                        <w:top w:val="none" w:sz="0" w:space="0" w:color="auto"/>
                        <w:left w:val="none" w:sz="0" w:space="0" w:color="auto"/>
                        <w:bottom w:val="none" w:sz="0" w:space="0" w:color="auto"/>
                        <w:right w:val="none" w:sz="0" w:space="0" w:color="auto"/>
                      </w:divBdr>
                      <w:divsChild>
                        <w:div w:id="560671706">
                          <w:marLeft w:val="0"/>
                          <w:marRight w:val="0"/>
                          <w:marTop w:val="0"/>
                          <w:marBottom w:val="0"/>
                          <w:divBdr>
                            <w:top w:val="none" w:sz="0" w:space="0" w:color="auto"/>
                            <w:left w:val="none" w:sz="0" w:space="0" w:color="auto"/>
                            <w:bottom w:val="none" w:sz="0" w:space="0" w:color="auto"/>
                            <w:right w:val="none" w:sz="0" w:space="0" w:color="auto"/>
                          </w:divBdr>
                        </w:div>
                      </w:divsChild>
                    </w:div>
                    <w:div w:id="1749425469">
                      <w:marLeft w:val="0"/>
                      <w:marRight w:val="0"/>
                      <w:marTop w:val="0"/>
                      <w:marBottom w:val="0"/>
                      <w:divBdr>
                        <w:top w:val="none" w:sz="0" w:space="0" w:color="auto"/>
                        <w:left w:val="none" w:sz="0" w:space="0" w:color="auto"/>
                        <w:bottom w:val="none" w:sz="0" w:space="0" w:color="auto"/>
                        <w:right w:val="none" w:sz="0" w:space="0" w:color="auto"/>
                      </w:divBdr>
                      <w:divsChild>
                        <w:div w:id="786393248">
                          <w:marLeft w:val="0"/>
                          <w:marRight w:val="0"/>
                          <w:marTop w:val="0"/>
                          <w:marBottom w:val="0"/>
                          <w:divBdr>
                            <w:top w:val="none" w:sz="0" w:space="0" w:color="auto"/>
                            <w:left w:val="none" w:sz="0" w:space="0" w:color="auto"/>
                            <w:bottom w:val="none" w:sz="0" w:space="0" w:color="auto"/>
                            <w:right w:val="none" w:sz="0" w:space="0" w:color="auto"/>
                          </w:divBdr>
                        </w:div>
                      </w:divsChild>
                    </w:div>
                    <w:div w:id="588151710">
                      <w:marLeft w:val="0"/>
                      <w:marRight w:val="0"/>
                      <w:marTop w:val="0"/>
                      <w:marBottom w:val="0"/>
                      <w:divBdr>
                        <w:top w:val="none" w:sz="0" w:space="0" w:color="auto"/>
                        <w:left w:val="none" w:sz="0" w:space="0" w:color="auto"/>
                        <w:bottom w:val="none" w:sz="0" w:space="0" w:color="auto"/>
                        <w:right w:val="none" w:sz="0" w:space="0" w:color="auto"/>
                      </w:divBdr>
                      <w:divsChild>
                        <w:div w:id="1260791718">
                          <w:marLeft w:val="0"/>
                          <w:marRight w:val="0"/>
                          <w:marTop w:val="0"/>
                          <w:marBottom w:val="0"/>
                          <w:divBdr>
                            <w:top w:val="none" w:sz="0" w:space="0" w:color="auto"/>
                            <w:left w:val="none" w:sz="0" w:space="0" w:color="auto"/>
                            <w:bottom w:val="none" w:sz="0" w:space="0" w:color="auto"/>
                            <w:right w:val="none" w:sz="0" w:space="0" w:color="auto"/>
                          </w:divBdr>
                        </w:div>
                      </w:divsChild>
                    </w:div>
                    <w:div w:id="1396314973">
                      <w:marLeft w:val="0"/>
                      <w:marRight w:val="0"/>
                      <w:marTop w:val="0"/>
                      <w:marBottom w:val="0"/>
                      <w:divBdr>
                        <w:top w:val="none" w:sz="0" w:space="0" w:color="auto"/>
                        <w:left w:val="none" w:sz="0" w:space="0" w:color="auto"/>
                        <w:bottom w:val="none" w:sz="0" w:space="0" w:color="auto"/>
                        <w:right w:val="none" w:sz="0" w:space="0" w:color="auto"/>
                      </w:divBdr>
                      <w:divsChild>
                        <w:div w:id="234554474">
                          <w:marLeft w:val="0"/>
                          <w:marRight w:val="0"/>
                          <w:marTop w:val="0"/>
                          <w:marBottom w:val="0"/>
                          <w:divBdr>
                            <w:top w:val="none" w:sz="0" w:space="0" w:color="auto"/>
                            <w:left w:val="none" w:sz="0" w:space="0" w:color="auto"/>
                            <w:bottom w:val="none" w:sz="0" w:space="0" w:color="auto"/>
                            <w:right w:val="none" w:sz="0" w:space="0" w:color="auto"/>
                          </w:divBdr>
                        </w:div>
                      </w:divsChild>
                    </w:div>
                    <w:div w:id="1057584072">
                      <w:marLeft w:val="0"/>
                      <w:marRight w:val="0"/>
                      <w:marTop w:val="0"/>
                      <w:marBottom w:val="0"/>
                      <w:divBdr>
                        <w:top w:val="none" w:sz="0" w:space="0" w:color="auto"/>
                        <w:left w:val="none" w:sz="0" w:space="0" w:color="auto"/>
                        <w:bottom w:val="none" w:sz="0" w:space="0" w:color="auto"/>
                        <w:right w:val="none" w:sz="0" w:space="0" w:color="auto"/>
                      </w:divBdr>
                      <w:divsChild>
                        <w:div w:id="1678727516">
                          <w:marLeft w:val="0"/>
                          <w:marRight w:val="0"/>
                          <w:marTop w:val="0"/>
                          <w:marBottom w:val="0"/>
                          <w:divBdr>
                            <w:top w:val="none" w:sz="0" w:space="0" w:color="auto"/>
                            <w:left w:val="none" w:sz="0" w:space="0" w:color="auto"/>
                            <w:bottom w:val="none" w:sz="0" w:space="0" w:color="auto"/>
                            <w:right w:val="none" w:sz="0" w:space="0" w:color="auto"/>
                          </w:divBdr>
                        </w:div>
                      </w:divsChild>
                    </w:div>
                    <w:div w:id="1331787249">
                      <w:marLeft w:val="0"/>
                      <w:marRight w:val="0"/>
                      <w:marTop w:val="0"/>
                      <w:marBottom w:val="0"/>
                      <w:divBdr>
                        <w:top w:val="none" w:sz="0" w:space="0" w:color="auto"/>
                        <w:left w:val="none" w:sz="0" w:space="0" w:color="auto"/>
                        <w:bottom w:val="none" w:sz="0" w:space="0" w:color="auto"/>
                        <w:right w:val="none" w:sz="0" w:space="0" w:color="auto"/>
                      </w:divBdr>
                      <w:divsChild>
                        <w:div w:id="1611861565">
                          <w:marLeft w:val="0"/>
                          <w:marRight w:val="0"/>
                          <w:marTop w:val="0"/>
                          <w:marBottom w:val="0"/>
                          <w:divBdr>
                            <w:top w:val="none" w:sz="0" w:space="0" w:color="auto"/>
                            <w:left w:val="none" w:sz="0" w:space="0" w:color="auto"/>
                            <w:bottom w:val="none" w:sz="0" w:space="0" w:color="auto"/>
                            <w:right w:val="none" w:sz="0" w:space="0" w:color="auto"/>
                          </w:divBdr>
                        </w:div>
                      </w:divsChild>
                    </w:div>
                    <w:div w:id="689912372">
                      <w:marLeft w:val="0"/>
                      <w:marRight w:val="0"/>
                      <w:marTop w:val="0"/>
                      <w:marBottom w:val="0"/>
                      <w:divBdr>
                        <w:top w:val="none" w:sz="0" w:space="0" w:color="auto"/>
                        <w:left w:val="none" w:sz="0" w:space="0" w:color="auto"/>
                        <w:bottom w:val="none" w:sz="0" w:space="0" w:color="auto"/>
                        <w:right w:val="none" w:sz="0" w:space="0" w:color="auto"/>
                      </w:divBdr>
                      <w:divsChild>
                        <w:div w:id="1139961848">
                          <w:marLeft w:val="0"/>
                          <w:marRight w:val="0"/>
                          <w:marTop w:val="0"/>
                          <w:marBottom w:val="0"/>
                          <w:divBdr>
                            <w:top w:val="none" w:sz="0" w:space="0" w:color="auto"/>
                            <w:left w:val="none" w:sz="0" w:space="0" w:color="auto"/>
                            <w:bottom w:val="none" w:sz="0" w:space="0" w:color="auto"/>
                            <w:right w:val="none" w:sz="0" w:space="0" w:color="auto"/>
                          </w:divBdr>
                        </w:div>
                      </w:divsChild>
                    </w:div>
                    <w:div w:id="319190723">
                      <w:marLeft w:val="0"/>
                      <w:marRight w:val="0"/>
                      <w:marTop w:val="0"/>
                      <w:marBottom w:val="0"/>
                      <w:divBdr>
                        <w:top w:val="none" w:sz="0" w:space="0" w:color="auto"/>
                        <w:left w:val="none" w:sz="0" w:space="0" w:color="auto"/>
                        <w:bottom w:val="none" w:sz="0" w:space="0" w:color="auto"/>
                        <w:right w:val="none" w:sz="0" w:space="0" w:color="auto"/>
                      </w:divBdr>
                      <w:divsChild>
                        <w:div w:id="2091343549">
                          <w:marLeft w:val="0"/>
                          <w:marRight w:val="0"/>
                          <w:marTop w:val="0"/>
                          <w:marBottom w:val="0"/>
                          <w:divBdr>
                            <w:top w:val="none" w:sz="0" w:space="0" w:color="auto"/>
                            <w:left w:val="none" w:sz="0" w:space="0" w:color="auto"/>
                            <w:bottom w:val="none" w:sz="0" w:space="0" w:color="auto"/>
                            <w:right w:val="none" w:sz="0" w:space="0" w:color="auto"/>
                          </w:divBdr>
                        </w:div>
                      </w:divsChild>
                    </w:div>
                    <w:div w:id="535122839">
                      <w:marLeft w:val="0"/>
                      <w:marRight w:val="0"/>
                      <w:marTop w:val="0"/>
                      <w:marBottom w:val="0"/>
                      <w:divBdr>
                        <w:top w:val="none" w:sz="0" w:space="0" w:color="auto"/>
                        <w:left w:val="none" w:sz="0" w:space="0" w:color="auto"/>
                        <w:bottom w:val="none" w:sz="0" w:space="0" w:color="auto"/>
                        <w:right w:val="none" w:sz="0" w:space="0" w:color="auto"/>
                      </w:divBdr>
                      <w:divsChild>
                        <w:div w:id="1148597639">
                          <w:marLeft w:val="0"/>
                          <w:marRight w:val="0"/>
                          <w:marTop w:val="0"/>
                          <w:marBottom w:val="0"/>
                          <w:divBdr>
                            <w:top w:val="none" w:sz="0" w:space="0" w:color="auto"/>
                            <w:left w:val="none" w:sz="0" w:space="0" w:color="auto"/>
                            <w:bottom w:val="none" w:sz="0" w:space="0" w:color="auto"/>
                            <w:right w:val="none" w:sz="0" w:space="0" w:color="auto"/>
                          </w:divBdr>
                        </w:div>
                      </w:divsChild>
                    </w:div>
                    <w:div w:id="778522979">
                      <w:marLeft w:val="0"/>
                      <w:marRight w:val="0"/>
                      <w:marTop w:val="0"/>
                      <w:marBottom w:val="0"/>
                      <w:divBdr>
                        <w:top w:val="none" w:sz="0" w:space="0" w:color="auto"/>
                        <w:left w:val="none" w:sz="0" w:space="0" w:color="auto"/>
                        <w:bottom w:val="none" w:sz="0" w:space="0" w:color="auto"/>
                        <w:right w:val="none" w:sz="0" w:space="0" w:color="auto"/>
                      </w:divBdr>
                      <w:divsChild>
                        <w:div w:id="1617561425">
                          <w:marLeft w:val="0"/>
                          <w:marRight w:val="0"/>
                          <w:marTop w:val="0"/>
                          <w:marBottom w:val="0"/>
                          <w:divBdr>
                            <w:top w:val="none" w:sz="0" w:space="0" w:color="auto"/>
                            <w:left w:val="none" w:sz="0" w:space="0" w:color="auto"/>
                            <w:bottom w:val="none" w:sz="0" w:space="0" w:color="auto"/>
                            <w:right w:val="none" w:sz="0" w:space="0" w:color="auto"/>
                          </w:divBdr>
                        </w:div>
                      </w:divsChild>
                    </w:div>
                    <w:div w:id="1416824283">
                      <w:marLeft w:val="0"/>
                      <w:marRight w:val="0"/>
                      <w:marTop w:val="0"/>
                      <w:marBottom w:val="0"/>
                      <w:divBdr>
                        <w:top w:val="none" w:sz="0" w:space="0" w:color="auto"/>
                        <w:left w:val="none" w:sz="0" w:space="0" w:color="auto"/>
                        <w:bottom w:val="none" w:sz="0" w:space="0" w:color="auto"/>
                        <w:right w:val="none" w:sz="0" w:space="0" w:color="auto"/>
                      </w:divBdr>
                      <w:divsChild>
                        <w:div w:id="1480919596">
                          <w:marLeft w:val="0"/>
                          <w:marRight w:val="0"/>
                          <w:marTop w:val="0"/>
                          <w:marBottom w:val="0"/>
                          <w:divBdr>
                            <w:top w:val="none" w:sz="0" w:space="0" w:color="auto"/>
                            <w:left w:val="none" w:sz="0" w:space="0" w:color="auto"/>
                            <w:bottom w:val="none" w:sz="0" w:space="0" w:color="auto"/>
                            <w:right w:val="none" w:sz="0" w:space="0" w:color="auto"/>
                          </w:divBdr>
                        </w:div>
                      </w:divsChild>
                    </w:div>
                    <w:div w:id="227110213">
                      <w:marLeft w:val="0"/>
                      <w:marRight w:val="0"/>
                      <w:marTop w:val="0"/>
                      <w:marBottom w:val="0"/>
                      <w:divBdr>
                        <w:top w:val="none" w:sz="0" w:space="0" w:color="auto"/>
                        <w:left w:val="none" w:sz="0" w:space="0" w:color="auto"/>
                        <w:bottom w:val="none" w:sz="0" w:space="0" w:color="auto"/>
                        <w:right w:val="none" w:sz="0" w:space="0" w:color="auto"/>
                      </w:divBdr>
                      <w:divsChild>
                        <w:div w:id="519664675">
                          <w:marLeft w:val="0"/>
                          <w:marRight w:val="0"/>
                          <w:marTop w:val="0"/>
                          <w:marBottom w:val="0"/>
                          <w:divBdr>
                            <w:top w:val="none" w:sz="0" w:space="0" w:color="auto"/>
                            <w:left w:val="none" w:sz="0" w:space="0" w:color="auto"/>
                            <w:bottom w:val="none" w:sz="0" w:space="0" w:color="auto"/>
                            <w:right w:val="none" w:sz="0" w:space="0" w:color="auto"/>
                          </w:divBdr>
                        </w:div>
                      </w:divsChild>
                    </w:div>
                    <w:div w:id="1710110986">
                      <w:marLeft w:val="0"/>
                      <w:marRight w:val="0"/>
                      <w:marTop w:val="0"/>
                      <w:marBottom w:val="0"/>
                      <w:divBdr>
                        <w:top w:val="none" w:sz="0" w:space="0" w:color="auto"/>
                        <w:left w:val="none" w:sz="0" w:space="0" w:color="auto"/>
                        <w:bottom w:val="none" w:sz="0" w:space="0" w:color="auto"/>
                        <w:right w:val="none" w:sz="0" w:space="0" w:color="auto"/>
                      </w:divBdr>
                      <w:divsChild>
                        <w:div w:id="257520584">
                          <w:marLeft w:val="0"/>
                          <w:marRight w:val="0"/>
                          <w:marTop w:val="0"/>
                          <w:marBottom w:val="0"/>
                          <w:divBdr>
                            <w:top w:val="none" w:sz="0" w:space="0" w:color="auto"/>
                            <w:left w:val="none" w:sz="0" w:space="0" w:color="auto"/>
                            <w:bottom w:val="none" w:sz="0" w:space="0" w:color="auto"/>
                            <w:right w:val="none" w:sz="0" w:space="0" w:color="auto"/>
                          </w:divBdr>
                        </w:div>
                      </w:divsChild>
                    </w:div>
                    <w:div w:id="1909026378">
                      <w:marLeft w:val="0"/>
                      <w:marRight w:val="0"/>
                      <w:marTop w:val="0"/>
                      <w:marBottom w:val="0"/>
                      <w:divBdr>
                        <w:top w:val="none" w:sz="0" w:space="0" w:color="auto"/>
                        <w:left w:val="none" w:sz="0" w:space="0" w:color="auto"/>
                        <w:bottom w:val="none" w:sz="0" w:space="0" w:color="auto"/>
                        <w:right w:val="none" w:sz="0" w:space="0" w:color="auto"/>
                      </w:divBdr>
                      <w:divsChild>
                        <w:div w:id="1311596420">
                          <w:marLeft w:val="0"/>
                          <w:marRight w:val="0"/>
                          <w:marTop w:val="0"/>
                          <w:marBottom w:val="0"/>
                          <w:divBdr>
                            <w:top w:val="none" w:sz="0" w:space="0" w:color="auto"/>
                            <w:left w:val="none" w:sz="0" w:space="0" w:color="auto"/>
                            <w:bottom w:val="none" w:sz="0" w:space="0" w:color="auto"/>
                            <w:right w:val="none" w:sz="0" w:space="0" w:color="auto"/>
                          </w:divBdr>
                        </w:div>
                      </w:divsChild>
                    </w:div>
                    <w:div w:id="920525179">
                      <w:marLeft w:val="0"/>
                      <w:marRight w:val="0"/>
                      <w:marTop w:val="0"/>
                      <w:marBottom w:val="0"/>
                      <w:divBdr>
                        <w:top w:val="none" w:sz="0" w:space="0" w:color="auto"/>
                        <w:left w:val="none" w:sz="0" w:space="0" w:color="auto"/>
                        <w:bottom w:val="none" w:sz="0" w:space="0" w:color="auto"/>
                        <w:right w:val="none" w:sz="0" w:space="0" w:color="auto"/>
                      </w:divBdr>
                      <w:divsChild>
                        <w:div w:id="1069886415">
                          <w:marLeft w:val="0"/>
                          <w:marRight w:val="0"/>
                          <w:marTop w:val="0"/>
                          <w:marBottom w:val="0"/>
                          <w:divBdr>
                            <w:top w:val="none" w:sz="0" w:space="0" w:color="auto"/>
                            <w:left w:val="none" w:sz="0" w:space="0" w:color="auto"/>
                            <w:bottom w:val="none" w:sz="0" w:space="0" w:color="auto"/>
                            <w:right w:val="none" w:sz="0" w:space="0" w:color="auto"/>
                          </w:divBdr>
                        </w:div>
                      </w:divsChild>
                    </w:div>
                    <w:div w:id="480579458">
                      <w:marLeft w:val="0"/>
                      <w:marRight w:val="0"/>
                      <w:marTop w:val="0"/>
                      <w:marBottom w:val="0"/>
                      <w:divBdr>
                        <w:top w:val="none" w:sz="0" w:space="0" w:color="auto"/>
                        <w:left w:val="none" w:sz="0" w:space="0" w:color="auto"/>
                        <w:bottom w:val="none" w:sz="0" w:space="0" w:color="auto"/>
                        <w:right w:val="none" w:sz="0" w:space="0" w:color="auto"/>
                      </w:divBdr>
                      <w:divsChild>
                        <w:div w:id="177084291">
                          <w:marLeft w:val="0"/>
                          <w:marRight w:val="0"/>
                          <w:marTop w:val="0"/>
                          <w:marBottom w:val="0"/>
                          <w:divBdr>
                            <w:top w:val="none" w:sz="0" w:space="0" w:color="auto"/>
                            <w:left w:val="none" w:sz="0" w:space="0" w:color="auto"/>
                            <w:bottom w:val="none" w:sz="0" w:space="0" w:color="auto"/>
                            <w:right w:val="none" w:sz="0" w:space="0" w:color="auto"/>
                          </w:divBdr>
                        </w:div>
                      </w:divsChild>
                    </w:div>
                    <w:div w:id="1288776356">
                      <w:marLeft w:val="0"/>
                      <w:marRight w:val="0"/>
                      <w:marTop w:val="0"/>
                      <w:marBottom w:val="0"/>
                      <w:divBdr>
                        <w:top w:val="none" w:sz="0" w:space="0" w:color="auto"/>
                        <w:left w:val="none" w:sz="0" w:space="0" w:color="auto"/>
                        <w:bottom w:val="none" w:sz="0" w:space="0" w:color="auto"/>
                        <w:right w:val="none" w:sz="0" w:space="0" w:color="auto"/>
                      </w:divBdr>
                      <w:divsChild>
                        <w:div w:id="2035881861">
                          <w:marLeft w:val="0"/>
                          <w:marRight w:val="0"/>
                          <w:marTop w:val="0"/>
                          <w:marBottom w:val="0"/>
                          <w:divBdr>
                            <w:top w:val="none" w:sz="0" w:space="0" w:color="auto"/>
                            <w:left w:val="none" w:sz="0" w:space="0" w:color="auto"/>
                            <w:bottom w:val="none" w:sz="0" w:space="0" w:color="auto"/>
                            <w:right w:val="none" w:sz="0" w:space="0" w:color="auto"/>
                          </w:divBdr>
                        </w:div>
                      </w:divsChild>
                    </w:div>
                    <w:div w:id="531117842">
                      <w:marLeft w:val="0"/>
                      <w:marRight w:val="0"/>
                      <w:marTop w:val="0"/>
                      <w:marBottom w:val="0"/>
                      <w:divBdr>
                        <w:top w:val="none" w:sz="0" w:space="0" w:color="auto"/>
                        <w:left w:val="none" w:sz="0" w:space="0" w:color="auto"/>
                        <w:bottom w:val="none" w:sz="0" w:space="0" w:color="auto"/>
                        <w:right w:val="none" w:sz="0" w:space="0" w:color="auto"/>
                      </w:divBdr>
                      <w:divsChild>
                        <w:div w:id="1969357111">
                          <w:marLeft w:val="0"/>
                          <w:marRight w:val="0"/>
                          <w:marTop w:val="0"/>
                          <w:marBottom w:val="0"/>
                          <w:divBdr>
                            <w:top w:val="none" w:sz="0" w:space="0" w:color="auto"/>
                            <w:left w:val="none" w:sz="0" w:space="0" w:color="auto"/>
                            <w:bottom w:val="none" w:sz="0" w:space="0" w:color="auto"/>
                            <w:right w:val="none" w:sz="0" w:space="0" w:color="auto"/>
                          </w:divBdr>
                        </w:div>
                      </w:divsChild>
                    </w:div>
                    <w:div w:id="432626632">
                      <w:marLeft w:val="0"/>
                      <w:marRight w:val="0"/>
                      <w:marTop w:val="0"/>
                      <w:marBottom w:val="0"/>
                      <w:divBdr>
                        <w:top w:val="none" w:sz="0" w:space="0" w:color="auto"/>
                        <w:left w:val="none" w:sz="0" w:space="0" w:color="auto"/>
                        <w:bottom w:val="none" w:sz="0" w:space="0" w:color="auto"/>
                        <w:right w:val="none" w:sz="0" w:space="0" w:color="auto"/>
                      </w:divBdr>
                      <w:divsChild>
                        <w:div w:id="982928670">
                          <w:marLeft w:val="0"/>
                          <w:marRight w:val="0"/>
                          <w:marTop w:val="0"/>
                          <w:marBottom w:val="0"/>
                          <w:divBdr>
                            <w:top w:val="none" w:sz="0" w:space="0" w:color="auto"/>
                            <w:left w:val="none" w:sz="0" w:space="0" w:color="auto"/>
                            <w:bottom w:val="none" w:sz="0" w:space="0" w:color="auto"/>
                            <w:right w:val="none" w:sz="0" w:space="0" w:color="auto"/>
                          </w:divBdr>
                        </w:div>
                      </w:divsChild>
                    </w:div>
                    <w:div w:id="659043589">
                      <w:marLeft w:val="0"/>
                      <w:marRight w:val="0"/>
                      <w:marTop w:val="0"/>
                      <w:marBottom w:val="0"/>
                      <w:divBdr>
                        <w:top w:val="none" w:sz="0" w:space="0" w:color="auto"/>
                        <w:left w:val="none" w:sz="0" w:space="0" w:color="auto"/>
                        <w:bottom w:val="none" w:sz="0" w:space="0" w:color="auto"/>
                        <w:right w:val="none" w:sz="0" w:space="0" w:color="auto"/>
                      </w:divBdr>
                      <w:divsChild>
                        <w:div w:id="613875816">
                          <w:marLeft w:val="0"/>
                          <w:marRight w:val="0"/>
                          <w:marTop w:val="0"/>
                          <w:marBottom w:val="0"/>
                          <w:divBdr>
                            <w:top w:val="none" w:sz="0" w:space="0" w:color="auto"/>
                            <w:left w:val="none" w:sz="0" w:space="0" w:color="auto"/>
                            <w:bottom w:val="none" w:sz="0" w:space="0" w:color="auto"/>
                            <w:right w:val="none" w:sz="0" w:space="0" w:color="auto"/>
                          </w:divBdr>
                        </w:div>
                      </w:divsChild>
                    </w:div>
                    <w:div w:id="1144741098">
                      <w:marLeft w:val="0"/>
                      <w:marRight w:val="0"/>
                      <w:marTop w:val="0"/>
                      <w:marBottom w:val="0"/>
                      <w:divBdr>
                        <w:top w:val="none" w:sz="0" w:space="0" w:color="auto"/>
                        <w:left w:val="none" w:sz="0" w:space="0" w:color="auto"/>
                        <w:bottom w:val="none" w:sz="0" w:space="0" w:color="auto"/>
                        <w:right w:val="none" w:sz="0" w:space="0" w:color="auto"/>
                      </w:divBdr>
                      <w:divsChild>
                        <w:div w:id="477304205">
                          <w:marLeft w:val="0"/>
                          <w:marRight w:val="0"/>
                          <w:marTop w:val="0"/>
                          <w:marBottom w:val="0"/>
                          <w:divBdr>
                            <w:top w:val="none" w:sz="0" w:space="0" w:color="auto"/>
                            <w:left w:val="none" w:sz="0" w:space="0" w:color="auto"/>
                            <w:bottom w:val="none" w:sz="0" w:space="0" w:color="auto"/>
                            <w:right w:val="none" w:sz="0" w:space="0" w:color="auto"/>
                          </w:divBdr>
                        </w:div>
                      </w:divsChild>
                    </w:div>
                    <w:div w:id="748159718">
                      <w:marLeft w:val="0"/>
                      <w:marRight w:val="0"/>
                      <w:marTop w:val="0"/>
                      <w:marBottom w:val="0"/>
                      <w:divBdr>
                        <w:top w:val="none" w:sz="0" w:space="0" w:color="auto"/>
                        <w:left w:val="none" w:sz="0" w:space="0" w:color="auto"/>
                        <w:bottom w:val="none" w:sz="0" w:space="0" w:color="auto"/>
                        <w:right w:val="none" w:sz="0" w:space="0" w:color="auto"/>
                      </w:divBdr>
                      <w:divsChild>
                        <w:div w:id="416484344">
                          <w:marLeft w:val="0"/>
                          <w:marRight w:val="0"/>
                          <w:marTop w:val="0"/>
                          <w:marBottom w:val="0"/>
                          <w:divBdr>
                            <w:top w:val="none" w:sz="0" w:space="0" w:color="auto"/>
                            <w:left w:val="none" w:sz="0" w:space="0" w:color="auto"/>
                            <w:bottom w:val="none" w:sz="0" w:space="0" w:color="auto"/>
                            <w:right w:val="none" w:sz="0" w:space="0" w:color="auto"/>
                          </w:divBdr>
                        </w:div>
                      </w:divsChild>
                    </w:div>
                    <w:div w:id="939340596">
                      <w:marLeft w:val="0"/>
                      <w:marRight w:val="0"/>
                      <w:marTop w:val="0"/>
                      <w:marBottom w:val="0"/>
                      <w:divBdr>
                        <w:top w:val="none" w:sz="0" w:space="0" w:color="auto"/>
                        <w:left w:val="none" w:sz="0" w:space="0" w:color="auto"/>
                        <w:bottom w:val="none" w:sz="0" w:space="0" w:color="auto"/>
                        <w:right w:val="none" w:sz="0" w:space="0" w:color="auto"/>
                      </w:divBdr>
                      <w:divsChild>
                        <w:div w:id="1279213260">
                          <w:marLeft w:val="0"/>
                          <w:marRight w:val="0"/>
                          <w:marTop w:val="0"/>
                          <w:marBottom w:val="0"/>
                          <w:divBdr>
                            <w:top w:val="none" w:sz="0" w:space="0" w:color="auto"/>
                            <w:left w:val="none" w:sz="0" w:space="0" w:color="auto"/>
                            <w:bottom w:val="none" w:sz="0" w:space="0" w:color="auto"/>
                            <w:right w:val="none" w:sz="0" w:space="0" w:color="auto"/>
                          </w:divBdr>
                        </w:div>
                      </w:divsChild>
                    </w:div>
                    <w:div w:id="828711902">
                      <w:marLeft w:val="0"/>
                      <w:marRight w:val="0"/>
                      <w:marTop w:val="0"/>
                      <w:marBottom w:val="0"/>
                      <w:divBdr>
                        <w:top w:val="none" w:sz="0" w:space="0" w:color="auto"/>
                        <w:left w:val="none" w:sz="0" w:space="0" w:color="auto"/>
                        <w:bottom w:val="none" w:sz="0" w:space="0" w:color="auto"/>
                        <w:right w:val="none" w:sz="0" w:space="0" w:color="auto"/>
                      </w:divBdr>
                      <w:divsChild>
                        <w:div w:id="1893493862">
                          <w:marLeft w:val="0"/>
                          <w:marRight w:val="0"/>
                          <w:marTop w:val="0"/>
                          <w:marBottom w:val="0"/>
                          <w:divBdr>
                            <w:top w:val="none" w:sz="0" w:space="0" w:color="auto"/>
                            <w:left w:val="none" w:sz="0" w:space="0" w:color="auto"/>
                            <w:bottom w:val="none" w:sz="0" w:space="0" w:color="auto"/>
                            <w:right w:val="none" w:sz="0" w:space="0" w:color="auto"/>
                          </w:divBdr>
                        </w:div>
                      </w:divsChild>
                    </w:div>
                    <w:div w:id="1017582754">
                      <w:marLeft w:val="0"/>
                      <w:marRight w:val="0"/>
                      <w:marTop w:val="0"/>
                      <w:marBottom w:val="0"/>
                      <w:divBdr>
                        <w:top w:val="none" w:sz="0" w:space="0" w:color="auto"/>
                        <w:left w:val="none" w:sz="0" w:space="0" w:color="auto"/>
                        <w:bottom w:val="none" w:sz="0" w:space="0" w:color="auto"/>
                        <w:right w:val="none" w:sz="0" w:space="0" w:color="auto"/>
                      </w:divBdr>
                      <w:divsChild>
                        <w:div w:id="205486694">
                          <w:marLeft w:val="0"/>
                          <w:marRight w:val="0"/>
                          <w:marTop w:val="0"/>
                          <w:marBottom w:val="0"/>
                          <w:divBdr>
                            <w:top w:val="none" w:sz="0" w:space="0" w:color="auto"/>
                            <w:left w:val="none" w:sz="0" w:space="0" w:color="auto"/>
                            <w:bottom w:val="none" w:sz="0" w:space="0" w:color="auto"/>
                            <w:right w:val="none" w:sz="0" w:space="0" w:color="auto"/>
                          </w:divBdr>
                        </w:div>
                      </w:divsChild>
                    </w:div>
                    <w:div w:id="845023928">
                      <w:marLeft w:val="0"/>
                      <w:marRight w:val="0"/>
                      <w:marTop w:val="0"/>
                      <w:marBottom w:val="0"/>
                      <w:divBdr>
                        <w:top w:val="none" w:sz="0" w:space="0" w:color="auto"/>
                        <w:left w:val="none" w:sz="0" w:space="0" w:color="auto"/>
                        <w:bottom w:val="none" w:sz="0" w:space="0" w:color="auto"/>
                        <w:right w:val="none" w:sz="0" w:space="0" w:color="auto"/>
                      </w:divBdr>
                      <w:divsChild>
                        <w:div w:id="294142702">
                          <w:marLeft w:val="0"/>
                          <w:marRight w:val="0"/>
                          <w:marTop w:val="0"/>
                          <w:marBottom w:val="0"/>
                          <w:divBdr>
                            <w:top w:val="none" w:sz="0" w:space="0" w:color="auto"/>
                            <w:left w:val="none" w:sz="0" w:space="0" w:color="auto"/>
                            <w:bottom w:val="none" w:sz="0" w:space="0" w:color="auto"/>
                            <w:right w:val="none" w:sz="0" w:space="0" w:color="auto"/>
                          </w:divBdr>
                        </w:div>
                      </w:divsChild>
                    </w:div>
                    <w:div w:id="1872187650">
                      <w:marLeft w:val="0"/>
                      <w:marRight w:val="0"/>
                      <w:marTop w:val="0"/>
                      <w:marBottom w:val="0"/>
                      <w:divBdr>
                        <w:top w:val="none" w:sz="0" w:space="0" w:color="auto"/>
                        <w:left w:val="none" w:sz="0" w:space="0" w:color="auto"/>
                        <w:bottom w:val="none" w:sz="0" w:space="0" w:color="auto"/>
                        <w:right w:val="none" w:sz="0" w:space="0" w:color="auto"/>
                      </w:divBdr>
                      <w:divsChild>
                        <w:div w:id="905457223">
                          <w:marLeft w:val="0"/>
                          <w:marRight w:val="0"/>
                          <w:marTop w:val="0"/>
                          <w:marBottom w:val="0"/>
                          <w:divBdr>
                            <w:top w:val="none" w:sz="0" w:space="0" w:color="auto"/>
                            <w:left w:val="none" w:sz="0" w:space="0" w:color="auto"/>
                            <w:bottom w:val="none" w:sz="0" w:space="0" w:color="auto"/>
                            <w:right w:val="none" w:sz="0" w:space="0" w:color="auto"/>
                          </w:divBdr>
                        </w:div>
                      </w:divsChild>
                    </w:div>
                    <w:div w:id="763453570">
                      <w:marLeft w:val="0"/>
                      <w:marRight w:val="0"/>
                      <w:marTop w:val="0"/>
                      <w:marBottom w:val="0"/>
                      <w:divBdr>
                        <w:top w:val="none" w:sz="0" w:space="0" w:color="auto"/>
                        <w:left w:val="none" w:sz="0" w:space="0" w:color="auto"/>
                        <w:bottom w:val="none" w:sz="0" w:space="0" w:color="auto"/>
                        <w:right w:val="none" w:sz="0" w:space="0" w:color="auto"/>
                      </w:divBdr>
                      <w:divsChild>
                        <w:div w:id="1729643773">
                          <w:marLeft w:val="0"/>
                          <w:marRight w:val="0"/>
                          <w:marTop w:val="0"/>
                          <w:marBottom w:val="0"/>
                          <w:divBdr>
                            <w:top w:val="none" w:sz="0" w:space="0" w:color="auto"/>
                            <w:left w:val="none" w:sz="0" w:space="0" w:color="auto"/>
                            <w:bottom w:val="none" w:sz="0" w:space="0" w:color="auto"/>
                            <w:right w:val="none" w:sz="0" w:space="0" w:color="auto"/>
                          </w:divBdr>
                        </w:div>
                      </w:divsChild>
                    </w:div>
                    <w:div w:id="730545833">
                      <w:marLeft w:val="0"/>
                      <w:marRight w:val="0"/>
                      <w:marTop w:val="0"/>
                      <w:marBottom w:val="0"/>
                      <w:divBdr>
                        <w:top w:val="none" w:sz="0" w:space="0" w:color="auto"/>
                        <w:left w:val="none" w:sz="0" w:space="0" w:color="auto"/>
                        <w:bottom w:val="none" w:sz="0" w:space="0" w:color="auto"/>
                        <w:right w:val="none" w:sz="0" w:space="0" w:color="auto"/>
                      </w:divBdr>
                      <w:divsChild>
                        <w:div w:id="252325569">
                          <w:marLeft w:val="0"/>
                          <w:marRight w:val="0"/>
                          <w:marTop w:val="0"/>
                          <w:marBottom w:val="0"/>
                          <w:divBdr>
                            <w:top w:val="none" w:sz="0" w:space="0" w:color="auto"/>
                            <w:left w:val="none" w:sz="0" w:space="0" w:color="auto"/>
                            <w:bottom w:val="none" w:sz="0" w:space="0" w:color="auto"/>
                            <w:right w:val="none" w:sz="0" w:space="0" w:color="auto"/>
                          </w:divBdr>
                        </w:div>
                      </w:divsChild>
                    </w:div>
                    <w:div w:id="1847014588">
                      <w:marLeft w:val="0"/>
                      <w:marRight w:val="0"/>
                      <w:marTop w:val="0"/>
                      <w:marBottom w:val="0"/>
                      <w:divBdr>
                        <w:top w:val="none" w:sz="0" w:space="0" w:color="auto"/>
                        <w:left w:val="none" w:sz="0" w:space="0" w:color="auto"/>
                        <w:bottom w:val="none" w:sz="0" w:space="0" w:color="auto"/>
                        <w:right w:val="none" w:sz="0" w:space="0" w:color="auto"/>
                      </w:divBdr>
                      <w:divsChild>
                        <w:div w:id="1736776232">
                          <w:marLeft w:val="0"/>
                          <w:marRight w:val="0"/>
                          <w:marTop w:val="0"/>
                          <w:marBottom w:val="0"/>
                          <w:divBdr>
                            <w:top w:val="none" w:sz="0" w:space="0" w:color="auto"/>
                            <w:left w:val="none" w:sz="0" w:space="0" w:color="auto"/>
                            <w:bottom w:val="none" w:sz="0" w:space="0" w:color="auto"/>
                            <w:right w:val="none" w:sz="0" w:space="0" w:color="auto"/>
                          </w:divBdr>
                        </w:div>
                      </w:divsChild>
                    </w:div>
                    <w:div w:id="365764884">
                      <w:marLeft w:val="0"/>
                      <w:marRight w:val="0"/>
                      <w:marTop w:val="0"/>
                      <w:marBottom w:val="0"/>
                      <w:divBdr>
                        <w:top w:val="none" w:sz="0" w:space="0" w:color="auto"/>
                        <w:left w:val="none" w:sz="0" w:space="0" w:color="auto"/>
                        <w:bottom w:val="none" w:sz="0" w:space="0" w:color="auto"/>
                        <w:right w:val="none" w:sz="0" w:space="0" w:color="auto"/>
                      </w:divBdr>
                      <w:divsChild>
                        <w:div w:id="989872210">
                          <w:marLeft w:val="0"/>
                          <w:marRight w:val="0"/>
                          <w:marTop w:val="0"/>
                          <w:marBottom w:val="0"/>
                          <w:divBdr>
                            <w:top w:val="none" w:sz="0" w:space="0" w:color="auto"/>
                            <w:left w:val="none" w:sz="0" w:space="0" w:color="auto"/>
                            <w:bottom w:val="none" w:sz="0" w:space="0" w:color="auto"/>
                            <w:right w:val="none" w:sz="0" w:space="0" w:color="auto"/>
                          </w:divBdr>
                        </w:div>
                      </w:divsChild>
                    </w:div>
                    <w:div w:id="787049307">
                      <w:marLeft w:val="0"/>
                      <w:marRight w:val="0"/>
                      <w:marTop w:val="0"/>
                      <w:marBottom w:val="0"/>
                      <w:divBdr>
                        <w:top w:val="none" w:sz="0" w:space="0" w:color="auto"/>
                        <w:left w:val="none" w:sz="0" w:space="0" w:color="auto"/>
                        <w:bottom w:val="none" w:sz="0" w:space="0" w:color="auto"/>
                        <w:right w:val="none" w:sz="0" w:space="0" w:color="auto"/>
                      </w:divBdr>
                      <w:divsChild>
                        <w:div w:id="352732239">
                          <w:marLeft w:val="0"/>
                          <w:marRight w:val="0"/>
                          <w:marTop w:val="0"/>
                          <w:marBottom w:val="0"/>
                          <w:divBdr>
                            <w:top w:val="none" w:sz="0" w:space="0" w:color="auto"/>
                            <w:left w:val="none" w:sz="0" w:space="0" w:color="auto"/>
                            <w:bottom w:val="none" w:sz="0" w:space="0" w:color="auto"/>
                            <w:right w:val="none" w:sz="0" w:space="0" w:color="auto"/>
                          </w:divBdr>
                        </w:div>
                      </w:divsChild>
                    </w:div>
                    <w:div w:id="1345860713">
                      <w:marLeft w:val="0"/>
                      <w:marRight w:val="0"/>
                      <w:marTop w:val="0"/>
                      <w:marBottom w:val="0"/>
                      <w:divBdr>
                        <w:top w:val="none" w:sz="0" w:space="0" w:color="auto"/>
                        <w:left w:val="none" w:sz="0" w:space="0" w:color="auto"/>
                        <w:bottom w:val="none" w:sz="0" w:space="0" w:color="auto"/>
                        <w:right w:val="none" w:sz="0" w:space="0" w:color="auto"/>
                      </w:divBdr>
                      <w:divsChild>
                        <w:div w:id="977147541">
                          <w:marLeft w:val="0"/>
                          <w:marRight w:val="0"/>
                          <w:marTop w:val="0"/>
                          <w:marBottom w:val="0"/>
                          <w:divBdr>
                            <w:top w:val="none" w:sz="0" w:space="0" w:color="auto"/>
                            <w:left w:val="none" w:sz="0" w:space="0" w:color="auto"/>
                            <w:bottom w:val="none" w:sz="0" w:space="0" w:color="auto"/>
                            <w:right w:val="none" w:sz="0" w:space="0" w:color="auto"/>
                          </w:divBdr>
                        </w:div>
                      </w:divsChild>
                    </w:div>
                    <w:div w:id="968439056">
                      <w:marLeft w:val="0"/>
                      <w:marRight w:val="0"/>
                      <w:marTop w:val="0"/>
                      <w:marBottom w:val="0"/>
                      <w:divBdr>
                        <w:top w:val="none" w:sz="0" w:space="0" w:color="auto"/>
                        <w:left w:val="none" w:sz="0" w:space="0" w:color="auto"/>
                        <w:bottom w:val="none" w:sz="0" w:space="0" w:color="auto"/>
                        <w:right w:val="none" w:sz="0" w:space="0" w:color="auto"/>
                      </w:divBdr>
                      <w:divsChild>
                        <w:div w:id="1058625096">
                          <w:marLeft w:val="0"/>
                          <w:marRight w:val="0"/>
                          <w:marTop w:val="0"/>
                          <w:marBottom w:val="0"/>
                          <w:divBdr>
                            <w:top w:val="none" w:sz="0" w:space="0" w:color="auto"/>
                            <w:left w:val="none" w:sz="0" w:space="0" w:color="auto"/>
                            <w:bottom w:val="none" w:sz="0" w:space="0" w:color="auto"/>
                            <w:right w:val="none" w:sz="0" w:space="0" w:color="auto"/>
                          </w:divBdr>
                        </w:div>
                      </w:divsChild>
                    </w:div>
                    <w:div w:id="433135193">
                      <w:marLeft w:val="0"/>
                      <w:marRight w:val="0"/>
                      <w:marTop w:val="0"/>
                      <w:marBottom w:val="0"/>
                      <w:divBdr>
                        <w:top w:val="none" w:sz="0" w:space="0" w:color="auto"/>
                        <w:left w:val="none" w:sz="0" w:space="0" w:color="auto"/>
                        <w:bottom w:val="none" w:sz="0" w:space="0" w:color="auto"/>
                        <w:right w:val="none" w:sz="0" w:space="0" w:color="auto"/>
                      </w:divBdr>
                      <w:divsChild>
                        <w:div w:id="1188643018">
                          <w:marLeft w:val="0"/>
                          <w:marRight w:val="0"/>
                          <w:marTop w:val="0"/>
                          <w:marBottom w:val="0"/>
                          <w:divBdr>
                            <w:top w:val="none" w:sz="0" w:space="0" w:color="auto"/>
                            <w:left w:val="none" w:sz="0" w:space="0" w:color="auto"/>
                            <w:bottom w:val="none" w:sz="0" w:space="0" w:color="auto"/>
                            <w:right w:val="none" w:sz="0" w:space="0" w:color="auto"/>
                          </w:divBdr>
                        </w:div>
                      </w:divsChild>
                    </w:div>
                    <w:div w:id="1856992771">
                      <w:marLeft w:val="0"/>
                      <w:marRight w:val="0"/>
                      <w:marTop w:val="0"/>
                      <w:marBottom w:val="0"/>
                      <w:divBdr>
                        <w:top w:val="none" w:sz="0" w:space="0" w:color="auto"/>
                        <w:left w:val="none" w:sz="0" w:space="0" w:color="auto"/>
                        <w:bottom w:val="none" w:sz="0" w:space="0" w:color="auto"/>
                        <w:right w:val="none" w:sz="0" w:space="0" w:color="auto"/>
                      </w:divBdr>
                      <w:divsChild>
                        <w:div w:id="1335718936">
                          <w:marLeft w:val="0"/>
                          <w:marRight w:val="0"/>
                          <w:marTop w:val="0"/>
                          <w:marBottom w:val="0"/>
                          <w:divBdr>
                            <w:top w:val="none" w:sz="0" w:space="0" w:color="auto"/>
                            <w:left w:val="none" w:sz="0" w:space="0" w:color="auto"/>
                            <w:bottom w:val="none" w:sz="0" w:space="0" w:color="auto"/>
                            <w:right w:val="none" w:sz="0" w:space="0" w:color="auto"/>
                          </w:divBdr>
                        </w:div>
                      </w:divsChild>
                    </w:div>
                    <w:div w:id="174194735">
                      <w:marLeft w:val="0"/>
                      <w:marRight w:val="0"/>
                      <w:marTop w:val="0"/>
                      <w:marBottom w:val="0"/>
                      <w:divBdr>
                        <w:top w:val="none" w:sz="0" w:space="0" w:color="auto"/>
                        <w:left w:val="none" w:sz="0" w:space="0" w:color="auto"/>
                        <w:bottom w:val="none" w:sz="0" w:space="0" w:color="auto"/>
                        <w:right w:val="none" w:sz="0" w:space="0" w:color="auto"/>
                      </w:divBdr>
                      <w:divsChild>
                        <w:div w:id="1877237370">
                          <w:marLeft w:val="0"/>
                          <w:marRight w:val="0"/>
                          <w:marTop w:val="0"/>
                          <w:marBottom w:val="0"/>
                          <w:divBdr>
                            <w:top w:val="none" w:sz="0" w:space="0" w:color="auto"/>
                            <w:left w:val="none" w:sz="0" w:space="0" w:color="auto"/>
                            <w:bottom w:val="none" w:sz="0" w:space="0" w:color="auto"/>
                            <w:right w:val="none" w:sz="0" w:space="0" w:color="auto"/>
                          </w:divBdr>
                        </w:div>
                      </w:divsChild>
                    </w:div>
                    <w:div w:id="229770795">
                      <w:marLeft w:val="0"/>
                      <w:marRight w:val="0"/>
                      <w:marTop w:val="0"/>
                      <w:marBottom w:val="0"/>
                      <w:divBdr>
                        <w:top w:val="none" w:sz="0" w:space="0" w:color="auto"/>
                        <w:left w:val="none" w:sz="0" w:space="0" w:color="auto"/>
                        <w:bottom w:val="none" w:sz="0" w:space="0" w:color="auto"/>
                        <w:right w:val="none" w:sz="0" w:space="0" w:color="auto"/>
                      </w:divBdr>
                      <w:divsChild>
                        <w:div w:id="125701421">
                          <w:marLeft w:val="0"/>
                          <w:marRight w:val="0"/>
                          <w:marTop w:val="0"/>
                          <w:marBottom w:val="0"/>
                          <w:divBdr>
                            <w:top w:val="none" w:sz="0" w:space="0" w:color="auto"/>
                            <w:left w:val="none" w:sz="0" w:space="0" w:color="auto"/>
                            <w:bottom w:val="none" w:sz="0" w:space="0" w:color="auto"/>
                            <w:right w:val="none" w:sz="0" w:space="0" w:color="auto"/>
                          </w:divBdr>
                        </w:div>
                      </w:divsChild>
                    </w:div>
                    <w:div w:id="1851606696">
                      <w:marLeft w:val="0"/>
                      <w:marRight w:val="0"/>
                      <w:marTop w:val="0"/>
                      <w:marBottom w:val="0"/>
                      <w:divBdr>
                        <w:top w:val="none" w:sz="0" w:space="0" w:color="auto"/>
                        <w:left w:val="none" w:sz="0" w:space="0" w:color="auto"/>
                        <w:bottom w:val="none" w:sz="0" w:space="0" w:color="auto"/>
                        <w:right w:val="none" w:sz="0" w:space="0" w:color="auto"/>
                      </w:divBdr>
                      <w:divsChild>
                        <w:div w:id="409353580">
                          <w:marLeft w:val="0"/>
                          <w:marRight w:val="0"/>
                          <w:marTop w:val="0"/>
                          <w:marBottom w:val="0"/>
                          <w:divBdr>
                            <w:top w:val="none" w:sz="0" w:space="0" w:color="auto"/>
                            <w:left w:val="none" w:sz="0" w:space="0" w:color="auto"/>
                            <w:bottom w:val="none" w:sz="0" w:space="0" w:color="auto"/>
                            <w:right w:val="none" w:sz="0" w:space="0" w:color="auto"/>
                          </w:divBdr>
                        </w:div>
                      </w:divsChild>
                    </w:div>
                    <w:div w:id="804734582">
                      <w:marLeft w:val="0"/>
                      <w:marRight w:val="0"/>
                      <w:marTop w:val="0"/>
                      <w:marBottom w:val="0"/>
                      <w:divBdr>
                        <w:top w:val="none" w:sz="0" w:space="0" w:color="auto"/>
                        <w:left w:val="none" w:sz="0" w:space="0" w:color="auto"/>
                        <w:bottom w:val="none" w:sz="0" w:space="0" w:color="auto"/>
                        <w:right w:val="none" w:sz="0" w:space="0" w:color="auto"/>
                      </w:divBdr>
                      <w:divsChild>
                        <w:div w:id="811218185">
                          <w:marLeft w:val="0"/>
                          <w:marRight w:val="0"/>
                          <w:marTop w:val="0"/>
                          <w:marBottom w:val="0"/>
                          <w:divBdr>
                            <w:top w:val="none" w:sz="0" w:space="0" w:color="auto"/>
                            <w:left w:val="none" w:sz="0" w:space="0" w:color="auto"/>
                            <w:bottom w:val="none" w:sz="0" w:space="0" w:color="auto"/>
                            <w:right w:val="none" w:sz="0" w:space="0" w:color="auto"/>
                          </w:divBdr>
                        </w:div>
                      </w:divsChild>
                    </w:div>
                    <w:div w:id="964432297">
                      <w:marLeft w:val="0"/>
                      <w:marRight w:val="0"/>
                      <w:marTop w:val="0"/>
                      <w:marBottom w:val="0"/>
                      <w:divBdr>
                        <w:top w:val="none" w:sz="0" w:space="0" w:color="auto"/>
                        <w:left w:val="none" w:sz="0" w:space="0" w:color="auto"/>
                        <w:bottom w:val="none" w:sz="0" w:space="0" w:color="auto"/>
                        <w:right w:val="none" w:sz="0" w:space="0" w:color="auto"/>
                      </w:divBdr>
                      <w:divsChild>
                        <w:div w:id="952322518">
                          <w:marLeft w:val="0"/>
                          <w:marRight w:val="0"/>
                          <w:marTop w:val="0"/>
                          <w:marBottom w:val="0"/>
                          <w:divBdr>
                            <w:top w:val="none" w:sz="0" w:space="0" w:color="auto"/>
                            <w:left w:val="none" w:sz="0" w:space="0" w:color="auto"/>
                            <w:bottom w:val="none" w:sz="0" w:space="0" w:color="auto"/>
                            <w:right w:val="none" w:sz="0" w:space="0" w:color="auto"/>
                          </w:divBdr>
                        </w:div>
                      </w:divsChild>
                    </w:div>
                    <w:div w:id="1306155268">
                      <w:marLeft w:val="0"/>
                      <w:marRight w:val="0"/>
                      <w:marTop w:val="0"/>
                      <w:marBottom w:val="0"/>
                      <w:divBdr>
                        <w:top w:val="none" w:sz="0" w:space="0" w:color="auto"/>
                        <w:left w:val="none" w:sz="0" w:space="0" w:color="auto"/>
                        <w:bottom w:val="none" w:sz="0" w:space="0" w:color="auto"/>
                        <w:right w:val="none" w:sz="0" w:space="0" w:color="auto"/>
                      </w:divBdr>
                      <w:divsChild>
                        <w:div w:id="217976905">
                          <w:marLeft w:val="0"/>
                          <w:marRight w:val="0"/>
                          <w:marTop w:val="0"/>
                          <w:marBottom w:val="0"/>
                          <w:divBdr>
                            <w:top w:val="none" w:sz="0" w:space="0" w:color="auto"/>
                            <w:left w:val="none" w:sz="0" w:space="0" w:color="auto"/>
                            <w:bottom w:val="none" w:sz="0" w:space="0" w:color="auto"/>
                            <w:right w:val="none" w:sz="0" w:space="0" w:color="auto"/>
                          </w:divBdr>
                        </w:div>
                      </w:divsChild>
                    </w:div>
                    <w:div w:id="1532645671">
                      <w:marLeft w:val="0"/>
                      <w:marRight w:val="0"/>
                      <w:marTop w:val="0"/>
                      <w:marBottom w:val="0"/>
                      <w:divBdr>
                        <w:top w:val="none" w:sz="0" w:space="0" w:color="auto"/>
                        <w:left w:val="none" w:sz="0" w:space="0" w:color="auto"/>
                        <w:bottom w:val="none" w:sz="0" w:space="0" w:color="auto"/>
                        <w:right w:val="none" w:sz="0" w:space="0" w:color="auto"/>
                      </w:divBdr>
                      <w:divsChild>
                        <w:div w:id="255330564">
                          <w:marLeft w:val="0"/>
                          <w:marRight w:val="0"/>
                          <w:marTop w:val="0"/>
                          <w:marBottom w:val="0"/>
                          <w:divBdr>
                            <w:top w:val="none" w:sz="0" w:space="0" w:color="auto"/>
                            <w:left w:val="none" w:sz="0" w:space="0" w:color="auto"/>
                            <w:bottom w:val="none" w:sz="0" w:space="0" w:color="auto"/>
                            <w:right w:val="none" w:sz="0" w:space="0" w:color="auto"/>
                          </w:divBdr>
                        </w:div>
                      </w:divsChild>
                    </w:div>
                    <w:div w:id="1211110608">
                      <w:marLeft w:val="0"/>
                      <w:marRight w:val="0"/>
                      <w:marTop w:val="0"/>
                      <w:marBottom w:val="0"/>
                      <w:divBdr>
                        <w:top w:val="none" w:sz="0" w:space="0" w:color="auto"/>
                        <w:left w:val="none" w:sz="0" w:space="0" w:color="auto"/>
                        <w:bottom w:val="none" w:sz="0" w:space="0" w:color="auto"/>
                        <w:right w:val="none" w:sz="0" w:space="0" w:color="auto"/>
                      </w:divBdr>
                      <w:divsChild>
                        <w:div w:id="1719009348">
                          <w:marLeft w:val="0"/>
                          <w:marRight w:val="0"/>
                          <w:marTop w:val="0"/>
                          <w:marBottom w:val="0"/>
                          <w:divBdr>
                            <w:top w:val="none" w:sz="0" w:space="0" w:color="auto"/>
                            <w:left w:val="none" w:sz="0" w:space="0" w:color="auto"/>
                            <w:bottom w:val="none" w:sz="0" w:space="0" w:color="auto"/>
                            <w:right w:val="none" w:sz="0" w:space="0" w:color="auto"/>
                          </w:divBdr>
                        </w:div>
                      </w:divsChild>
                    </w:div>
                    <w:div w:id="1001464733">
                      <w:marLeft w:val="0"/>
                      <w:marRight w:val="0"/>
                      <w:marTop w:val="0"/>
                      <w:marBottom w:val="0"/>
                      <w:divBdr>
                        <w:top w:val="none" w:sz="0" w:space="0" w:color="auto"/>
                        <w:left w:val="none" w:sz="0" w:space="0" w:color="auto"/>
                        <w:bottom w:val="none" w:sz="0" w:space="0" w:color="auto"/>
                        <w:right w:val="none" w:sz="0" w:space="0" w:color="auto"/>
                      </w:divBdr>
                      <w:divsChild>
                        <w:div w:id="173112110">
                          <w:marLeft w:val="0"/>
                          <w:marRight w:val="0"/>
                          <w:marTop w:val="0"/>
                          <w:marBottom w:val="0"/>
                          <w:divBdr>
                            <w:top w:val="none" w:sz="0" w:space="0" w:color="auto"/>
                            <w:left w:val="none" w:sz="0" w:space="0" w:color="auto"/>
                            <w:bottom w:val="none" w:sz="0" w:space="0" w:color="auto"/>
                            <w:right w:val="none" w:sz="0" w:space="0" w:color="auto"/>
                          </w:divBdr>
                        </w:div>
                      </w:divsChild>
                    </w:div>
                    <w:div w:id="2060014664">
                      <w:marLeft w:val="0"/>
                      <w:marRight w:val="0"/>
                      <w:marTop w:val="0"/>
                      <w:marBottom w:val="0"/>
                      <w:divBdr>
                        <w:top w:val="none" w:sz="0" w:space="0" w:color="auto"/>
                        <w:left w:val="none" w:sz="0" w:space="0" w:color="auto"/>
                        <w:bottom w:val="none" w:sz="0" w:space="0" w:color="auto"/>
                        <w:right w:val="none" w:sz="0" w:space="0" w:color="auto"/>
                      </w:divBdr>
                      <w:divsChild>
                        <w:div w:id="1624578923">
                          <w:marLeft w:val="0"/>
                          <w:marRight w:val="0"/>
                          <w:marTop w:val="0"/>
                          <w:marBottom w:val="0"/>
                          <w:divBdr>
                            <w:top w:val="none" w:sz="0" w:space="0" w:color="auto"/>
                            <w:left w:val="none" w:sz="0" w:space="0" w:color="auto"/>
                            <w:bottom w:val="none" w:sz="0" w:space="0" w:color="auto"/>
                            <w:right w:val="none" w:sz="0" w:space="0" w:color="auto"/>
                          </w:divBdr>
                        </w:div>
                      </w:divsChild>
                    </w:div>
                    <w:div w:id="1120949846">
                      <w:marLeft w:val="0"/>
                      <w:marRight w:val="0"/>
                      <w:marTop w:val="0"/>
                      <w:marBottom w:val="0"/>
                      <w:divBdr>
                        <w:top w:val="none" w:sz="0" w:space="0" w:color="auto"/>
                        <w:left w:val="none" w:sz="0" w:space="0" w:color="auto"/>
                        <w:bottom w:val="none" w:sz="0" w:space="0" w:color="auto"/>
                        <w:right w:val="none" w:sz="0" w:space="0" w:color="auto"/>
                      </w:divBdr>
                      <w:divsChild>
                        <w:div w:id="1964774490">
                          <w:marLeft w:val="0"/>
                          <w:marRight w:val="0"/>
                          <w:marTop w:val="0"/>
                          <w:marBottom w:val="0"/>
                          <w:divBdr>
                            <w:top w:val="none" w:sz="0" w:space="0" w:color="auto"/>
                            <w:left w:val="none" w:sz="0" w:space="0" w:color="auto"/>
                            <w:bottom w:val="none" w:sz="0" w:space="0" w:color="auto"/>
                            <w:right w:val="none" w:sz="0" w:space="0" w:color="auto"/>
                          </w:divBdr>
                        </w:div>
                      </w:divsChild>
                    </w:div>
                    <w:div w:id="523251580">
                      <w:marLeft w:val="0"/>
                      <w:marRight w:val="0"/>
                      <w:marTop w:val="0"/>
                      <w:marBottom w:val="0"/>
                      <w:divBdr>
                        <w:top w:val="none" w:sz="0" w:space="0" w:color="auto"/>
                        <w:left w:val="none" w:sz="0" w:space="0" w:color="auto"/>
                        <w:bottom w:val="none" w:sz="0" w:space="0" w:color="auto"/>
                        <w:right w:val="none" w:sz="0" w:space="0" w:color="auto"/>
                      </w:divBdr>
                      <w:divsChild>
                        <w:div w:id="1116831126">
                          <w:marLeft w:val="0"/>
                          <w:marRight w:val="0"/>
                          <w:marTop w:val="0"/>
                          <w:marBottom w:val="0"/>
                          <w:divBdr>
                            <w:top w:val="none" w:sz="0" w:space="0" w:color="auto"/>
                            <w:left w:val="none" w:sz="0" w:space="0" w:color="auto"/>
                            <w:bottom w:val="none" w:sz="0" w:space="0" w:color="auto"/>
                            <w:right w:val="none" w:sz="0" w:space="0" w:color="auto"/>
                          </w:divBdr>
                        </w:div>
                      </w:divsChild>
                    </w:div>
                    <w:div w:id="1465733963">
                      <w:marLeft w:val="0"/>
                      <w:marRight w:val="0"/>
                      <w:marTop w:val="0"/>
                      <w:marBottom w:val="0"/>
                      <w:divBdr>
                        <w:top w:val="none" w:sz="0" w:space="0" w:color="auto"/>
                        <w:left w:val="none" w:sz="0" w:space="0" w:color="auto"/>
                        <w:bottom w:val="none" w:sz="0" w:space="0" w:color="auto"/>
                        <w:right w:val="none" w:sz="0" w:space="0" w:color="auto"/>
                      </w:divBdr>
                      <w:divsChild>
                        <w:div w:id="1145439084">
                          <w:marLeft w:val="0"/>
                          <w:marRight w:val="0"/>
                          <w:marTop w:val="0"/>
                          <w:marBottom w:val="0"/>
                          <w:divBdr>
                            <w:top w:val="none" w:sz="0" w:space="0" w:color="auto"/>
                            <w:left w:val="none" w:sz="0" w:space="0" w:color="auto"/>
                            <w:bottom w:val="none" w:sz="0" w:space="0" w:color="auto"/>
                            <w:right w:val="none" w:sz="0" w:space="0" w:color="auto"/>
                          </w:divBdr>
                        </w:div>
                      </w:divsChild>
                    </w:div>
                    <w:div w:id="1554150307">
                      <w:marLeft w:val="0"/>
                      <w:marRight w:val="0"/>
                      <w:marTop w:val="0"/>
                      <w:marBottom w:val="0"/>
                      <w:divBdr>
                        <w:top w:val="none" w:sz="0" w:space="0" w:color="auto"/>
                        <w:left w:val="none" w:sz="0" w:space="0" w:color="auto"/>
                        <w:bottom w:val="none" w:sz="0" w:space="0" w:color="auto"/>
                        <w:right w:val="none" w:sz="0" w:space="0" w:color="auto"/>
                      </w:divBdr>
                      <w:divsChild>
                        <w:div w:id="291207726">
                          <w:marLeft w:val="0"/>
                          <w:marRight w:val="0"/>
                          <w:marTop w:val="0"/>
                          <w:marBottom w:val="0"/>
                          <w:divBdr>
                            <w:top w:val="none" w:sz="0" w:space="0" w:color="auto"/>
                            <w:left w:val="none" w:sz="0" w:space="0" w:color="auto"/>
                            <w:bottom w:val="none" w:sz="0" w:space="0" w:color="auto"/>
                            <w:right w:val="none" w:sz="0" w:space="0" w:color="auto"/>
                          </w:divBdr>
                        </w:div>
                      </w:divsChild>
                    </w:div>
                    <w:div w:id="1316298312">
                      <w:marLeft w:val="0"/>
                      <w:marRight w:val="0"/>
                      <w:marTop w:val="0"/>
                      <w:marBottom w:val="0"/>
                      <w:divBdr>
                        <w:top w:val="none" w:sz="0" w:space="0" w:color="auto"/>
                        <w:left w:val="none" w:sz="0" w:space="0" w:color="auto"/>
                        <w:bottom w:val="none" w:sz="0" w:space="0" w:color="auto"/>
                        <w:right w:val="none" w:sz="0" w:space="0" w:color="auto"/>
                      </w:divBdr>
                      <w:divsChild>
                        <w:div w:id="1873689683">
                          <w:marLeft w:val="0"/>
                          <w:marRight w:val="0"/>
                          <w:marTop w:val="0"/>
                          <w:marBottom w:val="0"/>
                          <w:divBdr>
                            <w:top w:val="none" w:sz="0" w:space="0" w:color="auto"/>
                            <w:left w:val="none" w:sz="0" w:space="0" w:color="auto"/>
                            <w:bottom w:val="none" w:sz="0" w:space="0" w:color="auto"/>
                            <w:right w:val="none" w:sz="0" w:space="0" w:color="auto"/>
                          </w:divBdr>
                        </w:div>
                      </w:divsChild>
                    </w:div>
                    <w:div w:id="124126529">
                      <w:marLeft w:val="0"/>
                      <w:marRight w:val="0"/>
                      <w:marTop w:val="0"/>
                      <w:marBottom w:val="0"/>
                      <w:divBdr>
                        <w:top w:val="none" w:sz="0" w:space="0" w:color="auto"/>
                        <w:left w:val="none" w:sz="0" w:space="0" w:color="auto"/>
                        <w:bottom w:val="none" w:sz="0" w:space="0" w:color="auto"/>
                        <w:right w:val="none" w:sz="0" w:space="0" w:color="auto"/>
                      </w:divBdr>
                      <w:divsChild>
                        <w:div w:id="1238590658">
                          <w:marLeft w:val="0"/>
                          <w:marRight w:val="0"/>
                          <w:marTop w:val="0"/>
                          <w:marBottom w:val="0"/>
                          <w:divBdr>
                            <w:top w:val="none" w:sz="0" w:space="0" w:color="auto"/>
                            <w:left w:val="none" w:sz="0" w:space="0" w:color="auto"/>
                            <w:bottom w:val="none" w:sz="0" w:space="0" w:color="auto"/>
                            <w:right w:val="none" w:sz="0" w:space="0" w:color="auto"/>
                          </w:divBdr>
                        </w:div>
                      </w:divsChild>
                    </w:div>
                    <w:div w:id="789980321">
                      <w:marLeft w:val="0"/>
                      <w:marRight w:val="0"/>
                      <w:marTop w:val="0"/>
                      <w:marBottom w:val="0"/>
                      <w:divBdr>
                        <w:top w:val="none" w:sz="0" w:space="0" w:color="auto"/>
                        <w:left w:val="none" w:sz="0" w:space="0" w:color="auto"/>
                        <w:bottom w:val="none" w:sz="0" w:space="0" w:color="auto"/>
                        <w:right w:val="none" w:sz="0" w:space="0" w:color="auto"/>
                      </w:divBdr>
                      <w:divsChild>
                        <w:div w:id="342129183">
                          <w:marLeft w:val="0"/>
                          <w:marRight w:val="0"/>
                          <w:marTop w:val="0"/>
                          <w:marBottom w:val="0"/>
                          <w:divBdr>
                            <w:top w:val="none" w:sz="0" w:space="0" w:color="auto"/>
                            <w:left w:val="none" w:sz="0" w:space="0" w:color="auto"/>
                            <w:bottom w:val="none" w:sz="0" w:space="0" w:color="auto"/>
                            <w:right w:val="none" w:sz="0" w:space="0" w:color="auto"/>
                          </w:divBdr>
                        </w:div>
                      </w:divsChild>
                    </w:div>
                    <w:div w:id="318384820">
                      <w:marLeft w:val="0"/>
                      <w:marRight w:val="0"/>
                      <w:marTop w:val="0"/>
                      <w:marBottom w:val="0"/>
                      <w:divBdr>
                        <w:top w:val="none" w:sz="0" w:space="0" w:color="auto"/>
                        <w:left w:val="none" w:sz="0" w:space="0" w:color="auto"/>
                        <w:bottom w:val="none" w:sz="0" w:space="0" w:color="auto"/>
                        <w:right w:val="none" w:sz="0" w:space="0" w:color="auto"/>
                      </w:divBdr>
                      <w:divsChild>
                        <w:div w:id="1022778692">
                          <w:marLeft w:val="0"/>
                          <w:marRight w:val="0"/>
                          <w:marTop w:val="0"/>
                          <w:marBottom w:val="0"/>
                          <w:divBdr>
                            <w:top w:val="none" w:sz="0" w:space="0" w:color="auto"/>
                            <w:left w:val="none" w:sz="0" w:space="0" w:color="auto"/>
                            <w:bottom w:val="none" w:sz="0" w:space="0" w:color="auto"/>
                            <w:right w:val="none" w:sz="0" w:space="0" w:color="auto"/>
                          </w:divBdr>
                        </w:div>
                      </w:divsChild>
                    </w:div>
                    <w:div w:id="1128278718">
                      <w:marLeft w:val="0"/>
                      <w:marRight w:val="0"/>
                      <w:marTop w:val="0"/>
                      <w:marBottom w:val="0"/>
                      <w:divBdr>
                        <w:top w:val="none" w:sz="0" w:space="0" w:color="auto"/>
                        <w:left w:val="none" w:sz="0" w:space="0" w:color="auto"/>
                        <w:bottom w:val="none" w:sz="0" w:space="0" w:color="auto"/>
                        <w:right w:val="none" w:sz="0" w:space="0" w:color="auto"/>
                      </w:divBdr>
                      <w:divsChild>
                        <w:div w:id="1223982714">
                          <w:marLeft w:val="0"/>
                          <w:marRight w:val="0"/>
                          <w:marTop w:val="0"/>
                          <w:marBottom w:val="0"/>
                          <w:divBdr>
                            <w:top w:val="none" w:sz="0" w:space="0" w:color="auto"/>
                            <w:left w:val="none" w:sz="0" w:space="0" w:color="auto"/>
                            <w:bottom w:val="none" w:sz="0" w:space="0" w:color="auto"/>
                            <w:right w:val="none" w:sz="0" w:space="0" w:color="auto"/>
                          </w:divBdr>
                        </w:div>
                      </w:divsChild>
                    </w:div>
                    <w:div w:id="830830218">
                      <w:marLeft w:val="0"/>
                      <w:marRight w:val="0"/>
                      <w:marTop w:val="0"/>
                      <w:marBottom w:val="0"/>
                      <w:divBdr>
                        <w:top w:val="none" w:sz="0" w:space="0" w:color="auto"/>
                        <w:left w:val="none" w:sz="0" w:space="0" w:color="auto"/>
                        <w:bottom w:val="none" w:sz="0" w:space="0" w:color="auto"/>
                        <w:right w:val="none" w:sz="0" w:space="0" w:color="auto"/>
                      </w:divBdr>
                      <w:divsChild>
                        <w:div w:id="1614165404">
                          <w:marLeft w:val="0"/>
                          <w:marRight w:val="0"/>
                          <w:marTop w:val="0"/>
                          <w:marBottom w:val="0"/>
                          <w:divBdr>
                            <w:top w:val="none" w:sz="0" w:space="0" w:color="auto"/>
                            <w:left w:val="none" w:sz="0" w:space="0" w:color="auto"/>
                            <w:bottom w:val="none" w:sz="0" w:space="0" w:color="auto"/>
                            <w:right w:val="none" w:sz="0" w:space="0" w:color="auto"/>
                          </w:divBdr>
                        </w:div>
                      </w:divsChild>
                    </w:div>
                    <w:div w:id="2113280832">
                      <w:marLeft w:val="0"/>
                      <w:marRight w:val="0"/>
                      <w:marTop w:val="0"/>
                      <w:marBottom w:val="0"/>
                      <w:divBdr>
                        <w:top w:val="none" w:sz="0" w:space="0" w:color="auto"/>
                        <w:left w:val="none" w:sz="0" w:space="0" w:color="auto"/>
                        <w:bottom w:val="none" w:sz="0" w:space="0" w:color="auto"/>
                        <w:right w:val="none" w:sz="0" w:space="0" w:color="auto"/>
                      </w:divBdr>
                      <w:divsChild>
                        <w:div w:id="1104611275">
                          <w:marLeft w:val="0"/>
                          <w:marRight w:val="0"/>
                          <w:marTop w:val="0"/>
                          <w:marBottom w:val="0"/>
                          <w:divBdr>
                            <w:top w:val="none" w:sz="0" w:space="0" w:color="auto"/>
                            <w:left w:val="none" w:sz="0" w:space="0" w:color="auto"/>
                            <w:bottom w:val="none" w:sz="0" w:space="0" w:color="auto"/>
                            <w:right w:val="none" w:sz="0" w:space="0" w:color="auto"/>
                          </w:divBdr>
                        </w:div>
                      </w:divsChild>
                    </w:div>
                    <w:div w:id="1013219306">
                      <w:marLeft w:val="0"/>
                      <w:marRight w:val="0"/>
                      <w:marTop w:val="0"/>
                      <w:marBottom w:val="0"/>
                      <w:divBdr>
                        <w:top w:val="none" w:sz="0" w:space="0" w:color="auto"/>
                        <w:left w:val="none" w:sz="0" w:space="0" w:color="auto"/>
                        <w:bottom w:val="none" w:sz="0" w:space="0" w:color="auto"/>
                        <w:right w:val="none" w:sz="0" w:space="0" w:color="auto"/>
                      </w:divBdr>
                      <w:divsChild>
                        <w:div w:id="1680308638">
                          <w:marLeft w:val="0"/>
                          <w:marRight w:val="0"/>
                          <w:marTop w:val="0"/>
                          <w:marBottom w:val="0"/>
                          <w:divBdr>
                            <w:top w:val="none" w:sz="0" w:space="0" w:color="auto"/>
                            <w:left w:val="none" w:sz="0" w:space="0" w:color="auto"/>
                            <w:bottom w:val="none" w:sz="0" w:space="0" w:color="auto"/>
                            <w:right w:val="none" w:sz="0" w:space="0" w:color="auto"/>
                          </w:divBdr>
                        </w:div>
                      </w:divsChild>
                    </w:div>
                    <w:div w:id="766845844">
                      <w:marLeft w:val="0"/>
                      <w:marRight w:val="0"/>
                      <w:marTop w:val="0"/>
                      <w:marBottom w:val="0"/>
                      <w:divBdr>
                        <w:top w:val="none" w:sz="0" w:space="0" w:color="auto"/>
                        <w:left w:val="none" w:sz="0" w:space="0" w:color="auto"/>
                        <w:bottom w:val="none" w:sz="0" w:space="0" w:color="auto"/>
                        <w:right w:val="none" w:sz="0" w:space="0" w:color="auto"/>
                      </w:divBdr>
                      <w:divsChild>
                        <w:div w:id="1373967926">
                          <w:marLeft w:val="0"/>
                          <w:marRight w:val="0"/>
                          <w:marTop w:val="0"/>
                          <w:marBottom w:val="0"/>
                          <w:divBdr>
                            <w:top w:val="none" w:sz="0" w:space="0" w:color="auto"/>
                            <w:left w:val="none" w:sz="0" w:space="0" w:color="auto"/>
                            <w:bottom w:val="none" w:sz="0" w:space="0" w:color="auto"/>
                            <w:right w:val="none" w:sz="0" w:space="0" w:color="auto"/>
                          </w:divBdr>
                        </w:div>
                      </w:divsChild>
                    </w:div>
                    <w:div w:id="2000965788">
                      <w:marLeft w:val="0"/>
                      <w:marRight w:val="0"/>
                      <w:marTop w:val="0"/>
                      <w:marBottom w:val="0"/>
                      <w:divBdr>
                        <w:top w:val="none" w:sz="0" w:space="0" w:color="auto"/>
                        <w:left w:val="none" w:sz="0" w:space="0" w:color="auto"/>
                        <w:bottom w:val="none" w:sz="0" w:space="0" w:color="auto"/>
                        <w:right w:val="none" w:sz="0" w:space="0" w:color="auto"/>
                      </w:divBdr>
                      <w:divsChild>
                        <w:div w:id="2036685893">
                          <w:marLeft w:val="0"/>
                          <w:marRight w:val="0"/>
                          <w:marTop w:val="0"/>
                          <w:marBottom w:val="0"/>
                          <w:divBdr>
                            <w:top w:val="none" w:sz="0" w:space="0" w:color="auto"/>
                            <w:left w:val="none" w:sz="0" w:space="0" w:color="auto"/>
                            <w:bottom w:val="none" w:sz="0" w:space="0" w:color="auto"/>
                            <w:right w:val="none" w:sz="0" w:space="0" w:color="auto"/>
                          </w:divBdr>
                        </w:div>
                      </w:divsChild>
                    </w:div>
                    <w:div w:id="1335376905">
                      <w:marLeft w:val="0"/>
                      <w:marRight w:val="0"/>
                      <w:marTop w:val="0"/>
                      <w:marBottom w:val="0"/>
                      <w:divBdr>
                        <w:top w:val="none" w:sz="0" w:space="0" w:color="auto"/>
                        <w:left w:val="none" w:sz="0" w:space="0" w:color="auto"/>
                        <w:bottom w:val="none" w:sz="0" w:space="0" w:color="auto"/>
                        <w:right w:val="none" w:sz="0" w:space="0" w:color="auto"/>
                      </w:divBdr>
                      <w:divsChild>
                        <w:div w:id="410464949">
                          <w:marLeft w:val="0"/>
                          <w:marRight w:val="0"/>
                          <w:marTop w:val="0"/>
                          <w:marBottom w:val="0"/>
                          <w:divBdr>
                            <w:top w:val="none" w:sz="0" w:space="0" w:color="auto"/>
                            <w:left w:val="none" w:sz="0" w:space="0" w:color="auto"/>
                            <w:bottom w:val="none" w:sz="0" w:space="0" w:color="auto"/>
                            <w:right w:val="none" w:sz="0" w:space="0" w:color="auto"/>
                          </w:divBdr>
                        </w:div>
                      </w:divsChild>
                    </w:div>
                    <w:div w:id="1674914131">
                      <w:marLeft w:val="0"/>
                      <w:marRight w:val="0"/>
                      <w:marTop w:val="0"/>
                      <w:marBottom w:val="0"/>
                      <w:divBdr>
                        <w:top w:val="none" w:sz="0" w:space="0" w:color="auto"/>
                        <w:left w:val="none" w:sz="0" w:space="0" w:color="auto"/>
                        <w:bottom w:val="none" w:sz="0" w:space="0" w:color="auto"/>
                        <w:right w:val="none" w:sz="0" w:space="0" w:color="auto"/>
                      </w:divBdr>
                      <w:divsChild>
                        <w:div w:id="1254974730">
                          <w:marLeft w:val="0"/>
                          <w:marRight w:val="0"/>
                          <w:marTop w:val="0"/>
                          <w:marBottom w:val="0"/>
                          <w:divBdr>
                            <w:top w:val="none" w:sz="0" w:space="0" w:color="auto"/>
                            <w:left w:val="none" w:sz="0" w:space="0" w:color="auto"/>
                            <w:bottom w:val="none" w:sz="0" w:space="0" w:color="auto"/>
                            <w:right w:val="none" w:sz="0" w:space="0" w:color="auto"/>
                          </w:divBdr>
                        </w:div>
                      </w:divsChild>
                    </w:div>
                    <w:div w:id="1922137253">
                      <w:marLeft w:val="0"/>
                      <w:marRight w:val="0"/>
                      <w:marTop w:val="0"/>
                      <w:marBottom w:val="0"/>
                      <w:divBdr>
                        <w:top w:val="none" w:sz="0" w:space="0" w:color="auto"/>
                        <w:left w:val="none" w:sz="0" w:space="0" w:color="auto"/>
                        <w:bottom w:val="none" w:sz="0" w:space="0" w:color="auto"/>
                        <w:right w:val="none" w:sz="0" w:space="0" w:color="auto"/>
                      </w:divBdr>
                      <w:divsChild>
                        <w:div w:id="2065790227">
                          <w:marLeft w:val="0"/>
                          <w:marRight w:val="0"/>
                          <w:marTop w:val="0"/>
                          <w:marBottom w:val="0"/>
                          <w:divBdr>
                            <w:top w:val="none" w:sz="0" w:space="0" w:color="auto"/>
                            <w:left w:val="none" w:sz="0" w:space="0" w:color="auto"/>
                            <w:bottom w:val="none" w:sz="0" w:space="0" w:color="auto"/>
                            <w:right w:val="none" w:sz="0" w:space="0" w:color="auto"/>
                          </w:divBdr>
                        </w:div>
                      </w:divsChild>
                    </w:div>
                    <w:div w:id="38435483">
                      <w:marLeft w:val="0"/>
                      <w:marRight w:val="0"/>
                      <w:marTop w:val="0"/>
                      <w:marBottom w:val="0"/>
                      <w:divBdr>
                        <w:top w:val="none" w:sz="0" w:space="0" w:color="auto"/>
                        <w:left w:val="none" w:sz="0" w:space="0" w:color="auto"/>
                        <w:bottom w:val="none" w:sz="0" w:space="0" w:color="auto"/>
                        <w:right w:val="none" w:sz="0" w:space="0" w:color="auto"/>
                      </w:divBdr>
                      <w:divsChild>
                        <w:div w:id="1920363207">
                          <w:marLeft w:val="0"/>
                          <w:marRight w:val="0"/>
                          <w:marTop w:val="0"/>
                          <w:marBottom w:val="0"/>
                          <w:divBdr>
                            <w:top w:val="none" w:sz="0" w:space="0" w:color="auto"/>
                            <w:left w:val="none" w:sz="0" w:space="0" w:color="auto"/>
                            <w:bottom w:val="none" w:sz="0" w:space="0" w:color="auto"/>
                            <w:right w:val="none" w:sz="0" w:space="0" w:color="auto"/>
                          </w:divBdr>
                        </w:div>
                      </w:divsChild>
                    </w:div>
                    <w:div w:id="720978933">
                      <w:marLeft w:val="0"/>
                      <w:marRight w:val="0"/>
                      <w:marTop w:val="0"/>
                      <w:marBottom w:val="0"/>
                      <w:divBdr>
                        <w:top w:val="none" w:sz="0" w:space="0" w:color="auto"/>
                        <w:left w:val="none" w:sz="0" w:space="0" w:color="auto"/>
                        <w:bottom w:val="none" w:sz="0" w:space="0" w:color="auto"/>
                        <w:right w:val="none" w:sz="0" w:space="0" w:color="auto"/>
                      </w:divBdr>
                      <w:divsChild>
                        <w:div w:id="1223903899">
                          <w:marLeft w:val="0"/>
                          <w:marRight w:val="0"/>
                          <w:marTop w:val="0"/>
                          <w:marBottom w:val="0"/>
                          <w:divBdr>
                            <w:top w:val="none" w:sz="0" w:space="0" w:color="auto"/>
                            <w:left w:val="none" w:sz="0" w:space="0" w:color="auto"/>
                            <w:bottom w:val="none" w:sz="0" w:space="0" w:color="auto"/>
                            <w:right w:val="none" w:sz="0" w:space="0" w:color="auto"/>
                          </w:divBdr>
                        </w:div>
                      </w:divsChild>
                    </w:div>
                    <w:div w:id="1562330710">
                      <w:marLeft w:val="0"/>
                      <w:marRight w:val="0"/>
                      <w:marTop w:val="0"/>
                      <w:marBottom w:val="0"/>
                      <w:divBdr>
                        <w:top w:val="none" w:sz="0" w:space="0" w:color="auto"/>
                        <w:left w:val="none" w:sz="0" w:space="0" w:color="auto"/>
                        <w:bottom w:val="none" w:sz="0" w:space="0" w:color="auto"/>
                        <w:right w:val="none" w:sz="0" w:space="0" w:color="auto"/>
                      </w:divBdr>
                      <w:divsChild>
                        <w:div w:id="758909441">
                          <w:marLeft w:val="0"/>
                          <w:marRight w:val="0"/>
                          <w:marTop w:val="0"/>
                          <w:marBottom w:val="0"/>
                          <w:divBdr>
                            <w:top w:val="none" w:sz="0" w:space="0" w:color="auto"/>
                            <w:left w:val="none" w:sz="0" w:space="0" w:color="auto"/>
                            <w:bottom w:val="none" w:sz="0" w:space="0" w:color="auto"/>
                            <w:right w:val="none" w:sz="0" w:space="0" w:color="auto"/>
                          </w:divBdr>
                        </w:div>
                      </w:divsChild>
                    </w:div>
                    <w:div w:id="970130340">
                      <w:marLeft w:val="0"/>
                      <w:marRight w:val="0"/>
                      <w:marTop w:val="0"/>
                      <w:marBottom w:val="0"/>
                      <w:divBdr>
                        <w:top w:val="none" w:sz="0" w:space="0" w:color="auto"/>
                        <w:left w:val="none" w:sz="0" w:space="0" w:color="auto"/>
                        <w:bottom w:val="none" w:sz="0" w:space="0" w:color="auto"/>
                        <w:right w:val="none" w:sz="0" w:space="0" w:color="auto"/>
                      </w:divBdr>
                      <w:divsChild>
                        <w:div w:id="2023241249">
                          <w:marLeft w:val="0"/>
                          <w:marRight w:val="0"/>
                          <w:marTop w:val="0"/>
                          <w:marBottom w:val="0"/>
                          <w:divBdr>
                            <w:top w:val="none" w:sz="0" w:space="0" w:color="auto"/>
                            <w:left w:val="none" w:sz="0" w:space="0" w:color="auto"/>
                            <w:bottom w:val="none" w:sz="0" w:space="0" w:color="auto"/>
                            <w:right w:val="none" w:sz="0" w:space="0" w:color="auto"/>
                          </w:divBdr>
                        </w:div>
                      </w:divsChild>
                    </w:div>
                    <w:div w:id="745496056">
                      <w:marLeft w:val="0"/>
                      <w:marRight w:val="0"/>
                      <w:marTop w:val="0"/>
                      <w:marBottom w:val="0"/>
                      <w:divBdr>
                        <w:top w:val="none" w:sz="0" w:space="0" w:color="auto"/>
                        <w:left w:val="none" w:sz="0" w:space="0" w:color="auto"/>
                        <w:bottom w:val="none" w:sz="0" w:space="0" w:color="auto"/>
                        <w:right w:val="none" w:sz="0" w:space="0" w:color="auto"/>
                      </w:divBdr>
                      <w:divsChild>
                        <w:div w:id="543060227">
                          <w:marLeft w:val="0"/>
                          <w:marRight w:val="0"/>
                          <w:marTop w:val="0"/>
                          <w:marBottom w:val="0"/>
                          <w:divBdr>
                            <w:top w:val="none" w:sz="0" w:space="0" w:color="auto"/>
                            <w:left w:val="none" w:sz="0" w:space="0" w:color="auto"/>
                            <w:bottom w:val="none" w:sz="0" w:space="0" w:color="auto"/>
                            <w:right w:val="none" w:sz="0" w:space="0" w:color="auto"/>
                          </w:divBdr>
                        </w:div>
                      </w:divsChild>
                    </w:div>
                    <w:div w:id="911619266">
                      <w:marLeft w:val="0"/>
                      <w:marRight w:val="0"/>
                      <w:marTop w:val="0"/>
                      <w:marBottom w:val="0"/>
                      <w:divBdr>
                        <w:top w:val="none" w:sz="0" w:space="0" w:color="auto"/>
                        <w:left w:val="none" w:sz="0" w:space="0" w:color="auto"/>
                        <w:bottom w:val="none" w:sz="0" w:space="0" w:color="auto"/>
                        <w:right w:val="none" w:sz="0" w:space="0" w:color="auto"/>
                      </w:divBdr>
                      <w:divsChild>
                        <w:div w:id="67114634">
                          <w:marLeft w:val="0"/>
                          <w:marRight w:val="0"/>
                          <w:marTop w:val="0"/>
                          <w:marBottom w:val="0"/>
                          <w:divBdr>
                            <w:top w:val="none" w:sz="0" w:space="0" w:color="auto"/>
                            <w:left w:val="none" w:sz="0" w:space="0" w:color="auto"/>
                            <w:bottom w:val="none" w:sz="0" w:space="0" w:color="auto"/>
                            <w:right w:val="none" w:sz="0" w:space="0" w:color="auto"/>
                          </w:divBdr>
                        </w:div>
                      </w:divsChild>
                    </w:div>
                    <w:div w:id="92215943">
                      <w:marLeft w:val="0"/>
                      <w:marRight w:val="0"/>
                      <w:marTop w:val="0"/>
                      <w:marBottom w:val="0"/>
                      <w:divBdr>
                        <w:top w:val="none" w:sz="0" w:space="0" w:color="auto"/>
                        <w:left w:val="none" w:sz="0" w:space="0" w:color="auto"/>
                        <w:bottom w:val="none" w:sz="0" w:space="0" w:color="auto"/>
                        <w:right w:val="none" w:sz="0" w:space="0" w:color="auto"/>
                      </w:divBdr>
                      <w:divsChild>
                        <w:div w:id="52247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2663001">
      <w:bodyDiv w:val="1"/>
      <w:marLeft w:val="0"/>
      <w:marRight w:val="0"/>
      <w:marTop w:val="0"/>
      <w:marBottom w:val="0"/>
      <w:divBdr>
        <w:top w:val="none" w:sz="0" w:space="0" w:color="auto"/>
        <w:left w:val="none" w:sz="0" w:space="0" w:color="auto"/>
        <w:bottom w:val="none" w:sz="0" w:space="0" w:color="auto"/>
        <w:right w:val="none" w:sz="0" w:space="0" w:color="auto"/>
      </w:divBdr>
      <w:divsChild>
        <w:div w:id="963081905">
          <w:marLeft w:val="0"/>
          <w:marRight w:val="0"/>
          <w:marTop w:val="0"/>
          <w:marBottom w:val="0"/>
          <w:divBdr>
            <w:top w:val="none" w:sz="0" w:space="0" w:color="auto"/>
            <w:left w:val="none" w:sz="0" w:space="0" w:color="auto"/>
            <w:bottom w:val="none" w:sz="0" w:space="0" w:color="auto"/>
            <w:right w:val="none" w:sz="0" w:space="0" w:color="auto"/>
          </w:divBdr>
          <w:divsChild>
            <w:div w:id="1128940070">
              <w:marLeft w:val="0"/>
              <w:marRight w:val="0"/>
              <w:marTop w:val="0"/>
              <w:marBottom w:val="0"/>
              <w:divBdr>
                <w:top w:val="none" w:sz="0" w:space="0" w:color="auto"/>
                <w:left w:val="none" w:sz="0" w:space="0" w:color="auto"/>
                <w:bottom w:val="none" w:sz="0" w:space="0" w:color="auto"/>
                <w:right w:val="none" w:sz="0" w:space="0" w:color="auto"/>
              </w:divBdr>
              <w:divsChild>
                <w:div w:id="96115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289213">
      <w:bodyDiv w:val="1"/>
      <w:marLeft w:val="0"/>
      <w:marRight w:val="0"/>
      <w:marTop w:val="0"/>
      <w:marBottom w:val="0"/>
      <w:divBdr>
        <w:top w:val="none" w:sz="0" w:space="0" w:color="auto"/>
        <w:left w:val="none" w:sz="0" w:space="0" w:color="auto"/>
        <w:bottom w:val="none" w:sz="0" w:space="0" w:color="auto"/>
        <w:right w:val="none" w:sz="0" w:space="0" w:color="auto"/>
      </w:divBdr>
      <w:divsChild>
        <w:div w:id="1159343918">
          <w:marLeft w:val="0"/>
          <w:marRight w:val="0"/>
          <w:marTop w:val="0"/>
          <w:marBottom w:val="0"/>
          <w:divBdr>
            <w:top w:val="none" w:sz="0" w:space="0" w:color="auto"/>
            <w:left w:val="none" w:sz="0" w:space="0" w:color="auto"/>
            <w:bottom w:val="none" w:sz="0" w:space="0" w:color="auto"/>
            <w:right w:val="none" w:sz="0" w:space="0" w:color="auto"/>
          </w:divBdr>
          <w:divsChild>
            <w:div w:id="515852285">
              <w:marLeft w:val="0"/>
              <w:marRight w:val="0"/>
              <w:marTop w:val="0"/>
              <w:marBottom w:val="0"/>
              <w:divBdr>
                <w:top w:val="none" w:sz="0" w:space="0" w:color="auto"/>
                <w:left w:val="none" w:sz="0" w:space="0" w:color="auto"/>
                <w:bottom w:val="none" w:sz="0" w:space="0" w:color="auto"/>
                <w:right w:val="none" w:sz="0" w:space="0" w:color="auto"/>
              </w:divBdr>
              <w:divsChild>
                <w:div w:id="58827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213375">
      <w:bodyDiv w:val="1"/>
      <w:marLeft w:val="0"/>
      <w:marRight w:val="0"/>
      <w:marTop w:val="0"/>
      <w:marBottom w:val="0"/>
      <w:divBdr>
        <w:top w:val="none" w:sz="0" w:space="0" w:color="auto"/>
        <w:left w:val="none" w:sz="0" w:space="0" w:color="auto"/>
        <w:bottom w:val="none" w:sz="0" w:space="0" w:color="auto"/>
        <w:right w:val="none" w:sz="0" w:space="0" w:color="auto"/>
      </w:divBdr>
    </w:div>
    <w:div w:id="407122237">
      <w:bodyDiv w:val="1"/>
      <w:marLeft w:val="0"/>
      <w:marRight w:val="0"/>
      <w:marTop w:val="0"/>
      <w:marBottom w:val="0"/>
      <w:divBdr>
        <w:top w:val="none" w:sz="0" w:space="0" w:color="auto"/>
        <w:left w:val="none" w:sz="0" w:space="0" w:color="auto"/>
        <w:bottom w:val="none" w:sz="0" w:space="0" w:color="auto"/>
        <w:right w:val="none" w:sz="0" w:space="0" w:color="auto"/>
      </w:divBdr>
    </w:div>
    <w:div w:id="483812319">
      <w:bodyDiv w:val="1"/>
      <w:marLeft w:val="0"/>
      <w:marRight w:val="0"/>
      <w:marTop w:val="0"/>
      <w:marBottom w:val="0"/>
      <w:divBdr>
        <w:top w:val="none" w:sz="0" w:space="0" w:color="auto"/>
        <w:left w:val="none" w:sz="0" w:space="0" w:color="auto"/>
        <w:bottom w:val="none" w:sz="0" w:space="0" w:color="auto"/>
        <w:right w:val="none" w:sz="0" w:space="0" w:color="auto"/>
      </w:divBdr>
      <w:divsChild>
        <w:div w:id="1403603590">
          <w:marLeft w:val="0"/>
          <w:marRight w:val="0"/>
          <w:marTop w:val="0"/>
          <w:marBottom w:val="0"/>
          <w:divBdr>
            <w:top w:val="none" w:sz="0" w:space="0" w:color="auto"/>
            <w:left w:val="none" w:sz="0" w:space="0" w:color="auto"/>
            <w:bottom w:val="none" w:sz="0" w:space="0" w:color="auto"/>
            <w:right w:val="none" w:sz="0" w:space="0" w:color="auto"/>
          </w:divBdr>
          <w:divsChild>
            <w:div w:id="1352992764">
              <w:marLeft w:val="0"/>
              <w:marRight w:val="0"/>
              <w:marTop w:val="0"/>
              <w:marBottom w:val="0"/>
              <w:divBdr>
                <w:top w:val="none" w:sz="0" w:space="0" w:color="auto"/>
                <w:left w:val="none" w:sz="0" w:space="0" w:color="auto"/>
                <w:bottom w:val="none" w:sz="0" w:space="0" w:color="auto"/>
                <w:right w:val="none" w:sz="0" w:space="0" w:color="auto"/>
              </w:divBdr>
              <w:divsChild>
                <w:div w:id="54225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032995">
      <w:bodyDiv w:val="1"/>
      <w:marLeft w:val="0"/>
      <w:marRight w:val="0"/>
      <w:marTop w:val="0"/>
      <w:marBottom w:val="0"/>
      <w:divBdr>
        <w:top w:val="none" w:sz="0" w:space="0" w:color="auto"/>
        <w:left w:val="none" w:sz="0" w:space="0" w:color="auto"/>
        <w:bottom w:val="none" w:sz="0" w:space="0" w:color="auto"/>
        <w:right w:val="none" w:sz="0" w:space="0" w:color="auto"/>
      </w:divBdr>
      <w:divsChild>
        <w:div w:id="1281643867">
          <w:marLeft w:val="0"/>
          <w:marRight w:val="0"/>
          <w:marTop w:val="0"/>
          <w:marBottom w:val="0"/>
          <w:divBdr>
            <w:top w:val="none" w:sz="0" w:space="0" w:color="auto"/>
            <w:left w:val="none" w:sz="0" w:space="0" w:color="auto"/>
            <w:bottom w:val="none" w:sz="0" w:space="0" w:color="auto"/>
            <w:right w:val="none" w:sz="0" w:space="0" w:color="auto"/>
          </w:divBdr>
          <w:divsChild>
            <w:div w:id="665473205">
              <w:marLeft w:val="0"/>
              <w:marRight w:val="0"/>
              <w:marTop w:val="0"/>
              <w:marBottom w:val="0"/>
              <w:divBdr>
                <w:top w:val="none" w:sz="0" w:space="0" w:color="auto"/>
                <w:left w:val="none" w:sz="0" w:space="0" w:color="auto"/>
                <w:bottom w:val="none" w:sz="0" w:space="0" w:color="auto"/>
                <w:right w:val="none" w:sz="0" w:space="0" w:color="auto"/>
              </w:divBdr>
              <w:divsChild>
                <w:div w:id="80243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780865">
      <w:bodyDiv w:val="1"/>
      <w:marLeft w:val="0"/>
      <w:marRight w:val="0"/>
      <w:marTop w:val="0"/>
      <w:marBottom w:val="0"/>
      <w:divBdr>
        <w:top w:val="none" w:sz="0" w:space="0" w:color="auto"/>
        <w:left w:val="none" w:sz="0" w:space="0" w:color="auto"/>
        <w:bottom w:val="none" w:sz="0" w:space="0" w:color="auto"/>
        <w:right w:val="none" w:sz="0" w:space="0" w:color="auto"/>
      </w:divBdr>
      <w:divsChild>
        <w:div w:id="913200015">
          <w:marLeft w:val="0"/>
          <w:marRight w:val="0"/>
          <w:marTop w:val="0"/>
          <w:marBottom w:val="0"/>
          <w:divBdr>
            <w:top w:val="none" w:sz="0" w:space="0" w:color="auto"/>
            <w:left w:val="none" w:sz="0" w:space="0" w:color="auto"/>
            <w:bottom w:val="none" w:sz="0" w:space="0" w:color="auto"/>
            <w:right w:val="none" w:sz="0" w:space="0" w:color="auto"/>
          </w:divBdr>
          <w:divsChild>
            <w:div w:id="165879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018354">
      <w:bodyDiv w:val="1"/>
      <w:marLeft w:val="0"/>
      <w:marRight w:val="0"/>
      <w:marTop w:val="0"/>
      <w:marBottom w:val="0"/>
      <w:divBdr>
        <w:top w:val="none" w:sz="0" w:space="0" w:color="auto"/>
        <w:left w:val="none" w:sz="0" w:space="0" w:color="auto"/>
        <w:bottom w:val="none" w:sz="0" w:space="0" w:color="auto"/>
        <w:right w:val="none" w:sz="0" w:space="0" w:color="auto"/>
      </w:divBdr>
      <w:divsChild>
        <w:div w:id="1216745617">
          <w:marLeft w:val="0"/>
          <w:marRight w:val="0"/>
          <w:marTop w:val="0"/>
          <w:marBottom w:val="0"/>
          <w:divBdr>
            <w:top w:val="none" w:sz="0" w:space="0" w:color="auto"/>
            <w:left w:val="none" w:sz="0" w:space="0" w:color="auto"/>
            <w:bottom w:val="none" w:sz="0" w:space="0" w:color="auto"/>
            <w:right w:val="none" w:sz="0" w:space="0" w:color="auto"/>
          </w:divBdr>
          <w:divsChild>
            <w:div w:id="1735161342">
              <w:marLeft w:val="0"/>
              <w:marRight w:val="0"/>
              <w:marTop w:val="0"/>
              <w:marBottom w:val="0"/>
              <w:divBdr>
                <w:top w:val="none" w:sz="0" w:space="0" w:color="auto"/>
                <w:left w:val="none" w:sz="0" w:space="0" w:color="auto"/>
                <w:bottom w:val="none" w:sz="0" w:space="0" w:color="auto"/>
                <w:right w:val="none" w:sz="0" w:space="0" w:color="auto"/>
              </w:divBdr>
              <w:divsChild>
                <w:div w:id="1746804073">
                  <w:marLeft w:val="0"/>
                  <w:marRight w:val="0"/>
                  <w:marTop w:val="0"/>
                  <w:marBottom w:val="0"/>
                  <w:divBdr>
                    <w:top w:val="none" w:sz="0" w:space="0" w:color="auto"/>
                    <w:left w:val="none" w:sz="0" w:space="0" w:color="auto"/>
                    <w:bottom w:val="none" w:sz="0" w:space="0" w:color="auto"/>
                    <w:right w:val="none" w:sz="0" w:space="0" w:color="auto"/>
                  </w:divBdr>
                  <w:divsChild>
                    <w:div w:id="572549194">
                      <w:marLeft w:val="0"/>
                      <w:marRight w:val="0"/>
                      <w:marTop w:val="0"/>
                      <w:marBottom w:val="0"/>
                      <w:divBdr>
                        <w:top w:val="none" w:sz="0" w:space="0" w:color="auto"/>
                        <w:left w:val="none" w:sz="0" w:space="0" w:color="auto"/>
                        <w:bottom w:val="none" w:sz="0" w:space="0" w:color="auto"/>
                        <w:right w:val="none" w:sz="0" w:space="0" w:color="auto"/>
                      </w:divBdr>
                      <w:divsChild>
                        <w:div w:id="1036197020">
                          <w:marLeft w:val="0"/>
                          <w:marRight w:val="0"/>
                          <w:marTop w:val="0"/>
                          <w:marBottom w:val="0"/>
                          <w:divBdr>
                            <w:top w:val="none" w:sz="0" w:space="0" w:color="auto"/>
                            <w:left w:val="none" w:sz="0" w:space="0" w:color="auto"/>
                            <w:bottom w:val="none" w:sz="0" w:space="0" w:color="auto"/>
                            <w:right w:val="none" w:sz="0" w:space="0" w:color="auto"/>
                          </w:divBdr>
                        </w:div>
                      </w:divsChild>
                    </w:div>
                    <w:div w:id="412975010">
                      <w:marLeft w:val="0"/>
                      <w:marRight w:val="0"/>
                      <w:marTop w:val="0"/>
                      <w:marBottom w:val="0"/>
                      <w:divBdr>
                        <w:top w:val="none" w:sz="0" w:space="0" w:color="auto"/>
                        <w:left w:val="none" w:sz="0" w:space="0" w:color="auto"/>
                        <w:bottom w:val="none" w:sz="0" w:space="0" w:color="auto"/>
                        <w:right w:val="none" w:sz="0" w:space="0" w:color="auto"/>
                      </w:divBdr>
                      <w:divsChild>
                        <w:div w:id="2082286969">
                          <w:marLeft w:val="0"/>
                          <w:marRight w:val="0"/>
                          <w:marTop w:val="0"/>
                          <w:marBottom w:val="0"/>
                          <w:divBdr>
                            <w:top w:val="none" w:sz="0" w:space="0" w:color="auto"/>
                            <w:left w:val="none" w:sz="0" w:space="0" w:color="auto"/>
                            <w:bottom w:val="none" w:sz="0" w:space="0" w:color="auto"/>
                            <w:right w:val="none" w:sz="0" w:space="0" w:color="auto"/>
                          </w:divBdr>
                        </w:div>
                      </w:divsChild>
                    </w:div>
                    <w:div w:id="1715883151">
                      <w:marLeft w:val="0"/>
                      <w:marRight w:val="0"/>
                      <w:marTop w:val="0"/>
                      <w:marBottom w:val="0"/>
                      <w:divBdr>
                        <w:top w:val="none" w:sz="0" w:space="0" w:color="auto"/>
                        <w:left w:val="none" w:sz="0" w:space="0" w:color="auto"/>
                        <w:bottom w:val="none" w:sz="0" w:space="0" w:color="auto"/>
                        <w:right w:val="none" w:sz="0" w:space="0" w:color="auto"/>
                      </w:divBdr>
                      <w:divsChild>
                        <w:div w:id="683746940">
                          <w:marLeft w:val="0"/>
                          <w:marRight w:val="0"/>
                          <w:marTop w:val="0"/>
                          <w:marBottom w:val="0"/>
                          <w:divBdr>
                            <w:top w:val="none" w:sz="0" w:space="0" w:color="auto"/>
                            <w:left w:val="none" w:sz="0" w:space="0" w:color="auto"/>
                            <w:bottom w:val="none" w:sz="0" w:space="0" w:color="auto"/>
                            <w:right w:val="none" w:sz="0" w:space="0" w:color="auto"/>
                          </w:divBdr>
                        </w:div>
                      </w:divsChild>
                    </w:div>
                    <w:div w:id="956957416">
                      <w:marLeft w:val="0"/>
                      <w:marRight w:val="0"/>
                      <w:marTop w:val="0"/>
                      <w:marBottom w:val="0"/>
                      <w:divBdr>
                        <w:top w:val="none" w:sz="0" w:space="0" w:color="auto"/>
                        <w:left w:val="none" w:sz="0" w:space="0" w:color="auto"/>
                        <w:bottom w:val="none" w:sz="0" w:space="0" w:color="auto"/>
                        <w:right w:val="none" w:sz="0" w:space="0" w:color="auto"/>
                      </w:divBdr>
                      <w:divsChild>
                        <w:div w:id="537165341">
                          <w:marLeft w:val="0"/>
                          <w:marRight w:val="0"/>
                          <w:marTop w:val="0"/>
                          <w:marBottom w:val="0"/>
                          <w:divBdr>
                            <w:top w:val="none" w:sz="0" w:space="0" w:color="auto"/>
                            <w:left w:val="none" w:sz="0" w:space="0" w:color="auto"/>
                            <w:bottom w:val="none" w:sz="0" w:space="0" w:color="auto"/>
                            <w:right w:val="none" w:sz="0" w:space="0" w:color="auto"/>
                          </w:divBdr>
                        </w:div>
                      </w:divsChild>
                    </w:div>
                    <w:div w:id="1793790978">
                      <w:marLeft w:val="0"/>
                      <w:marRight w:val="0"/>
                      <w:marTop w:val="0"/>
                      <w:marBottom w:val="0"/>
                      <w:divBdr>
                        <w:top w:val="none" w:sz="0" w:space="0" w:color="auto"/>
                        <w:left w:val="none" w:sz="0" w:space="0" w:color="auto"/>
                        <w:bottom w:val="none" w:sz="0" w:space="0" w:color="auto"/>
                        <w:right w:val="none" w:sz="0" w:space="0" w:color="auto"/>
                      </w:divBdr>
                      <w:divsChild>
                        <w:div w:id="150340070">
                          <w:marLeft w:val="0"/>
                          <w:marRight w:val="0"/>
                          <w:marTop w:val="0"/>
                          <w:marBottom w:val="0"/>
                          <w:divBdr>
                            <w:top w:val="none" w:sz="0" w:space="0" w:color="auto"/>
                            <w:left w:val="none" w:sz="0" w:space="0" w:color="auto"/>
                            <w:bottom w:val="none" w:sz="0" w:space="0" w:color="auto"/>
                            <w:right w:val="none" w:sz="0" w:space="0" w:color="auto"/>
                          </w:divBdr>
                        </w:div>
                      </w:divsChild>
                    </w:div>
                    <w:div w:id="2139109538">
                      <w:marLeft w:val="0"/>
                      <w:marRight w:val="0"/>
                      <w:marTop w:val="0"/>
                      <w:marBottom w:val="0"/>
                      <w:divBdr>
                        <w:top w:val="none" w:sz="0" w:space="0" w:color="auto"/>
                        <w:left w:val="none" w:sz="0" w:space="0" w:color="auto"/>
                        <w:bottom w:val="none" w:sz="0" w:space="0" w:color="auto"/>
                        <w:right w:val="none" w:sz="0" w:space="0" w:color="auto"/>
                      </w:divBdr>
                      <w:divsChild>
                        <w:div w:id="790511687">
                          <w:marLeft w:val="0"/>
                          <w:marRight w:val="0"/>
                          <w:marTop w:val="0"/>
                          <w:marBottom w:val="0"/>
                          <w:divBdr>
                            <w:top w:val="none" w:sz="0" w:space="0" w:color="auto"/>
                            <w:left w:val="none" w:sz="0" w:space="0" w:color="auto"/>
                            <w:bottom w:val="none" w:sz="0" w:space="0" w:color="auto"/>
                            <w:right w:val="none" w:sz="0" w:space="0" w:color="auto"/>
                          </w:divBdr>
                        </w:div>
                      </w:divsChild>
                    </w:div>
                    <w:div w:id="134957334">
                      <w:marLeft w:val="0"/>
                      <w:marRight w:val="0"/>
                      <w:marTop w:val="0"/>
                      <w:marBottom w:val="0"/>
                      <w:divBdr>
                        <w:top w:val="none" w:sz="0" w:space="0" w:color="auto"/>
                        <w:left w:val="none" w:sz="0" w:space="0" w:color="auto"/>
                        <w:bottom w:val="none" w:sz="0" w:space="0" w:color="auto"/>
                        <w:right w:val="none" w:sz="0" w:space="0" w:color="auto"/>
                      </w:divBdr>
                      <w:divsChild>
                        <w:div w:id="953826782">
                          <w:marLeft w:val="0"/>
                          <w:marRight w:val="0"/>
                          <w:marTop w:val="0"/>
                          <w:marBottom w:val="0"/>
                          <w:divBdr>
                            <w:top w:val="none" w:sz="0" w:space="0" w:color="auto"/>
                            <w:left w:val="none" w:sz="0" w:space="0" w:color="auto"/>
                            <w:bottom w:val="none" w:sz="0" w:space="0" w:color="auto"/>
                            <w:right w:val="none" w:sz="0" w:space="0" w:color="auto"/>
                          </w:divBdr>
                        </w:div>
                      </w:divsChild>
                    </w:div>
                    <w:div w:id="2111927478">
                      <w:marLeft w:val="0"/>
                      <w:marRight w:val="0"/>
                      <w:marTop w:val="0"/>
                      <w:marBottom w:val="0"/>
                      <w:divBdr>
                        <w:top w:val="none" w:sz="0" w:space="0" w:color="auto"/>
                        <w:left w:val="none" w:sz="0" w:space="0" w:color="auto"/>
                        <w:bottom w:val="none" w:sz="0" w:space="0" w:color="auto"/>
                        <w:right w:val="none" w:sz="0" w:space="0" w:color="auto"/>
                      </w:divBdr>
                      <w:divsChild>
                        <w:div w:id="2062704420">
                          <w:marLeft w:val="0"/>
                          <w:marRight w:val="0"/>
                          <w:marTop w:val="0"/>
                          <w:marBottom w:val="0"/>
                          <w:divBdr>
                            <w:top w:val="none" w:sz="0" w:space="0" w:color="auto"/>
                            <w:left w:val="none" w:sz="0" w:space="0" w:color="auto"/>
                            <w:bottom w:val="none" w:sz="0" w:space="0" w:color="auto"/>
                            <w:right w:val="none" w:sz="0" w:space="0" w:color="auto"/>
                          </w:divBdr>
                        </w:div>
                      </w:divsChild>
                    </w:div>
                    <w:div w:id="1867328988">
                      <w:marLeft w:val="0"/>
                      <w:marRight w:val="0"/>
                      <w:marTop w:val="0"/>
                      <w:marBottom w:val="0"/>
                      <w:divBdr>
                        <w:top w:val="none" w:sz="0" w:space="0" w:color="auto"/>
                        <w:left w:val="none" w:sz="0" w:space="0" w:color="auto"/>
                        <w:bottom w:val="none" w:sz="0" w:space="0" w:color="auto"/>
                        <w:right w:val="none" w:sz="0" w:space="0" w:color="auto"/>
                      </w:divBdr>
                      <w:divsChild>
                        <w:div w:id="273027119">
                          <w:marLeft w:val="0"/>
                          <w:marRight w:val="0"/>
                          <w:marTop w:val="0"/>
                          <w:marBottom w:val="0"/>
                          <w:divBdr>
                            <w:top w:val="none" w:sz="0" w:space="0" w:color="auto"/>
                            <w:left w:val="none" w:sz="0" w:space="0" w:color="auto"/>
                            <w:bottom w:val="none" w:sz="0" w:space="0" w:color="auto"/>
                            <w:right w:val="none" w:sz="0" w:space="0" w:color="auto"/>
                          </w:divBdr>
                        </w:div>
                      </w:divsChild>
                    </w:div>
                    <w:div w:id="1213687351">
                      <w:marLeft w:val="0"/>
                      <w:marRight w:val="0"/>
                      <w:marTop w:val="0"/>
                      <w:marBottom w:val="0"/>
                      <w:divBdr>
                        <w:top w:val="none" w:sz="0" w:space="0" w:color="auto"/>
                        <w:left w:val="none" w:sz="0" w:space="0" w:color="auto"/>
                        <w:bottom w:val="none" w:sz="0" w:space="0" w:color="auto"/>
                        <w:right w:val="none" w:sz="0" w:space="0" w:color="auto"/>
                      </w:divBdr>
                      <w:divsChild>
                        <w:div w:id="1573076204">
                          <w:marLeft w:val="0"/>
                          <w:marRight w:val="0"/>
                          <w:marTop w:val="0"/>
                          <w:marBottom w:val="0"/>
                          <w:divBdr>
                            <w:top w:val="none" w:sz="0" w:space="0" w:color="auto"/>
                            <w:left w:val="none" w:sz="0" w:space="0" w:color="auto"/>
                            <w:bottom w:val="none" w:sz="0" w:space="0" w:color="auto"/>
                            <w:right w:val="none" w:sz="0" w:space="0" w:color="auto"/>
                          </w:divBdr>
                        </w:div>
                      </w:divsChild>
                    </w:div>
                    <w:div w:id="894898649">
                      <w:marLeft w:val="0"/>
                      <w:marRight w:val="0"/>
                      <w:marTop w:val="0"/>
                      <w:marBottom w:val="0"/>
                      <w:divBdr>
                        <w:top w:val="none" w:sz="0" w:space="0" w:color="auto"/>
                        <w:left w:val="none" w:sz="0" w:space="0" w:color="auto"/>
                        <w:bottom w:val="none" w:sz="0" w:space="0" w:color="auto"/>
                        <w:right w:val="none" w:sz="0" w:space="0" w:color="auto"/>
                      </w:divBdr>
                      <w:divsChild>
                        <w:div w:id="1926256577">
                          <w:marLeft w:val="0"/>
                          <w:marRight w:val="0"/>
                          <w:marTop w:val="0"/>
                          <w:marBottom w:val="0"/>
                          <w:divBdr>
                            <w:top w:val="none" w:sz="0" w:space="0" w:color="auto"/>
                            <w:left w:val="none" w:sz="0" w:space="0" w:color="auto"/>
                            <w:bottom w:val="none" w:sz="0" w:space="0" w:color="auto"/>
                            <w:right w:val="none" w:sz="0" w:space="0" w:color="auto"/>
                          </w:divBdr>
                        </w:div>
                      </w:divsChild>
                    </w:div>
                    <w:div w:id="1824422305">
                      <w:marLeft w:val="0"/>
                      <w:marRight w:val="0"/>
                      <w:marTop w:val="0"/>
                      <w:marBottom w:val="0"/>
                      <w:divBdr>
                        <w:top w:val="none" w:sz="0" w:space="0" w:color="auto"/>
                        <w:left w:val="none" w:sz="0" w:space="0" w:color="auto"/>
                        <w:bottom w:val="none" w:sz="0" w:space="0" w:color="auto"/>
                        <w:right w:val="none" w:sz="0" w:space="0" w:color="auto"/>
                      </w:divBdr>
                      <w:divsChild>
                        <w:div w:id="1105609879">
                          <w:marLeft w:val="0"/>
                          <w:marRight w:val="0"/>
                          <w:marTop w:val="0"/>
                          <w:marBottom w:val="0"/>
                          <w:divBdr>
                            <w:top w:val="none" w:sz="0" w:space="0" w:color="auto"/>
                            <w:left w:val="none" w:sz="0" w:space="0" w:color="auto"/>
                            <w:bottom w:val="none" w:sz="0" w:space="0" w:color="auto"/>
                            <w:right w:val="none" w:sz="0" w:space="0" w:color="auto"/>
                          </w:divBdr>
                        </w:div>
                      </w:divsChild>
                    </w:div>
                    <w:div w:id="1895039263">
                      <w:marLeft w:val="0"/>
                      <w:marRight w:val="0"/>
                      <w:marTop w:val="0"/>
                      <w:marBottom w:val="0"/>
                      <w:divBdr>
                        <w:top w:val="none" w:sz="0" w:space="0" w:color="auto"/>
                        <w:left w:val="none" w:sz="0" w:space="0" w:color="auto"/>
                        <w:bottom w:val="none" w:sz="0" w:space="0" w:color="auto"/>
                        <w:right w:val="none" w:sz="0" w:space="0" w:color="auto"/>
                      </w:divBdr>
                      <w:divsChild>
                        <w:div w:id="1007056587">
                          <w:marLeft w:val="0"/>
                          <w:marRight w:val="0"/>
                          <w:marTop w:val="0"/>
                          <w:marBottom w:val="0"/>
                          <w:divBdr>
                            <w:top w:val="none" w:sz="0" w:space="0" w:color="auto"/>
                            <w:left w:val="none" w:sz="0" w:space="0" w:color="auto"/>
                            <w:bottom w:val="none" w:sz="0" w:space="0" w:color="auto"/>
                            <w:right w:val="none" w:sz="0" w:space="0" w:color="auto"/>
                          </w:divBdr>
                        </w:div>
                      </w:divsChild>
                    </w:div>
                    <w:div w:id="533269547">
                      <w:marLeft w:val="0"/>
                      <w:marRight w:val="0"/>
                      <w:marTop w:val="0"/>
                      <w:marBottom w:val="0"/>
                      <w:divBdr>
                        <w:top w:val="none" w:sz="0" w:space="0" w:color="auto"/>
                        <w:left w:val="none" w:sz="0" w:space="0" w:color="auto"/>
                        <w:bottom w:val="none" w:sz="0" w:space="0" w:color="auto"/>
                        <w:right w:val="none" w:sz="0" w:space="0" w:color="auto"/>
                      </w:divBdr>
                      <w:divsChild>
                        <w:div w:id="335423295">
                          <w:marLeft w:val="0"/>
                          <w:marRight w:val="0"/>
                          <w:marTop w:val="0"/>
                          <w:marBottom w:val="0"/>
                          <w:divBdr>
                            <w:top w:val="none" w:sz="0" w:space="0" w:color="auto"/>
                            <w:left w:val="none" w:sz="0" w:space="0" w:color="auto"/>
                            <w:bottom w:val="none" w:sz="0" w:space="0" w:color="auto"/>
                            <w:right w:val="none" w:sz="0" w:space="0" w:color="auto"/>
                          </w:divBdr>
                        </w:div>
                      </w:divsChild>
                    </w:div>
                    <w:div w:id="240726063">
                      <w:marLeft w:val="0"/>
                      <w:marRight w:val="0"/>
                      <w:marTop w:val="0"/>
                      <w:marBottom w:val="0"/>
                      <w:divBdr>
                        <w:top w:val="none" w:sz="0" w:space="0" w:color="auto"/>
                        <w:left w:val="none" w:sz="0" w:space="0" w:color="auto"/>
                        <w:bottom w:val="none" w:sz="0" w:space="0" w:color="auto"/>
                        <w:right w:val="none" w:sz="0" w:space="0" w:color="auto"/>
                      </w:divBdr>
                      <w:divsChild>
                        <w:div w:id="1415206144">
                          <w:marLeft w:val="0"/>
                          <w:marRight w:val="0"/>
                          <w:marTop w:val="0"/>
                          <w:marBottom w:val="0"/>
                          <w:divBdr>
                            <w:top w:val="none" w:sz="0" w:space="0" w:color="auto"/>
                            <w:left w:val="none" w:sz="0" w:space="0" w:color="auto"/>
                            <w:bottom w:val="none" w:sz="0" w:space="0" w:color="auto"/>
                            <w:right w:val="none" w:sz="0" w:space="0" w:color="auto"/>
                          </w:divBdr>
                        </w:div>
                      </w:divsChild>
                    </w:div>
                    <w:div w:id="1856847484">
                      <w:marLeft w:val="0"/>
                      <w:marRight w:val="0"/>
                      <w:marTop w:val="0"/>
                      <w:marBottom w:val="0"/>
                      <w:divBdr>
                        <w:top w:val="none" w:sz="0" w:space="0" w:color="auto"/>
                        <w:left w:val="none" w:sz="0" w:space="0" w:color="auto"/>
                        <w:bottom w:val="none" w:sz="0" w:space="0" w:color="auto"/>
                        <w:right w:val="none" w:sz="0" w:space="0" w:color="auto"/>
                      </w:divBdr>
                      <w:divsChild>
                        <w:div w:id="268318213">
                          <w:marLeft w:val="0"/>
                          <w:marRight w:val="0"/>
                          <w:marTop w:val="0"/>
                          <w:marBottom w:val="0"/>
                          <w:divBdr>
                            <w:top w:val="none" w:sz="0" w:space="0" w:color="auto"/>
                            <w:left w:val="none" w:sz="0" w:space="0" w:color="auto"/>
                            <w:bottom w:val="none" w:sz="0" w:space="0" w:color="auto"/>
                            <w:right w:val="none" w:sz="0" w:space="0" w:color="auto"/>
                          </w:divBdr>
                        </w:div>
                      </w:divsChild>
                    </w:div>
                    <w:div w:id="1026373078">
                      <w:marLeft w:val="0"/>
                      <w:marRight w:val="0"/>
                      <w:marTop w:val="0"/>
                      <w:marBottom w:val="0"/>
                      <w:divBdr>
                        <w:top w:val="none" w:sz="0" w:space="0" w:color="auto"/>
                        <w:left w:val="none" w:sz="0" w:space="0" w:color="auto"/>
                        <w:bottom w:val="none" w:sz="0" w:space="0" w:color="auto"/>
                        <w:right w:val="none" w:sz="0" w:space="0" w:color="auto"/>
                      </w:divBdr>
                      <w:divsChild>
                        <w:div w:id="877863543">
                          <w:marLeft w:val="0"/>
                          <w:marRight w:val="0"/>
                          <w:marTop w:val="0"/>
                          <w:marBottom w:val="0"/>
                          <w:divBdr>
                            <w:top w:val="none" w:sz="0" w:space="0" w:color="auto"/>
                            <w:left w:val="none" w:sz="0" w:space="0" w:color="auto"/>
                            <w:bottom w:val="none" w:sz="0" w:space="0" w:color="auto"/>
                            <w:right w:val="none" w:sz="0" w:space="0" w:color="auto"/>
                          </w:divBdr>
                        </w:div>
                      </w:divsChild>
                    </w:div>
                    <w:div w:id="616179890">
                      <w:marLeft w:val="0"/>
                      <w:marRight w:val="0"/>
                      <w:marTop w:val="0"/>
                      <w:marBottom w:val="0"/>
                      <w:divBdr>
                        <w:top w:val="none" w:sz="0" w:space="0" w:color="auto"/>
                        <w:left w:val="none" w:sz="0" w:space="0" w:color="auto"/>
                        <w:bottom w:val="none" w:sz="0" w:space="0" w:color="auto"/>
                        <w:right w:val="none" w:sz="0" w:space="0" w:color="auto"/>
                      </w:divBdr>
                      <w:divsChild>
                        <w:div w:id="1528526337">
                          <w:marLeft w:val="0"/>
                          <w:marRight w:val="0"/>
                          <w:marTop w:val="0"/>
                          <w:marBottom w:val="0"/>
                          <w:divBdr>
                            <w:top w:val="none" w:sz="0" w:space="0" w:color="auto"/>
                            <w:left w:val="none" w:sz="0" w:space="0" w:color="auto"/>
                            <w:bottom w:val="none" w:sz="0" w:space="0" w:color="auto"/>
                            <w:right w:val="none" w:sz="0" w:space="0" w:color="auto"/>
                          </w:divBdr>
                        </w:div>
                      </w:divsChild>
                    </w:div>
                    <w:div w:id="1967470905">
                      <w:marLeft w:val="0"/>
                      <w:marRight w:val="0"/>
                      <w:marTop w:val="0"/>
                      <w:marBottom w:val="0"/>
                      <w:divBdr>
                        <w:top w:val="none" w:sz="0" w:space="0" w:color="auto"/>
                        <w:left w:val="none" w:sz="0" w:space="0" w:color="auto"/>
                        <w:bottom w:val="none" w:sz="0" w:space="0" w:color="auto"/>
                        <w:right w:val="none" w:sz="0" w:space="0" w:color="auto"/>
                      </w:divBdr>
                      <w:divsChild>
                        <w:div w:id="1392997080">
                          <w:marLeft w:val="0"/>
                          <w:marRight w:val="0"/>
                          <w:marTop w:val="0"/>
                          <w:marBottom w:val="0"/>
                          <w:divBdr>
                            <w:top w:val="none" w:sz="0" w:space="0" w:color="auto"/>
                            <w:left w:val="none" w:sz="0" w:space="0" w:color="auto"/>
                            <w:bottom w:val="none" w:sz="0" w:space="0" w:color="auto"/>
                            <w:right w:val="none" w:sz="0" w:space="0" w:color="auto"/>
                          </w:divBdr>
                        </w:div>
                      </w:divsChild>
                    </w:div>
                    <w:div w:id="223956971">
                      <w:marLeft w:val="0"/>
                      <w:marRight w:val="0"/>
                      <w:marTop w:val="0"/>
                      <w:marBottom w:val="0"/>
                      <w:divBdr>
                        <w:top w:val="none" w:sz="0" w:space="0" w:color="auto"/>
                        <w:left w:val="none" w:sz="0" w:space="0" w:color="auto"/>
                        <w:bottom w:val="none" w:sz="0" w:space="0" w:color="auto"/>
                        <w:right w:val="none" w:sz="0" w:space="0" w:color="auto"/>
                      </w:divBdr>
                      <w:divsChild>
                        <w:div w:id="1787118490">
                          <w:marLeft w:val="0"/>
                          <w:marRight w:val="0"/>
                          <w:marTop w:val="0"/>
                          <w:marBottom w:val="0"/>
                          <w:divBdr>
                            <w:top w:val="none" w:sz="0" w:space="0" w:color="auto"/>
                            <w:left w:val="none" w:sz="0" w:space="0" w:color="auto"/>
                            <w:bottom w:val="none" w:sz="0" w:space="0" w:color="auto"/>
                            <w:right w:val="none" w:sz="0" w:space="0" w:color="auto"/>
                          </w:divBdr>
                        </w:div>
                      </w:divsChild>
                    </w:div>
                    <w:div w:id="413942401">
                      <w:marLeft w:val="0"/>
                      <w:marRight w:val="0"/>
                      <w:marTop w:val="0"/>
                      <w:marBottom w:val="0"/>
                      <w:divBdr>
                        <w:top w:val="none" w:sz="0" w:space="0" w:color="auto"/>
                        <w:left w:val="none" w:sz="0" w:space="0" w:color="auto"/>
                        <w:bottom w:val="none" w:sz="0" w:space="0" w:color="auto"/>
                        <w:right w:val="none" w:sz="0" w:space="0" w:color="auto"/>
                      </w:divBdr>
                      <w:divsChild>
                        <w:div w:id="2142458012">
                          <w:marLeft w:val="0"/>
                          <w:marRight w:val="0"/>
                          <w:marTop w:val="0"/>
                          <w:marBottom w:val="0"/>
                          <w:divBdr>
                            <w:top w:val="none" w:sz="0" w:space="0" w:color="auto"/>
                            <w:left w:val="none" w:sz="0" w:space="0" w:color="auto"/>
                            <w:bottom w:val="none" w:sz="0" w:space="0" w:color="auto"/>
                            <w:right w:val="none" w:sz="0" w:space="0" w:color="auto"/>
                          </w:divBdr>
                        </w:div>
                      </w:divsChild>
                    </w:div>
                    <w:div w:id="835875199">
                      <w:marLeft w:val="0"/>
                      <w:marRight w:val="0"/>
                      <w:marTop w:val="0"/>
                      <w:marBottom w:val="0"/>
                      <w:divBdr>
                        <w:top w:val="none" w:sz="0" w:space="0" w:color="auto"/>
                        <w:left w:val="none" w:sz="0" w:space="0" w:color="auto"/>
                        <w:bottom w:val="none" w:sz="0" w:space="0" w:color="auto"/>
                        <w:right w:val="none" w:sz="0" w:space="0" w:color="auto"/>
                      </w:divBdr>
                      <w:divsChild>
                        <w:div w:id="1516382873">
                          <w:marLeft w:val="0"/>
                          <w:marRight w:val="0"/>
                          <w:marTop w:val="0"/>
                          <w:marBottom w:val="0"/>
                          <w:divBdr>
                            <w:top w:val="none" w:sz="0" w:space="0" w:color="auto"/>
                            <w:left w:val="none" w:sz="0" w:space="0" w:color="auto"/>
                            <w:bottom w:val="none" w:sz="0" w:space="0" w:color="auto"/>
                            <w:right w:val="none" w:sz="0" w:space="0" w:color="auto"/>
                          </w:divBdr>
                        </w:div>
                      </w:divsChild>
                    </w:div>
                    <w:div w:id="1153448952">
                      <w:marLeft w:val="0"/>
                      <w:marRight w:val="0"/>
                      <w:marTop w:val="0"/>
                      <w:marBottom w:val="0"/>
                      <w:divBdr>
                        <w:top w:val="none" w:sz="0" w:space="0" w:color="auto"/>
                        <w:left w:val="none" w:sz="0" w:space="0" w:color="auto"/>
                        <w:bottom w:val="none" w:sz="0" w:space="0" w:color="auto"/>
                        <w:right w:val="none" w:sz="0" w:space="0" w:color="auto"/>
                      </w:divBdr>
                      <w:divsChild>
                        <w:div w:id="1042171861">
                          <w:marLeft w:val="0"/>
                          <w:marRight w:val="0"/>
                          <w:marTop w:val="0"/>
                          <w:marBottom w:val="0"/>
                          <w:divBdr>
                            <w:top w:val="none" w:sz="0" w:space="0" w:color="auto"/>
                            <w:left w:val="none" w:sz="0" w:space="0" w:color="auto"/>
                            <w:bottom w:val="none" w:sz="0" w:space="0" w:color="auto"/>
                            <w:right w:val="none" w:sz="0" w:space="0" w:color="auto"/>
                          </w:divBdr>
                        </w:div>
                      </w:divsChild>
                    </w:div>
                    <w:div w:id="1344240787">
                      <w:marLeft w:val="0"/>
                      <w:marRight w:val="0"/>
                      <w:marTop w:val="0"/>
                      <w:marBottom w:val="0"/>
                      <w:divBdr>
                        <w:top w:val="none" w:sz="0" w:space="0" w:color="auto"/>
                        <w:left w:val="none" w:sz="0" w:space="0" w:color="auto"/>
                        <w:bottom w:val="none" w:sz="0" w:space="0" w:color="auto"/>
                        <w:right w:val="none" w:sz="0" w:space="0" w:color="auto"/>
                      </w:divBdr>
                      <w:divsChild>
                        <w:div w:id="1072040422">
                          <w:marLeft w:val="0"/>
                          <w:marRight w:val="0"/>
                          <w:marTop w:val="0"/>
                          <w:marBottom w:val="0"/>
                          <w:divBdr>
                            <w:top w:val="none" w:sz="0" w:space="0" w:color="auto"/>
                            <w:left w:val="none" w:sz="0" w:space="0" w:color="auto"/>
                            <w:bottom w:val="none" w:sz="0" w:space="0" w:color="auto"/>
                            <w:right w:val="none" w:sz="0" w:space="0" w:color="auto"/>
                          </w:divBdr>
                        </w:div>
                      </w:divsChild>
                    </w:div>
                    <w:div w:id="1358001233">
                      <w:marLeft w:val="0"/>
                      <w:marRight w:val="0"/>
                      <w:marTop w:val="0"/>
                      <w:marBottom w:val="0"/>
                      <w:divBdr>
                        <w:top w:val="none" w:sz="0" w:space="0" w:color="auto"/>
                        <w:left w:val="none" w:sz="0" w:space="0" w:color="auto"/>
                        <w:bottom w:val="none" w:sz="0" w:space="0" w:color="auto"/>
                        <w:right w:val="none" w:sz="0" w:space="0" w:color="auto"/>
                      </w:divBdr>
                      <w:divsChild>
                        <w:div w:id="781610060">
                          <w:marLeft w:val="0"/>
                          <w:marRight w:val="0"/>
                          <w:marTop w:val="0"/>
                          <w:marBottom w:val="0"/>
                          <w:divBdr>
                            <w:top w:val="none" w:sz="0" w:space="0" w:color="auto"/>
                            <w:left w:val="none" w:sz="0" w:space="0" w:color="auto"/>
                            <w:bottom w:val="none" w:sz="0" w:space="0" w:color="auto"/>
                            <w:right w:val="none" w:sz="0" w:space="0" w:color="auto"/>
                          </w:divBdr>
                        </w:div>
                      </w:divsChild>
                    </w:div>
                    <w:div w:id="150023161">
                      <w:marLeft w:val="0"/>
                      <w:marRight w:val="0"/>
                      <w:marTop w:val="0"/>
                      <w:marBottom w:val="0"/>
                      <w:divBdr>
                        <w:top w:val="none" w:sz="0" w:space="0" w:color="auto"/>
                        <w:left w:val="none" w:sz="0" w:space="0" w:color="auto"/>
                        <w:bottom w:val="none" w:sz="0" w:space="0" w:color="auto"/>
                        <w:right w:val="none" w:sz="0" w:space="0" w:color="auto"/>
                      </w:divBdr>
                      <w:divsChild>
                        <w:div w:id="1777211177">
                          <w:marLeft w:val="0"/>
                          <w:marRight w:val="0"/>
                          <w:marTop w:val="0"/>
                          <w:marBottom w:val="0"/>
                          <w:divBdr>
                            <w:top w:val="none" w:sz="0" w:space="0" w:color="auto"/>
                            <w:left w:val="none" w:sz="0" w:space="0" w:color="auto"/>
                            <w:bottom w:val="none" w:sz="0" w:space="0" w:color="auto"/>
                            <w:right w:val="none" w:sz="0" w:space="0" w:color="auto"/>
                          </w:divBdr>
                        </w:div>
                      </w:divsChild>
                    </w:div>
                    <w:div w:id="2104065639">
                      <w:marLeft w:val="0"/>
                      <w:marRight w:val="0"/>
                      <w:marTop w:val="0"/>
                      <w:marBottom w:val="0"/>
                      <w:divBdr>
                        <w:top w:val="none" w:sz="0" w:space="0" w:color="auto"/>
                        <w:left w:val="none" w:sz="0" w:space="0" w:color="auto"/>
                        <w:bottom w:val="none" w:sz="0" w:space="0" w:color="auto"/>
                        <w:right w:val="none" w:sz="0" w:space="0" w:color="auto"/>
                      </w:divBdr>
                      <w:divsChild>
                        <w:div w:id="72508199">
                          <w:marLeft w:val="0"/>
                          <w:marRight w:val="0"/>
                          <w:marTop w:val="0"/>
                          <w:marBottom w:val="0"/>
                          <w:divBdr>
                            <w:top w:val="none" w:sz="0" w:space="0" w:color="auto"/>
                            <w:left w:val="none" w:sz="0" w:space="0" w:color="auto"/>
                            <w:bottom w:val="none" w:sz="0" w:space="0" w:color="auto"/>
                            <w:right w:val="none" w:sz="0" w:space="0" w:color="auto"/>
                          </w:divBdr>
                        </w:div>
                      </w:divsChild>
                    </w:div>
                    <w:div w:id="889533515">
                      <w:marLeft w:val="0"/>
                      <w:marRight w:val="0"/>
                      <w:marTop w:val="0"/>
                      <w:marBottom w:val="0"/>
                      <w:divBdr>
                        <w:top w:val="none" w:sz="0" w:space="0" w:color="auto"/>
                        <w:left w:val="none" w:sz="0" w:space="0" w:color="auto"/>
                        <w:bottom w:val="none" w:sz="0" w:space="0" w:color="auto"/>
                        <w:right w:val="none" w:sz="0" w:space="0" w:color="auto"/>
                      </w:divBdr>
                      <w:divsChild>
                        <w:div w:id="1429887524">
                          <w:marLeft w:val="0"/>
                          <w:marRight w:val="0"/>
                          <w:marTop w:val="0"/>
                          <w:marBottom w:val="0"/>
                          <w:divBdr>
                            <w:top w:val="none" w:sz="0" w:space="0" w:color="auto"/>
                            <w:left w:val="none" w:sz="0" w:space="0" w:color="auto"/>
                            <w:bottom w:val="none" w:sz="0" w:space="0" w:color="auto"/>
                            <w:right w:val="none" w:sz="0" w:space="0" w:color="auto"/>
                          </w:divBdr>
                        </w:div>
                      </w:divsChild>
                    </w:div>
                    <w:div w:id="1178426812">
                      <w:marLeft w:val="0"/>
                      <w:marRight w:val="0"/>
                      <w:marTop w:val="0"/>
                      <w:marBottom w:val="0"/>
                      <w:divBdr>
                        <w:top w:val="none" w:sz="0" w:space="0" w:color="auto"/>
                        <w:left w:val="none" w:sz="0" w:space="0" w:color="auto"/>
                        <w:bottom w:val="none" w:sz="0" w:space="0" w:color="auto"/>
                        <w:right w:val="none" w:sz="0" w:space="0" w:color="auto"/>
                      </w:divBdr>
                      <w:divsChild>
                        <w:div w:id="1109660935">
                          <w:marLeft w:val="0"/>
                          <w:marRight w:val="0"/>
                          <w:marTop w:val="0"/>
                          <w:marBottom w:val="0"/>
                          <w:divBdr>
                            <w:top w:val="none" w:sz="0" w:space="0" w:color="auto"/>
                            <w:left w:val="none" w:sz="0" w:space="0" w:color="auto"/>
                            <w:bottom w:val="none" w:sz="0" w:space="0" w:color="auto"/>
                            <w:right w:val="none" w:sz="0" w:space="0" w:color="auto"/>
                          </w:divBdr>
                        </w:div>
                      </w:divsChild>
                    </w:div>
                    <w:div w:id="1927886495">
                      <w:marLeft w:val="0"/>
                      <w:marRight w:val="0"/>
                      <w:marTop w:val="0"/>
                      <w:marBottom w:val="0"/>
                      <w:divBdr>
                        <w:top w:val="none" w:sz="0" w:space="0" w:color="auto"/>
                        <w:left w:val="none" w:sz="0" w:space="0" w:color="auto"/>
                        <w:bottom w:val="none" w:sz="0" w:space="0" w:color="auto"/>
                        <w:right w:val="none" w:sz="0" w:space="0" w:color="auto"/>
                      </w:divBdr>
                      <w:divsChild>
                        <w:div w:id="647440520">
                          <w:marLeft w:val="0"/>
                          <w:marRight w:val="0"/>
                          <w:marTop w:val="0"/>
                          <w:marBottom w:val="0"/>
                          <w:divBdr>
                            <w:top w:val="none" w:sz="0" w:space="0" w:color="auto"/>
                            <w:left w:val="none" w:sz="0" w:space="0" w:color="auto"/>
                            <w:bottom w:val="none" w:sz="0" w:space="0" w:color="auto"/>
                            <w:right w:val="none" w:sz="0" w:space="0" w:color="auto"/>
                          </w:divBdr>
                        </w:div>
                      </w:divsChild>
                    </w:div>
                    <w:div w:id="494541577">
                      <w:marLeft w:val="0"/>
                      <w:marRight w:val="0"/>
                      <w:marTop w:val="0"/>
                      <w:marBottom w:val="0"/>
                      <w:divBdr>
                        <w:top w:val="none" w:sz="0" w:space="0" w:color="auto"/>
                        <w:left w:val="none" w:sz="0" w:space="0" w:color="auto"/>
                        <w:bottom w:val="none" w:sz="0" w:space="0" w:color="auto"/>
                        <w:right w:val="none" w:sz="0" w:space="0" w:color="auto"/>
                      </w:divBdr>
                      <w:divsChild>
                        <w:div w:id="2019890291">
                          <w:marLeft w:val="0"/>
                          <w:marRight w:val="0"/>
                          <w:marTop w:val="0"/>
                          <w:marBottom w:val="0"/>
                          <w:divBdr>
                            <w:top w:val="none" w:sz="0" w:space="0" w:color="auto"/>
                            <w:left w:val="none" w:sz="0" w:space="0" w:color="auto"/>
                            <w:bottom w:val="none" w:sz="0" w:space="0" w:color="auto"/>
                            <w:right w:val="none" w:sz="0" w:space="0" w:color="auto"/>
                          </w:divBdr>
                        </w:div>
                      </w:divsChild>
                    </w:div>
                    <w:div w:id="1780565377">
                      <w:marLeft w:val="0"/>
                      <w:marRight w:val="0"/>
                      <w:marTop w:val="0"/>
                      <w:marBottom w:val="0"/>
                      <w:divBdr>
                        <w:top w:val="none" w:sz="0" w:space="0" w:color="auto"/>
                        <w:left w:val="none" w:sz="0" w:space="0" w:color="auto"/>
                        <w:bottom w:val="none" w:sz="0" w:space="0" w:color="auto"/>
                        <w:right w:val="none" w:sz="0" w:space="0" w:color="auto"/>
                      </w:divBdr>
                      <w:divsChild>
                        <w:div w:id="671642058">
                          <w:marLeft w:val="0"/>
                          <w:marRight w:val="0"/>
                          <w:marTop w:val="0"/>
                          <w:marBottom w:val="0"/>
                          <w:divBdr>
                            <w:top w:val="none" w:sz="0" w:space="0" w:color="auto"/>
                            <w:left w:val="none" w:sz="0" w:space="0" w:color="auto"/>
                            <w:bottom w:val="none" w:sz="0" w:space="0" w:color="auto"/>
                            <w:right w:val="none" w:sz="0" w:space="0" w:color="auto"/>
                          </w:divBdr>
                        </w:div>
                      </w:divsChild>
                    </w:div>
                    <w:div w:id="142281641">
                      <w:marLeft w:val="0"/>
                      <w:marRight w:val="0"/>
                      <w:marTop w:val="0"/>
                      <w:marBottom w:val="0"/>
                      <w:divBdr>
                        <w:top w:val="none" w:sz="0" w:space="0" w:color="auto"/>
                        <w:left w:val="none" w:sz="0" w:space="0" w:color="auto"/>
                        <w:bottom w:val="none" w:sz="0" w:space="0" w:color="auto"/>
                        <w:right w:val="none" w:sz="0" w:space="0" w:color="auto"/>
                      </w:divBdr>
                      <w:divsChild>
                        <w:div w:id="2069300721">
                          <w:marLeft w:val="0"/>
                          <w:marRight w:val="0"/>
                          <w:marTop w:val="0"/>
                          <w:marBottom w:val="0"/>
                          <w:divBdr>
                            <w:top w:val="none" w:sz="0" w:space="0" w:color="auto"/>
                            <w:left w:val="none" w:sz="0" w:space="0" w:color="auto"/>
                            <w:bottom w:val="none" w:sz="0" w:space="0" w:color="auto"/>
                            <w:right w:val="none" w:sz="0" w:space="0" w:color="auto"/>
                          </w:divBdr>
                        </w:div>
                      </w:divsChild>
                    </w:div>
                    <w:div w:id="529607439">
                      <w:marLeft w:val="0"/>
                      <w:marRight w:val="0"/>
                      <w:marTop w:val="0"/>
                      <w:marBottom w:val="0"/>
                      <w:divBdr>
                        <w:top w:val="none" w:sz="0" w:space="0" w:color="auto"/>
                        <w:left w:val="none" w:sz="0" w:space="0" w:color="auto"/>
                        <w:bottom w:val="none" w:sz="0" w:space="0" w:color="auto"/>
                        <w:right w:val="none" w:sz="0" w:space="0" w:color="auto"/>
                      </w:divBdr>
                      <w:divsChild>
                        <w:div w:id="1872910763">
                          <w:marLeft w:val="0"/>
                          <w:marRight w:val="0"/>
                          <w:marTop w:val="0"/>
                          <w:marBottom w:val="0"/>
                          <w:divBdr>
                            <w:top w:val="none" w:sz="0" w:space="0" w:color="auto"/>
                            <w:left w:val="none" w:sz="0" w:space="0" w:color="auto"/>
                            <w:bottom w:val="none" w:sz="0" w:space="0" w:color="auto"/>
                            <w:right w:val="none" w:sz="0" w:space="0" w:color="auto"/>
                          </w:divBdr>
                        </w:div>
                      </w:divsChild>
                    </w:div>
                    <w:div w:id="1941599515">
                      <w:marLeft w:val="0"/>
                      <w:marRight w:val="0"/>
                      <w:marTop w:val="0"/>
                      <w:marBottom w:val="0"/>
                      <w:divBdr>
                        <w:top w:val="none" w:sz="0" w:space="0" w:color="auto"/>
                        <w:left w:val="none" w:sz="0" w:space="0" w:color="auto"/>
                        <w:bottom w:val="none" w:sz="0" w:space="0" w:color="auto"/>
                        <w:right w:val="none" w:sz="0" w:space="0" w:color="auto"/>
                      </w:divBdr>
                      <w:divsChild>
                        <w:div w:id="2128812851">
                          <w:marLeft w:val="0"/>
                          <w:marRight w:val="0"/>
                          <w:marTop w:val="0"/>
                          <w:marBottom w:val="0"/>
                          <w:divBdr>
                            <w:top w:val="none" w:sz="0" w:space="0" w:color="auto"/>
                            <w:left w:val="none" w:sz="0" w:space="0" w:color="auto"/>
                            <w:bottom w:val="none" w:sz="0" w:space="0" w:color="auto"/>
                            <w:right w:val="none" w:sz="0" w:space="0" w:color="auto"/>
                          </w:divBdr>
                        </w:div>
                      </w:divsChild>
                    </w:div>
                    <w:div w:id="435684008">
                      <w:marLeft w:val="0"/>
                      <w:marRight w:val="0"/>
                      <w:marTop w:val="0"/>
                      <w:marBottom w:val="0"/>
                      <w:divBdr>
                        <w:top w:val="none" w:sz="0" w:space="0" w:color="auto"/>
                        <w:left w:val="none" w:sz="0" w:space="0" w:color="auto"/>
                        <w:bottom w:val="none" w:sz="0" w:space="0" w:color="auto"/>
                        <w:right w:val="none" w:sz="0" w:space="0" w:color="auto"/>
                      </w:divBdr>
                      <w:divsChild>
                        <w:div w:id="1175999001">
                          <w:marLeft w:val="0"/>
                          <w:marRight w:val="0"/>
                          <w:marTop w:val="0"/>
                          <w:marBottom w:val="0"/>
                          <w:divBdr>
                            <w:top w:val="none" w:sz="0" w:space="0" w:color="auto"/>
                            <w:left w:val="none" w:sz="0" w:space="0" w:color="auto"/>
                            <w:bottom w:val="none" w:sz="0" w:space="0" w:color="auto"/>
                            <w:right w:val="none" w:sz="0" w:space="0" w:color="auto"/>
                          </w:divBdr>
                        </w:div>
                      </w:divsChild>
                    </w:div>
                    <w:div w:id="880282866">
                      <w:marLeft w:val="0"/>
                      <w:marRight w:val="0"/>
                      <w:marTop w:val="0"/>
                      <w:marBottom w:val="0"/>
                      <w:divBdr>
                        <w:top w:val="none" w:sz="0" w:space="0" w:color="auto"/>
                        <w:left w:val="none" w:sz="0" w:space="0" w:color="auto"/>
                        <w:bottom w:val="none" w:sz="0" w:space="0" w:color="auto"/>
                        <w:right w:val="none" w:sz="0" w:space="0" w:color="auto"/>
                      </w:divBdr>
                      <w:divsChild>
                        <w:div w:id="1831672061">
                          <w:marLeft w:val="0"/>
                          <w:marRight w:val="0"/>
                          <w:marTop w:val="0"/>
                          <w:marBottom w:val="0"/>
                          <w:divBdr>
                            <w:top w:val="none" w:sz="0" w:space="0" w:color="auto"/>
                            <w:left w:val="none" w:sz="0" w:space="0" w:color="auto"/>
                            <w:bottom w:val="none" w:sz="0" w:space="0" w:color="auto"/>
                            <w:right w:val="none" w:sz="0" w:space="0" w:color="auto"/>
                          </w:divBdr>
                        </w:div>
                      </w:divsChild>
                    </w:div>
                    <w:div w:id="787700138">
                      <w:marLeft w:val="0"/>
                      <w:marRight w:val="0"/>
                      <w:marTop w:val="0"/>
                      <w:marBottom w:val="0"/>
                      <w:divBdr>
                        <w:top w:val="none" w:sz="0" w:space="0" w:color="auto"/>
                        <w:left w:val="none" w:sz="0" w:space="0" w:color="auto"/>
                        <w:bottom w:val="none" w:sz="0" w:space="0" w:color="auto"/>
                        <w:right w:val="none" w:sz="0" w:space="0" w:color="auto"/>
                      </w:divBdr>
                      <w:divsChild>
                        <w:div w:id="894854105">
                          <w:marLeft w:val="0"/>
                          <w:marRight w:val="0"/>
                          <w:marTop w:val="0"/>
                          <w:marBottom w:val="0"/>
                          <w:divBdr>
                            <w:top w:val="none" w:sz="0" w:space="0" w:color="auto"/>
                            <w:left w:val="none" w:sz="0" w:space="0" w:color="auto"/>
                            <w:bottom w:val="none" w:sz="0" w:space="0" w:color="auto"/>
                            <w:right w:val="none" w:sz="0" w:space="0" w:color="auto"/>
                          </w:divBdr>
                        </w:div>
                      </w:divsChild>
                    </w:div>
                    <w:div w:id="1727223795">
                      <w:marLeft w:val="0"/>
                      <w:marRight w:val="0"/>
                      <w:marTop w:val="0"/>
                      <w:marBottom w:val="0"/>
                      <w:divBdr>
                        <w:top w:val="none" w:sz="0" w:space="0" w:color="auto"/>
                        <w:left w:val="none" w:sz="0" w:space="0" w:color="auto"/>
                        <w:bottom w:val="none" w:sz="0" w:space="0" w:color="auto"/>
                        <w:right w:val="none" w:sz="0" w:space="0" w:color="auto"/>
                      </w:divBdr>
                      <w:divsChild>
                        <w:div w:id="40131833">
                          <w:marLeft w:val="0"/>
                          <w:marRight w:val="0"/>
                          <w:marTop w:val="0"/>
                          <w:marBottom w:val="0"/>
                          <w:divBdr>
                            <w:top w:val="none" w:sz="0" w:space="0" w:color="auto"/>
                            <w:left w:val="none" w:sz="0" w:space="0" w:color="auto"/>
                            <w:bottom w:val="none" w:sz="0" w:space="0" w:color="auto"/>
                            <w:right w:val="none" w:sz="0" w:space="0" w:color="auto"/>
                          </w:divBdr>
                        </w:div>
                      </w:divsChild>
                    </w:div>
                    <w:div w:id="1084768558">
                      <w:marLeft w:val="0"/>
                      <w:marRight w:val="0"/>
                      <w:marTop w:val="0"/>
                      <w:marBottom w:val="0"/>
                      <w:divBdr>
                        <w:top w:val="none" w:sz="0" w:space="0" w:color="auto"/>
                        <w:left w:val="none" w:sz="0" w:space="0" w:color="auto"/>
                        <w:bottom w:val="none" w:sz="0" w:space="0" w:color="auto"/>
                        <w:right w:val="none" w:sz="0" w:space="0" w:color="auto"/>
                      </w:divBdr>
                      <w:divsChild>
                        <w:div w:id="867915073">
                          <w:marLeft w:val="0"/>
                          <w:marRight w:val="0"/>
                          <w:marTop w:val="0"/>
                          <w:marBottom w:val="0"/>
                          <w:divBdr>
                            <w:top w:val="none" w:sz="0" w:space="0" w:color="auto"/>
                            <w:left w:val="none" w:sz="0" w:space="0" w:color="auto"/>
                            <w:bottom w:val="none" w:sz="0" w:space="0" w:color="auto"/>
                            <w:right w:val="none" w:sz="0" w:space="0" w:color="auto"/>
                          </w:divBdr>
                        </w:div>
                      </w:divsChild>
                    </w:div>
                    <w:div w:id="896164628">
                      <w:marLeft w:val="0"/>
                      <w:marRight w:val="0"/>
                      <w:marTop w:val="0"/>
                      <w:marBottom w:val="0"/>
                      <w:divBdr>
                        <w:top w:val="none" w:sz="0" w:space="0" w:color="auto"/>
                        <w:left w:val="none" w:sz="0" w:space="0" w:color="auto"/>
                        <w:bottom w:val="none" w:sz="0" w:space="0" w:color="auto"/>
                        <w:right w:val="none" w:sz="0" w:space="0" w:color="auto"/>
                      </w:divBdr>
                      <w:divsChild>
                        <w:div w:id="410079933">
                          <w:marLeft w:val="0"/>
                          <w:marRight w:val="0"/>
                          <w:marTop w:val="0"/>
                          <w:marBottom w:val="0"/>
                          <w:divBdr>
                            <w:top w:val="none" w:sz="0" w:space="0" w:color="auto"/>
                            <w:left w:val="none" w:sz="0" w:space="0" w:color="auto"/>
                            <w:bottom w:val="none" w:sz="0" w:space="0" w:color="auto"/>
                            <w:right w:val="none" w:sz="0" w:space="0" w:color="auto"/>
                          </w:divBdr>
                        </w:div>
                      </w:divsChild>
                    </w:div>
                    <w:div w:id="2077166136">
                      <w:marLeft w:val="0"/>
                      <w:marRight w:val="0"/>
                      <w:marTop w:val="0"/>
                      <w:marBottom w:val="0"/>
                      <w:divBdr>
                        <w:top w:val="none" w:sz="0" w:space="0" w:color="auto"/>
                        <w:left w:val="none" w:sz="0" w:space="0" w:color="auto"/>
                        <w:bottom w:val="none" w:sz="0" w:space="0" w:color="auto"/>
                        <w:right w:val="none" w:sz="0" w:space="0" w:color="auto"/>
                      </w:divBdr>
                      <w:divsChild>
                        <w:div w:id="760299191">
                          <w:marLeft w:val="0"/>
                          <w:marRight w:val="0"/>
                          <w:marTop w:val="0"/>
                          <w:marBottom w:val="0"/>
                          <w:divBdr>
                            <w:top w:val="none" w:sz="0" w:space="0" w:color="auto"/>
                            <w:left w:val="none" w:sz="0" w:space="0" w:color="auto"/>
                            <w:bottom w:val="none" w:sz="0" w:space="0" w:color="auto"/>
                            <w:right w:val="none" w:sz="0" w:space="0" w:color="auto"/>
                          </w:divBdr>
                        </w:div>
                      </w:divsChild>
                    </w:div>
                    <w:div w:id="1354499237">
                      <w:marLeft w:val="0"/>
                      <w:marRight w:val="0"/>
                      <w:marTop w:val="0"/>
                      <w:marBottom w:val="0"/>
                      <w:divBdr>
                        <w:top w:val="none" w:sz="0" w:space="0" w:color="auto"/>
                        <w:left w:val="none" w:sz="0" w:space="0" w:color="auto"/>
                        <w:bottom w:val="none" w:sz="0" w:space="0" w:color="auto"/>
                        <w:right w:val="none" w:sz="0" w:space="0" w:color="auto"/>
                      </w:divBdr>
                      <w:divsChild>
                        <w:div w:id="29696141">
                          <w:marLeft w:val="0"/>
                          <w:marRight w:val="0"/>
                          <w:marTop w:val="0"/>
                          <w:marBottom w:val="0"/>
                          <w:divBdr>
                            <w:top w:val="none" w:sz="0" w:space="0" w:color="auto"/>
                            <w:left w:val="none" w:sz="0" w:space="0" w:color="auto"/>
                            <w:bottom w:val="none" w:sz="0" w:space="0" w:color="auto"/>
                            <w:right w:val="none" w:sz="0" w:space="0" w:color="auto"/>
                          </w:divBdr>
                        </w:div>
                      </w:divsChild>
                    </w:div>
                    <w:div w:id="2079355396">
                      <w:marLeft w:val="0"/>
                      <w:marRight w:val="0"/>
                      <w:marTop w:val="0"/>
                      <w:marBottom w:val="0"/>
                      <w:divBdr>
                        <w:top w:val="none" w:sz="0" w:space="0" w:color="auto"/>
                        <w:left w:val="none" w:sz="0" w:space="0" w:color="auto"/>
                        <w:bottom w:val="none" w:sz="0" w:space="0" w:color="auto"/>
                        <w:right w:val="none" w:sz="0" w:space="0" w:color="auto"/>
                      </w:divBdr>
                      <w:divsChild>
                        <w:div w:id="1227762097">
                          <w:marLeft w:val="0"/>
                          <w:marRight w:val="0"/>
                          <w:marTop w:val="0"/>
                          <w:marBottom w:val="0"/>
                          <w:divBdr>
                            <w:top w:val="none" w:sz="0" w:space="0" w:color="auto"/>
                            <w:left w:val="none" w:sz="0" w:space="0" w:color="auto"/>
                            <w:bottom w:val="none" w:sz="0" w:space="0" w:color="auto"/>
                            <w:right w:val="none" w:sz="0" w:space="0" w:color="auto"/>
                          </w:divBdr>
                        </w:div>
                      </w:divsChild>
                    </w:div>
                    <w:div w:id="1586449546">
                      <w:marLeft w:val="0"/>
                      <w:marRight w:val="0"/>
                      <w:marTop w:val="0"/>
                      <w:marBottom w:val="0"/>
                      <w:divBdr>
                        <w:top w:val="none" w:sz="0" w:space="0" w:color="auto"/>
                        <w:left w:val="none" w:sz="0" w:space="0" w:color="auto"/>
                        <w:bottom w:val="none" w:sz="0" w:space="0" w:color="auto"/>
                        <w:right w:val="none" w:sz="0" w:space="0" w:color="auto"/>
                      </w:divBdr>
                      <w:divsChild>
                        <w:div w:id="702754461">
                          <w:marLeft w:val="0"/>
                          <w:marRight w:val="0"/>
                          <w:marTop w:val="0"/>
                          <w:marBottom w:val="0"/>
                          <w:divBdr>
                            <w:top w:val="none" w:sz="0" w:space="0" w:color="auto"/>
                            <w:left w:val="none" w:sz="0" w:space="0" w:color="auto"/>
                            <w:bottom w:val="none" w:sz="0" w:space="0" w:color="auto"/>
                            <w:right w:val="none" w:sz="0" w:space="0" w:color="auto"/>
                          </w:divBdr>
                        </w:div>
                      </w:divsChild>
                    </w:div>
                    <w:div w:id="192351158">
                      <w:marLeft w:val="0"/>
                      <w:marRight w:val="0"/>
                      <w:marTop w:val="0"/>
                      <w:marBottom w:val="0"/>
                      <w:divBdr>
                        <w:top w:val="none" w:sz="0" w:space="0" w:color="auto"/>
                        <w:left w:val="none" w:sz="0" w:space="0" w:color="auto"/>
                        <w:bottom w:val="none" w:sz="0" w:space="0" w:color="auto"/>
                        <w:right w:val="none" w:sz="0" w:space="0" w:color="auto"/>
                      </w:divBdr>
                      <w:divsChild>
                        <w:div w:id="1977250517">
                          <w:marLeft w:val="0"/>
                          <w:marRight w:val="0"/>
                          <w:marTop w:val="0"/>
                          <w:marBottom w:val="0"/>
                          <w:divBdr>
                            <w:top w:val="none" w:sz="0" w:space="0" w:color="auto"/>
                            <w:left w:val="none" w:sz="0" w:space="0" w:color="auto"/>
                            <w:bottom w:val="none" w:sz="0" w:space="0" w:color="auto"/>
                            <w:right w:val="none" w:sz="0" w:space="0" w:color="auto"/>
                          </w:divBdr>
                        </w:div>
                      </w:divsChild>
                    </w:div>
                    <w:div w:id="1558935905">
                      <w:marLeft w:val="0"/>
                      <w:marRight w:val="0"/>
                      <w:marTop w:val="0"/>
                      <w:marBottom w:val="0"/>
                      <w:divBdr>
                        <w:top w:val="none" w:sz="0" w:space="0" w:color="auto"/>
                        <w:left w:val="none" w:sz="0" w:space="0" w:color="auto"/>
                        <w:bottom w:val="none" w:sz="0" w:space="0" w:color="auto"/>
                        <w:right w:val="none" w:sz="0" w:space="0" w:color="auto"/>
                      </w:divBdr>
                      <w:divsChild>
                        <w:div w:id="1111781993">
                          <w:marLeft w:val="0"/>
                          <w:marRight w:val="0"/>
                          <w:marTop w:val="0"/>
                          <w:marBottom w:val="0"/>
                          <w:divBdr>
                            <w:top w:val="none" w:sz="0" w:space="0" w:color="auto"/>
                            <w:left w:val="none" w:sz="0" w:space="0" w:color="auto"/>
                            <w:bottom w:val="none" w:sz="0" w:space="0" w:color="auto"/>
                            <w:right w:val="none" w:sz="0" w:space="0" w:color="auto"/>
                          </w:divBdr>
                        </w:div>
                      </w:divsChild>
                    </w:div>
                    <w:div w:id="1381242372">
                      <w:marLeft w:val="0"/>
                      <w:marRight w:val="0"/>
                      <w:marTop w:val="0"/>
                      <w:marBottom w:val="0"/>
                      <w:divBdr>
                        <w:top w:val="none" w:sz="0" w:space="0" w:color="auto"/>
                        <w:left w:val="none" w:sz="0" w:space="0" w:color="auto"/>
                        <w:bottom w:val="none" w:sz="0" w:space="0" w:color="auto"/>
                        <w:right w:val="none" w:sz="0" w:space="0" w:color="auto"/>
                      </w:divBdr>
                      <w:divsChild>
                        <w:div w:id="1033384669">
                          <w:marLeft w:val="0"/>
                          <w:marRight w:val="0"/>
                          <w:marTop w:val="0"/>
                          <w:marBottom w:val="0"/>
                          <w:divBdr>
                            <w:top w:val="none" w:sz="0" w:space="0" w:color="auto"/>
                            <w:left w:val="none" w:sz="0" w:space="0" w:color="auto"/>
                            <w:bottom w:val="none" w:sz="0" w:space="0" w:color="auto"/>
                            <w:right w:val="none" w:sz="0" w:space="0" w:color="auto"/>
                          </w:divBdr>
                        </w:div>
                      </w:divsChild>
                    </w:div>
                    <w:div w:id="1452474574">
                      <w:marLeft w:val="0"/>
                      <w:marRight w:val="0"/>
                      <w:marTop w:val="0"/>
                      <w:marBottom w:val="0"/>
                      <w:divBdr>
                        <w:top w:val="none" w:sz="0" w:space="0" w:color="auto"/>
                        <w:left w:val="none" w:sz="0" w:space="0" w:color="auto"/>
                        <w:bottom w:val="none" w:sz="0" w:space="0" w:color="auto"/>
                        <w:right w:val="none" w:sz="0" w:space="0" w:color="auto"/>
                      </w:divBdr>
                      <w:divsChild>
                        <w:div w:id="867598070">
                          <w:marLeft w:val="0"/>
                          <w:marRight w:val="0"/>
                          <w:marTop w:val="0"/>
                          <w:marBottom w:val="0"/>
                          <w:divBdr>
                            <w:top w:val="none" w:sz="0" w:space="0" w:color="auto"/>
                            <w:left w:val="none" w:sz="0" w:space="0" w:color="auto"/>
                            <w:bottom w:val="none" w:sz="0" w:space="0" w:color="auto"/>
                            <w:right w:val="none" w:sz="0" w:space="0" w:color="auto"/>
                          </w:divBdr>
                        </w:div>
                      </w:divsChild>
                    </w:div>
                    <w:div w:id="366611079">
                      <w:marLeft w:val="0"/>
                      <w:marRight w:val="0"/>
                      <w:marTop w:val="0"/>
                      <w:marBottom w:val="0"/>
                      <w:divBdr>
                        <w:top w:val="none" w:sz="0" w:space="0" w:color="auto"/>
                        <w:left w:val="none" w:sz="0" w:space="0" w:color="auto"/>
                        <w:bottom w:val="none" w:sz="0" w:space="0" w:color="auto"/>
                        <w:right w:val="none" w:sz="0" w:space="0" w:color="auto"/>
                      </w:divBdr>
                      <w:divsChild>
                        <w:div w:id="1869756610">
                          <w:marLeft w:val="0"/>
                          <w:marRight w:val="0"/>
                          <w:marTop w:val="0"/>
                          <w:marBottom w:val="0"/>
                          <w:divBdr>
                            <w:top w:val="none" w:sz="0" w:space="0" w:color="auto"/>
                            <w:left w:val="none" w:sz="0" w:space="0" w:color="auto"/>
                            <w:bottom w:val="none" w:sz="0" w:space="0" w:color="auto"/>
                            <w:right w:val="none" w:sz="0" w:space="0" w:color="auto"/>
                          </w:divBdr>
                        </w:div>
                      </w:divsChild>
                    </w:div>
                    <w:div w:id="1471626533">
                      <w:marLeft w:val="0"/>
                      <w:marRight w:val="0"/>
                      <w:marTop w:val="0"/>
                      <w:marBottom w:val="0"/>
                      <w:divBdr>
                        <w:top w:val="none" w:sz="0" w:space="0" w:color="auto"/>
                        <w:left w:val="none" w:sz="0" w:space="0" w:color="auto"/>
                        <w:bottom w:val="none" w:sz="0" w:space="0" w:color="auto"/>
                        <w:right w:val="none" w:sz="0" w:space="0" w:color="auto"/>
                      </w:divBdr>
                      <w:divsChild>
                        <w:div w:id="1429891875">
                          <w:marLeft w:val="0"/>
                          <w:marRight w:val="0"/>
                          <w:marTop w:val="0"/>
                          <w:marBottom w:val="0"/>
                          <w:divBdr>
                            <w:top w:val="none" w:sz="0" w:space="0" w:color="auto"/>
                            <w:left w:val="none" w:sz="0" w:space="0" w:color="auto"/>
                            <w:bottom w:val="none" w:sz="0" w:space="0" w:color="auto"/>
                            <w:right w:val="none" w:sz="0" w:space="0" w:color="auto"/>
                          </w:divBdr>
                        </w:div>
                      </w:divsChild>
                    </w:div>
                    <w:div w:id="2146269131">
                      <w:marLeft w:val="0"/>
                      <w:marRight w:val="0"/>
                      <w:marTop w:val="0"/>
                      <w:marBottom w:val="0"/>
                      <w:divBdr>
                        <w:top w:val="none" w:sz="0" w:space="0" w:color="auto"/>
                        <w:left w:val="none" w:sz="0" w:space="0" w:color="auto"/>
                        <w:bottom w:val="none" w:sz="0" w:space="0" w:color="auto"/>
                        <w:right w:val="none" w:sz="0" w:space="0" w:color="auto"/>
                      </w:divBdr>
                      <w:divsChild>
                        <w:div w:id="1240284508">
                          <w:marLeft w:val="0"/>
                          <w:marRight w:val="0"/>
                          <w:marTop w:val="0"/>
                          <w:marBottom w:val="0"/>
                          <w:divBdr>
                            <w:top w:val="none" w:sz="0" w:space="0" w:color="auto"/>
                            <w:left w:val="none" w:sz="0" w:space="0" w:color="auto"/>
                            <w:bottom w:val="none" w:sz="0" w:space="0" w:color="auto"/>
                            <w:right w:val="none" w:sz="0" w:space="0" w:color="auto"/>
                          </w:divBdr>
                        </w:div>
                      </w:divsChild>
                    </w:div>
                    <w:div w:id="277492741">
                      <w:marLeft w:val="0"/>
                      <w:marRight w:val="0"/>
                      <w:marTop w:val="0"/>
                      <w:marBottom w:val="0"/>
                      <w:divBdr>
                        <w:top w:val="none" w:sz="0" w:space="0" w:color="auto"/>
                        <w:left w:val="none" w:sz="0" w:space="0" w:color="auto"/>
                        <w:bottom w:val="none" w:sz="0" w:space="0" w:color="auto"/>
                        <w:right w:val="none" w:sz="0" w:space="0" w:color="auto"/>
                      </w:divBdr>
                      <w:divsChild>
                        <w:div w:id="1313682152">
                          <w:marLeft w:val="0"/>
                          <w:marRight w:val="0"/>
                          <w:marTop w:val="0"/>
                          <w:marBottom w:val="0"/>
                          <w:divBdr>
                            <w:top w:val="none" w:sz="0" w:space="0" w:color="auto"/>
                            <w:left w:val="none" w:sz="0" w:space="0" w:color="auto"/>
                            <w:bottom w:val="none" w:sz="0" w:space="0" w:color="auto"/>
                            <w:right w:val="none" w:sz="0" w:space="0" w:color="auto"/>
                          </w:divBdr>
                        </w:div>
                      </w:divsChild>
                    </w:div>
                    <w:div w:id="720522055">
                      <w:marLeft w:val="0"/>
                      <w:marRight w:val="0"/>
                      <w:marTop w:val="0"/>
                      <w:marBottom w:val="0"/>
                      <w:divBdr>
                        <w:top w:val="none" w:sz="0" w:space="0" w:color="auto"/>
                        <w:left w:val="none" w:sz="0" w:space="0" w:color="auto"/>
                        <w:bottom w:val="none" w:sz="0" w:space="0" w:color="auto"/>
                        <w:right w:val="none" w:sz="0" w:space="0" w:color="auto"/>
                      </w:divBdr>
                      <w:divsChild>
                        <w:div w:id="1099181143">
                          <w:marLeft w:val="0"/>
                          <w:marRight w:val="0"/>
                          <w:marTop w:val="0"/>
                          <w:marBottom w:val="0"/>
                          <w:divBdr>
                            <w:top w:val="none" w:sz="0" w:space="0" w:color="auto"/>
                            <w:left w:val="none" w:sz="0" w:space="0" w:color="auto"/>
                            <w:bottom w:val="none" w:sz="0" w:space="0" w:color="auto"/>
                            <w:right w:val="none" w:sz="0" w:space="0" w:color="auto"/>
                          </w:divBdr>
                        </w:div>
                      </w:divsChild>
                    </w:div>
                    <w:div w:id="445083855">
                      <w:marLeft w:val="0"/>
                      <w:marRight w:val="0"/>
                      <w:marTop w:val="0"/>
                      <w:marBottom w:val="0"/>
                      <w:divBdr>
                        <w:top w:val="none" w:sz="0" w:space="0" w:color="auto"/>
                        <w:left w:val="none" w:sz="0" w:space="0" w:color="auto"/>
                        <w:bottom w:val="none" w:sz="0" w:space="0" w:color="auto"/>
                        <w:right w:val="none" w:sz="0" w:space="0" w:color="auto"/>
                      </w:divBdr>
                      <w:divsChild>
                        <w:div w:id="4091922">
                          <w:marLeft w:val="0"/>
                          <w:marRight w:val="0"/>
                          <w:marTop w:val="0"/>
                          <w:marBottom w:val="0"/>
                          <w:divBdr>
                            <w:top w:val="none" w:sz="0" w:space="0" w:color="auto"/>
                            <w:left w:val="none" w:sz="0" w:space="0" w:color="auto"/>
                            <w:bottom w:val="none" w:sz="0" w:space="0" w:color="auto"/>
                            <w:right w:val="none" w:sz="0" w:space="0" w:color="auto"/>
                          </w:divBdr>
                        </w:div>
                      </w:divsChild>
                    </w:div>
                    <w:div w:id="1170608185">
                      <w:marLeft w:val="0"/>
                      <w:marRight w:val="0"/>
                      <w:marTop w:val="0"/>
                      <w:marBottom w:val="0"/>
                      <w:divBdr>
                        <w:top w:val="none" w:sz="0" w:space="0" w:color="auto"/>
                        <w:left w:val="none" w:sz="0" w:space="0" w:color="auto"/>
                        <w:bottom w:val="none" w:sz="0" w:space="0" w:color="auto"/>
                        <w:right w:val="none" w:sz="0" w:space="0" w:color="auto"/>
                      </w:divBdr>
                      <w:divsChild>
                        <w:div w:id="185403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5064822">
      <w:bodyDiv w:val="1"/>
      <w:marLeft w:val="0"/>
      <w:marRight w:val="0"/>
      <w:marTop w:val="0"/>
      <w:marBottom w:val="0"/>
      <w:divBdr>
        <w:top w:val="none" w:sz="0" w:space="0" w:color="auto"/>
        <w:left w:val="none" w:sz="0" w:space="0" w:color="auto"/>
        <w:bottom w:val="none" w:sz="0" w:space="0" w:color="auto"/>
        <w:right w:val="none" w:sz="0" w:space="0" w:color="auto"/>
      </w:divBdr>
      <w:divsChild>
        <w:div w:id="132410723">
          <w:marLeft w:val="0"/>
          <w:marRight w:val="0"/>
          <w:marTop w:val="0"/>
          <w:marBottom w:val="0"/>
          <w:divBdr>
            <w:top w:val="none" w:sz="0" w:space="0" w:color="auto"/>
            <w:left w:val="none" w:sz="0" w:space="0" w:color="auto"/>
            <w:bottom w:val="none" w:sz="0" w:space="0" w:color="auto"/>
            <w:right w:val="none" w:sz="0" w:space="0" w:color="auto"/>
          </w:divBdr>
          <w:divsChild>
            <w:div w:id="165282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9259">
      <w:bodyDiv w:val="1"/>
      <w:marLeft w:val="0"/>
      <w:marRight w:val="0"/>
      <w:marTop w:val="0"/>
      <w:marBottom w:val="0"/>
      <w:divBdr>
        <w:top w:val="none" w:sz="0" w:space="0" w:color="auto"/>
        <w:left w:val="none" w:sz="0" w:space="0" w:color="auto"/>
        <w:bottom w:val="none" w:sz="0" w:space="0" w:color="auto"/>
        <w:right w:val="none" w:sz="0" w:space="0" w:color="auto"/>
      </w:divBdr>
    </w:div>
    <w:div w:id="987899455">
      <w:bodyDiv w:val="1"/>
      <w:marLeft w:val="0"/>
      <w:marRight w:val="0"/>
      <w:marTop w:val="0"/>
      <w:marBottom w:val="0"/>
      <w:divBdr>
        <w:top w:val="none" w:sz="0" w:space="0" w:color="auto"/>
        <w:left w:val="none" w:sz="0" w:space="0" w:color="auto"/>
        <w:bottom w:val="none" w:sz="0" w:space="0" w:color="auto"/>
        <w:right w:val="none" w:sz="0" w:space="0" w:color="auto"/>
      </w:divBdr>
      <w:divsChild>
        <w:div w:id="1438671744">
          <w:marLeft w:val="0"/>
          <w:marRight w:val="0"/>
          <w:marTop w:val="0"/>
          <w:marBottom w:val="0"/>
          <w:divBdr>
            <w:top w:val="none" w:sz="0" w:space="0" w:color="auto"/>
            <w:left w:val="none" w:sz="0" w:space="0" w:color="auto"/>
            <w:bottom w:val="none" w:sz="0" w:space="0" w:color="auto"/>
            <w:right w:val="none" w:sz="0" w:space="0" w:color="auto"/>
          </w:divBdr>
          <w:divsChild>
            <w:div w:id="774906855">
              <w:marLeft w:val="0"/>
              <w:marRight w:val="0"/>
              <w:marTop w:val="0"/>
              <w:marBottom w:val="0"/>
              <w:divBdr>
                <w:top w:val="none" w:sz="0" w:space="0" w:color="auto"/>
                <w:left w:val="none" w:sz="0" w:space="0" w:color="auto"/>
                <w:bottom w:val="none" w:sz="0" w:space="0" w:color="auto"/>
                <w:right w:val="none" w:sz="0" w:space="0" w:color="auto"/>
              </w:divBdr>
              <w:divsChild>
                <w:div w:id="61768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818442">
      <w:bodyDiv w:val="1"/>
      <w:marLeft w:val="0"/>
      <w:marRight w:val="0"/>
      <w:marTop w:val="0"/>
      <w:marBottom w:val="0"/>
      <w:divBdr>
        <w:top w:val="none" w:sz="0" w:space="0" w:color="auto"/>
        <w:left w:val="none" w:sz="0" w:space="0" w:color="auto"/>
        <w:bottom w:val="none" w:sz="0" w:space="0" w:color="auto"/>
        <w:right w:val="none" w:sz="0" w:space="0" w:color="auto"/>
      </w:divBdr>
      <w:divsChild>
        <w:div w:id="696857949">
          <w:marLeft w:val="0"/>
          <w:marRight w:val="0"/>
          <w:marTop w:val="0"/>
          <w:marBottom w:val="0"/>
          <w:divBdr>
            <w:top w:val="none" w:sz="0" w:space="0" w:color="auto"/>
            <w:left w:val="none" w:sz="0" w:space="0" w:color="auto"/>
            <w:bottom w:val="none" w:sz="0" w:space="0" w:color="auto"/>
            <w:right w:val="none" w:sz="0" w:space="0" w:color="auto"/>
          </w:divBdr>
          <w:divsChild>
            <w:div w:id="879054331">
              <w:marLeft w:val="0"/>
              <w:marRight w:val="0"/>
              <w:marTop w:val="0"/>
              <w:marBottom w:val="0"/>
              <w:divBdr>
                <w:top w:val="none" w:sz="0" w:space="0" w:color="auto"/>
                <w:left w:val="none" w:sz="0" w:space="0" w:color="auto"/>
                <w:bottom w:val="none" w:sz="0" w:space="0" w:color="auto"/>
                <w:right w:val="none" w:sz="0" w:space="0" w:color="auto"/>
              </w:divBdr>
              <w:divsChild>
                <w:div w:id="207404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907348">
      <w:bodyDiv w:val="1"/>
      <w:marLeft w:val="0"/>
      <w:marRight w:val="0"/>
      <w:marTop w:val="0"/>
      <w:marBottom w:val="0"/>
      <w:divBdr>
        <w:top w:val="none" w:sz="0" w:space="0" w:color="auto"/>
        <w:left w:val="none" w:sz="0" w:space="0" w:color="auto"/>
        <w:bottom w:val="none" w:sz="0" w:space="0" w:color="auto"/>
        <w:right w:val="none" w:sz="0" w:space="0" w:color="auto"/>
      </w:divBdr>
      <w:divsChild>
        <w:div w:id="49229673">
          <w:marLeft w:val="0"/>
          <w:marRight w:val="0"/>
          <w:marTop w:val="0"/>
          <w:marBottom w:val="0"/>
          <w:divBdr>
            <w:top w:val="none" w:sz="0" w:space="0" w:color="auto"/>
            <w:left w:val="none" w:sz="0" w:space="0" w:color="auto"/>
            <w:bottom w:val="none" w:sz="0" w:space="0" w:color="auto"/>
            <w:right w:val="none" w:sz="0" w:space="0" w:color="auto"/>
          </w:divBdr>
          <w:divsChild>
            <w:div w:id="151592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898282">
      <w:bodyDiv w:val="1"/>
      <w:marLeft w:val="0"/>
      <w:marRight w:val="0"/>
      <w:marTop w:val="0"/>
      <w:marBottom w:val="0"/>
      <w:divBdr>
        <w:top w:val="none" w:sz="0" w:space="0" w:color="auto"/>
        <w:left w:val="none" w:sz="0" w:space="0" w:color="auto"/>
        <w:bottom w:val="none" w:sz="0" w:space="0" w:color="auto"/>
        <w:right w:val="none" w:sz="0" w:space="0" w:color="auto"/>
      </w:divBdr>
    </w:div>
    <w:div w:id="1694503043">
      <w:bodyDiv w:val="1"/>
      <w:marLeft w:val="0"/>
      <w:marRight w:val="0"/>
      <w:marTop w:val="0"/>
      <w:marBottom w:val="0"/>
      <w:divBdr>
        <w:top w:val="none" w:sz="0" w:space="0" w:color="auto"/>
        <w:left w:val="none" w:sz="0" w:space="0" w:color="auto"/>
        <w:bottom w:val="none" w:sz="0" w:space="0" w:color="auto"/>
        <w:right w:val="none" w:sz="0" w:space="0" w:color="auto"/>
      </w:divBdr>
      <w:divsChild>
        <w:div w:id="1269853574">
          <w:marLeft w:val="0"/>
          <w:marRight w:val="0"/>
          <w:marTop w:val="0"/>
          <w:marBottom w:val="0"/>
          <w:divBdr>
            <w:top w:val="none" w:sz="0" w:space="0" w:color="auto"/>
            <w:left w:val="none" w:sz="0" w:space="0" w:color="auto"/>
            <w:bottom w:val="none" w:sz="0" w:space="0" w:color="auto"/>
            <w:right w:val="none" w:sz="0" w:space="0" w:color="auto"/>
          </w:divBdr>
          <w:divsChild>
            <w:div w:id="645663423">
              <w:marLeft w:val="0"/>
              <w:marRight w:val="0"/>
              <w:marTop w:val="0"/>
              <w:marBottom w:val="0"/>
              <w:divBdr>
                <w:top w:val="none" w:sz="0" w:space="0" w:color="auto"/>
                <w:left w:val="none" w:sz="0" w:space="0" w:color="auto"/>
                <w:bottom w:val="none" w:sz="0" w:space="0" w:color="auto"/>
                <w:right w:val="none" w:sz="0" w:space="0" w:color="auto"/>
              </w:divBdr>
              <w:divsChild>
                <w:div w:id="934166670">
                  <w:marLeft w:val="0"/>
                  <w:marRight w:val="0"/>
                  <w:marTop w:val="0"/>
                  <w:marBottom w:val="0"/>
                  <w:divBdr>
                    <w:top w:val="none" w:sz="0" w:space="0" w:color="auto"/>
                    <w:left w:val="none" w:sz="0" w:space="0" w:color="auto"/>
                    <w:bottom w:val="none" w:sz="0" w:space="0" w:color="auto"/>
                    <w:right w:val="none" w:sz="0" w:space="0" w:color="auto"/>
                  </w:divBdr>
                  <w:divsChild>
                    <w:div w:id="1412124611">
                      <w:marLeft w:val="0"/>
                      <w:marRight w:val="0"/>
                      <w:marTop w:val="0"/>
                      <w:marBottom w:val="0"/>
                      <w:divBdr>
                        <w:top w:val="none" w:sz="0" w:space="0" w:color="auto"/>
                        <w:left w:val="none" w:sz="0" w:space="0" w:color="auto"/>
                        <w:bottom w:val="none" w:sz="0" w:space="0" w:color="auto"/>
                        <w:right w:val="none" w:sz="0" w:space="0" w:color="auto"/>
                      </w:divBdr>
                      <w:divsChild>
                        <w:div w:id="1204976057">
                          <w:marLeft w:val="0"/>
                          <w:marRight w:val="0"/>
                          <w:marTop w:val="0"/>
                          <w:marBottom w:val="0"/>
                          <w:divBdr>
                            <w:top w:val="none" w:sz="0" w:space="0" w:color="auto"/>
                            <w:left w:val="none" w:sz="0" w:space="0" w:color="auto"/>
                            <w:bottom w:val="none" w:sz="0" w:space="0" w:color="auto"/>
                            <w:right w:val="none" w:sz="0" w:space="0" w:color="auto"/>
                          </w:divBdr>
                        </w:div>
                      </w:divsChild>
                    </w:div>
                    <w:div w:id="181550123">
                      <w:marLeft w:val="0"/>
                      <w:marRight w:val="0"/>
                      <w:marTop w:val="0"/>
                      <w:marBottom w:val="0"/>
                      <w:divBdr>
                        <w:top w:val="none" w:sz="0" w:space="0" w:color="auto"/>
                        <w:left w:val="none" w:sz="0" w:space="0" w:color="auto"/>
                        <w:bottom w:val="none" w:sz="0" w:space="0" w:color="auto"/>
                        <w:right w:val="none" w:sz="0" w:space="0" w:color="auto"/>
                      </w:divBdr>
                      <w:divsChild>
                        <w:div w:id="401607618">
                          <w:marLeft w:val="0"/>
                          <w:marRight w:val="0"/>
                          <w:marTop w:val="0"/>
                          <w:marBottom w:val="0"/>
                          <w:divBdr>
                            <w:top w:val="none" w:sz="0" w:space="0" w:color="auto"/>
                            <w:left w:val="none" w:sz="0" w:space="0" w:color="auto"/>
                            <w:bottom w:val="none" w:sz="0" w:space="0" w:color="auto"/>
                            <w:right w:val="none" w:sz="0" w:space="0" w:color="auto"/>
                          </w:divBdr>
                        </w:div>
                      </w:divsChild>
                    </w:div>
                    <w:div w:id="544147697">
                      <w:marLeft w:val="0"/>
                      <w:marRight w:val="0"/>
                      <w:marTop w:val="0"/>
                      <w:marBottom w:val="0"/>
                      <w:divBdr>
                        <w:top w:val="none" w:sz="0" w:space="0" w:color="auto"/>
                        <w:left w:val="none" w:sz="0" w:space="0" w:color="auto"/>
                        <w:bottom w:val="none" w:sz="0" w:space="0" w:color="auto"/>
                        <w:right w:val="none" w:sz="0" w:space="0" w:color="auto"/>
                      </w:divBdr>
                      <w:divsChild>
                        <w:div w:id="1355227379">
                          <w:marLeft w:val="0"/>
                          <w:marRight w:val="0"/>
                          <w:marTop w:val="0"/>
                          <w:marBottom w:val="0"/>
                          <w:divBdr>
                            <w:top w:val="none" w:sz="0" w:space="0" w:color="auto"/>
                            <w:left w:val="none" w:sz="0" w:space="0" w:color="auto"/>
                            <w:bottom w:val="none" w:sz="0" w:space="0" w:color="auto"/>
                            <w:right w:val="none" w:sz="0" w:space="0" w:color="auto"/>
                          </w:divBdr>
                        </w:div>
                      </w:divsChild>
                    </w:div>
                    <w:div w:id="986982108">
                      <w:marLeft w:val="0"/>
                      <w:marRight w:val="0"/>
                      <w:marTop w:val="0"/>
                      <w:marBottom w:val="0"/>
                      <w:divBdr>
                        <w:top w:val="none" w:sz="0" w:space="0" w:color="auto"/>
                        <w:left w:val="none" w:sz="0" w:space="0" w:color="auto"/>
                        <w:bottom w:val="none" w:sz="0" w:space="0" w:color="auto"/>
                        <w:right w:val="none" w:sz="0" w:space="0" w:color="auto"/>
                      </w:divBdr>
                      <w:divsChild>
                        <w:div w:id="353846685">
                          <w:marLeft w:val="0"/>
                          <w:marRight w:val="0"/>
                          <w:marTop w:val="0"/>
                          <w:marBottom w:val="0"/>
                          <w:divBdr>
                            <w:top w:val="none" w:sz="0" w:space="0" w:color="auto"/>
                            <w:left w:val="none" w:sz="0" w:space="0" w:color="auto"/>
                            <w:bottom w:val="none" w:sz="0" w:space="0" w:color="auto"/>
                            <w:right w:val="none" w:sz="0" w:space="0" w:color="auto"/>
                          </w:divBdr>
                        </w:div>
                      </w:divsChild>
                    </w:div>
                    <w:div w:id="93600409">
                      <w:marLeft w:val="0"/>
                      <w:marRight w:val="0"/>
                      <w:marTop w:val="0"/>
                      <w:marBottom w:val="0"/>
                      <w:divBdr>
                        <w:top w:val="none" w:sz="0" w:space="0" w:color="auto"/>
                        <w:left w:val="none" w:sz="0" w:space="0" w:color="auto"/>
                        <w:bottom w:val="none" w:sz="0" w:space="0" w:color="auto"/>
                        <w:right w:val="none" w:sz="0" w:space="0" w:color="auto"/>
                      </w:divBdr>
                      <w:divsChild>
                        <w:div w:id="1749112988">
                          <w:marLeft w:val="0"/>
                          <w:marRight w:val="0"/>
                          <w:marTop w:val="0"/>
                          <w:marBottom w:val="0"/>
                          <w:divBdr>
                            <w:top w:val="none" w:sz="0" w:space="0" w:color="auto"/>
                            <w:left w:val="none" w:sz="0" w:space="0" w:color="auto"/>
                            <w:bottom w:val="none" w:sz="0" w:space="0" w:color="auto"/>
                            <w:right w:val="none" w:sz="0" w:space="0" w:color="auto"/>
                          </w:divBdr>
                        </w:div>
                      </w:divsChild>
                    </w:div>
                    <w:div w:id="725687859">
                      <w:marLeft w:val="0"/>
                      <w:marRight w:val="0"/>
                      <w:marTop w:val="0"/>
                      <w:marBottom w:val="0"/>
                      <w:divBdr>
                        <w:top w:val="none" w:sz="0" w:space="0" w:color="auto"/>
                        <w:left w:val="none" w:sz="0" w:space="0" w:color="auto"/>
                        <w:bottom w:val="none" w:sz="0" w:space="0" w:color="auto"/>
                        <w:right w:val="none" w:sz="0" w:space="0" w:color="auto"/>
                      </w:divBdr>
                      <w:divsChild>
                        <w:div w:id="439375038">
                          <w:marLeft w:val="0"/>
                          <w:marRight w:val="0"/>
                          <w:marTop w:val="0"/>
                          <w:marBottom w:val="0"/>
                          <w:divBdr>
                            <w:top w:val="none" w:sz="0" w:space="0" w:color="auto"/>
                            <w:left w:val="none" w:sz="0" w:space="0" w:color="auto"/>
                            <w:bottom w:val="none" w:sz="0" w:space="0" w:color="auto"/>
                            <w:right w:val="none" w:sz="0" w:space="0" w:color="auto"/>
                          </w:divBdr>
                        </w:div>
                      </w:divsChild>
                    </w:div>
                    <w:div w:id="1529483766">
                      <w:marLeft w:val="0"/>
                      <w:marRight w:val="0"/>
                      <w:marTop w:val="0"/>
                      <w:marBottom w:val="0"/>
                      <w:divBdr>
                        <w:top w:val="none" w:sz="0" w:space="0" w:color="auto"/>
                        <w:left w:val="none" w:sz="0" w:space="0" w:color="auto"/>
                        <w:bottom w:val="none" w:sz="0" w:space="0" w:color="auto"/>
                        <w:right w:val="none" w:sz="0" w:space="0" w:color="auto"/>
                      </w:divBdr>
                      <w:divsChild>
                        <w:div w:id="705831297">
                          <w:marLeft w:val="0"/>
                          <w:marRight w:val="0"/>
                          <w:marTop w:val="0"/>
                          <w:marBottom w:val="0"/>
                          <w:divBdr>
                            <w:top w:val="none" w:sz="0" w:space="0" w:color="auto"/>
                            <w:left w:val="none" w:sz="0" w:space="0" w:color="auto"/>
                            <w:bottom w:val="none" w:sz="0" w:space="0" w:color="auto"/>
                            <w:right w:val="none" w:sz="0" w:space="0" w:color="auto"/>
                          </w:divBdr>
                        </w:div>
                      </w:divsChild>
                    </w:div>
                    <w:div w:id="218201878">
                      <w:marLeft w:val="0"/>
                      <w:marRight w:val="0"/>
                      <w:marTop w:val="0"/>
                      <w:marBottom w:val="0"/>
                      <w:divBdr>
                        <w:top w:val="none" w:sz="0" w:space="0" w:color="auto"/>
                        <w:left w:val="none" w:sz="0" w:space="0" w:color="auto"/>
                        <w:bottom w:val="none" w:sz="0" w:space="0" w:color="auto"/>
                        <w:right w:val="none" w:sz="0" w:space="0" w:color="auto"/>
                      </w:divBdr>
                      <w:divsChild>
                        <w:div w:id="384182081">
                          <w:marLeft w:val="0"/>
                          <w:marRight w:val="0"/>
                          <w:marTop w:val="0"/>
                          <w:marBottom w:val="0"/>
                          <w:divBdr>
                            <w:top w:val="none" w:sz="0" w:space="0" w:color="auto"/>
                            <w:left w:val="none" w:sz="0" w:space="0" w:color="auto"/>
                            <w:bottom w:val="none" w:sz="0" w:space="0" w:color="auto"/>
                            <w:right w:val="none" w:sz="0" w:space="0" w:color="auto"/>
                          </w:divBdr>
                        </w:div>
                      </w:divsChild>
                    </w:div>
                    <w:div w:id="1049306950">
                      <w:marLeft w:val="0"/>
                      <w:marRight w:val="0"/>
                      <w:marTop w:val="0"/>
                      <w:marBottom w:val="0"/>
                      <w:divBdr>
                        <w:top w:val="none" w:sz="0" w:space="0" w:color="auto"/>
                        <w:left w:val="none" w:sz="0" w:space="0" w:color="auto"/>
                        <w:bottom w:val="none" w:sz="0" w:space="0" w:color="auto"/>
                        <w:right w:val="none" w:sz="0" w:space="0" w:color="auto"/>
                      </w:divBdr>
                      <w:divsChild>
                        <w:div w:id="440610337">
                          <w:marLeft w:val="0"/>
                          <w:marRight w:val="0"/>
                          <w:marTop w:val="0"/>
                          <w:marBottom w:val="0"/>
                          <w:divBdr>
                            <w:top w:val="none" w:sz="0" w:space="0" w:color="auto"/>
                            <w:left w:val="none" w:sz="0" w:space="0" w:color="auto"/>
                            <w:bottom w:val="none" w:sz="0" w:space="0" w:color="auto"/>
                            <w:right w:val="none" w:sz="0" w:space="0" w:color="auto"/>
                          </w:divBdr>
                        </w:div>
                      </w:divsChild>
                    </w:div>
                    <w:div w:id="79103006">
                      <w:marLeft w:val="0"/>
                      <w:marRight w:val="0"/>
                      <w:marTop w:val="0"/>
                      <w:marBottom w:val="0"/>
                      <w:divBdr>
                        <w:top w:val="none" w:sz="0" w:space="0" w:color="auto"/>
                        <w:left w:val="none" w:sz="0" w:space="0" w:color="auto"/>
                        <w:bottom w:val="none" w:sz="0" w:space="0" w:color="auto"/>
                        <w:right w:val="none" w:sz="0" w:space="0" w:color="auto"/>
                      </w:divBdr>
                      <w:divsChild>
                        <w:div w:id="1210143019">
                          <w:marLeft w:val="0"/>
                          <w:marRight w:val="0"/>
                          <w:marTop w:val="0"/>
                          <w:marBottom w:val="0"/>
                          <w:divBdr>
                            <w:top w:val="none" w:sz="0" w:space="0" w:color="auto"/>
                            <w:left w:val="none" w:sz="0" w:space="0" w:color="auto"/>
                            <w:bottom w:val="none" w:sz="0" w:space="0" w:color="auto"/>
                            <w:right w:val="none" w:sz="0" w:space="0" w:color="auto"/>
                          </w:divBdr>
                        </w:div>
                      </w:divsChild>
                    </w:div>
                    <w:div w:id="971441671">
                      <w:marLeft w:val="0"/>
                      <w:marRight w:val="0"/>
                      <w:marTop w:val="0"/>
                      <w:marBottom w:val="0"/>
                      <w:divBdr>
                        <w:top w:val="none" w:sz="0" w:space="0" w:color="auto"/>
                        <w:left w:val="none" w:sz="0" w:space="0" w:color="auto"/>
                        <w:bottom w:val="none" w:sz="0" w:space="0" w:color="auto"/>
                        <w:right w:val="none" w:sz="0" w:space="0" w:color="auto"/>
                      </w:divBdr>
                      <w:divsChild>
                        <w:div w:id="2035766579">
                          <w:marLeft w:val="0"/>
                          <w:marRight w:val="0"/>
                          <w:marTop w:val="0"/>
                          <w:marBottom w:val="0"/>
                          <w:divBdr>
                            <w:top w:val="none" w:sz="0" w:space="0" w:color="auto"/>
                            <w:left w:val="none" w:sz="0" w:space="0" w:color="auto"/>
                            <w:bottom w:val="none" w:sz="0" w:space="0" w:color="auto"/>
                            <w:right w:val="none" w:sz="0" w:space="0" w:color="auto"/>
                          </w:divBdr>
                        </w:div>
                      </w:divsChild>
                    </w:div>
                    <w:div w:id="571433118">
                      <w:marLeft w:val="0"/>
                      <w:marRight w:val="0"/>
                      <w:marTop w:val="0"/>
                      <w:marBottom w:val="0"/>
                      <w:divBdr>
                        <w:top w:val="none" w:sz="0" w:space="0" w:color="auto"/>
                        <w:left w:val="none" w:sz="0" w:space="0" w:color="auto"/>
                        <w:bottom w:val="none" w:sz="0" w:space="0" w:color="auto"/>
                        <w:right w:val="none" w:sz="0" w:space="0" w:color="auto"/>
                      </w:divBdr>
                      <w:divsChild>
                        <w:div w:id="1373457591">
                          <w:marLeft w:val="0"/>
                          <w:marRight w:val="0"/>
                          <w:marTop w:val="0"/>
                          <w:marBottom w:val="0"/>
                          <w:divBdr>
                            <w:top w:val="none" w:sz="0" w:space="0" w:color="auto"/>
                            <w:left w:val="none" w:sz="0" w:space="0" w:color="auto"/>
                            <w:bottom w:val="none" w:sz="0" w:space="0" w:color="auto"/>
                            <w:right w:val="none" w:sz="0" w:space="0" w:color="auto"/>
                          </w:divBdr>
                        </w:div>
                      </w:divsChild>
                    </w:div>
                    <w:div w:id="1886329966">
                      <w:marLeft w:val="0"/>
                      <w:marRight w:val="0"/>
                      <w:marTop w:val="0"/>
                      <w:marBottom w:val="0"/>
                      <w:divBdr>
                        <w:top w:val="none" w:sz="0" w:space="0" w:color="auto"/>
                        <w:left w:val="none" w:sz="0" w:space="0" w:color="auto"/>
                        <w:bottom w:val="none" w:sz="0" w:space="0" w:color="auto"/>
                        <w:right w:val="none" w:sz="0" w:space="0" w:color="auto"/>
                      </w:divBdr>
                      <w:divsChild>
                        <w:div w:id="568076454">
                          <w:marLeft w:val="0"/>
                          <w:marRight w:val="0"/>
                          <w:marTop w:val="0"/>
                          <w:marBottom w:val="0"/>
                          <w:divBdr>
                            <w:top w:val="none" w:sz="0" w:space="0" w:color="auto"/>
                            <w:left w:val="none" w:sz="0" w:space="0" w:color="auto"/>
                            <w:bottom w:val="none" w:sz="0" w:space="0" w:color="auto"/>
                            <w:right w:val="none" w:sz="0" w:space="0" w:color="auto"/>
                          </w:divBdr>
                        </w:div>
                      </w:divsChild>
                    </w:div>
                    <w:div w:id="498422304">
                      <w:marLeft w:val="0"/>
                      <w:marRight w:val="0"/>
                      <w:marTop w:val="0"/>
                      <w:marBottom w:val="0"/>
                      <w:divBdr>
                        <w:top w:val="none" w:sz="0" w:space="0" w:color="auto"/>
                        <w:left w:val="none" w:sz="0" w:space="0" w:color="auto"/>
                        <w:bottom w:val="none" w:sz="0" w:space="0" w:color="auto"/>
                        <w:right w:val="none" w:sz="0" w:space="0" w:color="auto"/>
                      </w:divBdr>
                      <w:divsChild>
                        <w:div w:id="1263957955">
                          <w:marLeft w:val="0"/>
                          <w:marRight w:val="0"/>
                          <w:marTop w:val="0"/>
                          <w:marBottom w:val="0"/>
                          <w:divBdr>
                            <w:top w:val="none" w:sz="0" w:space="0" w:color="auto"/>
                            <w:left w:val="none" w:sz="0" w:space="0" w:color="auto"/>
                            <w:bottom w:val="none" w:sz="0" w:space="0" w:color="auto"/>
                            <w:right w:val="none" w:sz="0" w:space="0" w:color="auto"/>
                          </w:divBdr>
                        </w:div>
                      </w:divsChild>
                    </w:div>
                    <w:div w:id="1570269320">
                      <w:marLeft w:val="0"/>
                      <w:marRight w:val="0"/>
                      <w:marTop w:val="0"/>
                      <w:marBottom w:val="0"/>
                      <w:divBdr>
                        <w:top w:val="none" w:sz="0" w:space="0" w:color="auto"/>
                        <w:left w:val="none" w:sz="0" w:space="0" w:color="auto"/>
                        <w:bottom w:val="none" w:sz="0" w:space="0" w:color="auto"/>
                        <w:right w:val="none" w:sz="0" w:space="0" w:color="auto"/>
                      </w:divBdr>
                      <w:divsChild>
                        <w:div w:id="1150365415">
                          <w:marLeft w:val="0"/>
                          <w:marRight w:val="0"/>
                          <w:marTop w:val="0"/>
                          <w:marBottom w:val="0"/>
                          <w:divBdr>
                            <w:top w:val="none" w:sz="0" w:space="0" w:color="auto"/>
                            <w:left w:val="none" w:sz="0" w:space="0" w:color="auto"/>
                            <w:bottom w:val="none" w:sz="0" w:space="0" w:color="auto"/>
                            <w:right w:val="none" w:sz="0" w:space="0" w:color="auto"/>
                          </w:divBdr>
                        </w:div>
                      </w:divsChild>
                    </w:div>
                    <w:div w:id="1662587402">
                      <w:marLeft w:val="0"/>
                      <w:marRight w:val="0"/>
                      <w:marTop w:val="0"/>
                      <w:marBottom w:val="0"/>
                      <w:divBdr>
                        <w:top w:val="none" w:sz="0" w:space="0" w:color="auto"/>
                        <w:left w:val="none" w:sz="0" w:space="0" w:color="auto"/>
                        <w:bottom w:val="none" w:sz="0" w:space="0" w:color="auto"/>
                        <w:right w:val="none" w:sz="0" w:space="0" w:color="auto"/>
                      </w:divBdr>
                      <w:divsChild>
                        <w:div w:id="1282877395">
                          <w:marLeft w:val="0"/>
                          <w:marRight w:val="0"/>
                          <w:marTop w:val="0"/>
                          <w:marBottom w:val="0"/>
                          <w:divBdr>
                            <w:top w:val="none" w:sz="0" w:space="0" w:color="auto"/>
                            <w:left w:val="none" w:sz="0" w:space="0" w:color="auto"/>
                            <w:bottom w:val="none" w:sz="0" w:space="0" w:color="auto"/>
                            <w:right w:val="none" w:sz="0" w:space="0" w:color="auto"/>
                          </w:divBdr>
                        </w:div>
                      </w:divsChild>
                    </w:div>
                    <w:div w:id="370301664">
                      <w:marLeft w:val="0"/>
                      <w:marRight w:val="0"/>
                      <w:marTop w:val="0"/>
                      <w:marBottom w:val="0"/>
                      <w:divBdr>
                        <w:top w:val="none" w:sz="0" w:space="0" w:color="auto"/>
                        <w:left w:val="none" w:sz="0" w:space="0" w:color="auto"/>
                        <w:bottom w:val="none" w:sz="0" w:space="0" w:color="auto"/>
                        <w:right w:val="none" w:sz="0" w:space="0" w:color="auto"/>
                      </w:divBdr>
                      <w:divsChild>
                        <w:div w:id="423499504">
                          <w:marLeft w:val="0"/>
                          <w:marRight w:val="0"/>
                          <w:marTop w:val="0"/>
                          <w:marBottom w:val="0"/>
                          <w:divBdr>
                            <w:top w:val="none" w:sz="0" w:space="0" w:color="auto"/>
                            <w:left w:val="none" w:sz="0" w:space="0" w:color="auto"/>
                            <w:bottom w:val="none" w:sz="0" w:space="0" w:color="auto"/>
                            <w:right w:val="none" w:sz="0" w:space="0" w:color="auto"/>
                          </w:divBdr>
                        </w:div>
                      </w:divsChild>
                    </w:div>
                    <w:div w:id="2076319528">
                      <w:marLeft w:val="0"/>
                      <w:marRight w:val="0"/>
                      <w:marTop w:val="0"/>
                      <w:marBottom w:val="0"/>
                      <w:divBdr>
                        <w:top w:val="none" w:sz="0" w:space="0" w:color="auto"/>
                        <w:left w:val="none" w:sz="0" w:space="0" w:color="auto"/>
                        <w:bottom w:val="none" w:sz="0" w:space="0" w:color="auto"/>
                        <w:right w:val="none" w:sz="0" w:space="0" w:color="auto"/>
                      </w:divBdr>
                      <w:divsChild>
                        <w:div w:id="1673750962">
                          <w:marLeft w:val="0"/>
                          <w:marRight w:val="0"/>
                          <w:marTop w:val="0"/>
                          <w:marBottom w:val="0"/>
                          <w:divBdr>
                            <w:top w:val="none" w:sz="0" w:space="0" w:color="auto"/>
                            <w:left w:val="none" w:sz="0" w:space="0" w:color="auto"/>
                            <w:bottom w:val="none" w:sz="0" w:space="0" w:color="auto"/>
                            <w:right w:val="none" w:sz="0" w:space="0" w:color="auto"/>
                          </w:divBdr>
                        </w:div>
                      </w:divsChild>
                    </w:div>
                    <w:div w:id="712775705">
                      <w:marLeft w:val="0"/>
                      <w:marRight w:val="0"/>
                      <w:marTop w:val="0"/>
                      <w:marBottom w:val="0"/>
                      <w:divBdr>
                        <w:top w:val="none" w:sz="0" w:space="0" w:color="auto"/>
                        <w:left w:val="none" w:sz="0" w:space="0" w:color="auto"/>
                        <w:bottom w:val="none" w:sz="0" w:space="0" w:color="auto"/>
                        <w:right w:val="none" w:sz="0" w:space="0" w:color="auto"/>
                      </w:divBdr>
                      <w:divsChild>
                        <w:div w:id="1187866996">
                          <w:marLeft w:val="0"/>
                          <w:marRight w:val="0"/>
                          <w:marTop w:val="0"/>
                          <w:marBottom w:val="0"/>
                          <w:divBdr>
                            <w:top w:val="none" w:sz="0" w:space="0" w:color="auto"/>
                            <w:left w:val="none" w:sz="0" w:space="0" w:color="auto"/>
                            <w:bottom w:val="none" w:sz="0" w:space="0" w:color="auto"/>
                            <w:right w:val="none" w:sz="0" w:space="0" w:color="auto"/>
                          </w:divBdr>
                        </w:div>
                      </w:divsChild>
                    </w:div>
                    <w:div w:id="348915611">
                      <w:marLeft w:val="0"/>
                      <w:marRight w:val="0"/>
                      <w:marTop w:val="0"/>
                      <w:marBottom w:val="0"/>
                      <w:divBdr>
                        <w:top w:val="none" w:sz="0" w:space="0" w:color="auto"/>
                        <w:left w:val="none" w:sz="0" w:space="0" w:color="auto"/>
                        <w:bottom w:val="none" w:sz="0" w:space="0" w:color="auto"/>
                        <w:right w:val="none" w:sz="0" w:space="0" w:color="auto"/>
                      </w:divBdr>
                      <w:divsChild>
                        <w:div w:id="56589992">
                          <w:marLeft w:val="0"/>
                          <w:marRight w:val="0"/>
                          <w:marTop w:val="0"/>
                          <w:marBottom w:val="0"/>
                          <w:divBdr>
                            <w:top w:val="none" w:sz="0" w:space="0" w:color="auto"/>
                            <w:left w:val="none" w:sz="0" w:space="0" w:color="auto"/>
                            <w:bottom w:val="none" w:sz="0" w:space="0" w:color="auto"/>
                            <w:right w:val="none" w:sz="0" w:space="0" w:color="auto"/>
                          </w:divBdr>
                        </w:div>
                      </w:divsChild>
                    </w:div>
                    <w:div w:id="2132674514">
                      <w:marLeft w:val="0"/>
                      <w:marRight w:val="0"/>
                      <w:marTop w:val="0"/>
                      <w:marBottom w:val="0"/>
                      <w:divBdr>
                        <w:top w:val="none" w:sz="0" w:space="0" w:color="auto"/>
                        <w:left w:val="none" w:sz="0" w:space="0" w:color="auto"/>
                        <w:bottom w:val="none" w:sz="0" w:space="0" w:color="auto"/>
                        <w:right w:val="none" w:sz="0" w:space="0" w:color="auto"/>
                      </w:divBdr>
                      <w:divsChild>
                        <w:div w:id="1048644522">
                          <w:marLeft w:val="0"/>
                          <w:marRight w:val="0"/>
                          <w:marTop w:val="0"/>
                          <w:marBottom w:val="0"/>
                          <w:divBdr>
                            <w:top w:val="none" w:sz="0" w:space="0" w:color="auto"/>
                            <w:left w:val="none" w:sz="0" w:space="0" w:color="auto"/>
                            <w:bottom w:val="none" w:sz="0" w:space="0" w:color="auto"/>
                            <w:right w:val="none" w:sz="0" w:space="0" w:color="auto"/>
                          </w:divBdr>
                        </w:div>
                      </w:divsChild>
                    </w:div>
                    <w:div w:id="1093432808">
                      <w:marLeft w:val="0"/>
                      <w:marRight w:val="0"/>
                      <w:marTop w:val="0"/>
                      <w:marBottom w:val="0"/>
                      <w:divBdr>
                        <w:top w:val="none" w:sz="0" w:space="0" w:color="auto"/>
                        <w:left w:val="none" w:sz="0" w:space="0" w:color="auto"/>
                        <w:bottom w:val="none" w:sz="0" w:space="0" w:color="auto"/>
                        <w:right w:val="none" w:sz="0" w:space="0" w:color="auto"/>
                      </w:divBdr>
                      <w:divsChild>
                        <w:div w:id="4865520">
                          <w:marLeft w:val="0"/>
                          <w:marRight w:val="0"/>
                          <w:marTop w:val="0"/>
                          <w:marBottom w:val="0"/>
                          <w:divBdr>
                            <w:top w:val="none" w:sz="0" w:space="0" w:color="auto"/>
                            <w:left w:val="none" w:sz="0" w:space="0" w:color="auto"/>
                            <w:bottom w:val="none" w:sz="0" w:space="0" w:color="auto"/>
                            <w:right w:val="none" w:sz="0" w:space="0" w:color="auto"/>
                          </w:divBdr>
                        </w:div>
                      </w:divsChild>
                    </w:div>
                    <w:div w:id="627780880">
                      <w:marLeft w:val="0"/>
                      <w:marRight w:val="0"/>
                      <w:marTop w:val="0"/>
                      <w:marBottom w:val="0"/>
                      <w:divBdr>
                        <w:top w:val="none" w:sz="0" w:space="0" w:color="auto"/>
                        <w:left w:val="none" w:sz="0" w:space="0" w:color="auto"/>
                        <w:bottom w:val="none" w:sz="0" w:space="0" w:color="auto"/>
                        <w:right w:val="none" w:sz="0" w:space="0" w:color="auto"/>
                      </w:divBdr>
                      <w:divsChild>
                        <w:div w:id="1570000562">
                          <w:marLeft w:val="0"/>
                          <w:marRight w:val="0"/>
                          <w:marTop w:val="0"/>
                          <w:marBottom w:val="0"/>
                          <w:divBdr>
                            <w:top w:val="none" w:sz="0" w:space="0" w:color="auto"/>
                            <w:left w:val="none" w:sz="0" w:space="0" w:color="auto"/>
                            <w:bottom w:val="none" w:sz="0" w:space="0" w:color="auto"/>
                            <w:right w:val="none" w:sz="0" w:space="0" w:color="auto"/>
                          </w:divBdr>
                        </w:div>
                      </w:divsChild>
                    </w:div>
                    <w:div w:id="681275989">
                      <w:marLeft w:val="0"/>
                      <w:marRight w:val="0"/>
                      <w:marTop w:val="0"/>
                      <w:marBottom w:val="0"/>
                      <w:divBdr>
                        <w:top w:val="none" w:sz="0" w:space="0" w:color="auto"/>
                        <w:left w:val="none" w:sz="0" w:space="0" w:color="auto"/>
                        <w:bottom w:val="none" w:sz="0" w:space="0" w:color="auto"/>
                        <w:right w:val="none" w:sz="0" w:space="0" w:color="auto"/>
                      </w:divBdr>
                      <w:divsChild>
                        <w:div w:id="1178806826">
                          <w:marLeft w:val="0"/>
                          <w:marRight w:val="0"/>
                          <w:marTop w:val="0"/>
                          <w:marBottom w:val="0"/>
                          <w:divBdr>
                            <w:top w:val="none" w:sz="0" w:space="0" w:color="auto"/>
                            <w:left w:val="none" w:sz="0" w:space="0" w:color="auto"/>
                            <w:bottom w:val="none" w:sz="0" w:space="0" w:color="auto"/>
                            <w:right w:val="none" w:sz="0" w:space="0" w:color="auto"/>
                          </w:divBdr>
                        </w:div>
                      </w:divsChild>
                    </w:div>
                    <w:div w:id="909776679">
                      <w:marLeft w:val="0"/>
                      <w:marRight w:val="0"/>
                      <w:marTop w:val="0"/>
                      <w:marBottom w:val="0"/>
                      <w:divBdr>
                        <w:top w:val="none" w:sz="0" w:space="0" w:color="auto"/>
                        <w:left w:val="none" w:sz="0" w:space="0" w:color="auto"/>
                        <w:bottom w:val="none" w:sz="0" w:space="0" w:color="auto"/>
                        <w:right w:val="none" w:sz="0" w:space="0" w:color="auto"/>
                      </w:divBdr>
                      <w:divsChild>
                        <w:div w:id="1504198815">
                          <w:marLeft w:val="0"/>
                          <w:marRight w:val="0"/>
                          <w:marTop w:val="0"/>
                          <w:marBottom w:val="0"/>
                          <w:divBdr>
                            <w:top w:val="none" w:sz="0" w:space="0" w:color="auto"/>
                            <w:left w:val="none" w:sz="0" w:space="0" w:color="auto"/>
                            <w:bottom w:val="none" w:sz="0" w:space="0" w:color="auto"/>
                            <w:right w:val="none" w:sz="0" w:space="0" w:color="auto"/>
                          </w:divBdr>
                        </w:div>
                      </w:divsChild>
                    </w:div>
                    <w:div w:id="759449395">
                      <w:marLeft w:val="0"/>
                      <w:marRight w:val="0"/>
                      <w:marTop w:val="0"/>
                      <w:marBottom w:val="0"/>
                      <w:divBdr>
                        <w:top w:val="none" w:sz="0" w:space="0" w:color="auto"/>
                        <w:left w:val="none" w:sz="0" w:space="0" w:color="auto"/>
                        <w:bottom w:val="none" w:sz="0" w:space="0" w:color="auto"/>
                        <w:right w:val="none" w:sz="0" w:space="0" w:color="auto"/>
                      </w:divBdr>
                      <w:divsChild>
                        <w:div w:id="844251749">
                          <w:marLeft w:val="0"/>
                          <w:marRight w:val="0"/>
                          <w:marTop w:val="0"/>
                          <w:marBottom w:val="0"/>
                          <w:divBdr>
                            <w:top w:val="none" w:sz="0" w:space="0" w:color="auto"/>
                            <w:left w:val="none" w:sz="0" w:space="0" w:color="auto"/>
                            <w:bottom w:val="none" w:sz="0" w:space="0" w:color="auto"/>
                            <w:right w:val="none" w:sz="0" w:space="0" w:color="auto"/>
                          </w:divBdr>
                        </w:div>
                      </w:divsChild>
                    </w:div>
                    <w:div w:id="257100300">
                      <w:marLeft w:val="0"/>
                      <w:marRight w:val="0"/>
                      <w:marTop w:val="0"/>
                      <w:marBottom w:val="0"/>
                      <w:divBdr>
                        <w:top w:val="none" w:sz="0" w:space="0" w:color="auto"/>
                        <w:left w:val="none" w:sz="0" w:space="0" w:color="auto"/>
                        <w:bottom w:val="none" w:sz="0" w:space="0" w:color="auto"/>
                        <w:right w:val="none" w:sz="0" w:space="0" w:color="auto"/>
                      </w:divBdr>
                      <w:divsChild>
                        <w:div w:id="375394128">
                          <w:marLeft w:val="0"/>
                          <w:marRight w:val="0"/>
                          <w:marTop w:val="0"/>
                          <w:marBottom w:val="0"/>
                          <w:divBdr>
                            <w:top w:val="none" w:sz="0" w:space="0" w:color="auto"/>
                            <w:left w:val="none" w:sz="0" w:space="0" w:color="auto"/>
                            <w:bottom w:val="none" w:sz="0" w:space="0" w:color="auto"/>
                            <w:right w:val="none" w:sz="0" w:space="0" w:color="auto"/>
                          </w:divBdr>
                        </w:div>
                      </w:divsChild>
                    </w:div>
                    <w:div w:id="1536119349">
                      <w:marLeft w:val="0"/>
                      <w:marRight w:val="0"/>
                      <w:marTop w:val="0"/>
                      <w:marBottom w:val="0"/>
                      <w:divBdr>
                        <w:top w:val="none" w:sz="0" w:space="0" w:color="auto"/>
                        <w:left w:val="none" w:sz="0" w:space="0" w:color="auto"/>
                        <w:bottom w:val="none" w:sz="0" w:space="0" w:color="auto"/>
                        <w:right w:val="none" w:sz="0" w:space="0" w:color="auto"/>
                      </w:divBdr>
                      <w:divsChild>
                        <w:div w:id="1714579853">
                          <w:marLeft w:val="0"/>
                          <w:marRight w:val="0"/>
                          <w:marTop w:val="0"/>
                          <w:marBottom w:val="0"/>
                          <w:divBdr>
                            <w:top w:val="none" w:sz="0" w:space="0" w:color="auto"/>
                            <w:left w:val="none" w:sz="0" w:space="0" w:color="auto"/>
                            <w:bottom w:val="none" w:sz="0" w:space="0" w:color="auto"/>
                            <w:right w:val="none" w:sz="0" w:space="0" w:color="auto"/>
                          </w:divBdr>
                        </w:div>
                      </w:divsChild>
                    </w:div>
                    <w:div w:id="1444227322">
                      <w:marLeft w:val="0"/>
                      <w:marRight w:val="0"/>
                      <w:marTop w:val="0"/>
                      <w:marBottom w:val="0"/>
                      <w:divBdr>
                        <w:top w:val="none" w:sz="0" w:space="0" w:color="auto"/>
                        <w:left w:val="none" w:sz="0" w:space="0" w:color="auto"/>
                        <w:bottom w:val="none" w:sz="0" w:space="0" w:color="auto"/>
                        <w:right w:val="none" w:sz="0" w:space="0" w:color="auto"/>
                      </w:divBdr>
                      <w:divsChild>
                        <w:div w:id="1608927833">
                          <w:marLeft w:val="0"/>
                          <w:marRight w:val="0"/>
                          <w:marTop w:val="0"/>
                          <w:marBottom w:val="0"/>
                          <w:divBdr>
                            <w:top w:val="none" w:sz="0" w:space="0" w:color="auto"/>
                            <w:left w:val="none" w:sz="0" w:space="0" w:color="auto"/>
                            <w:bottom w:val="none" w:sz="0" w:space="0" w:color="auto"/>
                            <w:right w:val="none" w:sz="0" w:space="0" w:color="auto"/>
                          </w:divBdr>
                        </w:div>
                      </w:divsChild>
                    </w:div>
                    <w:div w:id="664744940">
                      <w:marLeft w:val="0"/>
                      <w:marRight w:val="0"/>
                      <w:marTop w:val="0"/>
                      <w:marBottom w:val="0"/>
                      <w:divBdr>
                        <w:top w:val="none" w:sz="0" w:space="0" w:color="auto"/>
                        <w:left w:val="none" w:sz="0" w:space="0" w:color="auto"/>
                        <w:bottom w:val="none" w:sz="0" w:space="0" w:color="auto"/>
                        <w:right w:val="none" w:sz="0" w:space="0" w:color="auto"/>
                      </w:divBdr>
                      <w:divsChild>
                        <w:div w:id="223031797">
                          <w:marLeft w:val="0"/>
                          <w:marRight w:val="0"/>
                          <w:marTop w:val="0"/>
                          <w:marBottom w:val="0"/>
                          <w:divBdr>
                            <w:top w:val="none" w:sz="0" w:space="0" w:color="auto"/>
                            <w:left w:val="none" w:sz="0" w:space="0" w:color="auto"/>
                            <w:bottom w:val="none" w:sz="0" w:space="0" w:color="auto"/>
                            <w:right w:val="none" w:sz="0" w:space="0" w:color="auto"/>
                          </w:divBdr>
                        </w:div>
                      </w:divsChild>
                    </w:div>
                    <w:div w:id="1460759669">
                      <w:marLeft w:val="0"/>
                      <w:marRight w:val="0"/>
                      <w:marTop w:val="0"/>
                      <w:marBottom w:val="0"/>
                      <w:divBdr>
                        <w:top w:val="none" w:sz="0" w:space="0" w:color="auto"/>
                        <w:left w:val="none" w:sz="0" w:space="0" w:color="auto"/>
                        <w:bottom w:val="none" w:sz="0" w:space="0" w:color="auto"/>
                        <w:right w:val="none" w:sz="0" w:space="0" w:color="auto"/>
                      </w:divBdr>
                      <w:divsChild>
                        <w:div w:id="1793400369">
                          <w:marLeft w:val="0"/>
                          <w:marRight w:val="0"/>
                          <w:marTop w:val="0"/>
                          <w:marBottom w:val="0"/>
                          <w:divBdr>
                            <w:top w:val="none" w:sz="0" w:space="0" w:color="auto"/>
                            <w:left w:val="none" w:sz="0" w:space="0" w:color="auto"/>
                            <w:bottom w:val="none" w:sz="0" w:space="0" w:color="auto"/>
                            <w:right w:val="none" w:sz="0" w:space="0" w:color="auto"/>
                          </w:divBdr>
                        </w:div>
                      </w:divsChild>
                    </w:div>
                    <w:div w:id="748428632">
                      <w:marLeft w:val="0"/>
                      <w:marRight w:val="0"/>
                      <w:marTop w:val="0"/>
                      <w:marBottom w:val="0"/>
                      <w:divBdr>
                        <w:top w:val="none" w:sz="0" w:space="0" w:color="auto"/>
                        <w:left w:val="none" w:sz="0" w:space="0" w:color="auto"/>
                        <w:bottom w:val="none" w:sz="0" w:space="0" w:color="auto"/>
                        <w:right w:val="none" w:sz="0" w:space="0" w:color="auto"/>
                      </w:divBdr>
                      <w:divsChild>
                        <w:div w:id="1598440043">
                          <w:marLeft w:val="0"/>
                          <w:marRight w:val="0"/>
                          <w:marTop w:val="0"/>
                          <w:marBottom w:val="0"/>
                          <w:divBdr>
                            <w:top w:val="none" w:sz="0" w:space="0" w:color="auto"/>
                            <w:left w:val="none" w:sz="0" w:space="0" w:color="auto"/>
                            <w:bottom w:val="none" w:sz="0" w:space="0" w:color="auto"/>
                            <w:right w:val="none" w:sz="0" w:space="0" w:color="auto"/>
                          </w:divBdr>
                        </w:div>
                      </w:divsChild>
                    </w:div>
                    <w:div w:id="1400976141">
                      <w:marLeft w:val="0"/>
                      <w:marRight w:val="0"/>
                      <w:marTop w:val="0"/>
                      <w:marBottom w:val="0"/>
                      <w:divBdr>
                        <w:top w:val="none" w:sz="0" w:space="0" w:color="auto"/>
                        <w:left w:val="none" w:sz="0" w:space="0" w:color="auto"/>
                        <w:bottom w:val="none" w:sz="0" w:space="0" w:color="auto"/>
                        <w:right w:val="none" w:sz="0" w:space="0" w:color="auto"/>
                      </w:divBdr>
                      <w:divsChild>
                        <w:div w:id="1121876299">
                          <w:marLeft w:val="0"/>
                          <w:marRight w:val="0"/>
                          <w:marTop w:val="0"/>
                          <w:marBottom w:val="0"/>
                          <w:divBdr>
                            <w:top w:val="none" w:sz="0" w:space="0" w:color="auto"/>
                            <w:left w:val="none" w:sz="0" w:space="0" w:color="auto"/>
                            <w:bottom w:val="none" w:sz="0" w:space="0" w:color="auto"/>
                            <w:right w:val="none" w:sz="0" w:space="0" w:color="auto"/>
                          </w:divBdr>
                        </w:div>
                      </w:divsChild>
                    </w:div>
                    <w:div w:id="1390694140">
                      <w:marLeft w:val="0"/>
                      <w:marRight w:val="0"/>
                      <w:marTop w:val="0"/>
                      <w:marBottom w:val="0"/>
                      <w:divBdr>
                        <w:top w:val="none" w:sz="0" w:space="0" w:color="auto"/>
                        <w:left w:val="none" w:sz="0" w:space="0" w:color="auto"/>
                        <w:bottom w:val="none" w:sz="0" w:space="0" w:color="auto"/>
                        <w:right w:val="none" w:sz="0" w:space="0" w:color="auto"/>
                      </w:divBdr>
                      <w:divsChild>
                        <w:div w:id="101002402">
                          <w:marLeft w:val="0"/>
                          <w:marRight w:val="0"/>
                          <w:marTop w:val="0"/>
                          <w:marBottom w:val="0"/>
                          <w:divBdr>
                            <w:top w:val="none" w:sz="0" w:space="0" w:color="auto"/>
                            <w:left w:val="none" w:sz="0" w:space="0" w:color="auto"/>
                            <w:bottom w:val="none" w:sz="0" w:space="0" w:color="auto"/>
                            <w:right w:val="none" w:sz="0" w:space="0" w:color="auto"/>
                          </w:divBdr>
                        </w:div>
                      </w:divsChild>
                    </w:div>
                    <w:div w:id="146212179">
                      <w:marLeft w:val="0"/>
                      <w:marRight w:val="0"/>
                      <w:marTop w:val="0"/>
                      <w:marBottom w:val="0"/>
                      <w:divBdr>
                        <w:top w:val="none" w:sz="0" w:space="0" w:color="auto"/>
                        <w:left w:val="none" w:sz="0" w:space="0" w:color="auto"/>
                        <w:bottom w:val="none" w:sz="0" w:space="0" w:color="auto"/>
                        <w:right w:val="none" w:sz="0" w:space="0" w:color="auto"/>
                      </w:divBdr>
                      <w:divsChild>
                        <w:div w:id="708340880">
                          <w:marLeft w:val="0"/>
                          <w:marRight w:val="0"/>
                          <w:marTop w:val="0"/>
                          <w:marBottom w:val="0"/>
                          <w:divBdr>
                            <w:top w:val="none" w:sz="0" w:space="0" w:color="auto"/>
                            <w:left w:val="none" w:sz="0" w:space="0" w:color="auto"/>
                            <w:bottom w:val="none" w:sz="0" w:space="0" w:color="auto"/>
                            <w:right w:val="none" w:sz="0" w:space="0" w:color="auto"/>
                          </w:divBdr>
                        </w:div>
                      </w:divsChild>
                    </w:div>
                    <w:div w:id="1645046337">
                      <w:marLeft w:val="0"/>
                      <w:marRight w:val="0"/>
                      <w:marTop w:val="0"/>
                      <w:marBottom w:val="0"/>
                      <w:divBdr>
                        <w:top w:val="none" w:sz="0" w:space="0" w:color="auto"/>
                        <w:left w:val="none" w:sz="0" w:space="0" w:color="auto"/>
                        <w:bottom w:val="none" w:sz="0" w:space="0" w:color="auto"/>
                        <w:right w:val="none" w:sz="0" w:space="0" w:color="auto"/>
                      </w:divBdr>
                      <w:divsChild>
                        <w:div w:id="1146974952">
                          <w:marLeft w:val="0"/>
                          <w:marRight w:val="0"/>
                          <w:marTop w:val="0"/>
                          <w:marBottom w:val="0"/>
                          <w:divBdr>
                            <w:top w:val="none" w:sz="0" w:space="0" w:color="auto"/>
                            <w:left w:val="none" w:sz="0" w:space="0" w:color="auto"/>
                            <w:bottom w:val="none" w:sz="0" w:space="0" w:color="auto"/>
                            <w:right w:val="none" w:sz="0" w:space="0" w:color="auto"/>
                          </w:divBdr>
                        </w:div>
                      </w:divsChild>
                    </w:div>
                    <w:div w:id="1322847759">
                      <w:marLeft w:val="0"/>
                      <w:marRight w:val="0"/>
                      <w:marTop w:val="0"/>
                      <w:marBottom w:val="0"/>
                      <w:divBdr>
                        <w:top w:val="none" w:sz="0" w:space="0" w:color="auto"/>
                        <w:left w:val="none" w:sz="0" w:space="0" w:color="auto"/>
                        <w:bottom w:val="none" w:sz="0" w:space="0" w:color="auto"/>
                        <w:right w:val="none" w:sz="0" w:space="0" w:color="auto"/>
                      </w:divBdr>
                      <w:divsChild>
                        <w:div w:id="1455715488">
                          <w:marLeft w:val="0"/>
                          <w:marRight w:val="0"/>
                          <w:marTop w:val="0"/>
                          <w:marBottom w:val="0"/>
                          <w:divBdr>
                            <w:top w:val="none" w:sz="0" w:space="0" w:color="auto"/>
                            <w:left w:val="none" w:sz="0" w:space="0" w:color="auto"/>
                            <w:bottom w:val="none" w:sz="0" w:space="0" w:color="auto"/>
                            <w:right w:val="none" w:sz="0" w:space="0" w:color="auto"/>
                          </w:divBdr>
                        </w:div>
                      </w:divsChild>
                    </w:div>
                    <w:div w:id="1351688185">
                      <w:marLeft w:val="0"/>
                      <w:marRight w:val="0"/>
                      <w:marTop w:val="0"/>
                      <w:marBottom w:val="0"/>
                      <w:divBdr>
                        <w:top w:val="none" w:sz="0" w:space="0" w:color="auto"/>
                        <w:left w:val="none" w:sz="0" w:space="0" w:color="auto"/>
                        <w:bottom w:val="none" w:sz="0" w:space="0" w:color="auto"/>
                        <w:right w:val="none" w:sz="0" w:space="0" w:color="auto"/>
                      </w:divBdr>
                      <w:divsChild>
                        <w:div w:id="1615940305">
                          <w:marLeft w:val="0"/>
                          <w:marRight w:val="0"/>
                          <w:marTop w:val="0"/>
                          <w:marBottom w:val="0"/>
                          <w:divBdr>
                            <w:top w:val="none" w:sz="0" w:space="0" w:color="auto"/>
                            <w:left w:val="none" w:sz="0" w:space="0" w:color="auto"/>
                            <w:bottom w:val="none" w:sz="0" w:space="0" w:color="auto"/>
                            <w:right w:val="none" w:sz="0" w:space="0" w:color="auto"/>
                          </w:divBdr>
                        </w:div>
                      </w:divsChild>
                    </w:div>
                    <w:div w:id="1542092487">
                      <w:marLeft w:val="0"/>
                      <w:marRight w:val="0"/>
                      <w:marTop w:val="0"/>
                      <w:marBottom w:val="0"/>
                      <w:divBdr>
                        <w:top w:val="none" w:sz="0" w:space="0" w:color="auto"/>
                        <w:left w:val="none" w:sz="0" w:space="0" w:color="auto"/>
                        <w:bottom w:val="none" w:sz="0" w:space="0" w:color="auto"/>
                        <w:right w:val="none" w:sz="0" w:space="0" w:color="auto"/>
                      </w:divBdr>
                      <w:divsChild>
                        <w:div w:id="707684298">
                          <w:marLeft w:val="0"/>
                          <w:marRight w:val="0"/>
                          <w:marTop w:val="0"/>
                          <w:marBottom w:val="0"/>
                          <w:divBdr>
                            <w:top w:val="none" w:sz="0" w:space="0" w:color="auto"/>
                            <w:left w:val="none" w:sz="0" w:space="0" w:color="auto"/>
                            <w:bottom w:val="none" w:sz="0" w:space="0" w:color="auto"/>
                            <w:right w:val="none" w:sz="0" w:space="0" w:color="auto"/>
                          </w:divBdr>
                        </w:div>
                      </w:divsChild>
                    </w:div>
                    <w:div w:id="403332785">
                      <w:marLeft w:val="0"/>
                      <w:marRight w:val="0"/>
                      <w:marTop w:val="0"/>
                      <w:marBottom w:val="0"/>
                      <w:divBdr>
                        <w:top w:val="none" w:sz="0" w:space="0" w:color="auto"/>
                        <w:left w:val="none" w:sz="0" w:space="0" w:color="auto"/>
                        <w:bottom w:val="none" w:sz="0" w:space="0" w:color="auto"/>
                        <w:right w:val="none" w:sz="0" w:space="0" w:color="auto"/>
                      </w:divBdr>
                      <w:divsChild>
                        <w:div w:id="1796096002">
                          <w:marLeft w:val="0"/>
                          <w:marRight w:val="0"/>
                          <w:marTop w:val="0"/>
                          <w:marBottom w:val="0"/>
                          <w:divBdr>
                            <w:top w:val="none" w:sz="0" w:space="0" w:color="auto"/>
                            <w:left w:val="none" w:sz="0" w:space="0" w:color="auto"/>
                            <w:bottom w:val="none" w:sz="0" w:space="0" w:color="auto"/>
                            <w:right w:val="none" w:sz="0" w:space="0" w:color="auto"/>
                          </w:divBdr>
                        </w:div>
                      </w:divsChild>
                    </w:div>
                    <w:div w:id="1908958294">
                      <w:marLeft w:val="0"/>
                      <w:marRight w:val="0"/>
                      <w:marTop w:val="0"/>
                      <w:marBottom w:val="0"/>
                      <w:divBdr>
                        <w:top w:val="none" w:sz="0" w:space="0" w:color="auto"/>
                        <w:left w:val="none" w:sz="0" w:space="0" w:color="auto"/>
                        <w:bottom w:val="none" w:sz="0" w:space="0" w:color="auto"/>
                        <w:right w:val="none" w:sz="0" w:space="0" w:color="auto"/>
                      </w:divBdr>
                      <w:divsChild>
                        <w:div w:id="1266383930">
                          <w:marLeft w:val="0"/>
                          <w:marRight w:val="0"/>
                          <w:marTop w:val="0"/>
                          <w:marBottom w:val="0"/>
                          <w:divBdr>
                            <w:top w:val="none" w:sz="0" w:space="0" w:color="auto"/>
                            <w:left w:val="none" w:sz="0" w:space="0" w:color="auto"/>
                            <w:bottom w:val="none" w:sz="0" w:space="0" w:color="auto"/>
                            <w:right w:val="none" w:sz="0" w:space="0" w:color="auto"/>
                          </w:divBdr>
                        </w:div>
                      </w:divsChild>
                    </w:div>
                    <w:div w:id="116872241">
                      <w:marLeft w:val="0"/>
                      <w:marRight w:val="0"/>
                      <w:marTop w:val="0"/>
                      <w:marBottom w:val="0"/>
                      <w:divBdr>
                        <w:top w:val="none" w:sz="0" w:space="0" w:color="auto"/>
                        <w:left w:val="none" w:sz="0" w:space="0" w:color="auto"/>
                        <w:bottom w:val="none" w:sz="0" w:space="0" w:color="auto"/>
                        <w:right w:val="none" w:sz="0" w:space="0" w:color="auto"/>
                      </w:divBdr>
                      <w:divsChild>
                        <w:div w:id="1385256733">
                          <w:marLeft w:val="0"/>
                          <w:marRight w:val="0"/>
                          <w:marTop w:val="0"/>
                          <w:marBottom w:val="0"/>
                          <w:divBdr>
                            <w:top w:val="none" w:sz="0" w:space="0" w:color="auto"/>
                            <w:left w:val="none" w:sz="0" w:space="0" w:color="auto"/>
                            <w:bottom w:val="none" w:sz="0" w:space="0" w:color="auto"/>
                            <w:right w:val="none" w:sz="0" w:space="0" w:color="auto"/>
                          </w:divBdr>
                        </w:div>
                      </w:divsChild>
                    </w:div>
                    <w:div w:id="229925760">
                      <w:marLeft w:val="0"/>
                      <w:marRight w:val="0"/>
                      <w:marTop w:val="0"/>
                      <w:marBottom w:val="0"/>
                      <w:divBdr>
                        <w:top w:val="none" w:sz="0" w:space="0" w:color="auto"/>
                        <w:left w:val="none" w:sz="0" w:space="0" w:color="auto"/>
                        <w:bottom w:val="none" w:sz="0" w:space="0" w:color="auto"/>
                        <w:right w:val="none" w:sz="0" w:space="0" w:color="auto"/>
                      </w:divBdr>
                      <w:divsChild>
                        <w:div w:id="1959409892">
                          <w:marLeft w:val="0"/>
                          <w:marRight w:val="0"/>
                          <w:marTop w:val="0"/>
                          <w:marBottom w:val="0"/>
                          <w:divBdr>
                            <w:top w:val="none" w:sz="0" w:space="0" w:color="auto"/>
                            <w:left w:val="none" w:sz="0" w:space="0" w:color="auto"/>
                            <w:bottom w:val="none" w:sz="0" w:space="0" w:color="auto"/>
                            <w:right w:val="none" w:sz="0" w:space="0" w:color="auto"/>
                          </w:divBdr>
                        </w:div>
                      </w:divsChild>
                    </w:div>
                    <w:div w:id="1240366992">
                      <w:marLeft w:val="0"/>
                      <w:marRight w:val="0"/>
                      <w:marTop w:val="0"/>
                      <w:marBottom w:val="0"/>
                      <w:divBdr>
                        <w:top w:val="none" w:sz="0" w:space="0" w:color="auto"/>
                        <w:left w:val="none" w:sz="0" w:space="0" w:color="auto"/>
                        <w:bottom w:val="none" w:sz="0" w:space="0" w:color="auto"/>
                        <w:right w:val="none" w:sz="0" w:space="0" w:color="auto"/>
                      </w:divBdr>
                      <w:divsChild>
                        <w:div w:id="1383482201">
                          <w:marLeft w:val="0"/>
                          <w:marRight w:val="0"/>
                          <w:marTop w:val="0"/>
                          <w:marBottom w:val="0"/>
                          <w:divBdr>
                            <w:top w:val="none" w:sz="0" w:space="0" w:color="auto"/>
                            <w:left w:val="none" w:sz="0" w:space="0" w:color="auto"/>
                            <w:bottom w:val="none" w:sz="0" w:space="0" w:color="auto"/>
                            <w:right w:val="none" w:sz="0" w:space="0" w:color="auto"/>
                          </w:divBdr>
                        </w:div>
                      </w:divsChild>
                    </w:div>
                    <w:div w:id="1152328948">
                      <w:marLeft w:val="0"/>
                      <w:marRight w:val="0"/>
                      <w:marTop w:val="0"/>
                      <w:marBottom w:val="0"/>
                      <w:divBdr>
                        <w:top w:val="none" w:sz="0" w:space="0" w:color="auto"/>
                        <w:left w:val="none" w:sz="0" w:space="0" w:color="auto"/>
                        <w:bottom w:val="none" w:sz="0" w:space="0" w:color="auto"/>
                        <w:right w:val="none" w:sz="0" w:space="0" w:color="auto"/>
                      </w:divBdr>
                      <w:divsChild>
                        <w:div w:id="1852793511">
                          <w:marLeft w:val="0"/>
                          <w:marRight w:val="0"/>
                          <w:marTop w:val="0"/>
                          <w:marBottom w:val="0"/>
                          <w:divBdr>
                            <w:top w:val="none" w:sz="0" w:space="0" w:color="auto"/>
                            <w:left w:val="none" w:sz="0" w:space="0" w:color="auto"/>
                            <w:bottom w:val="none" w:sz="0" w:space="0" w:color="auto"/>
                            <w:right w:val="none" w:sz="0" w:space="0" w:color="auto"/>
                          </w:divBdr>
                        </w:div>
                      </w:divsChild>
                    </w:div>
                    <w:div w:id="1537162594">
                      <w:marLeft w:val="0"/>
                      <w:marRight w:val="0"/>
                      <w:marTop w:val="0"/>
                      <w:marBottom w:val="0"/>
                      <w:divBdr>
                        <w:top w:val="none" w:sz="0" w:space="0" w:color="auto"/>
                        <w:left w:val="none" w:sz="0" w:space="0" w:color="auto"/>
                        <w:bottom w:val="none" w:sz="0" w:space="0" w:color="auto"/>
                        <w:right w:val="none" w:sz="0" w:space="0" w:color="auto"/>
                      </w:divBdr>
                      <w:divsChild>
                        <w:div w:id="1022901985">
                          <w:marLeft w:val="0"/>
                          <w:marRight w:val="0"/>
                          <w:marTop w:val="0"/>
                          <w:marBottom w:val="0"/>
                          <w:divBdr>
                            <w:top w:val="none" w:sz="0" w:space="0" w:color="auto"/>
                            <w:left w:val="none" w:sz="0" w:space="0" w:color="auto"/>
                            <w:bottom w:val="none" w:sz="0" w:space="0" w:color="auto"/>
                            <w:right w:val="none" w:sz="0" w:space="0" w:color="auto"/>
                          </w:divBdr>
                        </w:div>
                      </w:divsChild>
                    </w:div>
                    <w:div w:id="710960348">
                      <w:marLeft w:val="0"/>
                      <w:marRight w:val="0"/>
                      <w:marTop w:val="0"/>
                      <w:marBottom w:val="0"/>
                      <w:divBdr>
                        <w:top w:val="none" w:sz="0" w:space="0" w:color="auto"/>
                        <w:left w:val="none" w:sz="0" w:space="0" w:color="auto"/>
                        <w:bottom w:val="none" w:sz="0" w:space="0" w:color="auto"/>
                        <w:right w:val="none" w:sz="0" w:space="0" w:color="auto"/>
                      </w:divBdr>
                      <w:divsChild>
                        <w:div w:id="1719011133">
                          <w:marLeft w:val="0"/>
                          <w:marRight w:val="0"/>
                          <w:marTop w:val="0"/>
                          <w:marBottom w:val="0"/>
                          <w:divBdr>
                            <w:top w:val="none" w:sz="0" w:space="0" w:color="auto"/>
                            <w:left w:val="none" w:sz="0" w:space="0" w:color="auto"/>
                            <w:bottom w:val="none" w:sz="0" w:space="0" w:color="auto"/>
                            <w:right w:val="none" w:sz="0" w:space="0" w:color="auto"/>
                          </w:divBdr>
                        </w:div>
                      </w:divsChild>
                    </w:div>
                    <w:div w:id="1592010083">
                      <w:marLeft w:val="0"/>
                      <w:marRight w:val="0"/>
                      <w:marTop w:val="0"/>
                      <w:marBottom w:val="0"/>
                      <w:divBdr>
                        <w:top w:val="none" w:sz="0" w:space="0" w:color="auto"/>
                        <w:left w:val="none" w:sz="0" w:space="0" w:color="auto"/>
                        <w:bottom w:val="none" w:sz="0" w:space="0" w:color="auto"/>
                        <w:right w:val="none" w:sz="0" w:space="0" w:color="auto"/>
                      </w:divBdr>
                      <w:divsChild>
                        <w:div w:id="2089844160">
                          <w:marLeft w:val="0"/>
                          <w:marRight w:val="0"/>
                          <w:marTop w:val="0"/>
                          <w:marBottom w:val="0"/>
                          <w:divBdr>
                            <w:top w:val="none" w:sz="0" w:space="0" w:color="auto"/>
                            <w:left w:val="none" w:sz="0" w:space="0" w:color="auto"/>
                            <w:bottom w:val="none" w:sz="0" w:space="0" w:color="auto"/>
                            <w:right w:val="none" w:sz="0" w:space="0" w:color="auto"/>
                          </w:divBdr>
                        </w:div>
                      </w:divsChild>
                    </w:div>
                    <w:div w:id="1437289171">
                      <w:marLeft w:val="0"/>
                      <w:marRight w:val="0"/>
                      <w:marTop w:val="0"/>
                      <w:marBottom w:val="0"/>
                      <w:divBdr>
                        <w:top w:val="none" w:sz="0" w:space="0" w:color="auto"/>
                        <w:left w:val="none" w:sz="0" w:space="0" w:color="auto"/>
                        <w:bottom w:val="none" w:sz="0" w:space="0" w:color="auto"/>
                        <w:right w:val="none" w:sz="0" w:space="0" w:color="auto"/>
                      </w:divBdr>
                      <w:divsChild>
                        <w:div w:id="1243565037">
                          <w:marLeft w:val="0"/>
                          <w:marRight w:val="0"/>
                          <w:marTop w:val="0"/>
                          <w:marBottom w:val="0"/>
                          <w:divBdr>
                            <w:top w:val="none" w:sz="0" w:space="0" w:color="auto"/>
                            <w:left w:val="none" w:sz="0" w:space="0" w:color="auto"/>
                            <w:bottom w:val="none" w:sz="0" w:space="0" w:color="auto"/>
                            <w:right w:val="none" w:sz="0" w:space="0" w:color="auto"/>
                          </w:divBdr>
                        </w:div>
                      </w:divsChild>
                    </w:div>
                    <w:div w:id="1534999087">
                      <w:marLeft w:val="0"/>
                      <w:marRight w:val="0"/>
                      <w:marTop w:val="0"/>
                      <w:marBottom w:val="0"/>
                      <w:divBdr>
                        <w:top w:val="none" w:sz="0" w:space="0" w:color="auto"/>
                        <w:left w:val="none" w:sz="0" w:space="0" w:color="auto"/>
                        <w:bottom w:val="none" w:sz="0" w:space="0" w:color="auto"/>
                        <w:right w:val="none" w:sz="0" w:space="0" w:color="auto"/>
                      </w:divBdr>
                      <w:divsChild>
                        <w:div w:id="802430720">
                          <w:marLeft w:val="0"/>
                          <w:marRight w:val="0"/>
                          <w:marTop w:val="0"/>
                          <w:marBottom w:val="0"/>
                          <w:divBdr>
                            <w:top w:val="none" w:sz="0" w:space="0" w:color="auto"/>
                            <w:left w:val="none" w:sz="0" w:space="0" w:color="auto"/>
                            <w:bottom w:val="none" w:sz="0" w:space="0" w:color="auto"/>
                            <w:right w:val="none" w:sz="0" w:space="0" w:color="auto"/>
                          </w:divBdr>
                        </w:div>
                      </w:divsChild>
                    </w:div>
                    <w:div w:id="167016924">
                      <w:marLeft w:val="0"/>
                      <w:marRight w:val="0"/>
                      <w:marTop w:val="0"/>
                      <w:marBottom w:val="0"/>
                      <w:divBdr>
                        <w:top w:val="none" w:sz="0" w:space="0" w:color="auto"/>
                        <w:left w:val="none" w:sz="0" w:space="0" w:color="auto"/>
                        <w:bottom w:val="none" w:sz="0" w:space="0" w:color="auto"/>
                        <w:right w:val="none" w:sz="0" w:space="0" w:color="auto"/>
                      </w:divBdr>
                      <w:divsChild>
                        <w:div w:id="1217667368">
                          <w:marLeft w:val="0"/>
                          <w:marRight w:val="0"/>
                          <w:marTop w:val="0"/>
                          <w:marBottom w:val="0"/>
                          <w:divBdr>
                            <w:top w:val="none" w:sz="0" w:space="0" w:color="auto"/>
                            <w:left w:val="none" w:sz="0" w:space="0" w:color="auto"/>
                            <w:bottom w:val="none" w:sz="0" w:space="0" w:color="auto"/>
                            <w:right w:val="none" w:sz="0" w:space="0" w:color="auto"/>
                          </w:divBdr>
                        </w:div>
                      </w:divsChild>
                    </w:div>
                    <w:div w:id="1227498809">
                      <w:marLeft w:val="0"/>
                      <w:marRight w:val="0"/>
                      <w:marTop w:val="0"/>
                      <w:marBottom w:val="0"/>
                      <w:divBdr>
                        <w:top w:val="none" w:sz="0" w:space="0" w:color="auto"/>
                        <w:left w:val="none" w:sz="0" w:space="0" w:color="auto"/>
                        <w:bottom w:val="none" w:sz="0" w:space="0" w:color="auto"/>
                        <w:right w:val="none" w:sz="0" w:space="0" w:color="auto"/>
                      </w:divBdr>
                      <w:divsChild>
                        <w:div w:id="274212735">
                          <w:marLeft w:val="0"/>
                          <w:marRight w:val="0"/>
                          <w:marTop w:val="0"/>
                          <w:marBottom w:val="0"/>
                          <w:divBdr>
                            <w:top w:val="none" w:sz="0" w:space="0" w:color="auto"/>
                            <w:left w:val="none" w:sz="0" w:space="0" w:color="auto"/>
                            <w:bottom w:val="none" w:sz="0" w:space="0" w:color="auto"/>
                            <w:right w:val="none" w:sz="0" w:space="0" w:color="auto"/>
                          </w:divBdr>
                        </w:div>
                      </w:divsChild>
                    </w:div>
                    <w:div w:id="1935551207">
                      <w:marLeft w:val="0"/>
                      <w:marRight w:val="0"/>
                      <w:marTop w:val="0"/>
                      <w:marBottom w:val="0"/>
                      <w:divBdr>
                        <w:top w:val="none" w:sz="0" w:space="0" w:color="auto"/>
                        <w:left w:val="none" w:sz="0" w:space="0" w:color="auto"/>
                        <w:bottom w:val="none" w:sz="0" w:space="0" w:color="auto"/>
                        <w:right w:val="none" w:sz="0" w:space="0" w:color="auto"/>
                      </w:divBdr>
                      <w:divsChild>
                        <w:div w:id="228809430">
                          <w:marLeft w:val="0"/>
                          <w:marRight w:val="0"/>
                          <w:marTop w:val="0"/>
                          <w:marBottom w:val="0"/>
                          <w:divBdr>
                            <w:top w:val="none" w:sz="0" w:space="0" w:color="auto"/>
                            <w:left w:val="none" w:sz="0" w:space="0" w:color="auto"/>
                            <w:bottom w:val="none" w:sz="0" w:space="0" w:color="auto"/>
                            <w:right w:val="none" w:sz="0" w:space="0" w:color="auto"/>
                          </w:divBdr>
                        </w:div>
                      </w:divsChild>
                    </w:div>
                    <w:div w:id="1943104620">
                      <w:marLeft w:val="0"/>
                      <w:marRight w:val="0"/>
                      <w:marTop w:val="0"/>
                      <w:marBottom w:val="0"/>
                      <w:divBdr>
                        <w:top w:val="none" w:sz="0" w:space="0" w:color="auto"/>
                        <w:left w:val="none" w:sz="0" w:space="0" w:color="auto"/>
                        <w:bottom w:val="none" w:sz="0" w:space="0" w:color="auto"/>
                        <w:right w:val="none" w:sz="0" w:space="0" w:color="auto"/>
                      </w:divBdr>
                      <w:divsChild>
                        <w:div w:id="5255962">
                          <w:marLeft w:val="0"/>
                          <w:marRight w:val="0"/>
                          <w:marTop w:val="0"/>
                          <w:marBottom w:val="0"/>
                          <w:divBdr>
                            <w:top w:val="none" w:sz="0" w:space="0" w:color="auto"/>
                            <w:left w:val="none" w:sz="0" w:space="0" w:color="auto"/>
                            <w:bottom w:val="none" w:sz="0" w:space="0" w:color="auto"/>
                            <w:right w:val="none" w:sz="0" w:space="0" w:color="auto"/>
                          </w:divBdr>
                        </w:div>
                      </w:divsChild>
                    </w:div>
                    <w:div w:id="149097289">
                      <w:marLeft w:val="0"/>
                      <w:marRight w:val="0"/>
                      <w:marTop w:val="0"/>
                      <w:marBottom w:val="0"/>
                      <w:divBdr>
                        <w:top w:val="none" w:sz="0" w:space="0" w:color="auto"/>
                        <w:left w:val="none" w:sz="0" w:space="0" w:color="auto"/>
                        <w:bottom w:val="none" w:sz="0" w:space="0" w:color="auto"/>
                        <w:right w:val="none" w:sz="0" w:space="0" w:color="auto"/>
                      </w:divBdr>
                      <w:divsChild>
                        <w:div w:id="552036516">
                          <w:marLeft w:val="0"/>
                          <w:marRight w:val="0"/>
                          <w:marTop w:val="0"/>
                          <w:marBottom w:val="0"/>
                          <w:divBdr>
                            <w:top w:val="none" w:sz="0" w:space="0" w:color="auto"/>
                            <w:left w:val="none" w:sz="0" w:space="0" w:color="auto"/>
                            <w:bottom w:val="none" w:sz="0" w:space="0" w:color="auto"/>
                            <w:right w:val="none" w:sz="0" w:space="0" w:color="auto"/>
                          </w:divBdr>
                        </w:div>
                      </w:divsChild>
                    </w:div>
                    <w:div w:id="191116337">
                      <w:marLeft w:val="0"/>
                      <w:marRight w:val="0"/>
                      <w:marTop w:val="0"/>
                      <w:marBottom w:val="0"/>
                      <w:divBdr>
                        <w:top w:val="none" w:sz="0" w:space="0" w:color="auto"/>
                        <w:left w:val="none" w:sz="0" w:space="0" w:color="auto"/>
                        <w:bottom w:val="none" w:sz="0" w:space="0" w:color="auto"/>
                        <w:right w:val="none" w:sz="0" w:space="0" w:color="auto"/>
                      </w:divBdr>
                      <w:divsChild>
                        <w:div w:id="26874608">
                          <w:marLeft w:val="0"/>
                          <w:marRight w:val="0"/>
                          <w:marTop w:val="0"/>
                          <w:marBottom w:val="0"/>
                          <w:divBdr>
                            <w:top w:val="none" w:sz="0" w:space="0" w:color="auto"/>
                            <w:left w:val="none" w:sz="0" w:space="0" w:color="auto"/>
                            <w:bottom w:val="none" w:sz="0" w:space="0" w:color="auto"/>
                            <w:right w:val="none" w:sz="0" w:space="0" w:color="auto"/>
                          </w:divBdr>
                        </w:div>
                      </w:divsChild>
                    </w:div>
                    <w:div w:id="624965652">
                      <w:marLeft w:val="0"/>
                      <w:marRight w:val="0"/>
                      <w:marTop w:val="0"/>
                      <w:marBottom w:val="0"/>
                      <w:divBdr>
                        <w:top w:val="none" w:sz="0" w:space="0" w:color="auto"/>
                        <w:left w:val="none" w:sz="0" w:space="0" w:color="auto"/>
                        <w:bottom w:val="none" w:sz="0" w:space="0" w:color="auto"/>
                        <w:right w:val="none" w:sz="0" w:space="0" w:color="auto"/>
                      </w:divBdr>
                      <w:divsChild>
                        <w:div w:id="1237859790">
                          <w:marLeft w:val="0"/>
                          <w:marRight w:val="0"/>
                          <w:marTop w:val="0"/>
                          <w:marBottom w:val="0"/>
                          <w:divBdr>
                            <w:top w:val="none" w:sz="0" w:space="0" w:color="auto"/>
                            <w:left w:val="none" w:sz="0" w:space="0" w:color="auto"/>
                            <w:bottom w:val="none" w:sz="0" w:space="0" w:color="auto"/>
                            <w:right w:val="none" w:sz="0" w:space="0" w:color="auto"/>
                          </w:divBdr>
                        </w:div>
                      </w:divsChild>
                    </w:div>
                    <w:div w:id="587927790">
                      <w:marLeft w:val="0"/>
                      <w:marRight w:val="0"/>
                      <w:marTop w:val="0"/>
                      <w:marBottom w:val="0"/>
                      <w:divBdr>
                        <w:top w:val="none" w:sz="0" w:space="0" w:color="auto"/>
                        <w:left w:val="none" w:sz="0" w:space="0" w:color="auto"/>
                        <w:bottom w:val="none" w:sz="0" w:space="0" w:color="auto"/>
                        <w:right w:val="none" w:sz="0" w:space="0" w:color="auto"/>
                      </w:divBdr>
                      <w:divsChild>
                        <w:div w:id="1966696076">
                          <w:marLeft w:val="0"/>
                          <w:marRight w:val="0"/>
                          <w:marTop w:val="0"/>
                          <w:marBottom w:val="0"/>
                          <w:divBdr>
                            <w:top w:val="none" w:sz="0" w:space="0" w:color="auto"/>
                            <w:left w:val="none" w:sz="0" w:space="0" w:color="auto"/>
                            <w:bottom w:val="none" w:sz="0" w:space="0" w:color="auto"/>
                            <w:right w:val="none" w:sz="0" w:space="0" w:color="auto"/>
                          </w:divBdr>
                        </w:div>
                      </w:divsChild>
                    </w:div>
                    <w:div w:id="2110880857">
                      <w:marLeft w:val="0"/>
                      <w:marRight w:val="0"/>
                      <w:marTop w:val="0"/>
                      <w:marBottom w:val="0"/>
                      <w:divBdr>
                        <w:top w:val="none" w:sz="0" w:space="0" w:color="auto"/>
                        <w:left w:val="none" w:sz="0" w:space="0" w:color="auto"/>
                        <w:bottom w:val="none" w:sz="0" w:space="0" w:color="auto"/>
                        <w:right w:val="none" w:sz="0" w:space="0" w:color="auto"/>
                      </w:divBdr>
                      <w:divsChild>
                        <w:div w:id="144931064">
                          <w:marLeft w:val="0"/>
                          <w:marRight w:val="0"/>
                          <w:marTop w:val="0"/>
                          <w:marBottom w:val="0"/>
                          <w:divBdr>
                            <w:top w:val="none" w:sz="0" w:space="0" w:color="auto"/>
                            <w:left w:val="none" w:sz="0" w:space="0" w:color="auto"/>
                            <w:bottom w:val="none" w:sz="0" w:space="0" w:color="auto"/>
                            <w:right w:val="none" w:sz="0" w:space="0" w:color="auto"/>
                          </w:divBdr>
                        </w:div>
                      </w:divsChild>
                    </w:div>
                    <w:div w:id="1716929991">
                      <w:marLeft w:val="0"/>
                      <w:marRight w:val="0"/>
                      <w:marTop w:val="0"/>
                      <w:marBottom w:val="0"/>
                      <w:divBdr>
                        <w:top w:val="none" w:sz="0" w:space="0" w:color="auto"/>
                        <w:left w:val="none" w:sz="0" w:space="0" w:color="auto"/>
                        <w:bottom w:val="none" w:sz="0" w:space="0" w:color="auto"/>
                        <w:right w:val="none" w:sz="0" w:space="0" w:color="auto"/>
                      </w:divBdr>
                      <w:divsChild>
                        <w:div w:id="60300056">
                          <w:marLeft w:val="0"/>
                          <w:marRight w:val="0"/>
                          <w:marTop w:val="0"/>
                          <w:marBottom w:val="0"/>
                          <w:divBdr>
                            <w:top w:val="none" w:sz="0" w:space="0" w:color="auto"/>
                            <w:left w:val="none" w:sz="0" w:space="0" w:color="auto"/>
                            <w:bottom w:val="none" w:sz="0" w:space="0" w:color="auto"/>
                            <w:right w:val="none" w:sz="0" w:space="0" w:color="auto"/>
                          </w:divBdr>
                        </w:div>
                      </w:divsChild>
                    </w:div>
                    <w:div w:id="599876778">
                      <w:marLeft w:val="0"/>
                      <w:marRight w:val="0"/>
                      <w:marTop w:val="0"/>
                      <w:marBottom w:val="0"/>
                      <w:divBdr>
                        <w:top w:val="none" w:sz="0" w:space="0" w:color="auto"/>
                        <w:left w:val="none" w:sz="0" w:space="0" w:color="auto"/>
                        <w:bottom w:val="none" w:sz="0" w:space="0" w:color="auto"/>
                        <w:right w:val="none" w:sz="0" w:space="0" w:color="auto"/>
                      </w:divBdr>
                      <w:divsChild>
                        <w:div w:id="82606349">
                          <w:marLeft w:val="0"/>
                          <w:marRight w:val="0"/>
                          <w:marTop w:val="0"/>
                          <w:marBottom w:val="0"/>
                          <w:divBdr>
                            <w:top w:val="none" w:sz="0" w:space="0" w:color="auto"/>
                            <w:left w:val="none" w:sz="0" w:space="0" w:color="auto"/>
                            <w:bottom w:val="none" w:sz="0" w:space="0" w:color="auto"/>
                            <w:right w:val="none" w:sz="0" w:space="0" w:color="auto"/>
                          </w:divBdr>
                        </w:div>
                      </w:divsChild>
                    </w:div>
                    <w:div w:id="1102410728">
                      <w:marLeft w:val="0"/>
                      <w:marRight w:val="0"/>
                      <w:marTop w:val="0"/>
                      <w:marBottom w:val="0"/>
                      <w:divBdr>
                        <w:top w:val="none" w:sz="0" w:space="0" w:color="auto"/>
                        <w:left w:val="none" w:sz="0" w:space="0" w:color="auto"/>
                        <w:bottom w:val="none" w:sz="0" w:space="0" w:color="auto"/>
                        <w:right w:val="none" w:sz="0" w:space="0" w:color="auto"/>
                      </w:divBdr>
                      <w:divsChild>
                        <w:div w:id="2033649209">
                          <w:marLeft w:val="0"/>
                          <w:marRight w:val="0"/>
                          <w:marTop w:val="0"/>
                          <w:marBottom w:val="0"/>
                          <w:divBdr>
                            <w:top w:val="none" w:sz="0" w:space="0" w:color="auto"/>
                            <w:left w:val="none" w:sz="0" w:space="0" w:color="auto"/>
                            <w:bottom w:val="none" w:sz="0" w:space="0" w:color="auto"/>
                            <w:right w:val="none" w:sz="0" w:space="0" w:color="auto"/>
                          </w:divBdr>
                        </w:div>
                      </w:divsChild>
                    </w:div>
                    <w:div w:id="440809226">
                      <w:marLeft w:val="0"/>
                      <w:marRight w:val="0"/>
                      <w:marTop w:val="0"/>
                      <w:marBottom w:val="0"/>
                      <w:divBdr>
                        <w:top w:val="none" w:sz="0" w:space="0" w:color="auto"/>
                        <w:left w:val="none" w:sz="0" w:space="0" w:color="auto"/>
                        <w:bottom w:val="none" w:sz="0" w:space="0" w:color="auto"/>
                        <w:right w:val="none" w:sz="0" w:space="0" w:color="auto"/>
                      </w:divBdr>
                      <w:divsChild>
                        <w:div w:id="915242657">
                          <w:marLeft w:val="0"/>
                          <w:marRight w:val="0"/>
                          <w:marTop w:val="0"/>
                          <w:marBottom w:val="0"/>
                          <w:divBdr>
                            <w:top w:val="none" w:sz="0" w:space="0" w:color="auto"/>
                            <w:left w:val="none" w:sz="0" w:space="0" w:color="auto"/>
                            <w:bottom w:val="none" w:sz="0" w:space="0" w:color="auto"/>
                            <w:right w:val="none" w:sz="0" w:space="0" w:color="auto"/>
                          </w:divBdr>
                        </w:div>
                      </w:divsChild>
                    </w:div>
                    <w:div w:id="1467312034">
                      <w:marLeft w:val="0"/>
                      <w:marRight w:val="0"/>
                      <w:marTop w:val="0"/>
                      <w:marBottom w:val="0"/>
                      <w:divBdr>
                        <w:top w:val="none" w:sz="0" w:space="0" w:color="auto"/>
                        <w:left w:val="none" w:sz="0" w:space="0" w:color="auto"/>
                        <w:bottom w:val="none" w:sz="0" w:space="0" w:color="auto"/>
                        <w:right w:val="none" w:sz="0" w:space="0" w:color="auto"/>
                      </w:divBdr>
                      <w:divsChild>
                        <w:div w:id="190921764">
                          <w:marLeft w:val="0"/>
                          <w:marRight w:val="0"/>
                          <w:marTop w:val="0"/>
                          <w:marBottom w:val="0"/>
                          <w:divBdr>
                            <w:top w:val="none" w:sz="0" w:space="0" w:color="auto"/>
                            <w:left w:val="none" w:sz="0" w:space="0" w:color="auto"/>
                            <w:bottom w:val="none" w:sz="0" w:space="0" w:color="auto"/>
                            <w:right w:val="none" w:sz="0" w:space="0" w:color="auto"/>
                          </w:divBdr>
                        </w:div>
                      </w:divsChild>
                    </w:div>
                    <w:div w:id="1120995862">
                      <w:marLeft w:val="0"/>
                      <w:marRight w:val="0"/>
                      <w:marTop w:val="0"/>
                      <w:marBottom w:val="0"/>
                      <w:divBdr>
                        <w:top w:val="none" w:sz="0" w:space="0" w:color="auto"/>
                        <w:left w:val="none" w:sz="0" w:space="0" w:color="auto"/>
                        <w:bottom w:val="none" w:sz="0" w:space="0" w:color="auto"/>
                        <w:right w:val="none" w:sz="0" w:space="0" w:color="auto"/>
                      </w:divBdr>
                      <w:divsChild>
                        <w:div w:id="1774934938">
                          <w:marLeft w:val="0"/>
                          <w:marRight w:val="0"/>
                          <w:marTop w:val="0"/>
                          <w:marBottom w:val="0"/>
                          <w:divBdr>
                            <w:top w:val="none" w:sz="0" w:space="0" w:color="auto"/>
                            <w:left w:val="none" w:sz="0" w:space="0" w:color="auto"/>
                            <w:bottom w:val="none" w:sz="0" w:space="0" w:color="auto"/>
                            <w:right w:val="none" w:sz="0" w:space="0" w:color="auto"/>
                          </w:divBdr>
                        </w:div>
                      </w:divsChild>
                    </w:div>
                    <w:div w:id="70155379">
                      <w:marLeft w:val="0"/>
                      <w:marRight w:val="0"/>
                      <w:marTop w:val="0"/>
                      <w:marBottom w:val="0"/>
                      <w:divBdr>
                        <w:top w:val="none" w:sz="0" w:space="0" w:color="auto"/>
                        <w:left w:val="none" w:sz="0" w:space="0" w:color="auto"/>
                        <w:bottom w:val="none" w:sz="0" w:space="0" w:color="auto"/>
                        <w:right w:val="none" w:sz="0" w:space="0" w:color="auto"/>
                      </w:divBdr>
                      <w:divsChild>
                        <w:div w:id="171067213">
                          <w:marLeft w:val="0"/>
                          <w:marRight w:val="0"/>
                          <w:marTop w:val="0"/>
                          <w:marBottom w:val="0"/>
                          <w:divBdr>
                            <w:top w:val="none" w:sz="0" w:space="0" w:color="auto"/>
                            <w:left w:val="none" w:sz="0" w:space="0" w:color="auto"/>
                            <w:bottom w:val="none" w:sz="0" w:space="0" w:color="auto"/>
                            <w:right w:val="none" w:sz="0" w:space="0" w:color="auto"/>
                          </w:divBdr>
                        </w:div>
                      </w:divsChild>
                    </w:div>
                    <w:div w:id="172889633">
                      <w:marLeft w:val="0"/>
                      <w:marRight w:val="0"/>
                      <w:marTop w:val="0"/>
                      <w:marBottom w:val="0"/>
                      <w:divBdr>
                        <w:top w:val="none" w:sz="0" w:space="0" w:color="auto"/>
                        <w:left w:val="none" w:sz="0" w:space="0" w:color="auto"/>
                        <w:bottom w:val="none" w:sz="0" w:space="0" w:color="auto"/>
                        <w:right w:val="none" w:sz="0" w:space="0" w:color="auto"/>
                      </w:divBdr>
                      <w:divsChild>
                        <w:div w:id="1954750973">
                          <w:marLeft w:val="0"/>
                          <w:marRight w:val="0"/>
                          <w:marTop w:val="0"/>
                          <w:marBottom w:val="0"/>
                          <w:divBdr>
                            <w:top w:val="none" w:sz="0" w:space="0" w:color="auto"/>
                            <w:left w:val="none" w:sz="0" w:space="0" w:color="auto"/>
                            <w:bottom w:val="none" w:sz="0" w:space="0" w:color="auto"/>
                            <w:right w:val="none" w:sz="0" w:space="0" w:color="auto"/>
                          </w:divBdr>
                        </w:div>
                      </w:divsChild>
                    </w:div>
                    <w:div w:id="1524903115">
                      <w:marLeft w:val="0"/>
                      <w:marRight w:val="0"/>
                      <w:marTop w:val="0"/>
                      <w:marBottom w:val="0"/>
                      <w:divBdr>
                        <w:top w:val="none" w:sz="0" w:space="0" w:color="auto"/>
                        <w:left w:val="none" w:sz="0" w:space="0" w:color="auto"/>
                        <w:bottom w:val="none" w:sz="0" w:space="0" w:color="auto"/>
                        <w:right w:val="none" w:sz="0" w:space="0" w:color="auto"/>
                      </w:divBdr>
                      <w:divsChild>
                        <w:div w:id="2045518489">
                          <w:marLeft w:val="0"/>
                          <w:marRight w:val="0"/>
                          <w:marTop w:val="0"/>
                          <w:marBottom w:val="0"/>
                          <w:divBdr>
                            <w:top w:val="none" w:sz="0" w:space="0" w:color="auto"/>
                            <w:left w:val="none" w:sz="0" w:space="0" w:color="auto"/>
                            <w:bottom w:val="none" w:sz="0" w:space="0" w:color="auto"/>
                            <w:right w:val="none" w:sz="0" w:space="0" w:color="auto"/>
                          </w:divBdr>
                        </w:div>
                      </w:divsChild>
                    </w:div>
                    <w:div w:id="486629620">
                      <w:marLeft w:val="0"/>
                      <w:marRight w:val="0"/>
                      <w:marTop w:val="0"/>
                      <w:marBottom w:val="0"/>
                      <w:divBdr>
                        <w:top w:val="none" w:sz="0" w:space="0" w:color="auto"/>
                        <w:left w:val="none" w:sz="0" w:space="0" w:color="auto"/>
                        <w:bottom w:val="none" w:sz="0" w:space="0" w:color="auto"/>
                        <w:right w:val="none" w:sz="0" w:space="0" w:color="auto"/>
                      </w:divBdr>
                      <w:divsChild>
                        <w:div w:id="146632239">
                          <w:marLeft w:val="0"/>
                          <w:marRight w:val="0"/>
                          <w:marTop w:val="0"/>
                          <w:marBottom w:val="0"/>
                          <w:divBdr>
                            <w:top w:val="none" w:sz="0" w:space="0" w:color="auto"/>
                            <w:left w:val="none" w:sz="0" w:space="0" w:color="auto"/>
                            <w:bottom w:val="none" w:sz="0" w:space="0" w:color="auto"/>
                            <w:right w:val="none" w:sz="0" w:space="0" w:color="auto"/>
                          </w:divBdr>
                        </w:div>
                      </w:divsChild>
                    </w:div>
                    <w:div w:id="1202785199">
                      <w:marLeft w:val="0"/>
                      <w:marRight w:val="0"/>
                      <w:marTop w:val="0"/>
                      <w:marBottom w:val="0"/>
                      <w:divBdr>
                        <w:top w:val="none" w:sz="0" w:space="0" w:color="auto"/>
                        <w:left w:val="none" w:sz="0" w:space="0" w:color="auto"/>
                        <w:bottom w:val="none" w:sz="0" w:space="0" w:color="auto"/>
                        <w:right w:val="none" w:sz="0" w:space="0" w:color="auto"/>
                      </w:divBdr>
                      <w:divsChild>
                        <w:div w:id="678888643">
                          <w:marLeft w:val="0"/>
                          <w:marRight w:val="0"/>
                          <w:marTop w:val="0"/>
                          <w:marBottom w:val="0"/>
                          <w:divBdr>
                            <w:top w:val="none" w:sz="0" w:space="0" w:color="auto"/>
                            <w:left w:val="none" w:sz="0" w:space="0" w:color="auto"/>
                            <w:bottom w:val="none" w:sz="0" w:space="0" w:color="auto"/>
                            <w:right w:val="none" w:sz="0" w:space="0" w:color="auto"/>
                          </w:divBdr>
                        </w:div>
                      </w:divsChild>
                    </w:div>
                    <w:div w:id="783765553">
                      <w:marLeft w:val="0"/>
                      <w:marRight w:val="0"/>
                      <w:marTop w:val="0"/>
                      <w:marBottom w:val="0"/>
                      <w:divBdr>
                        <w:top w:val="none" w:sz="0" w:space="0" w:color="auto"/>
                        <w:left w:val="none" w:sz="0" w:space="0" w:color="auto"/>
                        <w:bottom w:val="none" w:sz="0" w:space="0" w:color="auto"/>
                        <w:right w:val="none" w:sz="0" w:space="0" w:color="auto"/>
                      </w:divBdr>
                      <w:divsChild>
                        <w:div w:id="1148127214">
                          <w:marLeft w:val="0"/>
                          <w:marRight w:val="0"/>
                          <w:marTop w:val="0"/>
                          <w:marBottom w:val="0"/>
                          <w:divBdr>
                            <w:top w:val="none" w:sz="0" w:space="0" w:color="auto"/>
                            <w:left w:val="none" w:sz="0" w:space="0" w:color="auto"/>
                            <w:bottom w:val="none" w:sz="0" w:space="0" w:color="auto"/>
                            <w:right w:val="none" w:sz="0" w:space="0" w:color="auto"/>
                          </w:divBdr>
                        </w:div>
                      </w:divsChild>
                    </w:div>
                    <w:div w:id="258224135">
                      <w:marLeft w:val="0"/>
                      <w:marRight w:val="0"/>
                      <w:marTop w:val="0"/>
                      <w:marBottom w:val="0"/>
                      <w:divBdr>
                        <w:top w:val="none" w:sz="0" w:space="0" w:color="auto"/>
                        <w:left w:val="none" w:sz="0" w:space="0" w:color="auto"/>
                        <w:bottom w:val="none" w:sz="0" w:space="0" w:color="auto"/>
                        <w:right w:val="none" w:sz="0" w:space="0" w:color="auto"/>
                      </w:divBdr>
                      <w:divsChild>
                        <w:div w:id="21980638">
                          <w:marLeft w:val="0"/>
                          <w:marRight w:val="0"/>
                          <w:marTop w:val="0"/>
                          <w:marBottom w:val="0"/>
                          <w:divBdr>
                            <w:top w:val="none" w:sz="0" w:space="0" w:color="auto"/>
                            <w:left w:val="none" w:sz="0" w:space="0" w:color="auto"/>
                            <w:bottom w:val="none" w:sz="0" w:space="0" w:color="auto"/>
                            <w:right w:val="none" w:sz="0" w:space="0" w:color="auto"/>
                          </w:divBdr>
                        </w:div>
                      </w:divsChild>
                    </w:div>
                    <w:div w:id="1332953693">
                      <w:marLeft w:val="0"/>
                      <w:marRight w:val="0"/>
                      <w:marTop w:val="0"/>
                      <w:marBottom w:val="0"/>
                      <w:divBdr>
                        <w:top w:val="none" w:sz="0" w:space="0" w:color="auto"/>
                        <w:left w:val="none" w:sz="0" w:space="0" w:color="auto"/>
                        <w:bottom w:val="none" w:sz="0" w:space="0" w:color="auto"/>
                        <w:right w:val="none" w:sz="0" w:space="0" w:color="auto"/>
                      </w:divBdr>
                      <w:divsChild>
                        <w:div w:id="104469030">
                          <w:marLeft w:val="0"/>
                          <w:marRight w:val="0"/>
                          <w:marTop w:val="0"/>
                          <w:marBottom w:val="0"/>
                          <w:divBdr>
                            <w:top w:val="none" w:sz="0" w:space="0" w:color="auto"/>
                            <w:left w:val="none" w:sz="0" w:space="0" w:color="auto"/>
                            <w:bottom w:val="none" w:sz="0" w:space="0" w:color="auto"/>
                            <w:right w:val="none" w:sz="0" w:space="0" w:color="auto"/>
                          </w:divBdr>
                        </w:div>
                      </w:divsChild>
                    </w:div>
                    <w:div w:id="2096169585">
                      <w:marLeft w:val="0"/>
                      <w:marRight w:val="0"/>
                      <w:marTop w:val="0"/>
                      <w:marBottom w:val="0"/>
                      <w:divBdr>
                        <w:top w:val="none" w:sz="0" w:space="0" w:color="auto"/>
                        <w:left w:val="none" w:sz="0" w:space="0" w:color="auto"/>
                        <w:bottom w:val="none" w:sz="0" w:space="0" w:color="auto"/>
                        <w:right w:val="none" w:sz="0" w:space="0" w:color="auto"/>
                      </w:divBdr>
                      <w:divsChild>
                        <w:div w:id="2103989007">
                          <w:marLeft w:val="0"/>
                          <w:marRight w:val="0"/>
                          <w:marTop w:val="0"/>
                          <w:marBottom w:val="0"/>
                          <w:divBdr>
                            <w:top w:val="none" w:sz="0" w:space="0" w:color="auto"/>
                            <w:left w:val="none" w:sz="0" w:space="0" w:color="auto"/>
                            <w:bottom w:val="none" w:sz="0" w:space="0" w:color="auto"/>
                            <w:right w:val="none" w:sz="0" w:space="0" w:color="auto"/>
                          </w:divBdr>
                        </w:div>
                      </w:divsChild>
                    </w:div>
                    <w:div w:id="1671369632">
                      <w:marLeft w:val="0"/>
                      <w:marRight w:val="0"/>
                      <w:marTop w:val="0"/>
                      <w:marBottom w:val="0"/>
                      <w:divBdr>
                        <w:top w:val="none" w:sz="0" w:space="0" w:color="auto"/>
                        <w:left w:val="none" w:sz="0" w:space="0" w:color="auto"/>
                        <w:bottom w:val="none" w:sz="0" w:space="0" w:color="auto"/>
                        <w:right w:val="none" w:sz="0" w:space="0" w:color="auto"/>
                      </w:divBdr>
                      <w:divsChild>
                        <w:div w:id="863984198">
                          <w:marLeft w:val="0"/>
                          <w:marRight w:val="0"/>
                          <w:marTop w:val="0"/>
                          <w:marBottom w:val="0"/>
                          <w:divBdr>
                            <w:top w:val="none" w:sz="0" w:space="0" w:color="auto"/>
                            <w:left w:val="none" w:sz="0" w:space="0" w:color="auto"/>
                            <w:bottom w:val="none" w:sz="0" w:space="0" w:color="auto"/>
                            <w:right w:val="none" w:sz="0" w:space="0" w:color="auto"/>
                          </w:divBdr>
                        </w:div>
                      </w:divsChild>
                    </w:div>
                    <w:div w:id="1030646833">
                      <w:marLeft w:val="0"/>
                      <w:marRight w:val="0"/>
                      <w:marTop w:val="0"/>
                      <w:marBottom w:val="0"/>
                      <w:divBdr>
                        <w:top w:val="none" w:sz="0" w:space="0" w:color="auto"/>
                        <w:left w:val="none" w:sz="0" w:space="0" w:color="auto"/>
                        <w:bottom w:val="none" w:sz="0" w:space="0" w:color="auto"/>
                        <w:right w:val="none" w:sz="0" w:space="0" w:color="auto"/>
                      </w:divBdr>
                      <w:divsChild>
                        <w:div w:id="1710572016">
                          <w:marLeft w:val="0"/>
                          <w:marRight w:val="0"/>
                          <w:marTop w:val="0"/>
                          <w:marBottom w:val="0"/>
                          <w:divBdr>
                            <w:top w:val="none" w:sz="0" w:space="0" w:color="auto"/>
                            <w:left w:val="none" w:sz="0" w:space="0" w:color="auto"/>
                            <w:bottom w:val="none" w:sz="0" w:space="0" w:color="auto"/>
                            <w:right w:val="none" w:sz="0" w:space="0" w:color="auto"/>
                          </w:divBdr>
                        </w:div>
                      </w:divsChild>
                    </w:div>
                    <w:div w:id="170069164">
                      <w:marLeft w:val="0"/>
                      <w:marRight w:val="0"/>
                      <w:marTop w:val="0"/>
                      <w:marBottom w:val="0"/>
                      <w:divBdr>
                        <w:top w:val="none" w:sz="0" w:space="0" w:color="auto"/>
                        <w:left w:val="none" w:sz="0" w:space="0" w:color="auto"/>
                        <w:bottom w:val="none" w:sz="0" w:space="0" w:color="auto"/>
                        <w:right w:val="none" w:sz="0" w:space="0" w:color="auto"/>
                      </w:divBdr>
                      <w:divsChild>
                        <w:div w:id="759791235">
                          <w:marLeft w:val="0"/>
                          <w:marRight w:val="0"/>
                          <w:marTop w:val="0"/>
                          <w:marBottom w:val="0"/>
                          <w:divBdr>
                            <w:top w:val="none" w:sz="0" w:space="0" w:color="auto"/>
                            <w:left w:val="none" w:sz="0" w:space="0" w:color="auto"/>
                            <w:bottom w:val="none" w:sz="0" w:space="0" w:color="auto"/>
                            <w:right w:val="none" w:sz="0" w:space="0" w:color="auto"/>
                          </w:divBdr>
                        </w:div>
                      </w:divsChild>
                    </w:div>
                    <w:div w:id="1224608723">
                      <w:marLeft w:val="0"/>
                      <w:marRight w:val="0"/>
                      <w:marTop w:val="0"/>
                      <w:marBottom w:val="0"/>
                      <w:divBdr>
                        <w:top w:val="none" w:sz="0" w:space="0" w:color="auto"/>
                        <w:left w:val="none" w:sz="0" w:space="0" w:color="auto"/>
                        <w:bottom w:val="none" w:sz="0" w:space="0" w:color="auto"/>
                        <w:right w:val="none" w:sz="0" w:space="0" w:color="auto"/>
                      </w:divBdr>
                      <w:divsChild>
                        <w:div w:id="899053475">
                          <w:marLeft w:val="0"/>
                          <w:marRight w:val="0"/>
                          <w:marTop w:val="0"/>
                          <w:marBottom w:val="0"/>
                          <w:divBdr>
                            <w:top w:val="none" w:sz="0" w:space="0" w:color="auto"/>
                            <w:left w:val="none" w:sz="0" w:space="0" w:color="auto"/>
                            <w:bottom w:val="none" w:sz="0" w:space="0" w:color="auto"/>
                            <w:right w:val="none" w:sz="0" w:space="0" w:color="auto"/>
                          </w:divBdr>
                        </w:div>
                      </w:divsChild>
                    </w:div>
                    <w:div w:id="86194536">
                      <w:marLeft w:val="0"/>
                      <w:marRight w:val="0"/>
                      <w:marTop w:val="0"/>
                      <w:marBottom w:val="0"/>
                      <w:divBdr>
                        <w:top w:val="none" w:sz="0" w:space="0" w:color="auto"/>
                        <w:left w:val="none" w:sz="0" w:space="0" w:color="auto"/>
                        <w:bottom w:val="none" w:sz="0" w:space="0" w:color="auto"/>
                        <w:right w:val="none" w:sz="0" w:space="0" w:color="auto"/>
                      </w:divBdr>
                      <w:divsChild>
                        <w:div w:id="395785687">
                          <w:marLeft w:val="0"/>
                          <w:marRight w:val="0"/>
                          <w:marTop w:val="0"/>
                          <w:marBottom w:val="0"/>
                          <w:divBdr>
                            <w:top w:val="none" w:sz="0" w:space="0" w:color="auto"/>
                            <w:left w:val="none" w:sz="0" w:space="0" w:color="auto"/>
                            <w:bottom w:val="none" w:sz="0" w:space="0" w:color="auto"/>
                            <w:right w:val="none" w:sz="0" w:space="0" w:color="auto"/>
                          </w:divBdr>
                        </w:div>
                      </w:divsChild>
                    </w:div>
                    <w:div w:id="2085375270">
                      <w:marLeft w:val="0"/>
                      <w:marRight w:val="0"/>
                      <w:marTop w:val="0"/>
                      <w:marBottom w:val="0"/>
                      <w:divBdr>
                        <w:top w:val="none" w:sz="0" w:space="0" w:color="auto"/>
                        <w:left w:val="none" w:sz="0" w:space="0" w:color="auto"/>
                        <w:bottom w:val="none" w:sz="0" w:space="0" w:color="auto"/>
                        <w:right w:val="none" w:sz="0" w:space="0" w:color="auto"/>
                      </w:divBdr>
                      <w:divsChild>
                        <w:div w:id="1889369133">
                          <w:marLeft w:val="0"/>
                          <w:marRight w:val="0"/>
                          <w:marTop w:val="0"/>
                          <w:marBottom w:val="0"/>
                          <w:divBdr>
                            <w:top w:val="none" w:sz="0" w:space="0" w:color="auto"/>
                            <w:left w:val="none" w:sz="0" w:space="0" w:color="auto"/>
                            <w:bottom w:val="none" w:sz="0" w:space="0" w:color="auto"/>
                            <w:right w:val="none" w:sz="0" w:space="0" w:color="auto"/>
                          </w:divBdr>
                        </w:div>
                      </w:divsChild>
                    </w:div>
                    <w:div w:id="1522352129">
                      <w:marLeft w:val="0"/>
                      <w:marRight w:val="0"/>
                      <w:marTop w:val="0"/>
                      <w:marBottom w:val="0"/>
                      <w:divBdr>
                        <w:top w:val="none" w:sz="0" w:space="0" w:color="auto"/>
                        <w:left w:val="none" w:sz="0" w:space="0" w:color="auto"/>
                        <w:bottom w:val="none" w:sz="0" w:space="0" w:color="auto"/>
                        <w:right w:val="none" w:sz="0" w:space="0" w:color="auto"/>
                      </w:divBdr>
                      <w:divsChild>
                        <w:div w:id="1228106935">
                          <w:marLeft w:val="0"/>
                          <w:marRight w:val="0"/>
                          <w:marTop w:val="0"/>
                          <w:marBottom w:val="0"/>
                          <w:divBdr>
                            <w:top w:val="none" w:sz="0" w:space="0" w:color="auto"/>
                            <w:left w:val="none" w:sz="0" w:space="0" w:color="auto"/>
                            <w:bottom w:val="none" w:sz="0" w:space="0" w:color="auto"/>
                            <w:right w:val="none" w:sz="0" w:space="0" w:color="auto"/>
                          </w:divBdr>
                        </w:div>
                      </w:divsChild>
                    </w:div>
                    <w:div w:id="343364621">
                      <w:marLeft w:val="0"/>
                      <w:marRight w:val="0"/>
                      <w:marTop w:val="0"/>
                      <w:marBottom w:val="0"/>
                      <w:divBdr>
                        <w:top w:val="none" w:sz="0" w:space="0" w:color="auto"/>
                        <w:left w:val="none" w:sz="0" w:space="0" w:color="auto"/>
                        <w:bottom w:val="none" w:sz="0" w:space="0" w:color="auto"/>
                        <w:right w:val="none" w:sz="0" w:space="0" w:color="auto"/>
                      </w:divBdr>
                      <w:divsChild>
                        <w:div w:id="37972429">
                          <w:marLeft w:val="0"/>
                          <w:marRight w:val="0"/>
                          <w:marTop w:val="0"/>
                          <w:marBottom w:val="0"/>
                          <w:divBdr>
                            <w:top w:val="none" w:sz="0" w:space="0" w:color="auto"/>
                            <w:left w:val="none" w:sz="0" w:space="0" w:color="auto"/>
                            <w:bottom w:val="none" w:sz="0" w:space="0" w:color="auto"/>
                            <w:right w:val="none" w:sz="0" w:space="0" w:color="auto"/>
                          </w:divBdr>
                        </w:div>
                      </w:divsChild>
                    </w:div>
                    <w:div w:id="1723021825">
                      <w:marLeft w:val="0"/>
                      <w:marRight w:val="0"/>
                      <w:marTop w:val="0"/>
                      <w:marBottom w:val="0"/>
                      <w:divBdr>
                        <w:top w:val="none" w:sz="0" w:space="0" w:color="auto"/>
                        <w:left w:val="none" w:sz="0" w:space="0" w:color="auto"/>
                        <w:bottom w:val="none" w:sz="0" w:space="0" w:color="auto"/>
                        <w:right w:val="none" w:sz="0" w:space="0" w:color="auto"/>
                      </w:divBdr>
                      <w:divsChild>
                        <w:div w:id="365060913">
                          <w:marLeft w:val="0"/>
                          <w:marRight w:val="0"/>
                          <w:marTop w:val="0"/>
                          <w:marBottom w:val="0"/>
                          <w:divBdr>
                            <w:top w:val="none" w:sz="0" w:space="0" w:color="auto"/>
                            <w:left w:val="none" w:sz="0" w:space="0" w:color="auto"/>
                            <w:bottom w:val="none" w:sz="0" w:space="0" w:color="auto"/>
                            <w:right w:val="none" w:sz="0" w:space="0" w:color="auto"/>
                          </w:divBdr>
                        </w:div>
                      </w:divsChild>
                    </w:div>
                    <w:div w:id="1553693786">
                      <w:marLeft w:val="0"/>
                      <w:marRight w:val="0"/>
                      <w:marTop w:val="0"/>
                      <w:marBottom w:val="0"/>
                      <w:divBdr>
                        <w:top w:val="none" w:sz="0" w:space="0" w:color="auto"/>
                        <w:left w:val="none" w:sz="0" w:space="0" w:color="auto"/>
                        <w:bottom w:val="none" w:sz="0" w:space="0" w:color="auto"/>
                        <w:right w:val="none" w:sz="0" w:space="0" w:color="auto"/>
                      </w:divBdr>
                      <w:divsChild>
                        <w:div w:id="1531335875">
                          <w:marLeft w:val="0"/>
                          <w:marRight w:val="0"/>
                          <w:marTop w:val="0"/>
                          <w:marBottom w:val="0"/>
                          <w:divBdr>
                            <w:top w:val="none" w:sz="0" w:space="0" w:color="auto"/>
                            <w:left w:val="none" w:sz="0" w:space="0" w:color="auto"/>
                            <w:bottom w:val="none" w:sz="0" w:space="0" w:color="auto"/>
                            <w:right w:val="none" w:sz="0" w:space="0" w:color="auto"/>
                          </w:divBdr>
                        </w:div>
                      </w:divsChild>
                    </w:div>
                    <w:div w:id="1734043683">
                      <w:marLeft w:val="0"/>
                      <w:marRight w:val="0"/>
                      <w:marTop w:val="0"/>
                      <w:marBottom w:val="0"/>
                      <w:divBdr>
                        <w:top w:val="none" w:sz="0" w:space="0" w:color="auto"/>
                        <w:left w:val="none" w:sz="0" w:space="0" w:color="auto"/>
                        <w:bottom w:val="none" w:sz="0" w:space="0" w:color="auto"/>
                        <w:right w:val="none" w:sz="0" w:space="0" w:color="auto"/>
                      </w:divBdr>
                      <w:divsChild>
                        <w:div w:id="1038820561">
                          <w:marLeft w:val="0"/>
                          <w:marRight w:val="0"/>
                          <w:marTop w:val="0"/>
                          <w:marBottom w:val="0"/>
                          <w:divBdr>
                            <w:top w:val="none" w:sz="0" w:space="0" w:color="auto"/>
                            <w:left w:val="none" w:sz="0" w:space="0" w:color="auto"/>
                            <w:bottom w:val="none" w:sz="0" w:space="0" w:color="auto"/>
                            <w:right w:val="none" w:sz="0" w:space="0" w:color="auto"/>
                          </w:divBdr>
                        </w:div>
                      </w:divsChild>
                    </w:div>
                    <w:div w:id="1014453653">
                      <w:marLeft w:val="0"/>
                      <w:marRight w:val="0"/>
                      <w:marTop w:val="0"/>
                      <w:marBottom w:val="0"/>
                      <w:divBdr>
                        <w:top w:val="none" w:sz="0" w:space="0" w:color="auto"/>
                        <w:left w:val="none" w:sz="0" w:space="0" w:color="auto"/>
                        <w:bottom w:val="none" w:sz="0" w:space="0" w:color="auto"/>
                        <w:right w:val="none" w:sz="0" w:space="0" w:color="auto"/>
                      </w:divBdr>
                      <w:divsChild>
                        <w:div w:id="859587093">
                          <w:marLeft w:val="0"/>
                          <w:marRight w:val="0"/>
                          <w:marTop w:val="0"/>
                          <w:marBottom w:val="0"/>
                          <w:divBdr>
                            <w:top w:val="none" w:sz="0" w:space="0" w:color="auto"/>
                            <w:left w:val="none" w:sz="0" w:space="0" w:color="auto"/>
                            <w:bottom w:val="none" w:sz="0" w:space="0" w:color="auto"/>
                            <w:right w:val="none" w:sz="0" w:space="0" w:color="auto"/>
                          </w:divBdr>
                        </w:div>
                      </w:divsChild>
                    </w:div>
                    <w:div w:id="1419712484">
                      <w:marLeft w:val="0"/>
                      <w:marRight w:val="0"/>
                      <w:marTop w:val="0"/>
                      <w:marBottom w:val="0"/>
                      <w:divBdr>
                        <w:top w:val="none" w:sz="0" w:space="0" w:color="auto"/>
                        <w:left w:val="none" w:sz="0" w:space="0" w:color="auto"/>
                        <w:bottom w:val="none" w:sz="0" w:space="0" w:color="auto"/>
                        <w:right w:val="none" w:sz="0" w:space="0" w:color="auto"/>
                      </w:divBdr>
                      <w:divsChild>
                        <w:div w:id="1390029799">
                          <w:marLeft w:val="0"/>
                          <w:marRight w:val="0"/>
                          <w:marTop w:val="0"/>
                          <w:marBottom w:val="0"/>
                          <w:divBdr>
                            <w:top w:val="none" w:sz="0" w:space="0" w:color="auto"/>
                            <w:left w:val="none" w:sz="0" w:space="0" w:color="auto"/>
                            <w:bottom w:val="none" w:sz="0" w:space="0" w:color="auto"/>
                            <w:right w:val="none" w:sz="0" w:space="0" w:color="auto"/>
                          </w:divBdr>
                        </w:div>
                      </w:divsChild>
                    </w:div>
                    <w:div w:id="1921981094">
                      <w:marLeft w:val="0"/>
                      <w:marRight w:val="0"/>
                      <w:marTop w:val="0"/>
                      <w:marBottom w:val="0"/>
                      <w:divBdr>
                        <w:top w:val="none" w:sz="0" w:space="0" w:color="auto"/>
                        <w:left w:val="none" w:sz="0" w:space="0" w:color="auto"/>
                        <w:bottom w:val="none" w:sz="0" w:space="0" w:color="auto"/>
                        <w:right w:val="none" w:sz="0" w:space="0" w:color="auto"/>
                      </w:divBdr>
                      <w:divsChild>
                        <w:div w:id="550113904">
                          <w:marLeft w:val="0"/>
                          <w:marRight w:val="0"/>
                          <w:marTop w:val="0"/>
                          <w:marBottom w:val="0"/>
                          <w:divBdr>
                            <w:top w:val="none" w:sz="0" w:space="0" w:color="auto"/>
                            <w:left w:val="none" w:sz="0" w:space="0" w:color="auto"/>
                            <w:bottom w:val="none" w:sz="0" w:space="0" w:color="auto"/>
                            <w:right w:val="none" w:sz="0" w:space="0" w:color="auto"/>
                          </w:divBdr>
                        </w:div>
                      </w:divsChild>
                    </w:div>
                    <w:div w:id="1415937031">
                      <w:marLeft w:val="0"/>
                      <w:marRight w:val="0"/>
                      <w:marTop w:val="0"/>
                      <w:marBottom w:val="0"/>
                      <w:divBdr>
                        <w:top w:val="none" w:sz="0" w:space="0" w:color="auto"/>
                        <w:left w:val="none" w:sz="0" w:space="0" w:color="auto"/>
                        <w:bottom w:val="none" w:sz="0" w:space="0" w:color="auto"/>
                        <w:right w:val="none" w:sz="0" w:space="0" w:color="auto"/>
                      </w:divBdr>
                      <w:divsChild>
                        <w:div w:id="1400789621">
                          <w:marLeft w:val="0"/>
                          <w:marRight w:val="0"/>
                          <w:marTop w:val="0"/>
                          <w:marBottom w:val="0"/>
                          <w:divBdr>
                            <w:top w:val="none" w:sz="0" w:space="0" w:color="auto"/>
                            <w:left w:val="none" w:sz="0" w:space="0" w:color="auto"/>
                            <w:bottom w:val="none" w:sz="0" w:space="0" w:color="auto"/>
                            <w:right w:val="none" w:sz="0" w:space="0" w:color="auto"/>
                          </w:divBdr>
                        </w:div>
                      </w:divsChild>
                    </w:div>
                    <w:div w:id="1316497804">
                      <w:marLeft w:val="0"/>
                      <w:marRight w:val="0"/>
                      <w:marTop w:val="0"/>
                      <w:marBottom w:val="0"/>
                      <w:divBdr>
                        <w:top w:val="none" w:sz="0" w:space="0" w:color="auto"/>
                        <w:left w:val="none" w:sz="0" w:space="0" w:color="auto"/>
                        <w:bottom w:val="none" w:sz="0" w:space="0" w:color="auto"/>
                        <w:right w:val="none" w:sz="0" w:space="0" w:color="auto"/>
                      </w:divBdr>
                      <w:divsChild>
                        <w:div w:id="1098017718">
                          <w:marLeft w:val="0"/>
                          <w:marRight w:val="0"/>
                          <w:marTop w:val="0"/>
                          <w:marBottom w:val="0"/>
                          <w:divBdr>
                            <w:top w:val="none" w:sz="0" w:space="0" w:color="auto"/>
                            <w:left w:val="none" w:sz="0" w:space="0" w:color="auto"/>
                            <w:bottom w:val="none" w:sz="0" w:space="0" w:color="auto"/>
                            <w:right w:val="none" w:sz="0" w:space="0" w:color="auto"/>
                          </w:divBdr>
                        </w:div>
                      </w:divsChild>
                    </w:div>
                    <w:div w:id="562715317">
                      <w:marLeft w:val="0"/>
                      <w:marRight w:val="0"/>
                      <w:marTop w:val="0"/>
                      <w:marBottom w:val="0"/>
                      <w:divBdr>
                        <w:top w:val="none" w:sz="0" w:space="0" w:color="auto"/>
                        <w:left w:val="none" w:sz="0" w:space="0" w:color="auto"/>
                        <w:bottom w:val="none" w:sz="0" w:space="0" w:color="auto"/>
                        <w:right w:val="none" w:sz="0" w:space="0" w:color="auto"/>
                      </w:divBdr>
                      <w:divsChild>
                        <w:div w:id="1823622964">
                          <w:marLeft w:val="0"/>
                          <w:marRight w:val="0"/>
                          <w:marTop w:val="0"/>
                          <w:marBottom w:val="0"/>
                          <w:divBdr>
                            <w:top w:val="none" w:sz="0" w:space="0" w:color="auto"/>
                            <w:left w:val="none" w:sz="0" w:space="0" w:color="auto"/>
                            <w:bottom w:val="none" w:sz="0" w:space="0" w:color="auto"/>
                            <w:right w:val="none" w:sz="0" w:space="0" w:color="auto"/>
                          </w:divBdr>
                        </w:div>
                      </w:divsChild>
                    </w:div>
                    <w:div w:id="728380185">
                      <w:marLeft w:val="0"/>
                      <w:marRight w:val="0"/>
                      <w:marTop w:val="0"/>
                      <w:marBottom w:val="0"/>
                      <w:divBdr>
                        <w:top w:val="none" w:sz="0" w:space="0" w:color="auto"/>
                        <w:left w:val="none" w:sz="0" w:space="0" w:color="auto"/>
                        <w:bottom w:val="none" w:sz="0" w:space="0" w:color="auto"/>
                        <w:right w:val="none" w:sz="0" w:space="0" w:color="auto"/>
                      </w:divBdr>
                      <w:divsChild>
                        <w:div w:id="185048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2681413">
      <w:bodyDiv w:val="1"/>
      <w:marLeft w:val="0"/>
      <w:marRight w:val="0"/>
      <w:marTop w:val="0"/>
      <w:marBottom w:val="0"/>
      <w:divBdr>
        <w:top w:val="none" w:sz="0" w:space="0" w:color="auto"/>
        <w:left w:val="none" w:sz="0" w:space="0" w:color="auto"/>
        <w:bottom w:val="none" w:sz="0" w:space="0" w:color="auto"/>
        <w:right w:val="none" w:sz="0" w:space="0" w:color="auto"/>
      </w:divBdr>
      <w:divsChild>
        <w:div w:id="2087413279">
          <w:marLeft w:val="0"/>
          <w:marRight w:val="0"/>
          <w:marTop w:val="0"/>
          <w:marBottom w:val="0"/>
          <w:divBdr>
            <w:top w:val="none" w:sz="0" w:space="0" w:color="auto"/>
            <w:left w:val="none" w:sz="0" w:space="0" w:color="auto"/>
            <w:bottom w:val="none" w:sz="0" w:space="0" w:color="auto"/>
            <w:right w:val="none" w:sz="0" w:space="0" w:color="auto"/>
          </w:divBdr>
          <w:divsChild>
            <w:div w:id="138965764">
              <w:marLeft w:val="0"/>
              <w:marRight w:val="0"/>
              <w:marTop w:val="0"/>
              <w:marBottom w:val="0"/>
              <w:divBdr>
                <w:top w:val="none" w:sz="0" w:space="0" w:color="auto"/>
                <w:left w:val="none" w:sz="0" w:space="0" w:color="auto"/>
                <w:bottom w:val="none" w:sz="0" w:space="0" w:color="auto"/>
                <w:right w:val="none" w:sz="0" w:space="0" w:color="auto"/>
              </w:divBdr>
              <w:divsChild>
                <w:div w:id="167742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88167">
      <w:bodyDiv w:val="1"/>
      <w:marLeft w:val="0"/>
      <w:marRight w:val="0"/>
      <w:marTop w:val="0"/>
      <w:marBottom w:val="0"/>
      <w:divBdr>
        <w:top w:val="none" w:sz="0" w:space="0" w:color="auto"/>
        <w:left w:val="none" w:sz="0" w:space="0" w:color="auto"/>
        <w:bottom w:val="none" w:sz="0" w:space="0" w:color="auto"/>
        <w:right w:val="none" w:sz="0" w:space="0" w:color="auto"/>
      </w:divBdr>
      <w:divsChild>
        <w:div w:id="291256760">
          <w:marLeft w:val="0"/>
          <w:marRight w:val="0"/>
          <w:marTop w:val="0"/>
          <w:marBottom w:val="0"/>
          <w:divBdr>
            <w:top w:val="none" w:sz="0" w:space="0" w:color="auto"/>
            <w:left w:val="none" w:sz="0" w:space="0" w:color="auto"/>
            <w:bottom w:val="none" w:sz="0" w:space="0" w:color="auto"/>
            <w:right w:val="none" w:sz="0" w:space="0" w:color="auto"/>
          </w:divBdr>
          <w:divsChild>
            <w:div w:id="204355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980293">
      <w:bodyDiv w:val="1"/>
      <w:marLeft w:val="0"/>
      <w:marRight w:val="0"/>
      <w:marTop w:val="0"/>
      <w:marBottom w:val="0"/>
      <w:divBdr>
        <w:top w:val="none" w:sz="0" w:space="0" w:color="auto"/>
        <w:left w:val="none" w:sz="0" w:space="0" w:color="auto"/>
        <w:bottom w:val="none" w:sz="0" w:space="0" w:color="auto"/>
        <w:right w:val="none" w:sz="0" w:space="0" w:color="auto"/>
      </w:divBdr>
      <w:divsChild>
        <w:div w:id="324748756">
          <w:marLeft w:val="0"/>
          <w:marRight w:val="0"/>
          <w:marTop w:val="0"/>
          <w:marBottom w:val="0"/>
          <w:divBdr>
            <w:top w:val="none" w:sz="0" w:space="0" w:color="auto"/>
            <w:left w:val="none" w:sz="0" w:space="0" w:color="auto"/>
            <w:bottom w:val="none" w:sz="0" w:space="0" w:color="auto"/>
            <w:right w:val="none" w:sz="0" w:space="0" w:color="auto"/>
          </w:divBdr>
          <w:divsChild>
            <w:div w:id="706684904">
              <w:marLeft w:val="0"/>
              <w:marRight w:val="0"/>
              <w:marTop w:val="0"/>
              <w:marBottom w:val="0"/>
              <w:divBdr>
                <w:top w:val="none" w:sz="0" w:space="0" w:color="auto"/>
                <w:left w:val="none" w:sz="0" w:space="0" w:color="auto"/>
                <w:bottom w:val="none" w:sz="0" w:space="0" w:color="auto"/>
                <w:right w:val="none" w:sz="0" w:space="0" w:color="auto"/>
              </w:divBdr>
              <w:divsChild>
                <w:div w:id="34020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379275">
      <w:bodyDiv w:val="1"/>
      <w:marLeft w:val="0"/>
      <w:marRight w:val="0"/>
      <w:marTop w:val="0"/>
      <w:marBottom w:val="0"/>
      <w:divBdr>
        <w:top w:val="none" w:sz="0" w:space="0" w:color="auto"/>
        <w:left w:val="none" w:sz="0" w:space="0" w:color="auto"/>
        <w:bottom w:val="none" w:sz="0" w:space="0" w:color="auto"/>
        <w:right w:val="none" w:sz="0" w:space="0" w:color="auto"/>
      </w:divBdr>
      <w:divsChild>
        <w:div w:id="2034453932">
          <w:marLeft w:val="0"/>
          <w:marRight w:val="0"/>
          <w:marTop w:val="0"/>
          <w:marBottom w:val="0"/>
          <w:divBdr>
            <w:top w:val="none" w:sz="0" w:space="0" w:color="auto"/>
            <w:left w:val="none" w:sz="0" w:space="0" w:color="auto"/>
            <w:bottom w:val="none" w:sz="0" w:space="0" w:color="auto"/>
            <w:right w:val="none" w:sz="0" w:space="0" w:color="auto"/>
          </w:divBdr>
          <w:divsChild>
            <w:div w:id="1466923466">
              <w:marLeft w:val="0"/>
              <w:marRight w:val="0"/>
              <w:marTop w:val="0"/>
              <w:marBottom w:val="0"/>
              <w:divBdr>
                <w:top w:val="none" w:sz="0" w:space="0" w:color="auto"/>
                <w:left w:val="none" w:sz="0" w:space="0" w:color="auto"/>
                <w:bottom w:val="none" w:sz="0" w:space="0" w:color="auto"/>
                <w:right w:val="none" w:sz="0" w:space="0" w:color="auto"/>
              </w:divBdr>
              <w:divsChild>
                <w:div w:id="189546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761148">
      <w:bodyDiv w:val="1"/>
      <w:marLeft w:val="0"/>
      <w:marRight w:val="0"/>
      <w:marTop w:val="0"/>
      <w:marBottom w:val="0"/>
      <w:divBdr>
        <w:top w:val="none" w:sz="0" w:space="0" w:color="auto"/>
        <w:left w:val="none" w:sz="0" w:space="0" w:color="auto"/>
        <w:bottom w:val="none" w:sz="0" w:space="0" w:color="auto"/>
        <w:right w:val="none" w:sz="0" w:space="0" w:color="auto"/>
      </w:divBdr>
      <w:divsChild>
        <w:div w:id="529418832">
          <w:marLeft w:val="0"/>
          <w:marRight w:val="0"/>
          <w:marTop w:val="0"/>
          <w:marBottom w:val="0"/>
          <w:divBdr>
            <w:top w:val="none" w:sz="0" w:space="0" w:color="auto"/>
            <w:left w:val="none" w:sz="0" w:space="0" w:color="auto"/>
            <w:bottom w:val="none" w:sz="0" w:space="0" w:color="auto"/>
            <w:right w:val="none" w:sz="0" w:space="0" w:color="auto"/>
          </w:divBdr>
          <w:divsChild>
            <w:div w:id="680670346">
              <w:marLeft w:val="0"/>
              <w:marRight w:val="0"/>
              <w:marTop w:val="0"/>
              <w:marBottom w:val="0"/>
              <w:divBdr>
                <w:top w:val="none" w:sz="0" w:space="0" w:color="auto"/>
                <w:left w:val="none" w:sz="0" w:space="0" w:color="auto"/>
                <w:bottom w:val="none" w:sz="0" w:space="0" w:color="auto"/>
                <w:right w:val="none" w:sz="0" w:space="0" w:color="auto"/>
              </w:divBdr>
              <w:divsChild>
                <w:div w:id="137376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256883">
      <w:bodyDiv w:val="1"/>
      <w:marLeft w:val="0"/>
      <w:marRight w:val="0"/>
      <w:marTop w:val="0"/>
      <w:marBottom w:val="0"/>
      <w:divBdr>
        <w:top w:val="none" w:sz="0" w:space="0" w:color="auto"/>
        <w:left w:val="none" w:sz="0" w:space="0" w:color="auto"/>
        <w:bottom w:val="none" w:sz="0" w:space="0" w:color="auto"/>
        <w:right w:val="none" w:sz="0" w:space="0" w:color="auto"/>
      </w:divBdr>
      <w:divsChild>
        <w:div w:id="1882478501">
          <w:marLeft w:val="0"/>
          <w:marRight w:val="0"/>
          <w:marTop w:val="0"/>
          <w:marBottom w:val="0"/>
          <w:divBdr>
            <w:top w:val="none" w:sz="0" w:space="0" w:color="auto"/>
            <w:left w:val="none" w:sz="0" w:space="0" w:color="auto"/>
            <w:bottom w:val="none" w:sz="0" w:space="0" w:color="auto"/>
            <w:right w:val="none" w:sz="0" w:space="0" w:color="auto"/>
          </w:divBdr>
          <w:divsChild>
            <w:div w:id="1096246989">
              <w:marLeft w:val="0"/>
              <w:marRight w:val="0"/>
              <w:marTop w:val="0"/>
              <w:marBottom w:val="0"/>
              <w:divBdr>
                <w:top w:val="none" w:sz="0" w:space="0" w:color="auto"/>
                <w:left w:val="none" w:sz="0" w:space="0" w:color="auto"/>
                <w:bottom w:val="none" w:sz="0" w:space="0" w:color="auto"/>
                <w:right w:val="none" w:sz="0" w:space="0" w:color="auto"/>
              </w:divBdr>
              <w:divsChild>
                <w:div w:id="54279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iveutk-my.sharepoint.com/personal/rlandry1_utk_edu/Documents/Dissertation/Landry.Dissertation.Ver2.docx" TargetMode="External"/><Relationship Id="rId18" Type="http://schemas.openxmlformats.org/officeDocument/2006/relationships/image" Target="media/image4.JPG"/><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image" Target="media/image7.JPG"/><Relationship Id="rId7" Type="http://schemas.openxmlformats.org/officeDocument/2006/relationships/webSettings" Target="webSettings.xml"/><Relationship Id="rId12" Type="http://schemas.openxmlformats.org/officeDocument/2006/relationships/hyperlink" Target="https://liveutk-my.sharepoint.com/personal/rlandry1_utk_edu/Documents/Dissertation/Landry.Dissertation.Ver2.docx" TargetMode="External"/><Relationship Id="rId17" Type="http://schemas.openxmlformats.org/officeDocument/2006/relationships/image" Target="media/image3.JP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5.JP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58C0819C758749815FC0A89ECD7A6E" ma:contentTypeVersion="10" ma:contentTypeDescription="Create a new document." ma:contentTypeScope="" ma:versionID="f0fb4031c80e5154cc9233d5fab3e692">
  <xsd:schema xmlns:xsd="http://www.w3.org/2001/XMLSchema" xmlns:xs="http://www.w3.org/2001/XMLSchema" xmlns:p="http://schemas.microsoft.com/office/2006/metadata/properties" xmlns:ns3="23305d79-311d-40e6-a2d2-53f543e13738" targetNamespace="http://schemas.microsoft.com/office/2006/metadata/properties" ma:root="true" ma:fieldsID="42ca7007cdf3d01fa9ea5e1dd3434c84" ns3:_="">
    <xsd:import namespace="23305d79-311d-40e6-a2d2-53f543e1373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305d79-311d-40e6-a2d2-53f543e137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02881-B972-415D-B829-F22F8CC614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305d79-311d-40e6-a2d2-53f543e137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95D3C2-2BBD-4557-B541-CD94AABD02BB}">
  <ds:schemaRefs>
    <ds:schemaRef ds:uri="http://schemas.microsoft.com/sharepoint/v3/contenttype/forms"/>
  </ds:schemaRefs>
</ds:datastoreItem>
</file>

<file path=customXml/itemProps3.xml><?xml version="1.0" encoding="utf-8"?>
<ds:datastoreItem xmlns:ds="http://schemas.openxmlformats.org/officeDocument/2006/customXml" ds:itemID="{8EDBA91C-21DA-4748-A51F-D4699EE961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66696B0-E854-4150-92E5-E690E9160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74</Pages>
  <Words>15117</Words>
  <Characters>86170</Characters>
  <Application>Microsoft Office Word</Application>
  <DocSecurity>0</DocSecurity>
  <Lines>718</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Landry, Randall Lee</dc:creator>
  <cp:keywords/>
  <dc:description/>
  <cp:lastModifiedBy>Landry, Randall Lee</cp:lastModifiedBy>
  <cp:revision>2</cp:revision>
  <cp:lastPrinted>2022-04-19T20:02:00Z</cp:lastPrinted>
  <dcterms:created xsi:type="dcterms:W3CDTF">2022-04-19T20:03:00Z</dcterms:created>
  <dcterms:modified xsi:type="dcterms:W3CDTF">2022-04-19T20:03:00Z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0x0101007F58C0819C758749815FC0A89ECD7A6E</vt:lpwstr>
  </property>
</Properties>
</file>